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151130</wp:posOffset>
            </wp:positionV>
            <wp:extent cx="662686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6860" cy="2413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181610</wp:posOffset>
            </wp:positionV>
            <wp:extent cx="66268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860" cy="6350"/>
                    </a:xfrm>
                    <a:prstGeom prst="rect">
                      <a:avLst/>
                    </a:prstGeom>
                    <a:noFill/>
                  </pic:spPr>
                </pic:pic>
              </a:graphicData>
            </a:graphic>
          </wp:anchor>
        </w:drawing>
      </w:r>
    </w:p>
    <w:p>
      <w:pPr>
        <w:spacing w:after="0" w:line="315"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UNITED STATES SECURITIES AND EXCHANGE COMMISSION</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Washington, D.C. 20549</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23"/>
          <w:szCs w:val="23"/>
          <w:b w:val="1"/>
          <w:bCs w:val="1"/>
          <w:color w:val="auto"/>
        </w:rPr>
        <w:t>Form 10-K</w:t>
      </w:r>
    </w:p>
    <w:p>
      <w:pPr>
        <w:spacing w:after="0" w:line="9" w:lineRule="exact"/>
        <w:rPr>
          <w:sz w:val="20"/>
          <w:szCs w:val="20"/>
          <w:color w:val="auto"/>
        </w:rPr>
      </w:pPr>
    </w:p>
    <w:p>
      <w:pPr>
        <w:ind w:left="4560" w:right="3300" w:hanging="816"/>
        <w:spacing w:after="0" w:line="253" w:lineRule="auto"/>
        <w:tabs>
          <w:tab w:leader="none" w:pos="3916"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 xml:space="preserve">For the fiscal year ended </w:t>
      </w:r>
      <w:r>
        <w:rPr>
          <w:rFonts w:ascii="Arial" w:cs="Arial" w:eastAsia="Arial" w:hAnsi="Arial"/>
          <w:sz w:val="13"/>
          <w:szCs w:val="13"/>
          <w:b w:val="1"/>
          <w:bCs w:val="1"/>
          <w:u w:val="single" w:color="auto"/>
          <w:color w:val="auto"/>
        </w:rPr>
        <w:t>December 31, 2011</w:t>
      </w:r>
    </w:p>
    <w:p>
      <w:pPr>
        <w:spacing w:after="0" w:line="4"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OR</w:t>
      </w:r>
    </w:p>
    <w:p>
      <w:pPr>
        <w:spacing w:after="0" w:line="15" w:lineRule="exact"/>
        <w:rPr>
          <w:sz w:val="20"/>
          <w:szCs w:val="20"/>
          <w:color w:val="auto"/>
        </w:rPr>
      </w:pPr>
    </w:p>
    <w:p>
      <w:pPr>
        <w:ind w:left="4560" w:right="3200" w:hanging="907"/>
        <w:spacing w:after="0" w:line="262" w:lineRule="auto"/>
        <w:tabs>
          <w:tab w:leader="none" w:pos="3779" w:val="left"/>
        </w:tabs>
        <w:numPr>
          <w:ilvl w:val="0"/>
          <w:numId w:val="2"/>
        </w:numPr>
        <w:rPr>
          <w:rFonts w:ascii="Arial" w:cs="Arial" w:eastAsia="Arial" w:hAnsi="Arial"/>
          <w:sz w:val="13"/>
          <w:szCs w:val="13"/>
          <w:color w:val="auto"/>
        </w:rPr>
      </w:pPr>
      <w:r>
        <w:rPr>
          <w:rFonts w:ascii="Arial" w:cs="Arial" w:eastAsia="Arial" w:hAnsi="Arial"/>
          <w:sz w:val="13"/>
          <w:szCs w:val="13"/>
          <w:color w:val="auto"/>
        </w:rPr>
        <w:t>TRANSITION REPORT PURSUANT TO SECTION 13 OR 15(d) OF THE SECURITIES EXCHANGE ACT OF 1934</w:t>
      </w:r>
    </w:p>
    <w:tbl>
      <w:tblPr>
        <w:tblLayout w:type="fixed"/>
        <w:tblInd w:w="460" w:type="dxa"/>
        <w:tblCellMar>
          <w:top w:w="0" w:type="dxa"/>
          <w:left w:w="0" w:type="dxa"/>
          <w:bottom w:w="0" w:type="dxa"/>
          <w:right w:w="0" w:type="dxa"/>
        </w:tblCellMar>
      </w:tblPr>
      <w:tr>
        <w:trPr>
          <w:trHeight w:val="134"/>
        </w:trPr>
        <w:tc>
          <w:tcPr>
            <w:tcW w:w="4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4"/>
          </w:tcPr>
          <w:p>
            <w:pPr>
              <w:ind w:left="280"/>
              <w:spacing w:after="0" w:line="134" w:lineRule="exact"/>
              <w:rPr>
                <w:sz w:val="20"/>
                <w:szCs w:val="20"/>
                <w:color w:val="auto"/>
              </w:rPr>
            </w:pPr>
            <w:r>
              <w:rPr>
                <w:rFonts w:ascii="Arial" w:cs="Arial" w:eastAsia="Arial" w:hAnsi="Arial"/>
                <w:sz w:val="13"/>
                <w:szCs w:val="13"/>
                <w:color w:val="auto"/>
                <w:w w:val="92"/>
              </w:rPr>
              <w:t>For the transition period from</w:t>
            </w:r>
          </w:p>
        </w:tc>
        <w:tc>
          <w:tcPr>
            <w:tcW w:w="320" w:type="dxa"/>
            <w:vAlign w:val="bottom"/>
            <w:tcBorders>
              <w:bottom w:val="single" w:sz="8" w:color="auto"/>
            </w:tcBorders>
          </w:tcPr>
          <w:p>
            <w:pPr>
              <w:spacing w:after="0"/>
              <w:rPr>
                <w:sz w:val="11"/>
                <w:szCs w:val="11"/>
                <w:color w:val="auto"/>
              </w:rPr>
            </w:pPr>
          </w:p>
        </w:tc>
        <w:tc>
          <w:tcPr>
            <w:tcW w:w="160" w:type="dxa"/>
            <w:vAlign w:val="bottom"/>
          </w:tcPr>
          <w:p>
            <w:pPr>
              <w:ind w:left="20"/>
              <w:spacing w:after="0" w:line="134" w:lineRule="exact"/>
              <w:rPr>
                <w:sz w:val="20"/>
                <w:szCs w:val="20"/>
                <w:color w:val="auto"/>
              </w:rPr>
            </w:pPr>
            <w:r>
              <w:rPr>
                <w:rFonts w:ascii="Arial" w:cs="Arial" w:eastAsia="Arial" w:hAnsi="Arial"/>
                <w:sz w:val="13"/>
                <w:szCs w:val="13"/>
                <w:color w:val="auto"/>
              </w:rPr>
              <w:t>to</w:t>
            </w:r>
          </w:p>
        </w:tc>
        <w:tc>
          <w:tcPr>
            <w:tcW w:w="320" w:type="dxa"/>
            <w:vAlign w:val="bottom"/>
            <w:tcBorders>
              <w:bottom w:val="single" w:sz="8" w:color="auto"/>
            </w:tcBorders>
            <w:gridSpan w:val="2"/>
          </w:tcPr>
          <w:p>
            <w:pPr>
              <w:spacing w:after="0"/>
              <w:rPr>
                <w:sz w:val="11"/>
                <w:szCs w:val="11"/>
                <w:color w:val="auto"/>
              </w:rPr>
            </w:pPr>
          </w:p>
        </w:tc>
        <w:tc>
          <w:tcPr>
            <w:tcW w:w="4040" w:type="dxa"/>
            <w:vAlign w:val="bottom"/>
          </w:tcPr>
          <w:p>
            <w:pPr>
              <w:spacing w:after="0"/>
              <w:rPr>
                <w:sz w:val="11"/>
                <w:szCs w:val="11"/>
                <w:color w:val="auto"/>
              </w:rPr>
            </w:pPr>
          </w:p>
        </w:tc>
      </w:tr>
      <w:tr>
        <w:trPr>
          <w:trHeight w:val="181"/>
        </w:trPr>
        <w:tc>
          <w:tcPr>
            <w:tcW w:w="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80" w:type="dxa"/>
            <w:vAlign w:val="bottom"/>
            <w:gridSpan w:val="9"/>
          </w:tcPr>
          <w:p>
            <w:pPr>
              <w:jc w:val="center"/>
              <w:ind w:right="3696"/>
              <w:spacing w:after="0"/>
              <w:rPr>
                <w:sz w:val="20"/>
                <w:szCs w:val="20"/>
                <w:color w:val="auto"/>
              </w:rPr>
            </w:pPr>
            <w:r>
              <w:rPr>
                <w:rFonts w:ascii="Arial" w:cs="Arial" w:eastAsia="Arial" w:hAnsi="Arial"/>
                <w:sz w:val="13"/>
                <w:szCs w:val="13"/>
                <w:color w:val="auto"/>
                <w:w w:val="90"/>
              </w:rPr>
              <w:t>Commission File Number 001-00368</w:t>
            </w:r>
          </w:p>
        </w:tc>
      </w:tr>
      <w:tr>
        <w:trPr>
          <w:trHeight w:val="280"/>
        </w:trPr>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9"/>
          </w:tcPr>
          <w:p>
            <w:pPr>
              <w:jc w:val="center"/>
              <w:ind w:right="3716"/>
              <w:spacing w:after="0"/>
              <w:rPr>
                <w:sz w:val="20"/>
                <w:szCs w:val="20"/>
                <w:color w:val="auto"/>
              </w:rPr>
            </w:pPr>
            <w:r>
              <w:rPr>
                <w:rFonts w:ascii="Arial" w:cs="Arial" w:eastAsia="Arial" w:hAnsi="Arial"/>
                <w:sz w:val="23"/>
                <w:szCs w:val="23"/>
                <w:b w:val="1"/>
                <w:bCs w:val="1"/>
                <w:color w:val="auto"/>
                <w:w w:val="92"/>
              </w:rPr>
              <w:t>Chevron Corporation</w:t>
            </w:r>
          </w:p>
        </w:tc>
      </w:tr>
      <w:tr>
        <w:trPr>
          <w:trHeight w:val="162"/>
        </w:trPr>
        <w:tc>
          <w:tcPr>
            <w:tcW w:w="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80" w:type="dxa"/>
            <w:vAlign w:val="bottom"/>
            <w:gridSpan w:val="9"/>
          </w:tcPr>
          <w:p>
            <w:pPr>
              <w:jc w:val="center"/>
              <w:ind w:right="3696"/>
              <w:spacing w:after="0"/>
              <w:rPr>
                <w:sz w:val="20"/>
                <w:szCs w:val="20"/>
                <w:color w:val="auto"/>
              </w:rPr>
            </w:pPr>
            <w:r>
              <w:rPr>
                <w:rFonts w:ascii="Arial" w:cs="Arial" w:eastAsia="Arial" w:hAnsi="Arial"/>
                <w:sz w:val="13"/>
                <w:szCs w:val="13"/>
                <w:color w:val="auto"/>
                <w:w w:val="89"/>
              </w:rPr>
              <w:t>(Exact name of registrant as specified in its charter)</w:t>
            </w:r>
          </w:p>
        </w:tc>
      </w:tr>
      <w:tr>
        <w:trPr>
          <w:trHeight w:val="203"/>
        </w:trPr>
        <w:tc>
          <w:tcPr>
            <w:tcW w:w="460" w:type="dxa"/>
            <w:vAlign w:val="bottom"/>
          </w:tcPr>
          <w:p>
            <w:pPr>
              <w:spacing w:after="0"/>
              <w:rPr>
                <w:sz w:val="17"/>
                <w:szCs w:val="17"/>
                <w:color w:val="auto"/>
              </w:rPr>
            </w:pPr>
          </w:p>
        </w:tc>
        <w:tc>
          <w:tcPr>
            <w:tcW w:w="3200" w:type="dxa"/>
            <w:vAlign w:val="bottom"/>
            <w:gridSpan w:val="2"/>
          </w:tcPr>
          <w:p>
            <w:pPr>
              <w:jc w:val="center"/>
              <w:ind w:right="1236"/>
              <w:spacing w:after="0"/>
              <w:rPr>
                <w:sz w:val="20"/>
                <w:szCs w:val="20"/>
                <w:color w:val="auto"/>
              </w:rPr>
            </w:pPr>
            <w:r>
              <w:rPr>
                <w:rFonts w:ascii="Arial" w:cs="Arial" w:eastAsia="Arial" w:hAnsi="Arial"/>
                <w:sz w:val="13"/>
                <w:szCs w:val="13"/>
                <w:color w:val="auto"/>
                <w:w w:val="90"/>
              </w:rPr>
              <w:t>Delaware</w:t>
            </w:r>
          </w:p>
        </w:tc>
        <w:tc>
          <w:tcPr>
            <w:tcW w:w="1460" w:type="dxa"/>
            <w:vAlign w:val="bottom"/>
            <w:gridSpan w:val="2"/>
          </w:tcPr>
          <w:p>
            <w:pPr>
              <w:jc w:val="center"/>
              <w:ind w:left="136"/>
              <w:spacing w:after="0"/>
              <w:rPr>
                <w:sz w:val="20"/>
                <w:szCs w:val="20"/>
                <w:color w:val="auto"/>
              </w:rPr>
            </w:pPr>
            <w:r>
              <w:rPr>
                <w:rFonts w:ascii="Arial" w:cs="Arial" w:eastAsia="Arial" w:hAnsi="Arial"/>
                <w:sz w:val="13"/>
                <w:szCs w:val="13"/>
                <w:color w:val="auto"/>
                <w:w w:val="89"/>
              </w:rPr>
              <w:t>94-0890210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Pr>
          <w:p>
            <w:pPr>
              <w:jc w:val="center"/>
              <w:ind w:right="196"/>
              <w:spacing w:after="0"/>
              <w:rPr>
                <w:sz w:val="20"/>
                <w:szCs w:val="20"/>
                <w:color w:val="auto"/>
              </w:rPr>
            </w:pPr>
            <w:r>
              <w:rPr>
                <w:rFonts w:ascii="Arial" w:cs="Arial" w:eastAsia="Arial" w:hAnsi="Arial"/>
                <w:sz w:val="13"/>
                <w:szCs w:val="13"/>
                <w:color w:val="auto"/>
                <w:w w:val="90"/>
              </w:rPr>
              <w:t>6001 Bollinger Canyon Road,</w:t>
            </w:r>
          </w:p>
        </w:tc>
      </w:tr>
      <w:tr>
        <w:trPr>
          <w:trHeight w:val="167"/>
        </w:trPr>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90"/>
              </w:rPr>
              <w:t>San Ramon, California 94583-2324</w:t>
            </w:r>
          </w:p>
        </w:tc>
      </w:tr>
      <w:tr>
        <w:trPr>
          <w:trHeight w:val="274"/>
        </w:trPr>
        <w:tc>
          <w:tcPr>
            <w:tcW w:w="460" w:type="dxa"/>
            <w:vAlign w:val="bottom"/>
          </w:tcPr>
          <w:p>
            <w:pPr>
              <w:spacing w:after="0"/>
              <w:rPr>
                <w:sz w:val="23"/>
                <w:szCs w:val="23"/>
                <w:color w:val="auto"/>
              </w:rPr>
            </w:pPr>
          </w:p>
        </w:tc>
        <w:tc>
          <w:tcPr>
            <w:tcW w:w="3200" w:type="dxa"/>
            <w:vAlign w:val="bottom"/>
            <w:gridSpan w:val="2"/>
          </w:tcPr>
          <w:p>
            <w:pPr>
              <w:jc w:val="center"/>
              <w:ind w:right="1236"/>
              <w:spacing w:after="0"/>
              <w:rPr>
                <w:sz w:val="20"/>
                <w:szCs w:val="20"/>
                <w:color w:val="auto"/>
              </w:rPr>
            </w:pPr>
            <w:r>
              <w:rPr>
                <w:rFonts w:ascii="Arial" w:cs="Arial" w:eastAsia="Arial" w:hAnsi="Arial"/>
                <w:sz w:val="13"/>
                <w:szCs w:val="13"/>
                <w:color w:val="auto"/>
                <w:w w:val="92"/>
              </w:rPr>
              <w:t>(State or other jurisdiction of</w:t>
            </w:r>
          </w:p>
        </w:tc>
        <w:tc>
          <w:tcPr>
            <w:tcW w:w="100" w:type="dxa"/>
            <w:vAlign w:val="bottom"/>
          </w:tcPr>
          <w:p>
            <w:pPr>
              <w:spacing w:after="0"/>
              <w:rPr>
                <w:sz w:val="23"/>
                <w:szCs w:val="23"/>
                <w:color w:val="auto"/>
              </w:rPr>
            </w:pPr>
          </w:p>
        </w:tc>
        <w:tc>
          <w:tcPr>
            <w:tcW w:w="184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(I.R.S. Employer</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40" w:type="dxa"/>
            <w:vAlign w:val="bottom"/>
          </w:tcPr>
          <w:p>
            <w:pPr>
              <w:jc w:val="center"/>
              <w:ind w:right="176"/>
              <w:spacing w:after="0"/>
              <w:rPr>
                <w:sz w:val="20"/>
                <w:szCs w:val="20"/>
                <w:color w:val="auto"/>
              </w:rPr>
            </w:pPr>
            <w:r>
              <w:rPr>
                <w:rFonts w:ascii="Arial" w:cs="Arial" w:eastAsia="Arial" w:hAnsi="Arial"/>
                <w:sz w:val="13"/>
                <w:szCs w:val="13"/>
                <w:color w:val="auto"/>
                <w:w w:val="91"/>
              </w:rPr>
              <w:t>(Address of principal executive offices) (Zip Code)</w:t>
            </w:r>
          </w:p>
        </w:tc>
      </w:tr>
      <w:tr>
        <w:trPr>
          <w:trHeight w:val="162"/>
        </w:trPr>
        <w:tc>
          <w:tcPr>
            <w:tcW w:w="460" w:type="dxa"/>
            <w:vAlign w:val="bottom"/>
          </w:tcPr>
          <w:p>
            <w:pPr>
              <w:spacing w:after="0"/>
              <w:rPr>
                <w:sz w:val="14"/>
                <w:szCs w:val="14"/>
                <w:color w:val="auto"/>
              </w:rPr>
            </w:pPr>
          </w:p>
        </w:tc>
        <w:tc>
          <w:tcPr>
            <w:tcW w:w="3200" w:type="dxa"/>
            <w:vAlign w:val="bottom"/>
            <w:gridSpan w:val="2"/>
          </w:tcPr>
          <w:p>
            <w:pPr>
              <w:jc w:val="center"/>
              <w:ind w:right="1236"/>
              <w:spacing w:after="0"/>
              <w:rPr>
                <w:sz w:val="20"/>
                <w:szCs w:val="20"/>
                <w:color w:val="auto"/>
              </w:rPr>
            </w:pPr>
            <w:r>
              <w:rPr>
                <w:rFonts w:ascii="Arial" w:cs="Arial" w:eastAsia="Arial" w:hAnsi="Arial"/>
                <w:sz w:val="13"/>
                <w:szCs w:val="13"/>
                <w:color w:val="auto"/>
                <w:w w:val="91"/>
              </w:rPr>
              <w:t>incorporation or organization)</w:t>
            </w:r>
          </w:p>
        </w:tc>
        <w:tc>
          <w:tcPr>
            <w:tcW w:w="100" w:type="dxa"/>
            <w:vAlign w:val="bottom"/>
          </w:tcPr>
          <w:p>
            <w:pPr>
              <w:spacing w:after="0"/>
              <w:rPr>
                <w:sz w:val="14"/>
                <w:szCs w:val="14"/>
                <w:color w:val="auto"/>
              </w:rPr>
            </w:pPr>
          </w:p>
        </w:tc>
        <w:tc>
          <w:tcPr>
            <w:tcW w:w="1840" w:type="dxa"/>
            <w:vAlign w:val="bottom"/>
            <w:gridSpan w:val="4"/>
          </w:tcPr>
          <w:p>
            <w:pPr>
              <w:jc w:val="center"/>
              <w:ind w:right="360"/>
              <w:spacing w:after="0"/>
              <w:rPr>
                <w:sz w:val="20"/>
                <w:szCs w:val="20"/>
                <w:color w:val="auto"/>
              </w:rPr>
            </w:pPr>
            <w:r>
              <w:rPr>
                <w:rFonts w:ascii="Arial" w:cs="Arial" w:eastAsia="Arial" w:hAnsi="Arial"/>
                <w:sz w:val="13"/>
                <w:szCs w:val="13"/>
                <w:color w:val="auto"/>
                <w:w w:val="94"/>
              </w:rPr>
              <w:t>Identification No.)</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279"/>
        </w:trPr>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20" w:type="dxa"/>
            <w:vAlign w:val="bottom"/>
            <w:gridSpan w:val="11"/>
          </w:tcPr>
          <w:p>
            <w:pPr>
              <w:jc w:val="center"/>
              <w:ind w:right="2776"/>
              <w:spacing w:after="0"/>
              <w:rPr>
                <w:sz w:val="20"/>
                <w:szCs w:val="20"/>
                <w:color w:val="auto"/>
              </w:rPr>
            </w:pPr>
            <w:r>
              <w:rPr>
                <w:rFonts w:ascii="Arial" w:cs="Arial" w:eastAsia="Arial" w:hAnsi="Arial"/>
                <w:sz w:val="13"/>
                <w:szCs w:val="13"/>
                <w:color w:val="auto"/>
                <w:w w:val="88"/>
              </w:rPr>
              <w:t>Registrant’s telephone number, including area code (925) 842-1000</w:t>
            </w:r>
          </w:p>
        </w:tc>
      </w:tr>
      <w:tr>
        <w:trPr>
          <w:trHeight w:val="24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780" w:type="dxa"/>
            <w:vAlign w:val="bottom"/>
            <w:gridSpan w:val="10"/>
          </w:tcPr>
          <w:p>
            <w:pPr>
              <w:jc w:val="center"/>
              <w:ind w:right="3616"/>
              <w:spacing w:after="0"/>
              <w:rPr>
                <w:sz w:val="20"/>
                <w:szCs w:val="20"/>
                <w:color w:val="auto"/>
              </w:rPr>
            </w:pPr>
            <w:r>
              <w:rPr>
                <w:rFonts w:ascii="Arial" w:cs="Arial" w:eastAsia="Arial" w:hAnsi="Arial"/>
                <w:sz w:val="13"/>
                <w:szCs w:val="13"/>
                <w:color w:val="auto"/>
                <w:w w:val="89"/>
              </w:rPr>
              <w:t>Securities registered pursuant to Section 12 (b) of the Act:</w:t>
            </w:r>
          </w:p>
        </w:tc>
      </w:tr>
      <w:tr>
        <w:trPr>
          <w:trHeight w:val="290"/>
        </w:trPr>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Pr>
          <w:p>
            <w:pPr>
              <w:jc w:val="center"/>
              <w:ind w:right="816"/>
              <w:spacing w:after="0"/>
              <w:rPr>
                <w:sz w:val="20"/>
                <w:szCs w:val="20"/>
                <w:color w:val="auto"/>
              </w:rPr>
            </w:pPr>
            <w:r>
              <w:rPr>
                <w:rFonts w:ascii="Arial" w:cs="Arial" w:eastAsia="Arial" w:hAnsi="Arial"/>
                <w:sz w:val="13"/>
                <w:szCs w:val="13"/>
                <w:color w:val="auto"/>
                <w:w w:val="88"/>
              </w:rPr>
              <w:t>Name of Each Exchange</w:t>
            </w:r>
          </w:p>
        </w:tc>
      </w:tr>
      <w:tr>
        <w:trPr>
          <w:trHeight w:val="167"/>
        </w:trPr>
        <w:tc>
          <w:tcPr>
            <w:tcW w:w="4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
          </w:tcPr>
          <w:p>
            <w:pPr>
              <w:ind w:left="1680"/>
              <w:spacing w:after="0"/>
              <w:rPr>
                <w:sz w:val="20"/>
                <w:szCs w:val="20"/>
                <w:color w:val="auto"/>
              </w:rPr>
            </w:pPr>
            <w:r>
              <w:rPr>
                <w:rFonts w:ascii="Arial" w:cs="Arial" w:eastAsia="Arial" w:hAnsi="Arial"/>
                <w:sz w:val="13"/>
                <w:szCs w:val="13"/>
                <w:color w:val="auto"/>
              </w:rPr>
              <w:t>Title of Each Class</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jc w:val="center"/>
              <w:ind w:right="816"/>
              <w:spacing w:after="0"/>
              <w:rPr>
                <w:sz w:val="20"/>
                <w:szCs w:val="20"/>
                <w:color w:val="auto"/>
              </w:rPr>
            </w:pPr>
            <w:r>
              <w:rPr>
                <w:rFonts w:ascii="Arial" w:cs="Arial" w:eastAsia="Arial" w:hAnsi="Arial"/>
                <w:sz w:val="13"/>
                <w:szCs w:val="13"/>
                <w:color w:val="auto"/>
                <w:w w:val="89"/>
              </w:rPr>
              <w:t>on Which Registered</w:t>
            </w:r>
          </w:p>
        </w:tc>
      </w:tr>
      <w:tr>
        <w:trPr>
          <w:trHeight w:val="157"/>
        </w:trPr>
        <w:tc>
          <w:tcPr>
            <w:tcW w:w="460" w:type="dxa"/>
            <w:vAlign w:val="bottom"/>
          </w:tcPr>
          <w:p>
            <w:pPr>
              <w:spacing w:after="0"/>
              <w:rPr>
                <w:sz w:val="13"/>
                <w:szCs w:val="13"/>
                <w:color w:val="auto"/>
              </w:rPr>
            </w:pPr>
          </w:p>
        </w:tc>
        <w:tc>
          <w:tcPr>
            <w:tcW w:w="3200" w:type="dxa"/>
            <w:vAlign w:val="bottom"/>
            <w:gridSpan w:val="2"/>
          </w:tcPr>
          <w:p>
            <w:pPr>
              <w:ind w:left="1060"/>
              <w:spacing w:after="0"/>
              <w:rPr>
                <w:sz w:val="20"/>
                <w:szCs w:val="20"/>
                <w:color w:val="auto"/>
              </w:rPr>
            </w:pPr>
            <w:r>
              <w:rPr>
                <w:rFonts w:ascii="Arial" w:cs="Arial" w:eastAsia="Arial" w:hAnsi="Arial"/>
                <w:sz w:val="13"/>
                <w:szCs w:val="13"/>
                <w:color w:val="auto"/>
                <w:w w:val="90"/>
              </w:rPr>
              <w:t>Common stock, par value $.75 per share</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40" w:type="dxa"/>
            <w:vAlign w:val="bottom"/>
          </w:tcPr>
          <w:p>
            <w:pPr>
              <w:jc w:val="center"/>
              <w:ind w:right="816"/>
              <w:spacing w:after="0"/>
              <w:rPr>
                <w:sz w:val="20"/>
                <w:szCs w:val="20"/>
                <w:color w:val="auto"/>
              </w:rPr>
            </w:pPr>
            <w:r>
              <w:rPr>
                <w:rFonts w:ascii="Arial" w:cs="Arial" w:eastAsia="Arial" w:hAnsi="Arial"/>
                <w:sz w:val="13"/>
                <w:szCs w:val="13"/>
                <w:color w:val="auto"/>
                <w:w w:val="90"/>
              </w:rPr>
              <w:t>New York Stock Exchange, Inc.</w:t>
            </w:r>
          </w:p>
        </w:tc>
      </w:tr>
      <w:tr>
        <w:trPr>
          <w:trHeight w:val="189"/>
        </w:trPr>
        <w:tc>
          <w:tcPr>
            <w:tcW w:w="10440" w:type="dxa"/>
            <w:vAlign w:val="bottom"/>
            <w:gridSpan w:val="13"/>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r>
      <w:tr>
        <w:trPr>
          <w:trHeight w:val="201"/>
        </w:trPr>
        <w:tc>
          <w:tcPr>
            <w:tcW w:w="460" w:type="dxa"/>
            <w:vAlign w:val="bottom"/>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200" w:type="dxa"/>
            <w:vAlign w:val="bottom"/>
            <w:gridSpan w:val="2"/>
          </w:tcPr>
          <w:p>
            <w:pPr>
              <w:jc w:val="right"/>
              <w:ind w:right="2696"/>
              <w:spacing w:after="0"/>
              <w:rPr>
                <w:sz w:val="20"/>
                <w:szCs w:val="20"/>
                <w:color w:val="auto"/>
              </w:rPr>
            </w:pPr>
            <w:r>
              <w:rPr>
                <w:rFonts w:ascii="Arial" w:cs="Arial" w:eastAsia="Arial" w:hAnsi="Arial"/>
                <w:sz w:val="13"/>
                <w:szCs w:val="13"/>
                <w:color w:val="auto"/>
              </w:rPr>
              <w:t>No o</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193"/>
        </w:trPr>
        <w:tc>
          <w:tcPr>
            <w:tcW w:w="10440" w:type="dxa"/>
            <w:vAlign w:val="bottom"/>
            <w:gridSpan w:val="13"/>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r>
      <w:tr>
        <w:trPr>
          <w:trHeight w:val="201"/>
        </w:trPr>
        <w:tc>
          <w:tcPr>
            <w:tcW w:w="460" w:type="dxa"/>
            <w:vAlign w:val="bottom"/>
          </w:tcPr>
          <w:p>
            <w:pPr>
              <w:spacing w:after="0"/>
              <w:rPr>
                <w:sz w:val="20"/>
                <w:szCs w:val="20"/>
                <w:color w:val="auto"/>
              </w:rPr>
            </w:pPr>
            <w:r>
              <w:rPr>
                <w:rFonts w:ascii="Arial" w:cs="Arial" w:eastAsia="Arial" w:hAnsi="Arial"/>
                <w:sz w:val="13"/>
                <w:szCs w:val="13"/>
                <w:color w:val="auto"/>
              </w:rPr>
              <w:t>Yes o</w:t>
            </w:r>
          </w:p>
        </w:tc>
        <w:tc>
          <w:tcPr>
            <w:tcW w:w="3200" w:type="dxa"/>
            <w:vAlign w:val="bottom"/>
            <w:gridSpan w:val="2"/>
          </w:tcPr>
          <w:p>
            <w:pPr>
              <w:jc w:val="right"/>
              <w:ind w:right="2696"/>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Pr>
          <w:p>
            <w:pPr>
              <w:spacing w:after="0"/>
              <w:rPr>
                <w:sz w:val="17"/>
                <w:szCs w:val="17"/>
                <w:color w:val="auto"/>
              </w:rPr>
            </w:pPr>
          </w:p>
        </w:tc>
      </w:tr>
    </w:tbl>
    <w:p>
      <w:pPr>
        <w:spacing w:after="0" w:line="64" w:lineRule="exact"/>
        <w:rPr>
          <w:sz w:val="20"/>
          <w:szCs w:val="20"/>
          <w:color w:val="auto"/>
        </w:rPr>
      </w:pPr>
    </w:p>
    <w:p>
      <w:pPr>
        <w:ind w:left="460" w:right="360"/>
        <w:spacing w:after="0" w:line="251"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60"/>
        <w:spacing w:after="0" w:line="150" w:lineRule="exact"/>
        <w:tabs>
          <w:tab w:leader="none" w:pos="10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85" w:lineRule="exact"/>
        <w:rPr>
          <w:sz w:val="20"/>
          <w:szCs w:val="20"/>
          <w:color w:val="auto"/>
        </w:rPr>
      </w:pPr>
    </w:p>
    <w:p>
      <w:pPr>
        <w:ind w:left="460" w:right="380"/>
        <w:spacing w:after="0" w:line="165"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5" w:lineRule="exact"/>
        <w:rPr>
          <w:sz w:val="20"/>
          <w:szCs w:val="20"/>
          <w:color w:val="auto"/>
        </w:rPr>
      </w:pPr>
    </w:p>
    <w:p>
      <w:pPr>
        <w:ind w:left="460" w:right="240"/>
        <w:spacing w:after="0" w:line="267"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61"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900"/>
          </w:cols>
          <w:pgMar w:left="220" w:top="127" w:right="779" w:bottom="1440" w:gutter="0" w:footer="0" w:header="0"/>
        </w:sectPr>
      </w:pPr>
    </w:p>
    <w:p>
      <w:pPr>
        <w:spacing w:after="0" w:line="46" w:lineRule="exact"/>
        <w:rPr>
          <w:sz w:val="20"/>
          <w:szCs w:val="20"/>
          <w:color w:val="auto"/>
        </w:rPr>
      </w:pPr>
    </w:p>
    <w:p>
      <w:pPr>
        <w:ind w:left="96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640"/>
        <w:spacing w:after="0"/>
        <w:rPr>
          <w:sz w:val="20"/>
          <w:szCs w:val="20"/>
          <w:color w:val="auto"/>
        </w:rPr>
      </w:pPr>
      <w:r>
        <w:rPr>
          <w:rFonts w:ascii="Arial" w:cs="Arial" w:eastAsia="Arial" w:hAnsi="Arial"/>
          <w:sz w:val="11"/>
          <w:szCs w:val="11"/>
          <w:color w:val="auto"/>
        </w:rPr>
        <w:t>Accelerated filer o</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840"/>
        <w:spacing w:after="0"/>
        <w:rPr>
          <w:sz w:val="20"/>
          <w:szCs w:val="20"/>
          <w:color w:val="auto"/>
        </w:rPr>
      </w:pPr>
      <w:r>
        <w:rPr>
          <w:rFonts w:ascii="Arial" w:cs="Arial" w:eastAsia="Arial" w:hAnsi="Arial"/>
          <w:sz w:val="13"/>
          <w:szCs w:val="13"/>
          <w:color w:val="auto"/>
        </w:rPr>
        <w:t>Non-accelerated filer o</w:t>
      </w:r>
    </w:p>
    <w:p>
      <w:pPr>
        <w:spacing w:after="0" w:line="13" w:lineRule="exact"/>
        <w:rPr>
          <w:sz w:val="20"/>
          <w:szCs w:val="20"/>
          <w:color w:val="auto"/>
        </w:rPr>
      </w:pPr>
    </w:p>
    <w:p>
      <w:pPr>
        <w:jc w:val="center"/>
        <w:ind w:right="840"/>
        <w:spacing w:after="0"/>
        <w:rPr>
          <w:sz w:val="20"/>
          <w:szCs w:val="20"/>
          <w:color w:val="auto"/>
        </w:rPr>
      </w:pPr>
      <w:r>
        <w:rPr>
          <w:rFonts w:ascii="Arial" w:cs="Arial" w:eastAsia="Arial" w:hAnsi="Arial"/>
          <w:sz w:val="11"/>
          <w:szCs w:val="11"/>
          <w:color w:val="auto"/>
        </w:rPr>
        <w:t>(Do not check if a smaller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3"/>
          <w:szCs w:val="13"/>
          <w:color w:val="auto"/>
        </w:rPr>
        <w:t>reporting company)</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396" w:lineRule="exact"/>
        <w:rPr>
          <w:sz w:val="20"/>
          <w:szCs w:val="20"/>
          <w:color w:val="auto"/>
        </w:rPr>
      </w:pPr>
    </w:p>
    <w:p>
      <w:pPr>
        <w:sectPr>
          <w:pgSz w:w="11900" w:h="16838" w:orient="portrait"/>
          <w:cols w:equalWidth="0" w:num="4">
            <w:col w:w="2980" w:space="720"/>
            <w:col w:w="1580" w:space="720"/>
            <w:col w:w="2180" w:space="720"/>
            <w:col w:w="2000"/>
          </w:cols>
          <w:pgMar w:left="220" w:top="127" w:right="779" w:bottom="144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27" w:lineRule="exact"/>
        <w:rPr>
          <w:sz w:val="20"/>
          <w:szCs w:val="20"/>
          <w:color w:val="auto"/>
        </w:rPr>
      </w:pPr>
    </w:p>
    <w:p>
      <w:pPr>
        <w:sectPr>
          <w:pgSz w:w="11900" w:h="16838" w:orient="portrait"/>
          <w:cols w:equalWidth="0" w:num="3">
            <w:col w:w="5740" w:space="120"/>
            <w:col w:w="280" w:space="220"/>
            <w:col w:w="4540"/>
          </w:cols>
          <w:pgMar w:left="220" w:top="127" w:right="779" w:bottom="1440" w:gutter="0" w:footer="0" w:header="0"/>
          <w:type w:val="continuous"/>
        </w:sectPr>
      </w:pPr>
    </w:p>
    <w:p>
      <w:pPr>
        <w:ind w:left="460" w:right="240"/>
        <w:spacing w:after="0" w:line="309" w:lineRule="auto"/>
        <w:rPr>
          <w:sz w:val="20"/>
          <w:szCs w:val="20"/>
          <w:color w:val="auto"/>
        </w:rPr>
      </w:pPr>
      <w:r>
        <w:rPr>
          <w:rFonts w:ascii="Arial" w:cs="Arial" w:eastAsia="Arial" w:hAnsi="Arial"/>
          <w:sz w:val="12"/>
          <w:szCs w:val="12"/>
          <w:color w:val="auto"/>
        </w:rPr>
        <w:t>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$205,986,778,815 (As of June 30, 2011)</w:t>
      </w:r>
    </w:p>
    <w:p>
      <w:pPr>
        <w:spacing w:after="0" w:line="7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Number of Shares of Common Stock outstanding as of February 13, 2012 — 1,976,966,530</w:t>
      </w:r>
    </w:p>
    <w:p>
      <w:pPr>
        <w:spacing w:after="0" w:line="168"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(To The Extent Indicated Herein)</w:t>
      </w:r>
    </w:p>
    <w:p>
      <w:pPr>
        <w:spacing w:after="0" w:line="159"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Notice of the 2012 Annual Meeting and 2012 Proxy Statement, to be filed pursuant to Rule 14a-6(b) under the Securities Exchange Act of 1934, in connection with the company’s 2012 Annual Meeting of Stockholders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93345</wp:posOffset>
            </wp:positionV>
            <wp:extent cx="6626860" cy="30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6860" cy="304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218440</wp:posOffset>
            </wp:positionV>
            <wp:extent cx="729297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127" w:right="7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6"/>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gridSpan w:val="15"/>
          </w:tcPr>
          <w:p>
            <w:pPr>
              <w:jc w:val="center"/>
              <w:ind w:right="3780"/>
              <w:spacing w:after="0"/>
              <w:rPr>
                <w:sz w:val="20"/>
                <w:szCs w:val="20"/>
                <w:color w:val="auto"/>
              </w:rPr>
            </w:pPr>
            <w:r>
              <w:rPr>
                <w:rFonts w:ascii="Arial" w:cs="Arial" w:eastAsia="Arial" w:hAnsi="Arial"/>
                <w:sz w:val="13"/>
                <w:szCs w:val="13"/>
                <w:b w:val="1"/>
                <w:bCs w:val="1"/>
                <w:color w:val="auto"/>
                <w:w w:val="97"/>
              </w:rPr>
              <w:t>TABLE OF CONTENTS</w:t>
            </w:r>
          </w:p>
        </w:tc>
        <w:tc>
          <w:tcPr>
            <w:tcW w:w="740" w:type="dxa"/>
            <w:vAlign w:val="bottom"/>
          </w:tcPr>
          <w:p>
            <w:pPr>
              <w:spacing w:after="0"/>
              <w:rPr>
                <w:sz w:val="14"/>
                <w:szCs w:val="14"/>
                <w:color w:val="auto"/>
              </w:rPr>
            </w:pPr>
          </w:p>
        </w:tc>
      </w:tr>
      <w:tr>
        <w:trPr>
          <w:trHeight w:val="327"/>
        </w:trPr>
        <w:tc>
          <w:tcPr>
            <w:tcW w:w="7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Item</w:t>
            </w:r>
          </w:p>
        </w:tc>
        <w:tc>
          <w:tcPr>
            <w:tcW w:w="8920" w:type="dxa"/>
            <w:vAlign w:val="bottom"/>
            <w:gridSpan w:val="54"/>
          </w:tcPr>
          <w:p>
            <w:pPr>
              <w:spacing w:after="0"/>
              <w:rPr>
                <w:sz w:val="24"/>
                <w:szCs w:val="2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w w:val="82"/>
              </w:rPr>
              <w:t>Page No.</w:t>
            </w:r>
          </w:p>
        </w:tc>
      </w:tr>
      <w:tr>
        <w:trPr>
          <w:trHeight w:val="144"/>
        </w:trPr>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gridSpan w:val="9"/>
          </w:tcPr>
          <w:p>
            <w:pPr>
              <w:jc w:val="center"/>
              <w:ind w:right="4280"/>
              <w:spacing w:after="0"/>
              <w:rPr>
                <w:rFonts w:ascii="Arial" w:cs="Arial" w:eastAsia="Arial" w:hAnsi="Arial"/>
                <w:sz w:val="12"/>
                <w:szCs w:val="12"/>
                <w:b w:val="1"/>
                <w:bCs w:val="1"/>
                <w:color w:val="0000EE"/>
                <w:w w:val="91"/>
              </w:rPr>
            </w:pPr>
            <w:hyperlink w:anchor="page5">
              <w:r>
                <w:rPr>
                  <w:rFonts w:ascii="Arial" w:cs="Arial" w:eastAsia="Arial" w:hAnsi="Arial"/>
                  <w:sz w:val="12"/>
                  <w:szCs w:val="12"/>
                  <w:b w:val="1"/>
                  <w:bCs w:val="1"/>
                  <w:color w:val="0000EE"/>
                  <w:w w:val="91"/>
                </w:rPr>
                <w:t>PART I</w:t>
              </w:r>
            </w:hyperlink>
          </w:p>
        </w:tc>
        <w:tc>
          <w:tcPr>
            <w:tcW w:w="740" w:type="dxa"/>
            <w:vAlign w:val="bottom"/>
          </w:tcPr>
          <w:p>
            <w:pPr>
              <w:spacing w:after="0"/>
              <w:rPr>
                <w:sz w:val="12"/>
                <w:szCs w:val="12"/>
                <w:color w:val="auto"/>
              </w:rPr>
            </w:pPr>
          </w:p>
        </w:tc>
      </w:tr>
      <w:tr>
        <w:trPr>
          <w:trHeight w:val="124"/>
        </w:trPr>
        <w:tc>
          <w:tcPr>
            <w:tcW w:w="380" w:type="dxa"/>
            <w:vAlign w:val="bottom"/>
          </w:tcPr>
          <w:p>
            <w:pPr>
              <w:spacing w:after="0"/>
              <w:rPr>
                <w:sz w:val="10"/>
                <w:szCs w:val="10"/>
                <w:color w:val="auto"/>
              </w:rPr>
            </w:pPr>
          </w:p>
        </w:tc>
        <w:tc>
          <w:tcPr>
            <w:tcW w:w="80" w:type="dxa"/>
            <w:vAlign w:val="bottom"/>
          </w:tcPr>
          <w:p>
            <w:pPr>
              <w:jc w:val="right"/>
              <w:spacing w:after="0"/>
              <w:rPr>
                <w:rFonts w:ascii="Arial" w:cs="Arial" w:eastAsia="Arial" w:hAnsi="Arial"/>
                <w:sz w:val="10"/>
                <w:szCs w:val="10"/>
                <w:color w:val="0000EE"/>
                <w:w w:val="71"/>
              </w:rPr>
            </w:pPr>
            <w:hyperlink w:anchor="page5">
              <w:r>
                <w:rPr>
                  <w:rFonts w:ascii="Arial" w:cs="Arial" w:eastAsia="Arial" w:hAnsi="Arial"/>
                  <w:sz w:val="10"/>
                  <w:szCs w:val="10"/>
                  <w:color w:val="0000EE"/>
                  <w:w w:val="71"/>
                </w:rPr>
                <w:t>1.</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20" w:type="dxa"/>
            <w:vAlign w:val="bottom"/>
            <w:gridSpan w:val="44"/>
          </w:tcPr>
          <w:p>
            <w:pPr>
              <w:spacing w:after="0" w:line="124" w:lineRule="exact"/>
              <w:rPr>
                <w:rFonts w:ascii="Arial" w:cs="Arial" w:eastAsia="Arial" w:hAnsi="Arial"/>
                <w:sz w:val="12"/>
                <w:szCs w:val="12"/>
                <w:color w:val="0000EE"/>
              </w:rPr>
            </w:pPr>
            <w:hyperlink w:anchor="page5">
              <w:r>
                <w:rPr>
                  <w:rFonts w:ascii="Arial" w:cs="Arial" w:eastAsia="Arial" w:hAnsi="Arial"/>
                  <w:sz w:val="12"/>
                  <w:szCs w:val="12"/>
                  <w:color w:val="0000EE"/>
                </w:rPr>
                <w:t>Business</w:t>
              </w:r>
            </w:hyperlink>
          </w:p>
        </w:tc>
        <w:tc>
          <w:tcPr>
            <w:tcW w:w="380" w:type="dxa"/>
            <w:vAlign w:val="bottom"/>
            <w:tcBorders>
              <w:top w:val="single" w:sz="8" w:color="0000EE"/>
            </w:tcBorders>
            <w:gridSpan w:val="3"/>
          </w:tcPr>
          <w:p>
            <w:pPr>
              <w:spacing w:after="0"/>
              <w:rPr>
                <w:sz w:val="10"/>
                <w:szCs w:val="10"/>
                <w:color w:val="auto"/>
              </w:rPr>
            </w:pPr>
          </w:p>
        </w:tc>
        <w:tc>
          <w:tcPr>
            <w:tcW w:w="4300" w:type="dxa"/>
            <w:vAlign w:val="bottom"/>
            <w:gridSpan w:val="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w:t>
            </w:r>
          </w:p>
        </w:tc>
      </w:tr>
      <w:tr>
        <w:trPr>
          <w:trHeight w:val="20"/>
        </w:trPr>
        <w:tc>
          <w:tcPr>
            <w:tcW w:w="10440" w:type="dxa"/>
            <w:vAlign w:val="bottom"/>
            <w:gridSpan w:val="58"/>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Borders>
              <w:bottom w:val="single" w:sz="8" w:color="0000EE"/>
            </w:tcBorders>
            <w:gridSpan w:val="24"/>
          </w:tcPr>
          <w:p>
            <w:pPr>
              <w:spacing w:after="0" w:line="124" w:lineRule="exact"/>
              <w:rPr>
                <w:rFonts w:ascii="Arial" w:cs="Arial" w:eastAsia="Arial" w:hAnsi="Arial"/>
                <w:sz w:val="12"/>
                <w:szCs w:val="12"/>
                <w:color w:val="0000EE"/>
                <w:w w:val="85"/>
              </w:rPr>
            </w:pPr>
            <w:hyperlink w:anchor="page5">
              <w:r>
                <w:rPr>
                  <w:rFonts w:ascii="Arial" w:cs="Arial" w:eastAsia="Arial" w:hAnsi="Arial"/>
                  <w:sz w:val="12"/>
                  <w:szCs w:val="12"/>
                  <w:color w:val="0000EE"/>
                  <w:w w:val="85"/>
                </w:rPr>
                <w:t>(a) General Development of Business</w:t>
              </w:r>
            </w:hyperlink>
          </w:p>
        </w:tc>
        <w:tc>
          <w:tcPr>
            <w:tcW w:w="6760" w:type="dxa"/>
            <w:vAlign w:val="bottom"/>
            <w:gridSpan w:val="2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Borders>
              <w:bottom w:val="single" w:sz="8" w:color="0000EE"/>
            </w:tcBorders>
            <w:gridSpan w:val="28"/>
          </w:tcPr>
          <w:p>
            <w:pPr>
              <w:spacing w:after="0" w:line="124" w:lineRule="exact"/>
              <w:rPr>
                <w:rFonts w:ascii="Arial" w:cs="Arial" w:eastAsia="Arial" w:hAnsi="Arial"/>
                <w:sz w:val="12"/>
                <w:szCs w:val="12"/>
                <w:color w:val="0000EE"/>
                <w:w w:val="86"/>
              </w:rPr>
            </w:pPr>
            <w:hyperlink w:anchor="page6">
              <w:r>
                <w:rPr>
                  <w:rFonts w:ascii="Arial" w:cs="Arial" w:eastAsia="Arial" w:hAnsi="Arial"/>
                  <w:sz w:val="12"/>
                  <w:szCs w:val="12"/>
                  <w:color w:val="0000EE"/>
                  <w:w w:val="86"/>
                </w:rPr>
                <w:t>(b) Description of Business and Properties</w:t>
              </w:r>
            </w:hyperlink>
          </w:p>
        </w:tc>
        <w:tc>
          <w:tcPr>
            <w:tcW w:w="6540" w:type="dxa"/>
            <w:vAlign w:val="bottom"/>
            <w:gridSpan w:val="2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tcBorders>
              <w:bottom w:val="single" w:sz="8" w:color="0000EE"/>
            </w:tcBorders>
            <w:gridSpan w:val="28"/>
          </w:tcPr>
          <w:p>
            <w:pPr>
              <w:spacing w:after="0" w:line="124" w:lineRule="exact"/>
              <w:rPr>
                <w:rFonts w:ascii="Arial" w:cs="Arial" w:eastAsia="Arial" w:hAnsi="Arial"/>
                <w:sz w:val="12"/>
                <w:szCs w:val="12"/>
                <w:color w:val="0000EE"/>
                <w:w w:val="87"/>
              </w:rPr>
            </w:pPr>
            <w:hyperlink w:anchor="page6">
              <w:r>
                <w:rPr>
                  <w:rFonts w:ascii="Arial" w:cs="Arial" w:eastAsia="Arial" w:hAnsi="Arial"/>
                  <w:sz w:val="12"/>
                  <w:szCs w:val="12"/>
                  <w:color w:val="0000EE"/>
                  <w:w w:val="87"/>
                </w:rPr>
                <w:t>Capital and Exploratory Expenditures</w:t>
              </w:r>
            </w:hyperlink>
          </w:p>
        </w:tc>
        <w:tc>
          <w:tcPr>
            <w:tcW w:w="6480" w:type="dxa"/>
            <w:vAlign w:val="bottom"/>
            <w:gridSpan w:val="2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0000EE"/>
            </w:tcBorders>
            <w:gridSpan w:val="6"/>
          </w:tcPr>
          <w:p>
            <w:pPr>
              <w:spacing w:after="0" w:line="124" w:lineRule="exact"/>
              <w:rPr>
                <w:rFonts w:ascii="Arial" w:cs="Arial" w:eastAsia="Arial" w:hAnsi="Arial"/>
                <w:sz w:val="12"/>
                <w:szCs w:val="12"/>
                <w:color w:val="0000EE"/>
                <w:w w:val="84"/>
              </w:rPr>
            </w:pPr>
            <w:hyperlink w:anchor="page6">
              <w:r>
                <w:rPr>
                  <w:rFonts w:ascii="Arial" w:cs="Arial" w:eastAsia="Arial" w:hAnsi="Arial"/>
                  <w:sz w:val="12"/>
                  <w:szCs w:val="12"/>
                  <w:color w:val="0000EE"/>
                  <w:w w:val="84"/>
                </w:rPr>
                <w:t>Upstream</w:t>
              </w:r>
            </w:hyperlink>
          </w:p>
        </w:tc>
        <w:tc>
          <w:tcPr>
            <w:tcW w:w="7780" w:type="dxa"/>
            <w:vAlign w:val="bottom"/>
            <w:gridSpan w:val="4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4</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60" w:type="dxa"/>
            <w:vAlign w:val="bottom"/>
            <w:tcBorders>
              <w:bottom w:val="single" w:sz="8" w:color="0000EE"/>
            </w:tcBorders>
            <w:gridSpan w:val="39"/>
          </w:tcPr>
          <w:p>
            <w:pPr>
              <w:spacing w:after="0" w:line="124" w:lineRule="exact"/>
              <w:rPr>
                <w:rFonts w:ascii="Arial" w:cs="Arial" w:eastAsia="Arial" w:hAnsi="Arial"/>
                <w:sz w:val="12"/>
                <w:szCs w:val="12"/>
                <w:color w:val="0000EE"/>
                <w:w w:val="87"/>
              </w:rPr>
            </w:pPr>
            <w:hyperlink w:anchor="page7">
              <w:r>
                <w:rPr>
                  <w:rFonts w:ascii="Arial" w:cs="Arial" w:eastAsia="Arial" w:hAnsi="Arial"/>
                  <w:sz w:val="12"/>
                  <w:szCs w:val="12"/>
                  <w:color w:val="0000EE"/>
                  <w:w w:val="87"/>
                </w:rPr>
                <w:t>Net Production of Crude Oil and Natural Gas Liquids and Natural Gas</w:t>
              </w:r>
            </w:hyperlink>
          </w:p>
        </w:tc>
        <w:tc>
          <w:tcPr>
            <w:tcW w:w="4980" w:type="dxa"/>
            <w:vAlign w:val="bottom"/>
            <w:gridSpan w:val="1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5</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60" w:type="dxa"/>
            <w:vAlign w:val="bottom"/>
            <w:tcBorders>
              <w:bottom w:val="single" w:sz="8" w:color="0000EE"/>
            </w:tcBorders>
            <w:gridSpan w:val="37"/>
          </w:tcPr>
          <w:p>
            <w:pPr>
              <w:spacing w:after="0" w:line="124" w:lineRule="exact"/>
              <w:rPr>
                <w:rFonts w:ascii="Arial" w:cs="Arial" w:eastAsia="Arial" w:hAnsi="Arial"/>
                <w:sz w:val="12"/>
                <w:szCs w:val="12"/>
                <w:color w:val="0000EE"/>
                <w:w w:val="86"/>
              </w:rPr>
            </w:pPr>
            <w:hyperlink w:anchor="page8">
              <w:r>
                <w:rPr>
                  <w:rFonts w:ascii="Arial" w:cs="Arial" w:eastAsia="Arial" w:hAnsi="Arial"/>
                  <w:sz w:val="12"/>
                  <w:szCs w:val="12"/>
                  <w:color w:val="0000EE"/>
                  <w:w w:val="86"/>
                </w:rPr>
                <w:t>Average Sales Prices and Production Costs per Unit of Production</w:t>
              </w:r>
            </w:hyperlink>
          </w:p>
        </w:tc>
        <w:tc>
          <w:tcPr>
            <w:tcW w:w="5180" w:type="dxa"/>
            <w:vAlign w:val="bottom"/>
            <w:gridSpan w:val="1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Gross and Net Productive Wells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Reserves</w:t>
              </w:r>
            </w:hyperlink>
          </w:p>
        </w:tc>
        <w:tc>
          <w:tcPr>
            <w:tcW w:w="6760" w:type="dxa"/>
            <w:vAlign w:val="bottom"/>
            <w:gridSpan w:val="2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6</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4"/>
              </w:rPr>
            </w:pPr>
            <w:hyperlink w:anchor="page9">
              <w:r>
                <w:rPr>
                  <w:rFonts w:ascii="Arial" w:cs="Arial" w:eastAsia="Arial" w:hAnsi="Arial"/>
                  <w:sz w:val="12"/>
                  <w:szCs w:val="12"/>
                  <w:color w:val="0000EE"/>
                  <w:w w:val="84"/>
                </w:rPr>
                <w:t>Acreage</w:t>
              </w:r>
            </w:hyperlink>
          </w:p>
        </w:tc>
        <w:tc>
          <w:tcPr>
            <w:tcW w:w="20" w:type="dxa"/>
            <w:vAlign w:val="bottom"/>
            <w:tcBorders>
              <w:top w:val="single" w:sz="8" w:color="0000EE"/>
            </w:tcBorders>
          </w:tcPr>
          <w:p>
            <w:pPr>
              <w:spacing w:after="0"/>
              <w:rPr>
                <w:sz w:val="10"/>
                <w:szCs w:val="10"/>
                <w:color w:val="auto"/>
              </w:rPr>
            </w:pPr>
          </w:p>
        </w:tc>
        <w:tc>
          <w:tcPr>
            <w:tcW w:w="7820" w:type="dxa"/>
            <w:vAlign w:val="bottom"/>
            <w:gridSpan w:val="4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7</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bottom w:val="single" w:sz="8" w:color="0000EE"/>
            </w:tcBorders>
            <w:gridSpan w:val="19"/>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Delivery Commitments</w:t>
              </w:r>
            </w:hyperlink>
          </w:p>
        </w:tc>
        <w:tc>
          <w:tcPr>
            <w:tcW w:w="7140" w:type="dxa"/>
            <w:vAlign w:val="bottom"/>
            <w:gridSpan w:val="3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7</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9">
              <w:r>
                <w:rPr>
                  <w:rFonts w:ascii="Arial" w:cs="Arial" w:eastAsia="Arial" w:hAnsi="Arial"/>
                  <w:sz w:val="12"/>
                  <w:szCs w:val="12"/>
                  <w:color w:val="0000EE"/>
                </w:rPr>
                <w:t>Development Activities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7</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0000EE"/>
              <w:bottom w:val="single" w:sz="8" w:color="0000EE"/>
            </w:tcBorders>
            <w:gridSpan w:val="18"/>
          </w:tcPr>
          <w:p>
            <w:pPr>
              <w:spacing w:after="0" w:line="124" w:lineRule="exact"/>
              <w:rPr>
                <w:rFonts w:ascii="Arial" w:cs="Arial" w:eastAsia="Arial" w:hAnsi="Arial"/>
                <w:sz w:val="12"/>
                <w:szCs w:val="12"/>
                <w:color w:val="0000EE"/>
                <w:w w:val="93"/>
              </w:rPr>
            </w:pPr>
            <w:hyperlink w:anchor="page10">
              <w:r>
                <w:rPr>
                  <w:rFonts w:ascii="Arial" w:cs="Arial" w:eastAsia="Arial" w:hAnsi="Arial"/>
                  <w:sz w:val="12"/>
                  <w:szCs w:val="12"/>
                  <w:color w:val="0000EE"/>
                  <w:w w:val="93"/>
                </w:rPr>
                <w:t>Exploration Activities</w:t>
              </w:r>
            </w:hyperlink>
          </w:p>
        </w:tc>
        <w:tc>
          <w:tcPr>
            <w:tcW w:w="40" w:type="dxa"/>
            <w:vAlign w:val="bottom"/>
            <w:tcBorders>
              <w:top w:val="single" w:sz="8" w:color="0000EE"/>
            </w:tcBorders>
          </w:tcPr>
          <w:p>
            <w:pPr>
              <w:spacing w:after="0"/>
              <w:rPr>
                <w:sz w:val="10"/>
                <w:szCs w:val="10"/>
                <w:color w:val="auto"/>
              </w:rPr>
            </w:pPr>
          </w:p>
        </w:tc>
        <w:tc>
          <w:tcPr>
            <w:tcW w:w="7140" w:type="dxa"/>
            <w:vAlign w:val="bottom"/>
            <w:gridSpan w:val="3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tcBorders>
              <w:bottom w:val="single" w:sz="8" w:color="0000EE"/>
            </w:tcBorders>
            <w:gridSpan w:val="40"/>
          </w:tcPr>
          <w:p>
            <w:pPr>
              <w:spacing w:after="0" w:line="124" w:lineRule="exact"/>
              <w:rPr>
                <w:rFonts w:ascii="Arial" w:cs="Arial" w:eastAsia="Arial" w:hAnsi="Arial"/>
                <w:sz w:val="12"/>
                <w:szCs w:val="12"/>
                <w:color w:val="0000EE"/>
                <w:w w:val="89"/>
              </w:rPr>
            </w:pPr>
            <w:hyperlink w:anchor="page10">
              <w:r>
                <w:rPr>
                  <w:rFonts w:ascii="Arial" w:cs="Arial" w:eastAsia="Arial" w:hAnsi="Arial"/>
                  <w:sz w:val="12"/>
                  <w:szCs w:val="12"/>
                  <w:color w:val="0000EE"/>
                  <w:w w:val="89"/>
                </w:rPr>
                <w:t>Review of Ongoing Exploration and Production Activities in Key Areas</w:t>
              </w:r>
            </w:hyperlink>
          </w:p>
        </w:tc>
        <w:tc>
          <w:tcPr>
            <w:tcW w:w="4900" w:type="dxa"/>
            <w:vAlign w:val="bottom"/>
            <w:gridSpan w:val="1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20" w:type="dxa"/>
            <w:vAlign w:val="bottom"/>
            <w:tcBorders>
              <w:bottom w:val="single" w:sz="8" w:color="0000EE"/>
            </w:tcBorders>
            <w:gridSpan w:val="31"/>
          </w:tcPr>
          <w:p>
            <w:pPr>
              <w:spacing w:after="0" w:line="124" w:lineRule="exact"/>
              <w:rPr>
                <w:rFonts w:ascii="Arial" w:cs="Arial" w:eastAsia="Arial" w:hAnsi="Arial"/>
                <w:sz w:val="12"/>
                <w:szCs w:val="12"/>
                <w:color w:val="0000EE"/>
                <w:w w:val="86"/>
              </w:rPr>
            </w:pPr>
            <w:hyperlink w:anchor="page25">
              <w:r>
                <w:rPr>
                  <w:rFonts w:ascii="Arial" w:cs="Arial" w:eastAsia="Arial" w:hAnsi="Arial"/>
                  <w:sz w:val="12"/>
                  <w:szCs w:val="12"/>
                  <w:color w:val="0000EE"/>
                  <w:w w:val="86"/>
                </w:rPr>
                <w:t>Sales of Natural Gas and Natural Gas Liquids</w:t>
              </w:r>
            </w:hyperlink>
          </w:p>
        </w:tc>
        <w:tc>
          <w:tcPr>
            <w:tcW w:w="6120" w:type="dxa"/>
            <w:vAlign w:val="bottom"/>
            <w:gridSpan w:val="21"/>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23</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26">
              <w:r>
                <w:rPr>
                  <w:rFonts w:ascii="Arial" w:cs="Arial" w:eastAsia="Arial" w:hAnsi="Arial"/>
                  <w:sz w:val="12"/>
                  <w:szCs w:val="12"/>
                  <w:color w:val="0000EE"/>
                  <w:w w:val="89"/>
                </w:rPr>
                <w:t>Downstream</w:t>
              </w:r>
            </w:hyperlink>
          </w:p>
        </w:tc>
        <w:tc>
          <w:tcPr>
            <w:tcW w:w="7620" w:type="dxa"/>
            <w:vAlign w:val="bottom"/>
            <w:gridSpan w:val="43"/>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24</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26">
              <w:r>
                <w:rPr>
                  <w:rFonts w:ascii="Arial" w:cs="Arial" w:eastAsia="Arial" w:hAnsi="Arial"/>
                  <w:sz w:val="12"/>
                  <w:szCs w:val="12"/>
                  <w:color w:val="0000EE"/>
                </w:rPr>
                <w:t>Refining Operations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24</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27">
              <w:r>
                <w:rPr>
                  <w:rFonts w:ascii="Arial" w:cs="Arial" w:eastAsia="Arial" w:hAnsi="Arial"/>
                  <w:sz w:val="12"/>
                  <w:szCs w:val="12"/>
                  <w:color w:val="0000EE"/>
                </w:rPr>
                <w:t>Marketing Operations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25</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bottom w:val="single" w:sz="8" w:color="0000EE"/>
            </w:tcBorders>
            <w:gridSpan w:val="17"/>
          </w:tcPr>
          <w:p>
            <w:pPr>
              <w:spacing w:after="0" w:line="124" w:lineRule="exact"/>
              <w:rPr>
                <w:rFonts w:ascii="Arial" w:cs="Arial" w:eastAsia="Arial" w:hAnsi="Arial"/>
                <w:sz w:val="12"/>
                <w:szCs w:val="12"/>
                <w:color w:val="0000EE"/>
                <w:w w:val="86"/>
              </w:rPr>
            </w:pPr>
            <w:hyperlink w:anchor="page28">
              <w:r>
                <w:rPr>
                  <w:rFonts w:ascii="Arial" w:cs="Arial" w:eastAsia="Arial" w:hAnsi="Arial"/>
                  <w:sz w:val="12"/>
                  <w:szCs w:val="12"/>
                  <w:color w:val="0000EE"/>
                  <w:w w:val="86"/>
                </w:rPr>
                <w:t>Chemicals Operations</w:t>
              </w:r>
            </w:hyperlink>
          </w:p>
        </w:tc>
        <w:tc>
          <w:tcPr>
            <w:tcW w:w="7200" w:type="dxa"/>
            <w:vAlign w:val="bottom"/>
            <w:gridSpan w:val="35"/>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26</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28">
              <w:r>
                <w:rPr>
                  <w:rFonts w:ascii="Arial" w:cs="Arial" w:eastAsia="Arial" w:hAnsi="Arial"/>
                  <w:sz w:val="12"/>
                  <w:szCs w:val="12"/>
                  <w:color w:val="0000EE"/>
                </w:rPr>
                <w:t>Transportation</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26</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29">
              <w:r>
                <w:rPr>
                  <w:rFonts w:ascii="Arial" w:cs="Arial" w:eastAsia="Arial" w:hAnsi="Arial"/>
                  <w:sz w:val="12"/>
                  <w:szCs w:val="12"/>
                  <w:color w:val="0000EE"/>
                </w:rPr>
                <w:t>Other Businesses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27</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29">
              <w:r>
                <w:rPr>
                  <w:rFonts w:ascii="Arial" w:cs="Arial" w:eastAsia="Arial" w:hAnsi="Arial"/>
                  <w:sz w:val="12"/>
                  <w:szCs w:val="12"/>
                  <w:color w:val="0000EE"/>
                </w:rPr>
                <w:t>Mining</w:t>
              </w:r>
            </w:hyperlink>
          </w:p>
        </w:tc>
        <w:tc>
          <w:tcPr>
            <w:tcW w:w="7440" w:type="dxa"/>
            <w:vAlign w:val="bottom"/>
            <w:gridSpan w:val="41"/>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27</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bottom w:val="single" w:sz="8" w:color="0000EE"/>
            </w:tcBorders>
            <w:gridSpan w:val="13"/>
          </w:tcPr>
          <w:p>
            <w:pPr>
              <w:spacing w:after="0" w:line="124" w:lineRule="exact"/>
              <w:rPr>
                <w:rFonts w:ascii="Arial" w:cs="Arial" w:eastAsia="Arial" w:hAnsi="Arial"/>
                <w:sz w:val="12"/>
                <w:szCs w:val="12"/>
                <w:color w:val="0000EE"/>
                <w:w w:val="86"/>
              </w:rPr>
            </w:pPr>
            <w:hyperlink w:anchor="page30">
              <w:r>
                <w:rPr>
                  <w:rFonts w:ascii="Arial" w:cs="Arial" w:eastAsia="Arial" w:hAnsi="Arial"/>
                  <w:sz w:val="12"/>
                  <w:szCs w:val="12"/>
                  <w:color w:val="0000EE"/>
                  <w:w w:val="86"/>
                </w:rPr>
                <w:t>Power Generation</w:t>
              </w:r>
            </w:hyperlink>
          </w:p>
        </w:tc>
        <w:tc>
          <w:tcPr>
            <w:tcW w:w="7380" w:type="dxa"/>
            <w:vAlign w:val="bottom"/>
            <w:gridSpan w:val="3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bottom w:val="single" w:sz="8" w:color="0000EE"/>
            </w:tcBorders>
            <w:gridSpan w:val="22"/>
          </w:tcPr>
          <w:p>
            <w:pPr>
              <w:spacing w:after="0" w:line="124" w:lineRule="exact"/>
              <w:rPr>
                <w:rFonts w:ascii="Arial" w:cs="Arial" w:eastAsia="Arial" w:hAnsi="Arial"/>
                <w:sz w:val="12"/>
                <w:szCs w:val="12"/>
                <w:color w:val="0000EE"/>
                <w:w w:val="87"/>
              </w:rPr>
            </w:pPr>
            <w:hyperlink w:anchor="page30">
              <w:r>
                <w:rPr>
                  <w:rFonts w:ascii="Arial" w:cs="Arial" w:eastAsia="Arial" w:hAnsi="Arial"/>
                  <w:sz w:val="12"/>
                  <w:szCs w:val="12"/>
                  <w:color w:val="0000EE"/>
                  <w:w w:val="87"/>
                </w:rPr>
                <w:t>Chevron Energy Solutions</w:t>
              </w:r>
            </w:hyperlink>
          </w:p>
        </w:tc>
        <w:tc>
          <w:tcPr>
            <w:tcW w:w="7000" w:type="dxa"/>
            <w:vAlign w:val="bottom"/>
            <w:gridSpan w:val="30"/>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bottom w:val="single" w:sz="8" w:color="0000EE"/>
            </w:tcBorders>
            <w:gridSpan w:val="21"/>
          </w:tcPr>
          <w:p>
            <w:pPr>
              <w:spacing w:after="0" w:line="124" w:lineRule="exact"/>
              <w:rPr>
                <w:rFonts w:ascii="Arial" w:cs="Arial" w:eastAsia="Arial" w:hAnsi="Arial"/>
                <w:sz w:val="12"/>
                <w:szCs w:val="12"/>
                <w:color w:val="0000EE"/>
                <w:w w:val="85"/>
              </w:rPr>
            </w:pPr>
            <w:hyperlink w:anchor="page30">
              <w:r>
                <w:rPr>
                  <w:rFonts w:ascii="Arial" w:cs="Arial" w:eastAsia="Arial" w:hAnsi="Arial"/>
                  <w:sz w:val="12"/>
                  <w:szCs w:val="12"/>
                  <w:color w:val="0000EE"/>
                  <w:w w:val="85"/>
                </w:rPr>
                <w:t>Research and Technology</w:t>
              </w:r>
            </w:hyperlink>
          </w:p>
        </w:tc>
        <w:tc>
          <w:tcPr>
            <w:tcW w:w="7020" w:type="dxa"/>
            <w:vAlign w:val="bottom"/>
            <w:gridSpan w:val="31"/>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Borders>
              <w:bottom w:val="single" w:sz="8" w:color="0000EE"/>
            </w:tcBorders>
            <w:gridSpan w:val="20"/>
          </w:tcPr>
          <w:p>
            <w:pPr>
              <w:spacing w:after="0" w:line="124" w:lineRule="exact"/>
              <w:rPr>
                <w:rFonts w:ascii="Arial" w:cs="Arial" w:eastAsia="Arial" w:hAnsi="Arial"/>
                <w:sz w:val="12"/>
                <w:szCs w:val="12"/>
                <w:color w:val="0000EE"/>
                <w:w w:val="87"/>
              </w:rPr>
            </w:pPr>
            <w:hyperlink w:anchor="page30">
              <w:r>
                <w:rPr>
                  <w:rFonts w:ascii="Arial" w:cs="Arial" w:eastAsia="Arial" w:hAnsi="Arial"/>
                  <w:sz w:val="12"/>
                  <w:szCs w:val="12"/>
                  <w:color w:val="0000EE"/>
                  <w:w w:val="87"/>
                </w:rPr>
                <w:t>Environmental Protection</w:t>
              </w:r>
            </w:hyperlink>
          </w:p>
        </w:tc>
        <w:tc>
          <w:tcPr>
            <w:tcW w:w="7040" w:type="dxa"/>
            <w:vAlign w:val="bottom"/>
            <w:gridSpan w:val="3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40" w:type="dxa"/>
            <w:vAlign w:val="bottom"/>
            <w:gridSpan w:val="52"/>
          </w:tcPr>
          <w:p>
            <w:pPr>
              <w:spacing w:after="0" w:line="124" w:lineRule="exact"/>
              <w:rPr>
                <w:rFonts w:ascii="Arial" w:cs="Arial" w:eastAsia="Arial" w:hAnsi="Arial"/>
                <w:sz w:val="12"/>
                <w:szCs w:val="12"/>
                <w:color w:val="0000EE"/>
              </w:rPr>
            </w:pPr>
            <w:hyperlink w:anchor="page31">
              <w:r>
                <w:rPr>
                  <w:rFonts w:ascii="Arial" w:cs="Arial" w:eastAsia="Arial" w:hAnsi="Arial"/>
                  <w:sz w:val="12"/>
                  <w:szCs w:val="12"/>
                  <w:color w:val="0000EE"/>
                </w:rPr>
                <w:t>Web Site Access to SEC Reports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400" w:type="dxa"/>
            <w:vAlign w:val="bottom"/>
            <w:gridSpan w:val="2"/>
          </w:tcPr>
          <w:p>
            <w:pPr>
              <w:jc w:val="right"/>
              <w:ind w:right="320"/>
              <w:spacing w:after="0"/>
              <w:rPr>
                <w:rFonts w:ascii="Arial" w:cs="Arial" w:eastAsia="Arial" w:hAnsi="Arial"/>
                <w:sz w:val="5"/>
                <w:szCs w:val="5"/>
                <w:color w:val="0000EE"/>
                <w:w w:val="79"/>
              </w:rPr>
            </w:pPr>
            <w:hyperlink w:anchor="page31">
              <w:r>
                <w:rPr>
                  <w:rFonts w:ascii="Arial" w:cs="Arial" w:eastAsia="Arial" w:hAnsi="Arial"/>
                  <w:sz w:val="5"/>
                  <w:szCs w:val="5"/>
                  <w:color w:val="0000EE"/>
                  <w:w w:val="79"/>
                </w:rPr>
                <w:t>1A.</w:t>
              </w:r>
            </w:hyperlink>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1">
              <w:r>
                <w:rPr>
                  <w:rFonts w:ascii="Arial" w:cs="Arial" w:eastAsia="Arial" w:hAnsi="Arial"/>
                  <w:sz w:val="12"/>
                  <w:szCs w:val="12"/>
                  <w:color w:val="0000EE"/>
                </w:rPr>
                <w:t>Risk Factors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29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400" w:type="dxa"/>
            <w:vAlign w:val="bottom"/>
            <w:gridSpan w:val="2"/>
          </w:tcPr>
          <w:p>
            <w:pPr>
              <w:jc w:val="right"/>
              <w:ind w:right="320"/>
              <w:spacing w:after="0"/>
              <w:rPr>
                <w:rFonts w:ascii="Arial" w:cs="Arial" w:eastAsia="Arial" w:hAnsi="Arial"/>
                <w:sz w:val="5"/>
                <w:szCs w:val="5"/>
                <w:color w:val="0000EE"/>
                <w:w w:val="79"/>
              </w:rPr>
            </w:pPr>
            <w:hyperlink w:anchor="page33">
              <w:r>
                <w:rPr>
                  <w:rFonts w:ascii="Arial" w:cs="Arial" w:eastAsia="Arial" w:hAnsi="Arial"/>
                  <w:sz w:val="5"/>
                  <w:szCs w:val="5"/>
                  <w:color w:val="0000EE"/>
                  <w:w w:val="79"/>
                </w:rPr>
                <w:t>1B.</w:t>
              </w:r>
            </w:hyperlink>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3">
              <w:r>
                <w:rPr>
                  <w:rFonts w:ascii="Arial" w:cs="Arial" w:eastAsia="Arial" w:hAnsi="Arial"/>
                  <w:sz w:val="12"/>
                  <w:szCs w:val="12"/>
                  <w:color w:val="0000EE"/>
                </w:rPr>
                <w:t>Unresolved Staff Comments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31</w:t>
            </w:r>
          </w:p>
        </w:tc>
      </w:tr>
      <w:tr>
        <w:trPr>
          <w:trHeight w:val="124"/>
        </w:trPr>
        <w:tc>
          <w:tcPr>
            <w:tcW w:w="380" w:type="dxa"/>
            <w:vAlign w:val="bottom"/>
          </w:tcPr>
          <w:p>
            <w:pPr>
              <w:spacing w:after="0"/>
              <w:rPr>
                <w:sz w:val="10"/>
                <w:szCs w:val="10"/>
                <w:color w:val="auto"/>
              </w:rPr>
            </w:pPr>
          </w:p>
        </w:tc>
        <w:tc>
          <w:tcPr>
            <w:tcW w:w="80" w:type="dxa"/>
            <w:vAlign w:val="bottom"/>
            <w:tcBorders>
              <w:top w:val="single" w:sz="8" w:color="0000EE"/>
            </w:tcBorders>
          </w:tcPr>
          <w:p>
            <w:pPr>
              <w:jc w:val="right"/>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2.</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w:anchor="page34">
              <w:r>
                <w:rPr>
                  <w:rFonts w:ascii="Arial" w:cs="Arial" w:eastAsia="Arial" w:hAnsi="Arial"/>
                  <w:sz w:val="12"/>
                  <w:szCs w:val="12"/>
                  <w:color w:val="0000EE"/>
                </w:rPr>
                <w:t>Properties</w:t>
              </w:r>
            </w:hyperlink>
          </w:p>
        </w:tc>
        <w:tc>
          <w:tcPr>
            <w:tcW w:w="7180" w:type="dxa"/>
            <w:vAlign w:val="bottom"/>
            <w:gridSpan w:val="3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32</w:t>
            </w:r>
          </w:p>
        </w:tc>
      </w:tr>
      <w:tr>
        <w:trPr>
          <w:trHeight w:val="20"/>
        </w:trPr>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3.</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bottom w:val="single" w:sz="8" w:color="0000EE"/>
            </w:tcBorders>
            <w:gridSpan w:val="9"/>
          </w:tcPr>
          <w:p>
            <w:pPr>
              <w:spacing w:after="0" w:line="124" w:lineRule="exact"/>
              <w:rPr>
                <w:rFonts w:ascii="Arial" w:cs="Arial" w:eastAsia="Arial" w:hAnsi="Arial"/>
                <w:sz w:val="12"/>
                <w:szCs w:val="12"/>
                <w:color w:val="0000EE"/>
                <w:w w:val="84"/>
              </w:rPr>
            </w:pPr>
            <w:hyperlink w:anchor="page34">
              <w:r>
                <w:rPr>
                  <w:rFonts w:ascii="Arial" w:cs="Arial" w:eastAsia="Arial" w:hAnsi="Arial"/>
                  <w:sz w:val="12"/>
                  <w:szCs w:val="12"/>
                  <w:color w:val="0000EE"/>
                  <w:w w:val="84"/>
                </w:rPr>
                <w:t>Legal Proceedings</w:t>
              </w:r>
            </w:hyperlink>
          </w:p>
        </w:tc>
        <w:tc>
          <w:tcPr>
            <w:tcW w:w="7640" w:type="dxa"/>
            <w:vAlign w:val="bottom"/>
            <w:gridSpan w:val="4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32</w:t>
            </w:r>
          </w:p>
        </w:tc>
      </w:tr>
      <w:tr>
        <w:trPr>
          <w:trHeight w:val="124"/>
        </w:trPr>
        <w:tc>
          <w:tcPr>
            <w:tcW w:w="460" w:type="dxa"/>
            <w:vAlign w:val="bottom"/>
            <w:gridSpan w:val="2"/>
          </w:tcPr>
          <w:p>
            <w:pPr>
              <w:jc w:val="right"/>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4.</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Mine Safety Disclosures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239"/>
        </w:trPr>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0"/>
          </w:tcPr>
          <w:p>
            <w:pPr>
              <w:jc w:val="center"/>
              <w:ind w:right="4280"/>
              <w:spacing w:after="0"/>
              <w:rPr>
                <w:rFonts w:ascii="Arial" w:cs="Arial" w:eastAsia="Arial" w:hAnsi="Arial"/>
                <w:sz w:val="12"/>
                <w:szCs w:val="12"/>
                <w:b w:val="1"/>
                <w:bCs w:val="1"/>
                <w:color w:val="0000EE"/>
                <w:w w:val="98"/>
              </w:rPr>
            </w:pPr>
            <w:hyperlink w:anchor="page35">
              <w:r>
                <w:rPr>
                  <w:rFonts w:ascii="Arial" w:cs="Arial" w:eastAsia="Arial" w:hAnsi="Arial"/>
                  <w:sz w:val="12"/>
                  <w:szCs w:val="12"/>
                  <w:b w:val="1"/>
                  <w:bCs w:val="1"/>
                  <w:color w:val="0000EE"/>
                  <w:w w:val="98"/>
                </w:rPr>
                <w:t>PART II</w:t>
              </w:r>
            </w:hyperlink>
          </w:p>
        </w:tc>
        <w:tc>
          <w:tcPr>
            <w:tcW w:w="74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5.</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Market for the Registrant’s Common Equity, Related Stockholder Matters and Issuer Purchases of Equity Securities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380" w:type="dxa"/>
            <w:vAlign w:val="bottom"/>
          </w:tcPr>
          <w:p>
            <w:pPr>
              <w:spacing w:after="0"/>
              <w:rPr>
                <w:sz w:val="10"/>
                <w:szCs w:val="10"/>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6.</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85"/>
              </w:rPr>
            </w:pPr>
            <w:hyperlink w:anchor="page35">
              <w:r>
                <w:rPr>
                  <w:rFonts w:ascii="Arial" w:cs="Arial" w:eastAsia="Arial" w:hAnsi="Arial"/>
                  <w:sz w:val="12"/>
                  <w:szCs w:val="12"/>
                  <w:color w:val="0000EE"/>
                  <w:w w:val="85"/>
                </w:rPr>
                <w:t>Selected Financial Data</w:t>
              </w:r>
            </w:hyperlink>
          </w:p>
        </w:tc>
        <w:tc>
          <w:tcPr>
            <w:tcW w:w="4240" w:type="dxa"/>
            <w:vAlign w:val="bottom"/>
            <w:tcBorders>
              <w:top w:val="single" w:sz="8" w:color="0000EE"/>
            </w:tcBorders>
            <w:gridSpan w:val="39"/>
          </w:tcPr>
          <w:p>
            <w:pPr>
              <w:spacing w:after="0"/>
              <w:rPr>
                <w:sz w:val="10"/>
                <w:szCs w:val="10"/>
                <w:color w:val="auto"/>
              </w:rPr>
            </w:pPr>
          </w:p>
        </w:tc>
        <w:tc>
          <w:tcPr>
            <w:tcW w:w="3160" w:type="dxa"/>
            <w:vAlign w:val="bottom"/>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7.</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140" w:type="dxa"/>
            <w:vAlign w:val="bottom"/>
            <w:tcBorders>
              <w:bottom w:val="single" w:sz="8" w:color="0000EE"/>
            </w:tcBorders>
            <w:gridSpan w:val="45"/>
          </w:tcPr>
          <w:p>
            <w:pPr>
              <w:spacing w:after="0" w:line="124" w:lineRule="exact"/>
              <w:rPr>
                <w:rFonts w:ascii="Arial" w:cs="Arial" w:eastAsia="Arial" w:hAnsi="Arial"/>
                <w:sz w:val="12"/>
                <w:szCs w:val="12"/>
                <w:color w:val="0000EE"/>
                <w:w w:val="87"/>
              </w:rPr>
            </w:pPr>
            <w:hyperlink w:anchor="page35">
              <w:r>
                <w:rPr>
                  <w:rFonts w:ascii="Arial" w:cs="Arial" w:eastAsia="Arial" w:hAnsi="Arial"/>
                  <w:sz w:val="12"/>
                  <w:szCs w:val="12"/>
                  <w:color w:val="0000EE"/>
                  <w:w w:val="87"/>
                </w:rPr>
                <w:t>Management’s Discussion and Analysis of Financial Condition and Results of Operations</w:t>
              </w:r>
            </w:hyperlink>
          </w:p>
        </w:tc>
        <w:tc>
          <w:tcPr>
            <w:tcW w:w="4360" w:type="dxa"/>
            <w:vAlign w:val="bottom"/>
            <w:gridSpan w:val="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380" w:type="dxa"/>
            <w:vAlign w:val="bottom"/>
          </w:tcPr>
          <w:p>
            <w:pPr>
              <w:spacing w:after="0"/>
              <w:rPr>
                <w:sz w:val="10"/>
                <w:szCs w:val="10"/>
                <w:color w:val="auto"/>
              </w:rPr>
            </w:pPr>
          </w:p>
        </w:tc>
        <w:tc>
          <w:tcPr>
            <w:tcW w:w="400" w:type="dxa"/>
            <w:vAlign w:val="bottom"/>
            <w:gridSpan w:val="2"/>
          </w:tcPr>
          <w:p>
            <w:pPr>
              <w:jc w:val="right"/>
              <w:ind w:right="320"/>
              <w:spacing w:after="0"/>
              <w:rPr>
                <w:rFonts w:ascii="Arial" w:cs="Arial" w:eastAsia="Arial" w:hAnsi="Arial"/>
                <w:sz w:val="5"/>
                <w:szCs w:val="5"/>
                <w:color w:val="0000EE"/>
                <w:w w:val="79"/>
              </w:rPr>
            </w:pPr>
            <w:hyperlink w:anchor="page35">
              <w:r>
                <w:rPr>
                  <w:rFonts w:ascii="Arial" w:cs="Arial" w:eastAsia="Arial" w:hAnsi="Arial"/>
                  <w:sz w:val="5"/>
                  <w:szCs w:val="5"/>
                  <w:color w:val="0000EE"/>
                  <w:w w:val="79"/>
                </w:rPr>
                <w:t>7A.</w:t>
              </w:r>
            </w:hyperlink>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5">
              <w:r>
                <w:rPr>
                  <w:rFonts w:ascii="Arial" w:cs="Arial" w:eastAsia="Arial" w:hAnsi="Arial"/>
                  <w:sz w:val="12"/>
                  <w:szCs w:val="12"/>
                  <w:color w:val="0000EE"/>
                </w:rPr>
                <w:t>Quantitative and Qualitative Disclosures About Market Risk</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33</w:t>
            </w:r>
          </w:p>
        </w:tc>
      </w:tr>
      <w:tr>
        <w:trPr>
          <w:trHeight w:val="124"/>
        </w:trPr>
        <w:tc>
          <w:tcPr>
            <w:tcW w:w="380" w:type="dxa"/>
            <w:vAlign w:val="bottom"/>
          </w:tcPr>
          <w:p>
            <w:pPr>
              <w:spacing w:after="0"/>
              <w:rPr>
                <w:sz w:val="10"/>
                <w:szCs w:val="10"/>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8.</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40" w:type="dxa"/>
            <w:vAlign w:val="bottom"/>
            <w:tcBorders>
              <w:top w:val="single" w:sz="8" w:color="0000EE"/>
              <w:bottom w:val="single" w:sz="8" w:color="0000EE"/>
            </w:tcBorders>
            <w:gridSpan w:val="30"/>
          </w:tcPr>
          <w:p>
            <w:pPr>
              <w:spacing w:after="0" w:line="124" w:lineRule="exact"/>
              <w:rPr>
                <w:rFonts w:ascii="Arial" w:cs="Arial" w:eastAsia="Arial" w:hAnsi="Arial"/>
                <w:sz w:val="12"/>
                <w:szCs w:val="12"/>
                <w:color w:val="0000EE"/>
                <w:w w:val="85"/>
              </w:rPr>
            </w:pPr>
            <w:hyperlink w:anchor="page36">
              <w:r>
                <w:rPr>
                  <w:rFonts w:ascii="Arial" w:cs="Arial" w:eastAsia="Arial" w:hAnsi="Arial"/>
                  <w:sz w:val="12"/>
                  <w:szCs w:val="12"/>
                  <w:color w:val="0000EE"/>
                  <w:w w:val="85"/>
                </w:rPr>
                <w:t>Financial Statements and Supplementary Data</w:t>
              </w:r>
            </w:hyperlink>
          </w:p>
        </w:tc>
        <w:tc>
          <w:tcPr>
            <w:tcW w:w="660" w:type="dxa"/>
            <w:vAlign w:val="bottom"/>
            <w:tcBorders>
              <w:top w:val="single" w:sz="8" w:color="0000EE"/>
            </w:tcBorders>
            <w:gridSpan w:val="6"/>
          </w:tcPr>
          <w:p>
            <w:pPr>
              <w:spacing w:after="0"/>
              <w:rPr>
                <w:sz w:val="10"/>
                <w:szCs w:val="10"/>
                <w:color w:val="auto"/>
              </w:rPr>
            </w:pPr>
          </w:p>
        </w:tc>
        <w:tc>
          <w:tcPr>
            <w:tcW w:w="5700" w:type="dxa"/>
            <w:vAlign w:val="bottom"/>
            <w:gridSpan w:val="1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9.</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180" w:type="dxa"/>
            <w:vAlign w:val="bottom"/>
            <w:tcBorders>
              <w:bottom w:val="single" w:sz="8" w:color="0000EE"/>
            </w:tcBorders>
            <w:gridSpan w:val="46"/>
          </w:tcPr>
          <w:p>
            <w:pPr>
              <w:spacing w:after="0" w:line="124" w:lineRule="exact"/>
              <w:rPr>
                <w:rFonts w:ascii="Arial" w:cs="Arial" w:eastAsia="Arial" w:hAnsi="Arial"/>
                <w:sz w:val="12"/>
                <w:szCs w:val="12"/>
                <w:color w:val="0000EE"/>
                <w:w w:val="86"/>
              </w:rPr>
            </w:pPr>
            <w:hyperlink w:anchor="page36">
              <w:r>
                <w:rPr>
                  <w:rFonts w:ascii="Arial" w:cs="Arial" w:eastAsia="Arial" w:hAnsi="Arial"/>
                  <w:sz w:val="12"/>
                  <w:szCs w:val="12"/>
                  <w:color w:val="0000EE"/>
                  <w:w w:val="86"/>
                </w:rPr>
                <w:t>Changes in and Disagreements With Accountants on Accounting and Financial Disclosure</w:t>
              </w:r>
            </w:hyperlink>
          </w:p>
        </w:tc>
        <w:tc>
          <w:tcPr>
            <w:tcW w:w="4320" w:type="dxa"/>
            <w:vAlign w:val="bottom"/>
            <w:gridSpan w:val="7"/>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380" w:type="dxa"/>
            <w:vAlign w:val="bottom"/>
          </w:tcPr>
          <w:p>
            <w:pPr>
              <w:spacing w:after="0"/>
              <w:rPr>
                <w:sz w:val="10"/>
                <w:szCs w:val="10"/>
                <w:color w:val="auto"/>
              </w:rPr>
            </w:pPr>
          </w:p>
        </w:tc>
        <w:tc>
          <w:tcPr>
            <w:tcW w:w="400" w:type="dxa"/>
            <w:vAlign w:val="bottom"/>
            <w:gridSpan w:val="2"/>
          </w:tcPr>
          <w:p>
            <w:pPr>
              <w:jc w:val="right"/>
              <w:ind w:right="320"/>
              <w:spacing w:after="0"/>
              <w:rPr>
                <w:rFonts w:ascii="Arial" w:cs="Arial" w:eastAsia="Arial" w:hAnsi="Arial"/>
                <w:sz w:val="5"/>
                <w:szCs w:val="5"/>
                <w:color w:val="0000EE"/>
                <w:w w:val="79"/>
              </w:rPr>
            </w:pPr>
            <w:hyperlink w:anchor="page36">
              <w:r>
                <w:rPr>
                  <w:rFonts w:ascii="Arial" w:cs="Arial" w:eastAsia="Arial" w:hAnsi="Arial"/>
                  <w:sz w:val="5"/>
                  <w:szCs w:val="5"/>
                  <w:color w:val="0000EE"/>
                  <w:w w:val="79"/>
                </w:rPr>
                <w:t>9A.</w:t>
              </w:r>
            </w:hyperlink>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Controls and Procedures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(a) Evaluation of Disclosure Controls and Procedures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(b) Management’s Report on Internal Control Over Financial Reporting</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300" w:type="dxa"/>
            <w:vAlign w:val="bottom"/>
            <w:tcBorders>
              <w:top w:val="single" w:sz="8" w:color="0000EE"/>
            </w:tcBorders>
            <w:gridSpan w:val="37"/>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 Changes in Internal Control Over Financial Reporting</w:t>
              </w:r>
            </w:hyperlink>
          </w:p>
        </w:tc>
        <w:tc>
          <w:tcPr>
            <w:tcW w:w="5200" w:type="dxa"/>
            <w:vAlign w:val="bottom"/>
            <w:gridSpan w:val="16"/>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124"/>
        </w:trPr>
        <w:tc>
          <w:tcPr>
            <w:tcW w:w="380" w:type="dxa"/>
            <w:vAlign w:val="bottom"/>
          </w:tcPr>
          <w:p>
            <w:pPr>
              <w:spacing w:after="0"/>
              <w:rPr>
                <w:sz w:val="10"/>
                <w:szCs w:val="10"/>
                <w:color w:val="auto"/>
              </w:rPr>
            </w:pPr>
          </w:p>
        </w:tc>
        <w:tc>
          <w:tcPr>
            <w:tcW w:w="400" w:type="dxa"/>
            <w:vAlign w:val="bottom"/>
            <w:gridSpan w:val="2"/>
          </w:tcPr>
          <w:p>
            <w:pPr>
              <w:jc w:val="right"/>
              <w:ind w:right="320"/>
              <w:spacing w:after="0"/>
              <w:rPr>
                <w:rFonts w:ascii="Arial" w:cs="Arial" w:eastAsia="Arial" w:hAnsi="Arial"/>
                <w:sz w:val="5"/>
                <w:szCs w:val="5"/>
                <w:color w:val="0000EE"/>
                <w:w w:val="79"/>
              </w:rPr>
            </w:pPr>
            <w:hyperlink w:anchor="page36">
              <w:r>
                <w:rPr>
                  <w:rFonts w:ascii="Arial" w:cs="Arial" w:eastAsia="Arial" w:hAnsi="Arial"/>
                  <w:sz w:val="5"/>
                  <w:szCs w:val="5"/>
                  <w:color w:val="0000EE"/>
                  <w:w w:val="79"/>
                </w:rPr>
                <w:t>9B.</w:t>
              </w:r>
            </w:hyperlink>
          </w:p>
        </w:tc>
        <w:tc>
          <w:tcPr>
            <w:tcW w:w="420" w:type="dxa"/>
            <w:vAlign w:val="bottom"/>
          </w:tcPr>
          <w:p>
            <w:pPr>
              <w:spacing w:after="0"/>
              <w:rPr>
                <w:sz w:val="10"/>
                <w:szCs w:val="10"/>
                <w:color w:val="auto"/>
              </w:rPr>
            </w:pPr>
          </w:p>
        </w:tc>
        <w:tc>
          <w:tcPr>
            <w:tcW w:w="2640" w:type="dxa"/>
            <w:vAlign w:val="bottom"/>
            <w:tcBorders>
              <w:top w:val="single" w:sz="8" w:color="0000EE"/>
            </w:tcBorders>
            <w:gridSpan w:val="35"/>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Other Information</w:t>
              </w:r>
            </w:hyperlink>
          </w:p>
        </w:tc>
        <w:tc>
          <w:tcPr>
            <w:tcW w:w="5860" w:type="dxa"/>
            <w:vAlign w:val="bottom"/>
            <w:gridSpan w:val="18"/>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34</w:t>
            </w:r>
          </w:p>
        </w:tc>
      </w:tr>
      <w:tr>
        <w:trPr>
          <w:trHeight w:val="239"/>
        </w:trPr>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0000EE"/>
            </w:tcBorders>
            <w:gridSpan w:val="8"/>
          </w:tcPr>
          <w:p>
            <w:pPr>
              <w:jc w:val="center"/>
              <w:ind w:right="20"/>
              <w:spacing w:after="0"/>
              <w:rPr>
                <w:rFonts w:ascii="Arial" w:cs="Arial" w:eastAsia="Arial" w:hAnsi="Arial"/>
                <w:sz w:val="12"/>
                <w:szCs w:val="12"/>
                <w:b w:val="1"/>
                <w:bCs w:val="1"/>
                <w:color w:val="0000EE"/>
                <w:w w:val="99"/>
              </w:rPr>
            </w:pPr>
            <w:hyperlink w:anchor="page37">
              <w:r>
                <w:rPr>
                  <w:rFonts w:ascii="Arial" w:cs="Arial" w:eastAsia="Arial" w:hAnsi="Arial"/>
                  <w:sz w:val="12"/>
                  <w:szCs w:val="12"/>
                  <w:b w:val="1"/>
                  <w:bCs w:val="1"/>
                  <w:color w:val="0000EE"/>
                  <w:w w:val="99"/>
                </w:rPr>
                <w:t>PART III</w:t>
              </w:r>
            </w:hyperlink>
          </w:p>
        </w:tc>
        <w:tc>
          <w:tcPr>
            <w:tcW w:w="4240" w:type="dxa"/>
            <w:vAlign w:val="bottom"/>
            <w:gridSpan w:val="3"/>
          </w:tcPr>
          <w:p>
            <w:pPr>
              <w:spacing w:after="0"/>
              <w:rPr>
                <w:sz w:val="20"/>
                <w:szCs w:val="20"/>
                <w:color w:val="auto"/>
              </w:rPr>
            </w:pPr>
          </w:p>
        </w:tc>
        <w:tc>
          <w:tcPr>
            <w:tcW w:w="740" w:type="dxa"/>
            <w:vAlign w:val="bottom"/>
          </w:tcPr>
          <w:p>
            <w:pPr>
              <w:spacing w:after="0"/>
              <w:rPr>
                <w:sz w:val="20"/>
                <w:szCs w:val="20"/>
                <w:color w:val="auto"/>
              </w:rPr>
            </w:pPr>
          </w:p>
        </w:tc>
      </w:tr>
      <w:tr>
        <w:trPr>
          <w:trHeight w:val="124"/>
        </w:trPr>
        <w:tc>
          <w:tcPr>
            <w:tcW w:w="380" w:type="dxa"/>
            <w:vAlign w:val="bottom"/>
          </w:tcPr>
          <w:p>
            <w:pPr>
              <w:spacing w:after="0"/>
              <w:rPr>
                <w:sz w:val="10"/>
                <w:szCs w:val="10"/>
                <w:color w:val="auto"/>
              </w:rPr>
            </w:pPr>
          </w:p>
        </w:tc>
        <w:tc>
          <w:tcPr>
            <w:tcW w:w="80" w:type="dxa"/>
            <w:vAlign w:val="bottom"/>
          </w:tcPr>
          <w:p>
            <w:pPr>
              <w:jc w:val="right"/>
              <w:spacing w:after="0"/>
              <w:rPr>
                <w:rFonts w:ascii="Arial" w:cs="Arial" w:eastAsia="Arial" w:hAnsi="Arial"/>
                <w:sz w:val="6"/>
                <w:szCs w:val="6"/>
                <w:color w:val="0000EE"/>
                <w:w w:val="71"/>
              </w:rPr>
            </w:pPr>
            <w:hyperlink w:anchor="page37">
              <w:r>
                <w:rPr>
                  <w:rFonts w:ascii="Arial" w:cs="Arial" w:eastAsia="Arial" w:hAnsi="Arial"/>
                  <w:sz w:val="6"/>
                  <w:szCs w:val="6"/>
                  <w:color w:val="0000EE"/>
                  <w:w w:val="71"/>
                </w:rPr>
                <w:t>10.</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7">
              <w:r>
                <w:rPr>
                  <w:rFonts w:ascii="Arial" w:cs="Arial" w:eastAsia="Arial" w:hAnsi="Arial"/>
                  <w:sz w:val="12"/>
                  <w:szCs w:val="12"/>
                  <w:color w:val="0000EE"/>
                </w:rPr>
                <w:t>Directors, Executive Officers and Corporate Governance</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35</w:t>
            </w:r>
          </w:p>
        </w:tc>
      </w:tr>
      <w:tr>
        <w:trPr>
          <w:trHeight w:val="124"/>
        </w:trPr>
        <w:tc>
          <w:tcPr>
            <w:tcW w:w="380" w:type="dxa"/>
            <w:vAlign w:val="bottom"/>
          </w:tcPr>
          <w:p>
            <w:pPr>
              <w:spacing w:after="0"/>
              <w:rPr>
                <w:sz w:val="10"/>
                <w:szCs w:val="10"/>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6"/>
                <w:szCs w:val="6"/>
                <w:color w:val="0000EE"/>
                <w:w w:val="71"/>
              </w:rPr>
            </w:pPr>
            <w:hyperlink w:anchor="page38">
              <w:r>
                <w:rPr>
                  <w:rFonts w:ascii="Arial" w:cs="Arial" w:eastAsia="Arial" w:hAnsi="Arial"/>
                  <w:sz w:val="6"/>
                  <w:szCs w:val="6"/>
                  <w:color w:val="0000EE"/>
                  <w:w w:val="71"/>
                </w:rPr>
                <w:t>11.</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87"/>
              </w:rPr>
            </w:pPr>
            <w:hyperlink w:anchor="page38">
              <w:r>
                <w:rPr>
                  <w:rFonts w:ascii="Arial" w:cs="Arial" w:eastAsia="Arial" w:hAnsi="Arial"/>
                  <w:sz w:val="12"/>
                  <w:szCs w:val="12"/>
                  <w:color w:val="0000EE"/>
                  <w:w w:val="87"/>
                </w:rPr>
                <w:t>Executive Compensation</w:t>
              </w:r>
            </w:hyperlink>
          </w:p>
        </w:tc>
        <w:tc>
          <w:tcPr>
            <w:tcW w:w="1420" w:type="dxa"/>
            <w:vAlign w:val="bottom"/>
            <w:tcBorders>
              <w:top w:val="single" w:sz="8" w:color="0000EE"/>
            </w:tcBorders>
            <w:gridSpan w:val="18"/>
          </w:tcPr>
          <w:p>
            <w:pPr>
              <w:spacing w:after="0"/>
              <w:rPr>
                <w:sz w:val="10"/>
                <w:szCs w:val="10"/>
                <w:color w:val="auto"/>
              </w:rPr>
            </w:pPr>
          </w:p>
        </w:tc>
        <w:tc>
          <w:tcPr>
            <w:tcW w:w="5880" w:type="dxa"/>
            <w:vAlign w:val="bottom"/>
            <w:gridSpan w:val="19"/>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6"/>
                <w:szCs w:val="6"/>
                <w:color w:val="0000EE"/>
                <w:w w:val="71"/>
              </w:rPr>
            </w:pPr>
            <w:hyperlink w:anchor="page38">
              <w:r>
                <w:rPr>
                  <w:rFonts w:ascii="Arial" w:cs="Arial" w:eastAsia="Arial" w:hAnsi="Arial"/>
                  <w:sz w:val="6"/>
                  <w:szCs w:val="6"/>
                  <w:color w:val="0000EE"/>
                  <w:w w:val="71"/>
                </w:rPr>
                <w:t>12.</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80" w:type="dxa"/>
            <w:vAlign w:val="bottom"/>
            <w:tcBorders>
              <w:bottom w:val="single" w:sz="8" w:color="0000EE"/>
            </w:tcBorders>
            <w:gridSpan w:val="51"/>
          </w:tcPr>
          <w:p>
            <w:pPr>
              <w:spacing w:after="0" w:line="124" w:lineRule="exact"/>
              <w:rPr>
                <w:rFonts w:ascii="Arial" w:cs="Arial" w:eastAsia="Arial" w:hAnsi="Arial"/>
                <w:sz w:val="12"/>
                <w:szCs w:val="12"/>
                <w:color w:val="0000EE"/>
                <w:w w:val="87"/>
              </w:rPr>
            </w:pPr>
            <w:hyperlink w:anchor="page38">
              <w:r>
                <w:rPr>
                  <w:rFonts w:ascii="Arial" w:cs="Arial" w:eastAsia="Arial" w:hAnsi="Arial"/>
                  <w:sz w:val="12"/>
                  <w:szCs w:val="12"/>
                  <w:color w:val="0000EE"/>
                  <w:w w:val="87"/>
                </w:rPr>
                <w:t>Security Ownership of Certain Beneficial Owners and Management and Related Stockholder Matters</w:t>
              </w:r>
            </w:hyperlink>
          </w:p>
        </w:tc>
        <w:tc>
          <w:tcPr>
            <w:tcW w:w="3820" w:type="dxa"/>
            <w:vAlign w:val="bottom"/>
            <w:gridSpan w:val="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6"/>
                <w:szCs w:val="6"/>
                <w:color w:val="0000EE"/>
                <w:w w:val="71"/>
              </w:rPr>
            </w:pPr>
            <w:hyperlink w:anchor="page38">
              <w:r>
                <w:rPr>
                  <w:rFonts w:ascii="Arial" w:cs="Arial" w:eastAsia="Arial" w:hAnsi="Arial"/>
                  <w:sz w:val="6"/>
                  <w:szCs w:val="6"/>
                  <w:color w:val="0000EE"/>
                  <w:w w:val="71"/>
                </w:rPr>
                <w:t>13.</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500" w:type="dxa"/>
            <w:vAlign w:val="bottom"/>
            <w:tcBorders>
              <w:bottom w:val="single" w:sz="8" w:color="0000EE"/>
            </w:tcBorders>
            <w:gridSpan w:val="39"/>
          </w:tcPr>
          <w:p>
            <w:pPr>
              <w:spacing w:after="0" w:line="124" w:lineRule="exact"/>
              <w:rPr>
                <w:rFonts w:ascii="Arial" w:cs="Arial" w:eastAsia="Arial" w:hAnsi="Arial"/>
                <w:sz w:val="12"/>
                <w:szCs w:val="12"/>
                <w:color w:val="0000EE"/>
                <w:w w:val="85"/>
              </w:rPr>
            </w:pPr>
            <w:hyperlink w:anchor="page38">
              <w:r>
                <w:rPr>
                  <w:rFonts w:ascii="Arial" w:cs="Arial" w:eastAsia="Arial" w:hAnsi="Arial"/>
                  <w:sz w:val="12"/>
                  <w:szCs w:val="12"/>
                  <w:color w:val="0000EE"/>
                  <w:w w:val="85"/>
                </w:rPr>
                <w:t>Certain Relationships and Related Transactions, and Director Independence</w:t>
              </w:r>
            </w:hyperlink>
          </w:p>
        </w:tc>
        <w:tc>
          <w:tcPr>
            <w:tcW w:w="5000" w:type="dxa"/>
            <w:vAlign w:val="bottom"/>
            <w:gridSpan w:val="1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124"/>
        </w:trPr>
        <w:tc>
          <w:tcPr>
            <w:tcW w:w="460" w:type="dxa"/>
            <w:vAlign w:val="bottom"/>
            <w:gridSpan w:val="2"/>
          </w:tcPr>
          <w:p>
            <w:pPr>
              <w:jc w:val="right"/>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14.</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Principal Accounting Fees and Services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36</w:t>
            </w:r>
          </w:p>
        </w:tc>
      </w:tr>
      <w:tr>
        <w:trPr>
          <w:trHeight w:val="239"/>
        </w:trPr>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20" w:type="dxa"/>
            <w:vAlign w:val="bottom"/>
            <w:gridSpan w:val="11"/>
          </w:tcPr>
          <w:p>
            <w:pPr>
              <w:jc w:val="center"/>
              <w:ind w:right="4260"/>
              <w:spacing w:after="0"/>
              <w:rPr>
                <w:rFonts w:ascii="Arial" w:cs="Arial" w:eastAsia="Arial" w:hAnsi="Arial"/>
                <w:sz w:val="12"/>
                <w:szCs w:val="12"/>
                <w:b w:val="1"/>
                <w:bCs w:val="1"/>
                <w:color w:val="0000EE"/>
                <w:w w:val="97"/>
              </w:rPr>
            </w:pPr>
            <w:hyperlink w:anchor="page39">
              <w:r>
                <w:rPr>
                  <w:rFonts w:ascii="Arial" w:cs="Arial" w:eastAsia="Arial" w:hAnsi="Arial"/>
                  <w:sz w:val="12"/>
                  <w:szCs w:val="12"/>
                  <w:b w:val="1"/>
                  <w:bCs w:val="1"/>
                  <w:color w:val="0000EE"/>
                  <w:w w:val="97"/>
                </w:rPr>
                <w:t>PART IV</w:t>
              </w:r>
            </w:hyperlink>
          </w:p>
        </w:tc>
        <w:tc>
          <w:tcPr>
            <w:tcW w:w="740" w:type="dxa"/>
            <w:vAlign w:val="bottom"/>
          </w:tcPr>
          <w:p>
            <w:pPr>
              <w:spacing w:after="0"/>
              <w:rPr>
                <w:sz w:val="20"/>
                <w:szCs w:val="20"/>
                <w:color w:val="auto"/>
              </w:rPr>
            </w:pPr>
          </w:p>
        </w:tc>
      </w:tr>
      <w:tr>
        <w:trPr>
          <w:trHeight w:val="124"/>
        </w:trPr>
        <w:tc>
          <w:tcPr>
            <w:tcW w:w="380" w:type="dxa"/>
            <w:vAlign w:val="bottom"/>
          </w:tcPr>
          <w:p>
            <w:pPr>
              <w:spacing w:after="0"/>
              <w:rPr>
                <w:sz w:val="10"/>
                <w:szCs w:val="10"/>
                <w:color w:val="auto"/>
              </w:rPr>
            </w:pPr>
          </w:p>
        </w:tc>
        <w:tc>
          <w:tcPr>
            <w:tcW w:w="80" w:type="dxa"/>
            <w:vAlign w:val="bottom"/>
            <w:tcBorders>
              <w:bottom w:val="single" w:sz="8" w:color="0000EE"/>
            </w:tcBorders>
          </w:tcPr>
          <w:p>
            <w:pPr>
              <w:jc w:val="right"/>
              <w:spacing w:after="0"/>
              <w:rPr>
                <w:rFonts w:ascii="Arial" w:cs="Arial" w:eastAsia="Arial" w:hAnsi="Arial"/>
                <w:sz w:val="6"/>
                <w:szCs w:val="6"/>
                <w:color w:val="0000EE"/>
                <w:w w:val="71"/>
              </w:rPr>
            </w:pPr>
            <w:hyperlink w:anchor="page39">
              <w:r>
                <w:rPr>
                  <w:rFonts w:ascii="Arial" w:cs="Arial" w:eastAsia="Arial" w:hAnsi="Arial"/>
                  <w:sz w:val="6"/>
                  <w:szCs w:val="6"/>
                  <w:color w:val="0000EE"/>
                  <w:w w:val="71"/>
                </w:rPr>
                <w:t>15.</w:t>
              </w:r>
            </w:hyperlink>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Borders>
              <w:bottom w:val="single" w:sz="8" w:color="0000EE"/>
            </w:tcBorders>
            <w:gridSpan w:val="27"/>
          </w:tcPr>
          <w:p>
            <w:pPr>
              <w:spacing w:after="0" w:line="124" w:lineRule="exact"/>
              <w:rPr>
                <w:rFonts w:ascii="Arial" w:cs="Arial" w:eastAsia="Arial" w:hAnsi="Arial"/>
                <w:sz w:val="12"/>
                <w:szCs w:val="12"/>
                <w:color w:val="0000EE"/>
                <w:w w:val="85"/>
              </w:rPr>
            </w:pPr>
            <w:hyperlink w:anchor="page39">
              <w:r>
                <w:rPr>
                  <w:rFonts w:ascii="Arial" w:cs="Arial" w:eastAsia="Arial" w:hAnsi="Arial"/>
                  <w:sz w:val="12"/>
                  <w:szCs w:val="12"/>
                  <w:color w:val="0000EE"/>
                  <w:w w:val="85"/>
                </w:rPr>
                <w:t>Exhibits, Financial Statement Schedules</w:t>
              </w:r>
            </w:hyperlink>
          </w:p>
        </w:tc>
        <w:tc>
          <w:tcPr>
            <w:tcW w:w="1940" w:type="dxa"/>
            <w:vAlign w:val="bottom"/>
            <w:gridSpan w:val="16"/>
          </w:tcPr>
          <w:p>
            <w:pPr>
              <w:spacing w:after="0"/>
              <w:rPr>
                <w:sz w:val="10"/>
                <w:szCs w:val="10"/>
                <w:color w:val="auto"/>
              </w:rPr>
            </w:pPr>
          </w:p>
        </w:tc>
        <w:tc>
          <w:tcPr>
            <w:tcW w:w="440" w:type="dxa"/>
            <w:vAlign w:val="bottom"/>
            <w:tcBorders>
              <w:top w:val="single" w:sz="8" w:color="0000EE"/>
            </w:tcBorders>
            <w:gridSpan w:val="6"/>
          </w:tcPr>
          <w:p>
            <w:pPr>
              <w:spacing w:after="0"/>
              <w:rPr>
                <w:sz w:val="10"/>
                <w:szCs w:val="10"/>
                <w:color w:val="auto"/>
              </w:rPr>
            </w:pPr>
          </w:p>
        </w:tc>
        <w:tc>
          <w:tcPr>
            <w:tcW w:w="4260" w:type="dxa"/>
            <w:vAlign w:val="bottom"/>
            <w:gridSpan w:val="4"/>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37</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40" w:type="dxa"/>
            <w:vAlign w:val="bottom"/>
            <w:tcBorders>
              <w:bottom w:val="single" w:sz="8" w:color="0000EE"/>
            </w:tcBorders>
            <w:gridSpan w:val="31"/>
          </w:tcPr>
          <w:p>
            <w:pPr>
              <w:spacing w:after="0" w:line="124" w:lineRule="exact"/>
              <w:rPr>
                <w:rFonts w:ascii="Arial" w:cs="Arial" w:eastAsia="Arial" w:hAnsi="Arial"/>
                <w:sz w:val="12"/>
                <w:szCs w:val="12"/>
                <w:color w:val="0000EE"/>
                <w:w w:val="88"/>
              </w:rPr>
            </w:pPr>
            <w:hyperlink w:anchor="page40">
              <w:r>
                <w:rPr>
                  <w:rFonts w:ascii="Arial" w:cs="Arial" w:eastAsia="Arial" w:hAnsi="Arial"/>
                  <w:sz w:val="12"/>
                  <w:szCs w:val="12"/>
                  <w:color w:val="0000EE"/>
                  <w:w w:val="88"/>
                </w:rPr>
                <w:t>Schedule II — Valuation and Qualifying Accounts</w:t>
              </w:r>
            </w:hyperlink>
          </w:p>
        </w:tc>
        <w:tc>
          <w:tcPr>
            <w:tcW w:w="6160" w:type="dxa"/>
            <w:vAlign w:val="bottom"/>
            <w:gridSpan w:val="22"/>
          </w:tcPr>
          <w:p>
            <w:pPr>
              <w:spacing w:after="0"/>
              <w:rPr>
                <w:sz w:val="10"/>
                <w:szCs w:val="10"/>
                <w:color w:val="auto"/>
              </w:rPr>
            </w:pPr>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38</w:t>
            </w: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500" w:type="dxa"/>
            <w:vAlign w:val="bottom"/>
            <w:gridSpan w:val="53"/>
          </w:tcPr>
          <w:p>
            <w:pPr>
              <w:spacing w:after="0" w:line="124" w:lineRule="exact"/>
              <w:rPr>
                <w:rFonts w:ascii="Arial" w:cs="Arial" w:eastAsia="Arial" w:hAnsi="Arial"/>
                <w:sz w:val="12"/>
                <w:szCs w:val="12"/>
                <w:color w:val="0000EE"/>
              </w:rPr>
            </w:pPr>
            <w:hyperlink w:anchor="page41">
              <w:r>
                <w:rPr>
                  <w:rFonts w:ascii="Arial" w:cs="Arial" w:eastAsia="Arial" w:hAnsi="Arial"/>
                  <w:sz w:val="12"/>
                  <w:szCs w:val="12"/>
                  <w:color w:val="0000EE"/>
                </w:rPr>
                <w:t>Signatures</w:t>
              </w:r>
            </w:hyperlink>
          </w:p>
        </w:tc>
        <w:tc>
          <w:tcPr>
            <w:tcW w:w="740" w:type="dxa"/>
            <w:vAlign w:val="bottom"/>
          </w:tcPr>
          <w:p>
            <w:pPr>
              <w:jc w:val="right"/>
              <w:ind w:right="262"/>
              <w:spacing w:after="0" w:line="124" w:lineRule="exact"/>
              <w:rPr>
                <w:sz w:val="20"/>
                <w:szCs w:val="20"/>
                <w:color w:val="auto"/>
              </w:rPr>
            </w:pPr>
            <w:r>
              <w:rPr>
                <w:rFonts w:ascii="Arial" w:cs="Arial" w:eastAsia="Arial" w:hAnsi="Arial"/>
                <w:sz w:val="12"/>
                <w:szCs w:val="12"/>
                <w:color w:val="auto"/>
              </w:rPr>
              <w:t>39</w:t>
            </w:r>
          </w:p>
        </w:tc>
      </w:tr>
      <w:tr>
        <w:trPr>
          <w:trHeight w:val="20"/>
        </w:trPr>
        <w:tc>
          <w:tcPr>
            <w:tcW w:w="1660" w:type="dxa"/>
            <w:vAlign w:val="bottom"/>
            <w:gridSpan w:val="7"/>
          </w:tcPr>
          <w:p>
            <w:pPr>
              <w:spacing w:after="0" w:line="20" w:lineRule="exact"/>
              <w:rPr>
                <w:sz w:val="1"/>
                <w:szCs w:val="1"/>
                <w:color w:val="auto"/>
              </w:rPr>
            </w:pPr>
          </w:p>
        </w:tc>
        <w:tc>
          <w:tcPr>
            <w:tcW w:w="8780" w:type="dxa"/>
            <w:vAlign w:val="bottom"/>
            <w:tcBorders>
              <w:left w:val="single" w:sz="8" w:color="0000EE"/>
            </w:tcBorders>
            <w:gridSpan w:val="51"/>
          </w:tcPr>
          <w:p>
            <w:pPr>
              <w:spacing w:after="0" w:line="20" w:lineRule="exact"/>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EX-10.9</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EX-10.16</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EX-12.1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EX-21.1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EX-23.1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EX-24.6</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EX-24.7</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EX-24.8</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EX-24.9</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EX-24.10</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EX-24.11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EX-31.1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EX-31.2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EX-32.1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EX-32.2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EX-95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EX-99.1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INSTANCE DOCUMENT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SCHEMA DOCUMENT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CALCULATION LINKBASE DOCUMENT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LABELS LINKBASE DOCUMENT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PRESENTATION LINKBASE DOCUMENT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u w:val="single" w:color="auto"/>
          <w:color w:val="0000EE"/>
        </w:rPr>
        <w:t>EX-101 DEFINITION LINKBASE DOCUMENT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729297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440"/>
          </w:cols>
          <w:pgMar w:left="680" w:top="732" w:right="77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CAUTIONARY STATEMENT RELEVANT TO FORWARD-LOOKING INFORMATION</w:t>
      </w:r>
    </w:p>
    <w:p>
      <w:pPr>
        <w:spacing w:after="0" w:line="17"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FOR THE PURPOSE OF “SAFE HARBOR” PROVISIONS OF THE</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13"/>
          <w:szCs w:val="13"/>
          <w:b w:val="1"/>
          <w:bCs w:val="1"/>
          <w:color w:val="auto"/>
        </w:rPr>
        <w:t>PRIVATE SECURITIES LITIGATION REFORM ACT OF 1995</w:t>
      </w:r>
    </w:p>
    <w:p>
      <w:pPr>
        <w:spacing w:after="0" w:line="82" w:lineRule="exact"/>
        <w:rPr>
          <w:sz w:val="20"/>
          <w:szCs w:val="20"/>
          <w:color w:val="auto"/>
        </w:rPr>
      </w:pPr>
    </w:p>
    <w:p>
      <w:pPr>
        <w:ind w:left="460" w:right="220"/>
        <w:spacing w:after="0" w:line="305" w:lineRule="auto"/>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i w:val="1"/>
          <w:iCs w:val="1"/>
          <w:color w:val="auto"/>
        </w:rPr>
        <w:t>Annual Report on Form 10-K</w:t>
      </w:r>
      <w:r>
        <w:rPr>
          <w:rFonts w:ascii="Arial" w:cs="Arial" w:eastAsia="Arial" w:hAnsi="Arial"/>
          <w:sz w:val="11"/>
          <w:szCs w:val="11"/>
          <w:color w:val="auto"/>
        </w:rPr>
        <w:t xml:space="preserve"> of Chevron Corporation contains forward-looking statements relating to Chevron’s operations that are based on management’s current expectations, estimates and projections about the petroleum, chemicals and other energy-related industries. Words such as “anticipates,” “expects,” “intends,” “plans,” “targets,” “projects,” “believes,” “seeks,” “schedules,” “estimates,” “budgets” and similar expressions are intended to identify such forward-looking statements. These statements are not guarantees of future performance and are subject to certain risks, uncertainties and other factors, some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45" w:lineRule="exact"/>
        <w:rPr>
          <w:sz w:val="20"/>
          <w:szCs w:val="20"/>
          <w:color w:val="auto"/>
        </w:rPr>
      </w:pPr>
    </w:p>
    <w:p>
      <w:pPr>
        <w:ind w:left="460"/>
        <w:spacing w:after="0" w:line="271" w:lineRule="auto"/>
        <w:rPr>
          <w:sz w:val="20"/>
          <w:szCs w:val="20"/>
          <w:color w:val="auto"/>
        </w:rPr>
      </w:pPr>
      <w:r>
        <w:rPr>
          <w:rFonts w:ascii="Arial" w:cs="Arial" w:eastAsia="Arial" w:hAnsi="Arial"/>
          <w:sz w:val="12"/>
          <w:szCs w:val="12"/>
          <w:color w:val="auto"/>
        </w:rPr>
        <w:t>Among the important factors that could cause actual results to differ materially from those in the forward-looking statements are: changing crude oil and natural gas prices; changing refining, marketing and chemical margins; actions of competitors or regulators; timing of exploration expenses; timing of crude oil liftings; the competitiveness of alternate-energy sources or product substitutes; technological developments; the results of operations and financial condition of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net production or manufacturing facilities or delivery/transportation networks due to war, accidents, political events, civil unrest, severe weather or crude oil production quotas that might be imposed by the Organization of Petroleum Exporting Countries; the potential liability for remedial actions or assessments under existing or future environmental regulations and litigation; significant investment or product changes under existing or future environmental statutes, regulations and litigation; the potential liability resulting from other pending or future litigation; the company’s future acquisition or disposition of assets and gains and losses from asset dispositions or impairments; government-mandated sales, divestitures, recapitalizations, industry-specific taxes, changes in fiscal terms or restrictions on scope of company operations; foreign currency movements compared with the U.S. dollar; the effects of changed accounting rules under generally accepted accounting principles promulgated by rule-setting bodies; and the factors set forth under the heading “Risk Factors” on pages 29 through 31 in this report. In addition, such results could be affected by general domestic and international economic and political conditions. Other unpredictable or unknown factors not discussed in this report could also have material adverse effects on forward-looking statements.</w:t>
      </w:r>
    </w:p>
    <w:p>
      <w:pPr>
        <w:spacing w:after="0" w:line="2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w:t>
      </w:r>
    </w:p>
    <w:p>
      <w:pPr>
        <w:spacing w:after="0" w:line="16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color w:val="auto"/>
        </w:rPr>
        <w:t>Business</w:t>
      </w:r>
    </w:p>
    <w:p>
      <w:pPr>
        <w:spacing w:after="0" w:line="91" w:lineRule="exact"/>
        <w:rPr>
          <w:sz w:val="20"/>
          <w:szCs w:val="20"/>
          <w:color w:val="auto"/>
        </w:rPr>
      </w:pPr>
    </w:p>
    <w:p>
      <w:pPr>
        <w:ind w:left="460" w:right="8180" w:hanging="4"/>
        <w:spacing w:after="0" w:line="459" w:lineRule="auto"/>
        <w:tabs>
          <w:tab w:leader="none" w:pos="883"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General Development of Business Summary Description of Chevron</w:t>
      </w:r>
    </w:p>
    <w:p>
      <w:pPr>
        <w:spacing w:after="0" w:line="1" w:lineRule="exact"/>
        <w:rPr>
          <w:sz w:val="20"/>
          <w:szCs w:val="20"/>
          <w:color w:val="auto"/>
        </w:rPr>
      </w:pPr>
    </w:p>
    <w:p>
      <w:pPr>
        <w:ind w:left="460" w:right="40"/>
        <w:spacing w:after="0" w:line="250" w:lineRule="auto"/>
        <w:rPr>
          <w:sz w:val="20"/>
          <w:szCs w:val="20"/>
          <w:color w:val="auto"/>
        </w:rPr>
      </w:pPr>
      <w:r>
        <w:rPr>
          <w:rFonts w:ascii="Arial" w:cs="Arial" w:eastAsia="Arial" w:hAnsi="Arial"/>
          <w:sz w:val="13"/>
          <w:szCs w:val="13"/>
          <w:color w:val="auto"/>
        </w:rPr>
        <w:t>Chevron Corporation,</w:t>
      </w:r>
      <w:r>
        <w:rPr>
          <w:rFonts w:ascii="Arial" w:cs="Arial" w:eastAsia="Arial" w:hAnsi="Arial"/>
          <w:sz w:val="10"/>
          <w:szCs w:val="10"/>
          <w:color w:val="auto"/>
        </w:rPr>
        <w:t>*</w:t>
      </w:r>
      <w:r>
        <w:rPr>
          <w:rFonts w:ascii="Arial" w:cs="Arial" w:eastAsia="Arial" w:hAnsi="Arial"/>
          <w:sz w:val="13"/>
          <w:szCs w:val="13"/>
          <w:color w:val="auto"/>
        </w:rPr>
        <w:t xml:space="preserve"> a Delaware corporation, manages its investments in subsidiaries and affiliates and provides administrative, financial, management and technology support to U.S. and international subsidiaries that engage in fully integrated petroleum operations, chemicals operations, mining operations, power generation and energy services. Upstream operations consist primarily of exploring for, developing and producing crude oil and natural gas; processing, liquefaction, transportation and regasification associated with liquefied natural gas; transporting crude oil by major international oil export pipelines; transporting, storage and marketing of natural gas; and a gas-to-liquids project. Downstream operations consist primarily of refining crude oil into petroleum products; marketing of crude oil and refined products; transporting crude oil and refined products by pipeline, marine vessel, motor equipment and rail car; and manufacturing and marketing of commodity petrochemicals, plastics for industrial uses and fuel and lubricant additives.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 list of the company’s major subsidiaries is presented on pages E-4 and E-5. As of December 31, 2011, Chevron had approximately 61,000 employees (including about 3,800 service station employees).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Approximately 30,000 employees (including about 3,500 service station employees), or 49 percent, were employed in U.S. operations.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Overview of Petroleum Industry</w:t>
      </w:r>
    </w:p>
    <w:p>
      <w:pPr>
        <w:spacing w:after="0" w:line="95" w:lineRule="exact"/>
        <w:rPr>
          <w:sz w:val="20"/>
          <w:szCs w:val="20"/>
          <w:color w:val="auto"/>
        </w:rPr>
      </w:pPr>
    </w:p>
    <w:p>
      <w:pPr>
        <w:ind w:left="460" w:right="20"/>
        <w:spacing w:after="0" w:line="251" w:lineRule="auto"/>
        <w:rPr>
          <w:sz w:val="20"/>
          <w:szCs w:val="20"/>
          <w:color w:val="auto"/>
        </w:rPr>
      </w:pPr>
      <w:r>
        <w:rPr>
          <w:rFonts w:ascii="Arial" w:cs="Arial" w:eastAsia="Arial" w:hAnsi="Arial"/>
          <w:sz w:val="13"/>
          <w:szCs w:val="13"/>
          <w:color w:val="auto"/>
        </w:rPr>
        <w:t>Petroleum industry operations and profitability are influenced by many factors. Prices for crude oil, natural gas, petroleum products and petrochemicals are generally determined by supply and demand. The members of the Organization of Petroleum Exporting Countries (OPEC) are typically the world’s swing producers of crude oil and their production levels are a major factor in determining worldwide supply. Demand for crude oil and its products and for natural gas is largely driven by the conditions of local, national and global economies, although weather patterns and taxation relative to other energy sources also play a significant part. Laws and governmental policies, particularly in the areas of taxation, energy and the environment affect where and how companies conduct their operations and formulate their products and, in some cases, limit their profits directly.</w:t>
      </w:r>
    </w:p>
    <w:p>
      <w:pPr>
        <w:spacing w:after="0" w:line="74" w:lineRule="exact"/>
        <w:rPr>
          <w:sz w:val="20"/>
          <w:szCs w:val="20"/>
          <w:color w:val="auto"/>
        </w:rPr>
      </w:pPr>
    </w:p>
    <w:p>
      <w:pPr>
        <w:ind w:left="460" w:right="60"/>
        <w:spacing w:after="0" w:line="314" w:lineRule="auto"/>
        <w:rPr>
          <w:sz w:val="20"/>
          <w:szCs w:val="20"/>
          <w:color w:val="auto"/>
        </w:rPr>
      </w:pPr>
      <w:r>
        <w:rPr>
          <w:rFonts w:ascii="Arial" w:cs="Arial" w:eastAsia="Arial" w:hAnsi="Arial"/>
          <w:sz w:val="11"/>
          <w:szCs w:val="11"/>
          <w:color w:val="auto"/>
        </w:rPr>
        <w:t>Strong competition exists in all sectors of the petroleum and petrochemical industries in supplying the energy, fuel and chemical needs of industry and individual consumers. Chevron competes with fully integrated, major global petroleum companies, as well as independent and national petroleum companies, for the acquisition of crude oil and natural gas leases and other properties and for the equipment and labor required to develop and operate those properties. In its downstream business, Chevron also competes with fully integrated, major petroleum companies and other independent refining, marketing, transportation and chemicals entities and national petroleum companies in the sale or acquisition of various goods or services in many national and international markets.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Operating Environment</w:t>
      </w:r>
    </w:p>
    <w:p>
      <w:pPr>
        <w:spacing w:after="0" w:line="95" w:lineRule="exact"/>
        <w:rPr>
          <w:sz w:val="20"/>
          <w:szCs w:val="20"/>
          <w:color w:val="auto"/>
        </w:rPr>
      </w:pPr>
    </w:p>
    <w:p>
      <w:pPr>
        <w:ind w:left="460" w:right="380"/>
        <w:spacing w:after="0" w:line="267" w:lineRule="auto"/>
        <w:rPr>
          <w:sz w:val="20"/>
          <w:szCs w:val="20"/>
          <w:color w:val="auto"/>
        </w:rPr>
      </w:pPr>
      <w:r>
        <w:rPr>
          <w:rFonts w:ascii="Arial" w:cs="Arial" w:eastAsia="Arial" w:hAnsi="Arial"/>
          <w:sz w:val="13"/>
          <w:szCs w:val="13"/>
          <w:color w:val="auto"/>
        </w:rPr>
        <w:t>Refer to pages FS-2 through FS-8 of this Form 10-K in Management’s Discussion and Analysis of Financial Condition and Results of Operations for a discussion of the company’s current business environment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50800</wp:posOffset>
            </wp:positionV>
            <wp:extent cx="8604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0425" cy="6350"/>
                    </a:xfrm>
                    <a:prstGeom prst="rect">
                      <a:avLst/>
                    </a:prstGeom>
                    <a:noFill/>
                  </pic:spPr>
                </pic:pic>
              </a:graphicData>
            </a:graphic>
          </wp:anchor>
        </w:drawing>
      </w:r>
    </w:p>
    <w:p>
      <w:pPr>
        <w:spacing w:after="0" w:line="105" w:lineRule="exact"/>
        <w:rPr>
          <w:sz w:val="20"/>
          <w:szCs w:val="20"/>
          <w:color w:val="auto"/>
        </w:rPr>
      </w:pPr>
    </w:p>
    <w:p>
      <w:pPr>
        <w:jc w:val="both"/>
        <w:ind w:left="560" w:hanging="103"/>
        <w:spacing w:after="0" w:line="232" w:lineRule="auto"/>
        <w:tabs>
          <w:tab w:leader="none" w:pos="564" w:val="left"/>
        </w:tabs>
        <w:numPr>
          <w:ilvl w:val="0"/>
          <w:numId w:val="4"/>
        </w:numPr>
        <w:rPr>
          <w:rFonts w:ascii="Arial" w:cs="Arial" w:eastAsia="Arial" w:hAnsi="Arial"/>
          <w:sz w:val="9"/>
          <w:szCs w:val="9"/>
          <w:color w:val="auto"/>
        </w:rPr>
      </w:pPr>
      <w:r>
        <w:rPr>
          <w:rFonts w:ascii="Arial" w:cs="Arial" w:eastAsia="Arial" w:hAnsi="Arial"/>
          <w:sz w:val="10"/>
          <w:szCs w:val="10"/>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and “us” may refer to Chevron Corporation, one or more of its consolidated subsidiaries, or all of them taken as a whole, but unless stated otherwise it does not include “affiliates” of Chevron — i.e., those companies accounted for by the equity method (generally owned 50 percent or less) or investments accounted for by the cost method. All of these terms are used for convenience only and are not intended as a precise description of any of the separate companies, each of which manages its own affairs.</w:t>
      </w: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Chevron’s Strategic Direction</w:t>
      </w:r>
    </w:p>
    <w:p>
      <w:pPr>
        <w:spacing w:after="0" w:line="95"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Chevron’s primary objective is to create shareholder value and achieve sustained financial returns from its operations that will enable it to outperform its competitors. In the upstream, the company’s strategies are to grow profitably in core areas, build new legacy positions and commercialize the company’s equity natural gas resource base while growing a high-impact global natural gas business. In the downstream, the strategies are to improve returns and grow earnings across the value chain. The company also continues to utilize technology across all its businesses to differentiate performance, and to invest in profitable renewable energy and energy efficiency solutions.</w:t>
      </w:r>
    </w:p>
    <w:p>
      <w:pPr>
        <w:spacing w:after="0" w:line="144" w:lineRule="exact"/>
        <w:rPr>
          <w:sz w:val="20"/>
          <w:szCs w:val="20"/>
          <w:color w:val="auto"/>
        </w:rPr>
      </w:pPr>
    </w:p>
    <w:p>
      <w:pPr>
        <w:ind w:left="880" w:hanging="424"/>
        <w:spacing w:after="0"/>
        <w:tabs>
          <w:tab w:leader="none" w:pos="88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 and Properties</w:t>
      </w:r>
    </w:p>
    <w:p>
      <w:pPr>
        <w:spacing w:after="0" w:line="95" w:lineRule="exact"/>
        <w:rPr>
          <w:sz w:val="20"/>
          <w:szCs w:val="20"/>
          <w:color w:val="auto"/>
        </w:rPr>
      </w:pPr>
    </w:p>
    <w:p>
      <w:pPr>
        <w:ind w:left="460"/>
        <w:spacing w:after="0" w:line="281" w:lineRule="auto"/>
        <w:rPr>
          <w:sz w:val="20"/>
          <w:szCs w:val="20"/>
          <w:color w:val="auto"/>
        </w:rPr>
      </w:pPr>
      <w:r>
        <w:rPr>
          <w:rFonts w:ascii="Arial" w:cs="Arial" w:eastAsia="Arial" w:hAnsi="Arial"/>
          <w:sz w:val="12"/>
          <w:szCs w:val="12"/>
          <w:color w:val="auto"/>
        </w:rPr>
        <w:t>The upstream and downstream activities of the company and its equity affiliates are widely dispersed geographically, with operations in North America, South America, Europe, Africa, Asia and Australia. Tabulations of segment sales and other operating revenues, earnings and income taxes for the three years ending December 31, 2011, and assets as of the end of 2011 and 2010 — for the United States and the company’s international geographic areas — are in Note 11 to the Consolidated Financial Statements beginning on page FS-37. Similar comparative data for the company’s investments in and income from equity affiliates and property, plant and equipment are in Notes 12 and 13 on pages FS-39 through FS-41.</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Capital and Exploratory Expenditures</w:t>
      </w:r>
    </w:p>
    <w:p>
      <w:pPr>
        <w:spacing w:after="0" w:line="95"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Total expenditures for 2011 were $29.1 billion, including $1.7 billion for the company’s share of equity-affiliate expenditures. In 2010 and 2009, expenditures were $21.8 billion and $22.2 billion, respectively, including the company’s share of affiliates’ expenditures of $1.4 billion in 2010 and $1.6 billion in 2009.</w:t>
      </w:r>
    </w:p>
    <w:p>
      <w:pPr>
        <w:spacing w:after="0" w:line="61" w:lineRule="exact"/>
        <w:rPr>
          <w:sz w:val="20"/>
          <w:szCs w:val="20"/>
          <w:color w:val="auto"/>
        </w:rPr>
      </w:pPr>
    </w:p>
    <w:p>
      <w:pPr>
        <w:ind w:left="460" w:right="160"/>
        <w:spacing w:after="0" w:line="288" w:lineRule="auto"/>
        <w:rPr>
          <w:sz w:val="20"/>
          <w:szCs w:val="20"/>
          <w:color w:val="auto"/>
        </w:rPr>
      </w:pPr>
      <w:r>
        <w:rPr>
          <w:rFonts w:ascii="Arial" w:cs="Arial" w:eastAsia="Arial" w:hAnsi="Arial"/>
          <w:sz w:val="12"/>
          <w:szCs w:val="12"/>
          <w:color w:val="auto"/>
        </w:rPr>
        <w:t>Of the $29.1 billion in expenditures for 2011, 89 percent, or $25.9 billion, was related to upstream activities. Approximately 87 and 80 percent was expended for upstream operations in 2010 and 2009, respectively. International upstream accounted for about 68 percent of the worldwide upstream investment in 2011, about 82 percent in 2010 and about 80 percent in 2009. These amounts exclude the acquisition of Atlas Energy, Inc. in 2011. Refer to a discussion of the acquisition of Atlas Energy, Inc., in Note 2 to the Consolidated Financial Statements on page FS-30.</w:t>
      </w:r>
    </w:p>
    <w:p>
      <w:pPr>
        <w:spacing w:after="0" w:line="51" w:lineRule="exact"/>
        <w:rPr>
          <w:sz w:val="20"/>
          <w:szCs w:val="20"/>
          <w:color w:val="auto"/>
        </w:rPr>
      </w:pPr>
    </w:p>
    <w:p>
      <w:pPr>
        <w:ind w:left="460" w:right="480"/>
        <w:spacing w:after="0" w:line="267" w:lineRule="auto"/>
        <w:rPr>
          <w:sz w:val="20"/>
          <w:szCs w:val="20"/>
          <w:color w:val="auto"/>
        </w:rPr>
      </w:pPr>
      <w:r>
        <w:rPr>
          <w:rFonts w:ascii="Arial" w:cs="Arial" w:eastAsia="Arial" w:hAnsi="Arial"/>
          <w:sz w:val="13"/>
          <w:szCs w:val="13"/>
          <w:color w:val="auto"/>
        </w:rPr>
        <w:t>In 2012, the company estimates capital and exploratory expenditures will be $32.7 billion, including $3 billion of spending by affiliates. Approximately 87 percent of the total, or $28.5 billion, is budgeted for exploration and production activities, with $22.3 billion, or about 78 percent, of this amount for projects outside the United States.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also to a discussion of the company’s capital and exploratory expenditures on pages FS-11 through FS-12.</w:t>
      </w: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Upstream</w:t>
      </w:r>
    </w:p>
    <w:p>
      <w:pPr>
        <w:spacing w:after="0" w:line="95" w:lineRule="exact"/>
        <w:rPr>
          <w:sz w:val="20"/>
          <w:szCs w:val="20"/>
          <w:color w:val="auto"/>
        </w:rPr>
      </w:pPr>
    </w:p>
    <w:p>
      <w:pPr>
        <w:ind w:left="460" w:right="140"/>
        <w:spacing w:after="0" w:line="308" w:lineRule="auto"/>
        <w:rPr>
          <w:sz w:val="20"/>
          <w:szCs w:val="20"/>
          <w:color w:val="auto"/>
        </w:rPr>
      </w:pPr>
      <w:r>
        <w:rPr>
          <w:rFonts w:ascii="Arial" w:cs="Arial" w:eastAsia="Arial" w:hAnsi="Arial"/>
          <w:sz w:val="11"/>
          <w:szCs w:val="11"/>
          <w:color w:val="auto"/>
        </w:rPr>
        <w:t>The table on the following page summarizes the net production of liquids and natural gas for 2011 and 2010 by the company and its affiliates. Worldwide oil-equivalent production was 2.673 million barrels per day, down about three percent from 2010. The decrease was mainly associated with normal field declines, maintenance-related downtime and the impact of higher prices on entitlement volumes. The start-up and ramp-up of several major capital projects — the Perdido project in the U.S. Gulf of Mexico, the expansion at the Athabasca Oil Sands Project in Canada, the Frade Field in Brazil, and the Platong II natural gas project in Thailand — as well as acquisitions in the Marcellus Shale, partially offset the decrease in net production from 2010. Refer to the “Results of Operations” section beginning on page FS-6 for a detailed discussion of the factors explaining the 2009 — 2011 changes in production for crude oil and natural gas liquids, and natural gas.</w:t>
      </w:r>
    </w:p>
    <w:p>
      <w:pPr>
        <w:spacing w:after="0" w:line="44" w:lineRule="exact"/>
        <w:rPr>
          <w:sz w:val="20"/>
          <w:szCs w:val="20"/>
          <w:color w:val="auto"/>
        </w:rPr>
      </w:pPr>
    </w:p>
    <w:p>
      <w:pPr>
        <w:ind w:left="460" w:right="20"/>
        <w:spacing w:after="0" w:line="275" w:lineRule="auto"/>
        <w:rPr>
          <w:sz w:val="20"/>
          <w:szCs w:val="20"/>
          <w:color w:val="auto"/>
        </w:rPr>
      </w:pPr>
      <w:r>
        <w:rPr>
          <w:rFonts w:ascii="Arial" w:cs="Arial" w:eastAsia="Arial" w:hAnsi="Arial"/>
          <w:sz w:val="12"/>
          <w:szCs w:val="12"/>
          <w:color w:val="auto"/>
        </w:rPr>
        <w:t>The company estimates its average worldwide oil-equivalent production in 2012 will be approximately 2.680 million barrels per day based on the average Brent price of $111 per barrel in 2011. This estimate is subject to many factors and uncertainties, including quotas that may be imposed by OPEC, price effects on entitlement volumes, changes in fiscal terms or restrictions on the scope of company operations, delays in project startups, fluctuations in demand for natural gas in various markets, weather conditions that may shut in production, civil unrest, changing geopolitics, delays in completion of maintenance turnarounds, greater-than-expected declines in production from mature fields, or other disruptions to operations. The outlook for future production levels is also affected by the size and number of economic investment opportunities and, for new, large-scale projects, the time lag between initial exploration and the beginning of production. Refer to the “Review of Ongoing Exploration and Production Activities in Key Areas,” beginning on page 8, for a discussion of the company’s major crude oil and natural gas development projects.</w:t>
      </w: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 xml:space="preserve">Net Production of Crude Oil and Natural Gas Liquids and Natural Gas </w:t>
      </w:r>
      <w:r>
        <w:rPr>
          <w:rFonts w:ascii="Arial" w:cs="Arial" w:eastAsia="Arial" w:hAnsi="Arial"/>
          <w:sz w:val="10"/>
          <w:szCs w:val="10"/>
          <w:b w:val="1"/>
          <w:bCs w:val="1"/>
          <w:color w:val="auto"/>
        </w:rPr>
        <w:t>1</w:t>
      </w:r>
    </w:p>
    <w:p>
      <w:pPr>
        <w:spacing w:after="0" w:line="170" w:lineRule="exact"/>
        <w:rPr>
          <w:sz w:val="20"/>
          <w:szCs w:val="20"/>
          <w:color w:val="auto"/>
        </w:rPr>
      </w:pPr>
    </w:p>
    <w:tbl>
      <w:tblPr>
        <w:tblLayout w:type="fixed"/>
        <w:tblInd w:w="47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4"/>
          </w:tcPr>
          <w:p>
            <w:pPr>
              <w:ind w:left="340"/>
              <w:spacing w:after="0"/>
              <w:rPr>
                <w:sz w:val="20"/>
                <w:szCs w:val="20"/>
                <w:color w:val="auto"/>
              </w:rPr>
            </w:pPr>
            <w:r>
              <w:rPr>
                <w:rFonts w:ascii="Arial" w:cs="Arial" w:eastAsia="Arial" w:hAnsi="Arial"/>
                <w:sz w:val="9"/>
                <w:szCs w:val="9"/>
                <w:b w:val="1"/>
                <w:bCs w:val="1"/>
                <w:color w:val="auto"/>
                <w:w w:val="94"/>
              </w:rPr>
              <w:t>Components of Oil-Equivalent</w:t>
            </w:r>
          </w:p>
        </w:tc>
        <w:tc>
          <w:tcPr>
            <w:tcW w:w="3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620" w:type="dxa"/>
            <w:vAlign w:val="bottom"/>
            <w:tcBorders>
              <w:left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gridSpan w:val="4"/>
          </w:tcPr>
          <w:p>
            <w:pPr>
              <w:jc w:val="center"/>
              <w:ind w:left="258"/>
              <w:spacing w:after="0" w:line="73" w:lineRule="exact"/>
              <w:rPr>
                <w:sz w:val="20"/>
                <w:szCs w:val="20"/>
                <w:color w:val="auto"/>
              </w:rPr>
            </w:pPr>
            <w:r>
              <w:rPr>
                <w:rFonts w:ascii="Arial" w:cs="Arial" w:eastAsia="Arial" w:hAnsi="Arial"/>
                <w:sz w:val="8"/>
                <w:szCs w:val="8"/>
                <w:b w:val="1"/>
                <w:bCs w:val="1"/>
                <w:color w:val="auto"/>
              </w:rPr>
              <w:t>Crude Oil &amp; Natural Gas</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620" w:type="dxa"/>
            <w:vAlign w:val="bottom"/>
            <w:tcBorders>
              <w:lef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700" w:type="dxa"/>
            <w:vAlign w:val="bottom"/>
            <w:gridSpan w:val="4"/>
          </w:tcPr>
          <w:p>
            <w:pPr>
              <w:jc w:val="center"/>
              <w:ind w:left="255"/>
              <w:spacing w:after="0" w:line="96" w:lineRule="exact"/>
              <w:rPr>
                <w:sz w:val="20"/>
                <w:szCs w:val="20"/>
                <w:color w:val="auto"/>
              </w:rPr>
            </w:pPr>
            <w:r>
              <w:rPr>
                <w:rFonts w:ascii="Arial" w:cs="Arial" w:eastAsia="Arial" w:hAnsi="Arial"/>
                <w:sz w:val="9"/>
                <w:szCs w:val="9"/>
                <w:b w:val="1"/>
                <w:bCs w:val="1"/>
                <w:color w:val="auto"/>
                <w:w w:val="91"/>
              </w:rPr>
              <w:t>Oil-Equivalent (Thousands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gridSpan w:val="3"/>
          </w:tcPr>
          <w:p>
            <w:pPr>
              <w:jc w:val="center"/>
              <w:ind w:right="175"/>
              <w:spacing w:after="0" w:line="96" w:lineRule="exact"/>
              <w:rPr>
                <w:sz w:val="20"/>
                <w:szCs w:val="20"/>
                <w:color w:val="auto"/>
              </w:rPr>
            </w:pPr>
            <w:r>
              <w:rPr>
                <w:rFonts w:ascii="Arial" w:cs="Arial" w:eastAsia="Arial" w:hAnsi="Arial"/>
                <w:sz w:val="9"/>
                <w:szCs w:val="9"/>
                <w:b w:val="1"/>
                <w:bCs w:val="1"/>
                <w:color w:val="auto"/>
                <w:w w:val="91"/>
              </w:rPr>
              <w:t>Liquids (Thousands of</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gridSpan w:val="4"/>
          </w:tcPr>
          <w:p>
            <w:pPr>
              <w:jc w:val="center"/>
              <w:ind w:left="235"/>
              <w:spacing w:after="0" w:line="96" w:lineRule="exact"/>
              <w:rPr>
                <w:sz w:val="20"/>
                <w:szCs w:val="20"/>
                <w:color w:val="auto"/>
              </w:rPr>
            </w:pPr>
            <w:r>
              <w:rPr>
                <w:rFonts w:ascii="Arial" w:cs="Arial" w:eastAsia="Arial" w:hAnsi="Arial"/>
                <w:sz w:val="9"/>
                <w:szCs w:val="9"/>
                <w:b w:val="1"/>
                <w:bCs w:val="1"/>
                <w:color w:val="auto"/>
                <w:w w:val="93"/>
              </w:rPr>
              <w:t>Natural Gas (Millions of</w:t>
            </w:r>
          </w:p>
        </w:tc>
        <w:tc>
          <w:tcPr>
            <w:tcW w:w="3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620" w:type="dxa"/>
            <w:vAlign w:val="bottom"/>
            <w:tcBorders>
              <w:left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center"/>
              <w:ind w:right="275"/>
              <w:spacing w:after="0"/>
              <w:rPr>
                <w:sz w:val="20"/>
                <w:szCs w:val="20"/>
                <w:color w:val="auto"/>
              </w:rPr>
            </w:pPr>
            <w:r>
              <w:rPr>
                <w:rFonts w:ascii="Arial" w:cs="Arial" w:eastAsia="Arial" w:hAnsi="Arial"/>
                <w:sz w:val="9"/>
                <w:szCs w:val="9"/>
                <w:b w:val="1"/>
                <w:bCs w:val="1"/>
                <w:color w:val="auto"/>
                <w:w w:val="91"/>
              </w:rPr>
              <w:t>of Barrels per Day)</w:t>
            </w: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9"/>
                <w:szCs w:val="9"/>
                <w:b w:val="1"/>
                <w:bCs w:val="1"/>
                <w:color w:val="auto"/>
                <w:w w:val="91"/>
              </w:rPr>
              <w:t>Barrels per Day)</w:t>
            </w: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9"/>
                <w:szCs w:val="9"/>
                <w:b w:val="1"/>
                <w:bCs w:val="1"/>
                <w:color w:val="auto"/>
                <w:w w:val="92"/>
              </w:rPr>
              <w:t>Cubic Feet per Day)</w:t>
            </w:r>
          </w:p>
        </w:tc>
        <w:tc>
          <w:tcPr>
            <w:tcW w:w="30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620" w:type="dxa"/>
            <w:vAlign w:val="bottom"/>
            <w:tcBorders>
              <w:lef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60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b w:val="1"/>
                <w:bCs w:val="1"/>
                <w:color w:val="auto"/>
              </w:rPr>
              <w:t>2011</w:t>
            </w: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b w:val="1"/>
                <w:bCs w:val="1"/>
                <w:color w:val="auto"/>
              </w:rPr>
              <w:t>2010</w:t>
            </w: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b w:val="1"/>
                <w:bCs w:val="1"/>
                <w:color w:val="auto"/>
              </w:rPr>
              <w:t>2011</w:t>
            </w:r>
          </w:p>
        </w:tc>
        <w:tc>
          <w:tcPr>
            <w:tcW w:w="3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bottom w:val="single" w:sz="8" w:color="auto"/>
            </w:tcBorders>
          </w:tcPr>
          <w:p>
            <w:pPr>
              <w:ind w:left="340"/>
              <w:spacing w:after="0" w:line="86" w:lineRule="exact"/>
              <w:rPr>
                <w:sz w:val="20"/>
                <w:szCs w:val="20"/>
                <w:color w:val="auto"/>
              </w:rPr>
            </w:pPr>
            <w:r>
              <w:rPr>
                <w:rFonts w:ascii="Arial" w:cs="Arial" w:eastAsia="Arial" w:hAnsi="Arial"/>
                <w:sz w:val="9"/>
                <w:szCs w:val="9"/>
                <w:b w:val="1"/>
                <w:bCs w:val="1"/>
                <w:color w:val="auto"/>
                <w:w w:val="99"/>
              </w:rPr>
              <w:t>2010</w:t>
            </w: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b w:val="1"/>
                <w:bCs w:val="1"/>
                <w:color w:val="auto"/>
              </w:rPr>
              <w:t>2011</w:t>
            </w: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b w:val="1"/>
                <w:bCs w:val="1"/>
                <w:color w:val="auto"/>
              </w:rPr>
              <w:t>2010</w:t>
            </w:r>
          </w:p>
        </w:tc>
        <w:tc>
          <w:tcPr>
            <w:tcW w:w="30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620" w:type="dxa"/>
            <w:vAlign w:val="bottom"/>
            <w:tcBorders>
              <w:left w:val="single" w:sz="8" w:color="auto"/>
            </w:tcBorders>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rPr>
              <w:t>United States</w:t>
            </w:r>
          </w:p>
        </w:tc>
        <w:tc>
          <w:tcPr>
            <w:tcW w:w="1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678</w:t>
            </w:r>
          </w:p>
        </w:tc>
        <w:tc>
          <w:tcPr>
            <w:tcW w:w="5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708</w:t>
            </w:r>
          </w:p>
        </w:tc>
        <w:tc>
          <w:tcPr>
            <w:tcW w:w="5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465</w:t>
            </w:r>
          </w:p>
        </w:tc>
        <w:tc>
          <w:tcPr>
            <w:tcW w:w="5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489</w:t>
            </w: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w w:val="93"/>
              </w:rPr>
              <w:t>1,279</w:t>
            </w:r>
          </w:p>
        </w:tc>
        <w:tc>
          <w:tcPr>
            <w:tcW w:w="52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93"/>
              </w:rPr>
              <w:t>1,314</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Other Americas:</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Canada</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70</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69</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Colombia</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39</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41</w:t>
            </w:r>
          </w:p>
        </w:tc>
        <w:tc>
          <w:tcPr>
            <w:tcW w:w="520" w:type="dxa"/>
            <w:vAlign w:val="bottom"/>
          </w:tcPr>
          <w:p>
            <w:pPr>
              <w:spacing w:after="0"/>
              <w:rPr>
                <w:sz w:val="12"/>
                <w:szCs w:val="12"/>
                <w:color w:val="auto"/>
              </w:rPr>
            </w:pPr>
          </w:p>
        </w:tc>
        <w:tc>
          <w:tcPr>
            <w:tcW w:w="1100" w:type="dxa"/>
            <w:vAlign w:val="bottom"/>
            <w:gridSpan w:val="3"/>
          </w:tcPr>
          <w:p>
            <w:pPr>
              <w:jc w:val="right"/>
              <w:ind w:right="715"/>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3"/>
          </w:tcPr>
          <w:p>
            <w:pPr>
              <w:jc w:val="right"/>
              <w:ind w:right="675"/>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234</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Brazil</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35</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33</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13</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Trinidad and Tobago</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31</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38</w:t>
            </w:r>
          </w:p>
        </w:tc>
        <w:tc>
          <w:tcPr>
            <w:tcW w:w="520" w:type="dxa"/>
            <w:vAlign w:val="bottom"/>
          </w:tcPr>
          <w:p>
            <w:pPr>
              <w:spacing w:after="0"/>
              <w:rPr>
                <w:sz w:val="12"/>
                <w:szCs w:val="12"/>
                <w:color w:val="auto"/>
              </w:rPr>
            </w:pPr>
          </w:p>
        </w:tc>
        <w:tc>
          <w:tcPr>
            <w:tcW w:w="1100" w:type="dxa"/>
            <w:vAlign w:val="bottom"/>
            <w:gridSpan w:val="3"/>
          </w:tcPr>
          <w:p>
            <w:pPr>
              <w:jc w:val="right"/>
              <w:ind w:right="715"/>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183</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Argentina</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27</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26</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vMerge w:val="restart"/>
          </w:tcPr>
          <w:p>
            <w:pPr>
              <w:ind w:left="140"/>
              <w:spacing w:after="0"/>
              <w:rPr>
                <w:sz w:val="20"/>
                <w:szCs w:val="20"/>
                <w:color w:val="auto"/>
              </w:rPr>
            </w:pPr>
            <w:r>
              <w:rPr>
                <w:rFonts w:ascii="Arial" w:cs="Arial" w:eastAsia="Arial" w:hAnsi="Arial"/>
                <w:sz w:val="12"/>
                <w:szCs w:val="12"/>
                <w:color w:val="auto"/>
              </w:rPr>
              <w:t>Total Other Americas</w:t>
            </w: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202</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189</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128</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438</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Africa:</w:t>
            </w:r>
          </w:p>
        </w:tc>
        <w:tc>
          <w:tcPr>
            <w:tcW w:w="156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Nigeria</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260</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253</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236</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239</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142</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Angola</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147</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161</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139</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152</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50</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Chad</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26</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25</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27</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Republic of the Congo</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Democratic Republic of the Congo</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Total Africa</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459</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469</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424</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443</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209</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1"/>
        </w:trPr>
        <w:tc>
          <w:tcPr>
            <w:tcW w:w="26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Asia:</w:t>
            </w:r>
          </w:p>
        </w:tc>
        <w:tc>
          <w:tcPr>
            <w:tcW w:w="15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Thailand</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209</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216</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65</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867</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875</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Indonesia</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208</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226</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166</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187</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253</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line="145" w:lineRule="exact"/>
              <w:rPr>
                <w:sz w:val="20"/>
                <w:szCs w:val="20"/>
                <w:color w:val="auto"/>
              </w:rPr>
            </w:pPr>
            <w:r>
              <w:rPr>
                <w:rFonts w:ascii="Arial" w:cs="Arial" w:eastAsia="Arial" w:hAnsi="Arial"/>
                <w:sz w:val="10"/>
                <w:szCs w:val="10"/>
                <w:color w:val="auto"/>
              </w:rPr>
              <w:t>Partitioned Zone</w:t>
            </w:r>
            <w:r>
              <w:rPr>
                <w:rFonts w:ascii="Arial" w:cs="Arial" w:eastAsia="Arial" w:hAnsi="Arial"/>
                <w:sz w:val="16"/>
                <w:szCs w:val="16"/>
                <w:color w:val="auto"/>
                <w:vertAlign w:val="superscript"/>
              </w:rPr>
              <w:t>2</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91</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98</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88</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94</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Bangladesh</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74</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69</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434</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Kazakhstan</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62</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38</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144</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Azerbaijan</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28</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30</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26</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Philippines</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25</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126</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China</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22</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20</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18</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Myanmar</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14</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5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715"/>
              <w:spacing w:after="0"/>
              <w:rPr>
                <w:sz w:val="20"/>
                <w:szCs w:val="20"/>
                <w:color w:val="auto"/>
              </w:rPr>
            </w:pPr>
            <w:r>
              <w:rPr>
                <w:rFonts w:ascii="Arial" w:cs="Arial" w:eastAsia="Arial" w:hAnsi="Arial"/>
                <w:sz w:val="12"/>
                <w:szCs w:val="12"/>
                <w:b w:val="1"/>
                <w:bCs w:val="1"/>
                <w:color w:val="auto"/>
              </w:rPr>
              <w:t>—</w:t>
            </w:r>
          </w:p>
        </w:tc>
        <w:tc>
          <w:tcPr>
            <w:tcW w:w="1020" w:type="dxa"/>
            <w:vAlign w:val="bottom"/>
            <w:gridSpan w:val="3"/>
            <w:shd w:val="clear" w:color="auto" w:fill="CCEEFF"/>
          </w:tcPr>
          <w:p>
            <w:pPr>
              <w:jc w:val="right"/>
              <w:ind w:right="675"/>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86</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vMerge w:val="restart"/>
          </w:tcPr>
          <w:p>
            <w:pPr>
              <w:ind w:left="140"/>
              <w:spacing w:after="0"/>
              <w:rPr>
                <w:sz w:val="20"/>
                <w:szCs w:val="20"/>
                <w:color w:val="auto"/>
              </w:rPr>
            </w:pPr>
            <w:r>
              <w:rPr>
                <w:rFonts w:ascii="Arial" w:cs="Arial" w:eastAsia="Arial" w:hAnsi="Arial"/>
                <w:sz w:val="12"/>
                <w:szCs w:val="12"/>
                <w:color w:val="auto"/>
              </w:rPr>
              <w:t>Total Asia</w:t>
            </w: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62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733</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761</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409</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442</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3"/>
              </w:rPr>
              <w:t>1,950</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w w:val="93"/>
              </w:rPr>
              <w:t>1,916</w:t>
            </w:r>
          </w:p>
        </w:tc>
        <w:tc>
          <w:tcPr>
            <w:tcW w:w="0" w:type="dxa"/>
            <w:vAlign w:val="bottom"/>
          </w:tcPr>
          <w:p>
            <w:pPr>
              <w:spacing w:after="0"/>
              <w:rPr>
                <w:sz w:val="1"/>
                <w:szCs w:val="1"/>
                <w:color w:val="auto"/>
              </w:rPr>
            </w:pPr>
          </w:p>
        </w:tc>
      </w:tr>
      <w:tr>
        <w:trPr>
          <w:trHeight w:val="21"/>
        </w:trPr>
        <w:tc>
          <w:tcPr>
            <w:tcW w:w="2620" w:type="dxa"/>
            <w:vAlign w:val="bottom"/>
            <w:tcBorders>
              <w:lef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Australia</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101</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26</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448</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40"/>
              <w:spacing w:after="0"/>
              <w:rPr>
                <w:sz w:val="20"/>
                <w:szCs w:val="20"/>
                <w:color w:val="auto"/>
              </w:rPr>
            </w:pPr>
            <w:r>
              <w:rPr>
                <w:rFonts w:ascii="Arial" w:cs="Arial" w:eastAsia="Arial" w:hAnsi="Arial"/>
                <w:sz w:val="12"/>
                <w:szCs w:val="12"/>
                <w:b w:val="1"/>
                <w:bCs w:val="1"/>
                <w:color w:val="auto"/>
              </w:rPr>
              <w:t>Europe:</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United Kingdom</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85</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59</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155</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Denmark</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44</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51</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29</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32</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91</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Netherlands</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7</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31</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4"/>
        </w:trPr>
        <w:tc>
          <w:tcPr>
            <w:tcW w:w="2620" w:type="dxa"/>
            <w:vAlign w:val="bottom"/>
            <w:tcBorders>
              <w:left w:val="single" w:sz="8" w:color="auto"/>
            </w:tcBorders>
          </w:tcPr>
          <w:p>
            <w:pPr>
              <w:ind w:left="80"/>
              <w:spacing w:after="0"/>
              <w:rPr>
                <w:sz w:val="20"/>
                <w:szCs w:val="20"/>
                <w:color w:val="auto"/>
              </w:rPr>
            </w:pPr>
            <w:r>
              <w:rPr>
                <w:rFonts w:ascii="Arial" w:cs="Arial" w:eastAsia="Arial" w:hAnsi="Arial"/>
                <w:sz w:val="12"/>
                <w:szCs w:val="12"/>
                <w:color w:val="auto"/>
              </w:rPr>
              <w:t>Norway</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Total Europe</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139</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93</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278</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rPr>
              <w:t>Total Consolidated Operations</w:t>
            </w: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62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2,312</w:t>
            </w: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2,397</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1,545</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1,617</w:t>
            </w:r>
          </w:p>
        </w:tc>
        <w:tc>
          <w:tcPr>
            <w:tcW w:w="52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3"/>
              </w:rPr>
              <w:t>4,602</w:t>
            </w:r>
          </w:p>
        </w:tc>
        <w:tc>
          <w:tcPr>
            <w:tcW w:w="520" w:type="dxa"/>
            <w:vAlign w:val="bottom"/>
          </w:tcPr>
          <w:p>
            <w:pPr>
              <w:spacing w:after="0"/>
              <w:rPr>
                <w:sz w:val="12"/>
                <w:szCs w:val="12"/>
                <w:color w:val="auto"/>
              </w:rPr>
            </w:pPr>
          </w:p>
        </w:tc>
        <w:tc>
          <w:tcPr>
            <w:tcW w:w="4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w w:val="93"/>
              </w:rPr>
              <w:t>4,677</w:t>
            </w:r>
          </w:p>
        </w:tc>
        <w:tc>
          <w:tcPr>
            <w:tcW w:w="0" w:type="dxa"/>
            <w:vAlign w:val="bottom"/>
          </w:tcPr>
          <w:p>
            <w:pPr>
              <w:spacing w:after="0"/>
              <w:rPr>
                <w:sz w:val="1"/>
                <w:szCs w:val="1"/>
                <w:color w:val="auto"/>
              </w:rPr>
            </w:pPr>
          </w:p>
        </w:tc>
      </w:tr>
      <w:tr>
        <w:trPr>
          <w:trHeight w:val="146"/>
        </w:trPr>
        <w:tc>
          <w:tcPr>
            <w:tcW w:w="2620" w:type="dxa"/>
            <w:vAlign w:val="bottom"/>
            <w:tcBorders>
              <w:left w:val="single" w:sz="8" w:color="auto"/>
            </w:tcBorders>
            <w:shd w:val="clear" w:color="auto" w:fill="CCEEFF"/>
          </w:tcPr>
          <w:p>
            <w:pPr>
              <w:ind w:left="80"/>
              <w:spacing w:after="0" w:line="146" w:lineRule="exact"/>
              <w:rPr>
                <w:sz w:val="20"/>
                <w:szCs w:val="20"/>
                <w:color w:val="auto"/>
              </w:rPr>
            </w:pPr>
            <w:r>
              <w:rPr>
                <w:rFonts w:ascii="Arial" w:cs="Arial" w:eastAsia="Arial" w:hAnsi="Arial"/>
                <w:sz w:val="10"/>
                <w:szCs w:val="10"/>
                <w:color w:val="auto"/>
              </w:rPr>
              <w:t>Equity Affiliates</w:t>
            </w:r>
            <w:r>
              <w:rPr>
                <w:rFonts w:ascii="Arial" w:cs="Arial" w:eastAsia="Arial" w:hAnsi="Arial"/>
                <w:sz w:val="16"/>
                <w:szCs w:val="16"/>
                <w:color w:val="auto"/>
                <w:vertAlign w:val="superscript"/>
              </w:rPr>
              <w:t>3</w:t>
            </w:r>
          </w:p>
        </w:tc>
        <w:tc>
          <w:tcPr>
            <w:tcW w:w="1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361</w:t>
            </w: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366</w:t>
            </w:r>
          </w:p>
        </w:tc>
        <w:tc>
          <w:tcPr>
            <w:tcW w:w="5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304</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306</w:t>
            </w:r>
          </w:p>
        </w:tc>
        <w:tc>
          <w:tcPr>
            <w:tcW w:w="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339</w:t>
            </w:r>
          </w:p>
        </w:tc>
        <w:tc>
          <w:tcPr>
            <w:tcW w:w="52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20"/>
        </w:trPr>
        <w:tc>
          <w:tcPr>
            <w:tcW w:w="2620" w:type="dxa"/>
            <w:vAlign w:val="bottom"/>
            <w:tcBorders>
              <w:lef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tcBorders>
              <w:left w:val="single" w:sz="8" w:color="auto"/>
            </w:tcBorders>
            <w:shd w:val="clear" w:color="auto" w:fill="CCEEFF"/>
          </w:tcPr>
          <w:p>
            <w:pPr>
              <w:ind w:left="40"/>
              <w:spacing w:after="0" w:line="144" w:lineRule="exact"/>
              <w:rPr>
                <w:sz w:val="20"/>
                <w:szCs w:val="20"/>
                <w:color w:val="auto"/>
              </w:rPr>
            </w:pPr>
            <w:r>
              <w:rPr>
                <w:rFonts w:ascii="Arial" w:cs="Arial" w:eastAsia="Arial" w:hAnsi="Arial"/>
                <w:sz w:val="10"/>
                <w:szCs w:val="10"/>
                <w:color w:val="auto"/>
              </w:rPr>
              <w:t>Total Including Affiliates</w:t>
            </w:r>
            <w:r>
              <w:rPr>
                <w:rFonts w:ascii="Arial" w:cs="Arial" w:eastAsia="Arial" w:hAnsi="Arial"/>
                <w:sz w:val="16"/>
                <w:szCs w:val="16"/>
                <w:color w:val="auto"/>
                <w:vertAlign w:val="superscript"/>
              </w:rPr>
              <w:t>4</w:t>
            </w:r>
          </w:p>
        </w:tc>
        <w:tc>
          <w:tcPr>
            <w:tcW w:w="1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2,673</w:t>
            </w:r>
          </w:p>
        </w:tc>
        <w:tc>
          <w:tcPr>
            <w:tcW w:w="5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2,763</w:t>
            </w:r>
          </w:p>
        </w:tc>
        <w:tc>
          <w:tcPr>
            <w:tcW w:w="5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1,849</w:t>
            </w:r>
          </w:p>
        </w:tc>
        <w:tc>
          <w:tcPr>
            <w:tcW w:w="5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1,923</w:t>
            </w:r>
          </w:p>
        </w:tc>
        <w:tc>
          <w:tcPr>
            <w:tcW w:w="5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93"/>
              </w:rPr>
              <w:t>4,941</w:t>
            </w:r>
          </w:p>
        </w:tc>
        <w:tc>
          <w:tcPr>
            <w:tcW w:w="52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5,040</w:t>
            </w:r>
          </w:p>
        </w:tc>
        <w:tc>
          <w:tcPr>
            <w:tcW w:w="0" w:type="dxa"/>
            <w:vAlign w:val="bottom"/>
          </w:tcPr>
          <w:p>
            <w:pPr>
              <w:spacing w:after="0"/>
              <w:rPr>
                <w:sz w:val="1"/>
                <w:szCs w:val="1"/>
                <w:color w:val="auto"/>
              </w:rPr>
            </w:pPr>
          </w:p>
        </w:tc>
      </w:tr>
      <w:tr>
        <w:trPr>
          <w:trHeight w:val="154"/>
        </w:trPr>
        <w:tc>
          <w:tcPr>
            <w:tcW w:w="2620" w:type="dxa"/>
            <w:vAlign w:val="bottom"/>
            <w:tcBorders>
              <w:left w:val="single" w:sz="8" w:color="auto"/>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line="134" w:lineRule="exact"/>
              <w:rPr>
                <w:sz w:val="20"/>
                <w:szCs w:val="20"/>
                <w:color w:val="auto"/>
              </w:rPr>
            </w:pPr>
            <w:r>
              <w:rPr>
                <w:rFonts w:ascii="Arial" w:cs="Arial" w:eastAsia="Arial" w:hAnsi="Arial"/>
                <w:sz w:val="15"/>
                <w:szCs w:val="15"/>
                <w:color w:val="auto"/>
                <w:vertAlign w:val="superscript"/>
              </w:rPr>
              <w:t>1</w:t>
            </w:r>
            <w:r>
              <w:rPr>
                <w:rFonts w:ascii="Arial" w:cs="Arial" w:eastAsia="Arial" w:hAnsi="Arial"/>
                <w:sz w:val="10"/>
                <w:szCs w:val="10"/>
                <w:color w:val="auto"/>
              </w:rPr>
              <w:t xml:space="preserve"> Includes synthetic oil: Canada, net</w:t>
            </w:r>
          </w:p>
        </w:tc>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40</w:t>
            </w:r>
          </w:p>
        </w:tc>
        <w:tc>
          <w:tcPr>
            <w:tcW w:w="540" w:type="dxa"/>
            <w:vAlign w:val="bottom"/>
          </w:tcPr>
          <w:p>
            <w:pPr>
              <w:spacing w:after="0"/>
              <w:rPr>
                <w:sz w:val="11"/>
                <w:szCs w:val="11"/>
                <w:color w:val="auto"/>
              </w:rPr>
            </w:pPr>
          </w:p>
        </w:tc>
        <w:tc>
          <w:tcPr>
            <w:tcW w:w="5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24</w:t>
            </w:r>
          </w:p>
        </w:tc>
        <w:tc>
          <w:tcPr>
            <w:tcW w:w="520" w:type="dxa"/>
            <w:vAlign w:val="bottom"/>
          </w:tcPr>
          <w:p>
            <w:pPr>
              <w:spacing w:after="0"/>
              <w:rPr>
                <w:sz w:val="11"/>
                <w:szCs w:val="11"/>
                <w:color w:val="auto"/>
              </w:rPr>
            </w:pPr>
          </w:p>
        </w:tc>
        <w:tc>
          <w:tcPr>
            <w:tcW w:w="5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40</w:t>
            </w:r>
          </w:p>
        </w:tc>
        <w:tc>
          <w:tcPr>
            <w:tcW w:w="560" w:type="dxa"/>
            <w:vAlign w:val="bottom"/>
          </w:tcPr>
          <w:p>
            <w:pPr>
              <w:spacing w:after="0"/>
              <w:rPr>
                <w:sz w:val="11"/>
                <w:szCs w:val="11"/>
                <w:color w:val="auto"/>
              </w:rPr>
            </w:pPr>
          </w:p>
        </w:tc>
        <w:tc>
          <w:tcPr>
            <w:tcW w:w="5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24</w:t>
            </w:r>
          </w:p>
        </w:tc>
        <w:tc>
          <w:tcPr>
            <w:tcW w:w="520" w:type="dxa"/>
            <w:vAlign w:val="bottom"/>
          </w:tcPr>
          <w:p>
            <w:pPr>
              <w:spacing w:after="0"/>
              <w:rPr>
                <w:sz w:val="11"/>
                <w:szCs w:val="11"/>
                <w:color w:val="auto"/>
              </w:rPr>
            </w:pPr>
          </w:p>
        </w:tc>
        <w:tc>
          <w:tcPr>
            <w:tcW w:w="1020" w:type="dxa"/>
            <w:vAlign w:val="bottom"/>
            <w:gridSpan w:val="3"/>
          </w:tcPr>
          <w:p>
            <w:pPr>
              <w:jc w:val="right"/>
              <w:ind w:right="675"/>
              <w:spacing w:after="0" w:line="134" w:lineRule="exact"/>
              <w:rPr>
                <w:sz w:val="20"/>
                <w:szCs w:val="20"/>
                <w:color w:val="auto"/>
              </w:rPr>
            </w:pPr>
            <w:r>
              <w:rPr>
                <w:rFonts w:ascii="Arial" w:cs="Arial" w:eastAsia="Arial" w:hAnsi="Arial"/>
                <w:sz w:val="12"/>
                <w:szCs w:val="12"/>
                <w:b w:val="1"/>
                <w:bCs w:val="1"/>
                <w:color w:val="auto"/>
              </w:rPr>
              <w:t>—</w:t>
            </w:r>
          </w:p>
        </w:tc>
        <w:tc>
          <w:tcPr>
            <w:tcW w:w="4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620" w:type="dxa"/>
            <w:vAlign w:val="bottom"/>
          </w:tcPr>
          <w:p>
            <w:pPr>
              <w:ind w:left="1120"/>
              <w:spacing w:after="0"/>
              <w:rPr>
                <w:sz w:val="20"/>
                <w:szCs w:val="20"/>
                <w:color w:val="auto"/>
              </w:rPr>
            </w:pPr>
            <w:r>
              <w:rPr>
                <w:rFonts w:ascii="Arial" w:cs="Arial" w:eastAsia="Arial" w:hAnsi="Arial"/>
                <w:sz w:val="12"/>
                <w:szCs w:val="12"/>
                <w:color w:val="auto"/>
              </w:rPr>
              <w:t>Venezuelan affiliate, net</w:t>
            </w:r>
          </w:p>
        </w:tc>
        <w:tc>
          <w:tcPr>
            <w:tcW w:w="1560" w:type="dxa"/>
            <w:vAlign w:val="bottom"/>
          </w:tcPr>
          <w:p>
            <w:pPr>
              <w:jc w:val="right"/>
              <w:ind w:right="1002"/>
              <w:spacing w:after="0"/>
              <w:rPr>
                <w:sz w:val="20"/>
                <w:szCs w:val="20"/>
                <w:color w:val="auto"/>
              </w:rPr>
            </w:pPr>
            <w:r>
              <w:rPr>
                <w:rFonts w:ascii="Arial" w:cs="Arial" w:eastAsia="Arial" w:hAnsi="Arial"/>
                <w:sz w:val="12"/>
                <w:szCs w:val="12"/>
                <w:b w:val="1"/>
                <w:bCs w:val="1"/>
                <w:color w:val="auto"/>
              </w:rPr>
              <w:t>32</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52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32</w:t>
            </w:r>
          </w:p>
        </w:tc>
        <w:tc>
          <w:tcPr>
            <w:tcW w:w="56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28</w:t>
            </w:r>
          </w:p>
        </w:tc>
        <w:tc>
          <w:tcPr>
            <w:tcW w:w="520" w:type="dxa"/>
            <w:vAlign w:val="bottom"/>
          </w:tcPr>
          <w:p>
            <w:pPr>
              <w:spacing w:after="0"/>
              <w:rPr>
                <w:sz w:val="12"/>
                <w:szCs w:val="12"/>
                <w:color w:val="auto"/>
              </w:rPr>
            </w:pPr>
          </w:p>
        </w:tc>
        <w:tc>
          <w:tcPr>
            <w:tcW w:w="1020" w:type="dxa"/>
            <w:vAlign w:val="bottom"/>
            <w:gridSpan w:val="3"/>
          </w:tcPr>
          <w:p>
            <w:pPr>
              <w:jc w:val="right"/>
              <w:ind w:right="675"/>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620" w:type="dxa"/>
            <w:vAlign w:val="bottom"/>
          </w:tcPr>
          <w:p>
            <w:pPr>
              <w:spacing w:after="0" w:line="152" w:lineRule="exact"/>
              <w:rPr>
                <w:sz w:val="20"/>
                <w:szCs w:val="20"/>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Located between Saudi Arabia and Kuwait.</w:t>
            </w:r>
          </w:p>
        </w:tc>
        <w:tc>
          <w:tcPr>
            <w:tcW w:w="1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40" w:hanging="82"/>
        <w:spacing w:after="0" w:line="183" w:lineRule="auto"/>
        <w:tabs>
          <w:tab w:leader="none" w:pos="540"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Volumes represent Chevron’s share of production by affiliates, including Tengizchevroil in Kazakhstan and Petroboscan, Petroindependiente and Petropiar in Venezuela.</w:t>
      </w:r>
    </w:p>
    <w:p>
      <w:pPr>
        <w:spacing w:after="0" w:line="4" w:lineRule="exact"/>
        <w:rPr>
          <w:sz w:val="20"/>
          <w:szCs w:val="20"/>
          <w:color w:val="auto"/>
        </w:rPr>
      </w:pPr>
    </w:p>
    <w:p>
      <w:pPr>
        <w:ind w:left="580" w:right="100" w:hanging="122"/>
        <w:spacing w:after="0" w:line="185" w:lineRule="auto"/>
        <w:tabs>
          <w:tab w:leader="none" w:pos="5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Volumes include natural gas consumed in operations of 582 million and 537 million cubic feet per day in 2011 and 2010, respectively. Total “as sold” natural gas volumes were 4,359 million and 4,503 million cubic feet per day for 2011 and 2010, respectively.</w:t>
      </w: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Average Sales Prices and Production Costs per Unit of Production</w:t>
      </w:r>
    </w:p>
    <w:p>
      <w:pPr>
        <w:spacing w:after="0" w:line="95" w:lineRule="exact"/>
        <w:rPr>
          <w:sz w:val="20"/>
          <w:szCs w:val="20"/>
          <w:color w:val="auto"/>
        </w:rPr>
      </w:pPr>
    </w:p>
    <w:p>
      <w:pPr>
        <w:ind w:left="460" w:right="880"/>
        <w:spacing w:after="0" w:line="267" w:lineRule="auto"/>
        <w:rPr>
          <w:sz w:val="20"/>
          <w:szCs w:val="20"/>
          <w:color w:val="auto"/>
        </w:rPr>
      </w:pPr>
      <w:r>
        <w:rPr>
          <w:rFonts w:ascii="Arial" w:cs="Arial" w:eastAsia="Arial" w:hAnsi="Arial"/>
          <w:sz w:val="13"/>
          <w:szCs w:val="13"/>
          <w:color w:val="auto"/>
        </w:rPr>
        <w:t>Refer to Table IV on page FS-67 for the company’s average sales price per barrel of crude oil, condensate and natural gas liquids and per thousand cubic feet of natural gas produced, and the average production cost per oil-equivalent barrel for 2011, 2010 and 2009.</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Gross and Net Productive Wells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gross and net productive wells at year-end 2011 for the company and its affiliates:</w:t>
      </w: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Productive Oil and Gas Wells at December 31, 2011</w:t>
      </w:r>
    </w:p>
    <w:p>
      <w:pPr>
        <w:spacing w:after="0" w:line="155" w:lineRule="exact"/>
        <w:rPr>
          <w:sz w:val="20"/>
          <w:szCs w:val="20"/>
          <w:color w:val="auto"/>
        </w:rPr>
      </w:pPr>
    </w:p>
    <w:tbl>
      <w:tblPr>
        <w:tblLayout w:type="fixed"/>
        <w:tblInd w:w="470" w:type="dxa"/>
        <w:tblCellMar>
          <w:top w:w="0" w:type="dxa"/>
          <w:left w:w="0" w:type="dxa"/>
          <w:bottom w:w="0" w:type="dxa"/>
          <w:right w:w="0" w:type="dxa"/>
        </w:tblCellMar>
      </w:tblPr>
      <w:tr>
        <w:trPr>
          <w:trHeight w:val="271"/>
        </w:trPr>
        <w:tc>
          <w:tcPr>
            <w:tcW w:w="120" w:type="dxa"/>
            <w:vAlign w:val="bottom"/>
            <w:tcBorders>
              <w:top w:val="single" w:sz="8" w:color="auto"/>
              <w:left w:val="single" w:sz="8" w:color="auto"/>
            </w:tcBorders>
          </w:tcPr>
          <w:p>
            <w:pPr>
              <w:spacing w:after="0"/>
              <w:rPr>
                <w:sz w:val="23"/>
                <w:szCs w:val="23"/>
                <w:color w:val="auto"/>
              </w:rPr>
            </w:pPr>
          </w:p>
        </w:tc>
        <w:tc>
          <w:tcPr>
            <w:tcW w:w="59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3"/>
          </w:tcPr>
          <w:p>
            <w:pPr>
              <w:jc w:val="center"/>
              <w:ind w:left="556"/>
              <w:spacing w:after="0"/>
              <w:rPr>
                <w:sz w:val="20"/>
                <w:szCs w:val="20"/>
                <w:color w:val="auto"/>
              </w:rPr>
            </w:pPr>
            <w:r>
              <w:rPr>
                <w:rFonts w:ascii="Arial" w:cs="Arial" w:eastAsia="Arial" w:hAnsi="Arial"/>
                <w:sz w:val="13"/>
                <w:szCs w:val="13"/>
                <w:b w:val="1"/>
                <w:bCs w:val="1"/>
                <w:color w:val="auto"/>
                <w:w w:val="89"/>
              </w:rPr>
              <w:t>Productive</w:t>
            </w:r>
          </w:p>
        </w:tc>
        <w:tc>
          <w:tcPr>
            <w:tcW w:w="6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gridSpan w:val="3"/>
          </w:tcPr>
          <w:p>
            <w:pPr>
              <w:jc w:val="center"/>
              <w:ind w:left="516"/>
              <w:spacing w:after="0"/>
              <w:rPr>
                <w:sz w:val="20"/>
                <w:szCs w:val="20"/>
                <w:color w:val="auto"/>
              </w:rPr>
            </w:pPr>
            <w:r>
              <w:rPr>
                <w:rFonts w:ascii="Arial" w:cs="Arial" w:eastAsia="Arial" w:hAnsi="Arial"/>
                <w:sz w:val="13"/>
                <w:szCs w:val="13"/>
                <w:b w:val="1"/>
                <w:bCs w:val="1"/>
                <w:color w:val="auto"/>
                <w:w w:val="86"/>
              </w:rPr>
              <w:t>Productive</w:t>
            </w: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20" w:type="dxa"/>
            <w:vAlign w:val="bottom"/>
            <w:tcBorders>
              <w:left w:val="single" w:sz="8" w:color="auto"/>
            </w:tcBorders>
          </w:tcPr>
          <w:p>
            <w:pPr>
              <w:spacing w:after="0"/>
              <w:rPr>
                <w:sz w:val="14"/>
                <w:szCs w:val="14"/>
                <w:color w:val="auto"/>
              </w:rPr>
            </w:pPr>
          </w:p>
        </w:tc>
        <w:tc>
          <w:tcPr>
            <w:tcW w:w="596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3"/>
                <w:szCs w:val="13"/>
                <w:b w:val="1"/>
                <w:bCs w:val="1"/>
                <w:color w:val="auto"/>
                <w:w w:val="94"/>
              </w:rPr>
              <w:t>Oil Wells</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3"/>
                <w:szCs w:val="13"/>
                <w:b w:val="1"/>
                <w:bCs w:val="1"/>
                <w:color w:val="auto"/>
                <w:w w:val="86"/>
              </w:rPr>
              <w:t>Gas Wells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gridSpan w:val="3"/>
          </w:tcPr>
          <w:p>
            <w:pPr>
              <w:ind w:left="300"/>
              <w:spacing w:after="0" w:line="144" w:lineRule="exact"/>
              <w:rPr>
                <w:sz w:val="20"/>
                <w:szCs w:val="20"/>
                <w:color w:val="auto"/>
              </w:rPr>
            </w:pPr>
            <w:r>
              <w:rPr>
                <w:rFonts w:ascii="Arial" w:cs="Arial" w:eastAsia="Arial" w:hAnsi="Arial"/>
                <w:sz w:val="13"/>
                <w:szCs w:val="13"/>
                <w:b w:val="1"/>
                <w:bCs w:val="1"/>
                <w:color w:val="auto"/>
              </w:rPr>
              <w:t>Gross</w:t>
            </w:r>
          </w:p>
        </w:tc>
        <w:tc>
          <w:tcPr>
            <w:tcW w:w="640" w:type="dxa"/>
            <w:vAlign w:val="bottom"/>
          </w:tcPr>
          <w:p>
            <w:pPr>
              <w:jc w:val="right"/>
              <w:ind w:right="276"/>
              <w:spacing w:after="0" w:line="144" w:lineRule="exact"/>
              <w:rPr>
                <w:sz w:val="20"/>
                <w:szCs w:val="20"/>
                <w:color w:val="auto"/>
              </w:rPr>
            </w:pPr>
            <w:r>
              <w:rPr>
                <w:rFonts w:ascii="Arial" w:cs="Arial" w:eastAsia="Arial" w:hAnsi="Arial"/>
                <w:sz w:val="13"/>
                <w:szCs w:val="13"/>
                <w:b w:val="1"/>
                <w:bCs w:val="1"/>
                <w:color w:val="auto"/>
              </w:rPr>
              <w:t>Net</w:t>
            </w:r>
          </w:p>
        </w:tc>
        <w:tc>
          <w:tcPr>
            <w:tcW w:w="320" w:type="dxa"/>
            <w:vAlign w:val="bottom"/>
          </w:tcPr>
          <w:p>
            <w:pPr>
              <w:spacing w:after="0"/>
              <w:rPr>
                <w:sz w:val="12"/>
                <w:szCs w:val="12"/>
                <w:color w:val="auto"/>
              </w:rPr>
            </w:pPr>
          </w:p>
        </w:tc>
        <w:tc>
          <w:tcPr>
            <w:tcW w:w="1360" w:type="dxa"/>
            <w:vAlign w:val="bottom"/>
            <w:gridSpan w:val="3"/>
          </w:tcPr>
          <w:p>
            <w:pPr>
              <w:ind w:left="240"/>
              <w:spacing w:after="0" w:line="144"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59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49,511</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14,061</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Other Americas</w:t>
            </w:r>
          </w:p>
        </w:tc>
        <w:tc>
          <w:tcPr>
            <w:tcW w:w="940" w:type="dxa"/>
            <w:vAlign w:val="bottom"/>
          </w:tcPr>
          <w:p>
            <w:pPr>
              <w:jc w:val="right"/>
              <w:spacing w:after="0"/>
              <w:rPr>
                <w:sz w:val="20"/>
                <w:szCs w:val="20"/>
                <w:color w:val="auto"/>
              </w:rPr>
            </w:pPr>
            <w:r>
              <w:rPr>
                <w:rFonts w:ascii="Arial" w:cs="Arial" w:eastAsia="Arial" w:hAnsi="Arial"/>
                <w:sz w:val="13"/>
                <w:szCs w:val="13"/>
                <w:color w:val="auto"/>
              </w:rPr>
              <w:t>709</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Africa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2,548</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Asia</w:t>
            </w:r>
          </w:p>
        </w:tc>
        <w:tc>
          <w:tcPr>
            <w:tcW w:w="940" w:type="dxa"/>
            <w:vAlign w:val="bottom"/>
          </w:tcPr>
          <w:p>
            <w:pPr>
              <w:jc w:val="right"/>
              <w:spacing w:after="0"/>
              <w:rPr>
                <w:sz w:val="20"/>
                <w:szCs w:val="20"/>
                <w:color w:val="auto"/>
              </w:rPr>
            </w:pPr>
            <w:r>
              <w:rPr>
                <w:rFonts w:ascii="Arial" w:cs="Arial" w:eastAsia="Arial" w:hAnsi="Arial"/>
                <w:sz w:val="13"/>
                <w:szCs w:val="13"/>
                <w:color w:val="auto"/>
              </w:rPr>
              <w:t>12,612</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10,861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3,437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Europe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66,519</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17,841</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5960" w:type="dxa"/>
            <w:vAlign w:val="bottom"/>
          </w:tcPr>
          <w:p>
            <w:pPr>
              <w:spacing w:after="0"/>
              <w:rPr>
                <w:sz w:val="20"/>
                <w:szCs w:val="20"/>
                <w:color w:val="auto"/>
              </w:rPr>
            </w:pPr>
            <w:r>
              <w:rPr>
                <w:rFonts w:ascii="Arial" w:cs="Arial" w:eastAsia="Arial" w:hAnsi="Arial"/>
                <w:sz w:val="13"/>
                <w:szCs w:val="13"/>
                <w:color w:val="auto"/>
              </w:rPr>
              <w:t>Equity in Affiliates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67,750</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17,848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9,881</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 w:type="dxa"/>
            <w:vAlign w:val="bottom"/>
            <w:tcBorders>
              <w:left w:val="single" w:sz="8" w:color="auto"/>
            </w:tcBorders>
            <w:vMerge w:val="restart"/>
          </w:tcPr>
          <w:p>
            <w:pPr>
              <w:spacing w:after="0"/>
              <w:rPr>
                <w:sz w:val="14"/>
                <w:szCs w:val="14"/>
                <w:color w:val="auto"/>
              </w:rPr>
            </w:pPr>
          </w:p>
        </w:tc>
        <w:tc>
          <w:tcPr>
            <w:tcW w:w="59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Multiple completion wells included above: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5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Reserves</w:t>
      </w:r>
    </w:p>
    <w:p>
      <w:pPr>
        <w:spacing w:after="0" w:line="95" w:lineRule="exact"/>
        <w:rPr>
          <w:sz w:val="20"/>
          <w:szCs w:val="20"/>
          <w:color w:val="auto"/>
        </w:rPr>
      </w:pPr>
    </w:p>
    <w:p>
      <w:pPr>
        <w:ind w:left="460" w:right="720"/>
        <w:spacing w:after="0" w:line="277" w:lineRule="auto"/>
        <w:rPr>
          <w:sz w:val="20"/>
          <w:szCs w:val="20"/>
          <w:color w:val="auto"/>
        </w:rPr>
      </w:pPr>
      <w:r>
        <w:rPr>
          <w:rFonts w:ascii="Arial" w:cs="Arial" w:eastAsia="Arial" w:hAnsi="Arial"/>
          <w:sz w:val="12"/>
          <w:szCs w:val="12"/>
          <w:color w:val="auto"/>
        </w:rPr>
        <w:t>Refer to Table V beginning on page FS-67 for a tabulation of the company’s proved net crude oil and natural gas reserves by geographic area, at the beginning of 2009 and each year-end from 2009 through 2011. Reserves governance, technologies used in establishing proved reserves additions, and major changes to proved reserves by geographic area for the three-year period ended December 31, 2011, are summarized in the discussion for Table V. Discussion is also provided regarding the nature of, status of and planned future activities associated with the development of proved undeveloped reserves. The company recognizes reserves for projects with various development periods, sometimes exceeding five years. The external factors that impact the duration of a project include scope and complexity, remoteness or adverse operating conditions, infrastructure constraints, and contractual limitations.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net proved reserve balances at the end of each of the three years 2009 through 2011 are shown in the following table.</w:t>
      </w: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Net Proved Reserves at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8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2011</w:t>
            </w:r>
          </w:p>
        </w:tc>
        <w:tc>
          <w:tcPr>
            <w:tcW w:w="12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2010</w:t>
            </w: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2009</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80" w:type="dxa"/>
            <w:vAlign w:val="bottom"/>
            <w:tcBorders>
              <w:right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Liquids — Millions of barrels</w:t>
            </w:r>
          </w:p>
        </w:tc>
        <w:tc>
          <w:tcPr>
            <w:tcW w:w="3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ind w:left="120"/>
              <w:spacing w:after="0"/>
              <w:rPr>
                <w:sz w:val="20"/>
                <w:szCs w:val="20"/>
                <w:color w:val="auto"/>
              </w:rPr>
            </w:pPr>
            <w:r>
              <w:rPr>
                <w:rFonts w:ascii="Arial" w:cs="Arial" w:eastAsia="Arial" w:hAnsi="Arial"/>
                <w:sz w:val="13"/>
                <w:szCs w:val="13"/>
                <w:color w:val="auto"/>
              </w:rPr>
              <w:t>Consolidated Companies</w:t>
            </w:r>
          </w:p>
        </w:tc>
        <w:tc>
          <w:tcPr>
            <w:tcW w:w="4220" w:type="dxa"/>
            <w:vAlign w:val="bottom"/>
            <w:gridSpan w:val="2"/>
          </w:tcPr>
          <w:p>
            <w:pPr>
              <w:jc w:val="right"/>
              <w:spacing w:after="0"/>
              <w:rPr>
                <w:sz w:val="20"/>
                <w:szCs w:val="20"/>
                <w:color w:val="auto"/>
              </w:rPr>
            </w:pPr>
            <w:r>
              <w:rPr>
                <w:rFonts w:ascii="Arial" w:cs="Arial" w:eastAsia="Arial" w:hAnsi="Arial"/>
                <w:sz w:val="13"/>
                <w:szCs w:val="13"/>
                <w:b w:val="1"/>
                <w:bCs w:val="1"/>
                <w:color w:val="auto"/>
              </w:rPr>
              <w:t>4,295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4,270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4,610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Affiliated Companies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Natural Gas — Billions of cubic feet</w:t>
            </w:r>
          </w:p>
        </w:tc>
        <w:tc>
          <w:tcPr>
            <w:tcW w:w="3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Consolidated Companies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25,229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22,153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ind w:left="120"/>
              <w:spacing w:after="0"/>
              <w:rPr>
                <w:sz w:val="20"/>
                <w:szCs w:val="20"/>
                <w:color w:val="auto"/>
              </w:rPr>
            </w:pPr>
            <w:r>
              <w:rPr>
                <w:rFonts w:ascii="Arial" w:cs="Arial" w:eastAsia="Arial" w:hAnsi="Arial"/>
                <w:sz w:val="13"/>
                <w:szCs w:val="13"/>
                <w:color w:val="auto"/>
              </w:rPr>
              <w:t>Affiliated Companies</w:t>
            </w:r>
          </w:p>
        </w:tc>
        <w:tc>
          <w:tcPr>
            <w:tcW w:w="4220" w:type="dxa"/>
            <w:vAlign w:val="bottom"/>
            <w:gridSpan w:val="2"/>
          </w:tcPr>
          <w:p>
            <w:pPr>
              <w:jc w:val="right"/>
              <w:spacing w:after="0"/>
              <w:rPr>
                <w:sz w:val="20"/>
                <w:szCs w:val="20"/>
                <w:color w:val="auto"/>
              </w:rPr>
            </w:pPr>
            <w:r>
              <w:rPr>
                <w:rFonts w:ascii="Arial" w:cs="Arial" w:eastAsia="Arial" w:hAnsi="Arial"/>
                <w:sz w:val="13"/>
                <w:szCs w:val="13"/>
                <w:b w:val="1"/>
                <w:bCs w:val="1"/>
                <w:color w:val="auto"/>
              </w:rPr>
              <w:t>3,454</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3,496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3,896</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Total Oil-Equivalent — Millions of barrels</w:t>
            </w:r>
          </w:p>
        </w:tc>
        <w:tc>
          <w:tcPr>
            <w:tcW w:w="3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ind w:left="120"/>
              <w:spacing w:after="0"/>
              <w:rPr>
                <w:sz w:val="20"/>
                <w:szCs w:val="20"/>
                <w:color w:val="auto"/>
              </w:rPr>
            </w:pPr>
            <w:r>
              <w:rPr>
                <w:rFonts w:ascii="Arial" w:cs="Arial" w:eastAsia="Arial" w:hAnsi="Arial"/>
                <w:sz w:val="13"/>
                <w:szCs w:val="13"/>
                <w:color w:val="auto"/>
              </w:rPr>
              <w:t>Consolidated Companies</w:t>
            </w:r>
          </w:p>
        </w:tc>
        <w:tc>
          <w:tcPr>
            <w:tcW w:w="4220" w:type="dxa"/>
            <w:vAlign w:val="bottom"/>
            <w:gridSpan w:val="2"/>
          </w:tcPr>
          <w:p>
            <w:pPr>
              <w:jc w:val="right"/>
              <w:spacing w:after="0"/>
              <w:rPr>
                <w:sz w:val="20"/>
                <w:szCs w:val="20"/>
                <w:color w:val="auto"/>
              </w:rPr>
            </w:pPr>
            <w:r>
              <w:rPr>
                <w:rFonts w:ascii="Arial" w:cs="Arial" w:eastAsia="Arial" w:hAnsi="Arial"/>
                <w:sz w:val="13"/>
                <w:szCs w:val="13"/>
                <w:b w:val="1"/>
                <w:bCs w:val="1"/>
                <w:color w:val="auto"/>
              </w:rPr>
              <w:t>8,500</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7,729</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8,303</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Affiliated Companies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2,736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3,012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80" w:type="dxa"/>
            <w:vAlign w:val="bottom"/>
            <w:tcBorders>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60" w:type="dxa"/>
            <w:vAlign w:val="bottom"/>
          </w:tcPr>
          <w:p>
            <w:pPr>
              <w:jc w:val="right"/>
              <w:ind w:right="1796"/>
              <w:spacing w:after="0"/>
              <w:rPr>
                <w:sz w:val="20"/>
                <w:szCs w:val="20"/>
                <w:color w:val="auto"/>
              </w:rPr>
            </w:pPr>
            <w:r>
              <w:rPr>
                <w:rFonts w:ascii="Arial" w:cs="Arial" w:eastAsia="Arial" w:hAnsi="Arial"/>
                <w:sz w:val="13"/>
                <w:szCs w:val="13"/>
                <w:color w:val="auto"/>
              </w:rPr>
              <w:t>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620" w:type="dxa"/>
            <w:vAlign w:val="bottom"/>
            <w:tcBorders>
              <w:bottom w:val="single" w:sz="8" w:color="808080"/>
            </w:tcBorders>
          </w:tcPr>
          <w:p>
            <w:pPr>
              <w:spacing w:after="0"/>
              <w:rPr>
                <w:sz w:val="13"/>
                <w:szCs w:val="13"/>
                <w:color w:val="auto"/>
              </w:rPr>
            </w:pPr>
          </w:p>
        </w:tc>
        <w:tc>
          <w:tcPr>
            <w:tcW w:w="336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Acreage</w:t>
      </w:r>
    </w:p>
    <w:p>
      <w:pPr>
        <w:spacing w:after="0" w:line="95"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At December 31, 2011, the company owned or had under lease or similar agreements undeveloped and developed crude oil and natural gas properties throughout the world. The geographical distribution of the company’s acreage is shown in the following table.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Acreage at December 31, 2011</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(Thousands of Acres)</w:t>
      </w:r>
    </w:p>
    <w:p>
      <w:pPr>
        <w:spacing w:after="0" w:line="172" w:lineRule="exact"/>
        <w:rPr>
          <w:sz w:val="20"/>
          <w:szCs w:val="20"/>
          <w:color w:val="auto"/>
        </w:rPr>
      </w:pPr>
    </w:p>
    <w:tbl>
      <w:tblPr>
        <w:tblLayout w:type="fixed"/>
        <w:tblInd w:w="470" w:type="dxa"/>
        <w:tblCellMar>
          <w:top w:w="0" w:type="dxa"/>
          <w:left w:w="0" w:type="dxa"/>
          <w:bottom w:w="0" w:type="dxa"/>
          <w:right w:w="0" w:type="dxa"/>
        </w:tblCellMar>
      </w:tblPr>
      <w:tr>
        <w:trPr>
          <w:trHeight w:val="271"/>
        </w:trPr>
        <w:tc>
          <w:tcPr>
            <w:tcW w:w="120" w:type="dxa"/>
            <w:vAlign w:val="bottom"/>
            <w:tcBorders>
              <w:top w:val="single" w:sz="8" w:color="auto"/>
              <w:left w:val="single" w:sz="8" w:color="auto"/>
            </w:tcBorders>
          </w:tcPr>
          <w:p>
            <w:pPr>
              <w:spacing w:after="0"/>
              <w:rPr>
                <w:sz w:val="23"/>
                <w:szCs w:val="23"/>
                <w:color w:val="auto"/>
              </w:rPr>
            </w:pPr>
          </w:p>
        </w:tc>
        <w:tc>
          <w:tcPr>
            <w:tcW w:w="32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gridSpan w:val="3"/>
          </w:tcPr>
          <w:p>
            <w:pPr>
              <w:jc w:val="center"/>
              <w:ind w:left="496"/>
              <w:spacing w:after="0"/>
              <w:rPr>
                <w:sz w:val="20"/>
                <w:szCs w:val="20"/>
                <w:color w:val="auto"/>
              </w:rPr>
            </w:pPr>
            <w:r>
              <w:rPr>
                <w:rFonts w:ascii="Arial" w:cs="Arial" w:eastAsia="Arial" w:hAnsi="Arial"/>
                <w:sz w:val="13"/>
                <w:szCs w:val="13"/>
                <w:b w:val="1"/>
                <w:bCs w:val="1"/>
                <w:color w:val="auto"/>
                <w:w w:val="86"/>
              </w:rPr>
              <w:t>Developed and</w:t>
            </w: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20" w:type="dxa"/>
            <w:vAlign w:val="bottom"/>
            <w:tcBorders>
              <w:left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50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4"/>
              </w:rPr>
              <w:t>Undeveloped*</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Developed</w:t>
            </w:r>
          </w:p>
        </w:tc>
        <w:tc>
          <w:tcPr>
            <w:tcW w:w="6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3"/>
                <w:szCs w:val="13"/>
                <w:b w:val="1"/>
                <w:bCs w:val="1"/>
                <w:color w:val="auto"/>
                <w:w w:val="88"/>
              </w:rPr>
              <w:t>Undeveloped</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50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Gross</w:t>
            </w:r>
          </w:p>
        </w:tc>
        <w:tc>
          <w:tcPr>
            <w:tcW w:w="60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420" w:type="dxa"/>
            <w:vAlign w:val="bottom"/>
          </w:tcPr>
          <w:p>
            <w:pPr>
              <w:spacing w:after="0"/>
              <w:rPr>
                <w:sz w:val="12"/>
                <w:szCs w:val="12"/>
                <w:color w:val="auto"/>
              </w:rPr>
            </w:pPr>
          </w:p>
        </w:tc>
        <w:tc>
          <w:tcPr>
            <w:tcW w:w="1460" w:type="dxa"/>
            <w:vAlign w:val="bottom"/>
            <w:gridSpan w:val="3"/>
          </w:tcPr>
          <w:p>
            <w:pPr>
              <w:ind w:left="260"/>
              <w:spacing w:after="0" w:line="144" w:lineRule="exact"/>
              <w:rPr>
                <w:sz w:val="20"/>
                <w:szCs w:val="20"/>
                <w:color w:val="auto"/>
              </w:rPr>
            </w:pPr>
            <w:r>
              <w:rPr>
                <w:rFonts w:ascii="Arial" w:cs="Arial" w:eastAsia="Arial" w:hAnsi="Arial"/>
                <w:sz w:val="13"/>
                <w:szCs w:val="13"/>
                <w:b w:val="1"/>
                <w:bCs w:val="1"/>
                <w:color w:val="auto"/>
              </w:rPr>
              <w:t>Gross</w:t>
            </w:r>
          </w:p>
        </w:tc>
        <w:tc>
          <w:tcPr>
            <w:tcW w:w="660" w:type="dxa"/>
            <w:vAlign w:val="bottom"/>
          </w:tcPr>
          <w:p>
            <w:pPr>
              <w:jc w:val="right"/>
              <w:ind w:right="276"/>
              <w:spacing w:after="0" w:line="144" w:lineRule="exact"/>
              <w:rPr>
                <w:sz w:val="20"/>
                <w:szCs w:val="20"/>
                <w:color w:val="auto"/>
              </w:rPr>
            </w:pPr>
            <w:r>
              <w:rPr>
                <w:rFonts w:ascii="Arial" w:cs="Arial" w:eastAsia="Arial" w:hAnsi="Arial"/>
                <w:sz w:val="13"/>
                <w:szCs w:val="13"/>
                <w:b w:val="1"/>
                <w:bCs w:val="1"/>
                <w:color w:val="auto"/>
              </w:rPr>
              <w:t>Net</w:t>
            </w:r>
          </w:p>
        </w:tc>
        <w:tc>
          <w:tcPr>
            <w:tcW w:w="400" w:type="dxa"/>
            <w:vAlign w:val="bottom"/>
          </w:tcPr>
          <w:p>
            <w:pPr>
              <w:spacing w:after="0"/>
              <w:rPr>
                <w:sz w:val="12"/>
                <w:szCs w:val="12"/>
                <w:color w:val="auto"/>
              </w:rPr>
            </w:pPr>
          </w:p>
        </w:tc>
        <w:tc>
          <w:tcPr>
            <w:tcW w:w="1480" w:type="dxa"/>
            <w:vAlign w:val="bottom"/>
            <w:gridSpan w:val="3"/>
          </w:tcPr>
          <w:p>
            <w:pPr>
              <w:ind w:left="240"/>
              <w:spacing w:after="0" w:line="144" w:lineRule="exact"/>
              <w:rPr>
                <w:sz w:val="20"/>
                <w:szCs w:val="20"/>
                <w:color w:val="auto"/>
              </w:rPr>
            </w:pPr>
            <w:r>
              <w:rPr>
                <w:rFonts w:ascii="Arial" w:cs="Arial" w:eastAsia="Arial" w:hAnsi="Arial"/>
                <w:sz w:val="13"/>
                <w:szCs w:val="13"/>
                <w:b w:val="1"/>
                <w:bCs w:val="1"/>
                <w:color w:val="auto"/>
              </w:rPr>
              <w:t>Gross</w:t>
            </w:r>
          </w:p>
        </w:tc>
        <w:tc>
          <w:tcPr>
            <w:tcW w:w="580" w:type="dxa"/>
            <w:vAlign w:val="bottom"/>
          </w:tcPr>
          <w:p>
            <w:pPr>
              <w:jc w:val="right"/>
              <w:ind w:right="256"/>
              <w:spacing w:after="0" w:line="144" w:lineRule="exact"/>
              <w:rPr>
                <w:sz w:val="20"/>
                <w:szCs w:val="20"/>
                <w:color w:val="auto"/>
              </w:rPr>
            </w:pPr>
            <w:r>
              <w:rPr>
                <w:rFonts w:ascii="Arial" w:cs="Arial" w:eastAsia="Arial" w:hAnsi="Arial"/>
                <w:sz w:val="13"/>
                <w:szCs w:val="13"/>
                <w:b w:val="1"/>
                <w:bCs w:val="1"/>
                <w:color w:val="auto"/>
              </w:rPr>
              <w:t>Net</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6,290</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7,752</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14,042</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Other Americas</w:t>
            </w:r>
          </w:p>
        </w:tc>
        <w:tc>
          <w:tcPr>
            <w:tcW w:w="840" w:type="dxa"/>
            <w:vAlign w:val="bottom"/>
          </w:tcPr>
          <w:p>
            <w:pPr>
              <w:jc w:val="right"/>
              <w:spacing w:after="0"/>
              <w:rPr>
                <w:sz w:val="20"/>
                <w:szCs w:val="20"/>
                <w:color w:val="auto"/>
              </w:rPr>
            </w:pPr>
            <w:r>
              <w:rPr>
                <w:rFonts w:ascii="Arial" w:cs="Arial" w:eastAsia="Arial" w:hAnsi="Arial"/>
                <w:sz w:val="13"/>
                <w:szCs w:val="13"/>
                <w:color w:val="auto"/>
              </w:rPr>
              <w:t>26,803</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15,338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1,392</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28,195</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15,733</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Africa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8,068</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11,392</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Asia</w:t>
            </w:r>
          </w:p>
        </w:tc>
        <w:tc>
          <w:tcPr>
            <w:tcW w:w="840" w:type="dxa"/>
            <w:vAlign w:val="bottom"/>
          </w:tcPr>
          <w:p>
            <w:pPr>
              <w:jc w:val="right"/>
              <w:spacing w:after="0"/>
              <w:rPr>
                <w:sz w:val="20"/>
                <w:szCs w:val="20"/>
                <w:color w:val="auto"/>
              </w:rPr>
            </w:pPr>
            <w:r>
              <w:rPr>
                <w:rFonts w:ascii="Arial" w:cs="Arial" w:eastAsia="Arial" w:hAnsi="Arial"/>
                <w:sz w:val="13"/>
                <w:szCs w:val="13"/>
                <w:color w:val="auto"/>
              </w:rPr>
              <w:t>41,125</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21,613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5,426</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2,760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46,551</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24,373</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12,801</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13,721</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6,304</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Europe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5,093</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3,608</w:t>
            </w:r>
          </w:p>
        </w:tc>
        <w:tc>
          <w:tcPr>
            <w:tcW w:w="4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5,738</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100,180</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19,459</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119,639</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65,668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33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Equity in Affiliates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4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4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40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4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110,599</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19,711</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120,310</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65,959</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  The gross undeveloped acres that will expire in 2012, 2013 and 2014 if production is not established by certain required dates are 4,675, 5,993 and 2,903,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Delivery Commitments</w:t>
      </w:r>
    </w:p>
    <w:p>
      <w:pPr>
        <w:spacing w:after="0" w:line="95" w:lineRule="exact"/>
        <w:rPr>
          <w:sz w:val="20"/>
          <w:szCs w:val="20"/>
          <w:color w:val="auto"/>
        </w:rPr>
      </w:pPr>
    </w:p>
    <w:p>
      <w:pPr>
        <w:ind w:left="460" w:right="360"/>
        <w:spacing w:after="0" w:line="267" w:lineRule="auto"/>
        <w:rPr>
          <w:sz w:val="20"/>
          <w:szCs w:val="20"/>
          <w:color w:val="auto"/>
        </w:rPr>
      </w:pPr>
      <w:r>
        <w:rPr>
          <w:rFonts w:ascii="Arial" w:cs="Arial" w:eastAsia="Arial" w:hAnsi="Arial"/>
          <w:sz w:val="13"/>
          <w:szCs w:val="13"/>
          <w:color w:val="auto"/>
        </w:rPr>
        <w:t>The company sells crude oil and natural gas from its producing operations under a variety of contractual obligations. Most contracts generally commit the company to sell quantities based on production from specified properties, but some natural gas sales contracts specify delivery of fixed and determinable quantities, as discussed below.</w:t>
      </w:r>
    </w:p>
    <w:p>
      <w:pPr>
        <w:spacing w:after="0" w:line="61" w:lineRule="exact"/>
        <w:rPr>
          <w:sz w:val="20"/>
          <w:szCs w:val="20"/>
          <w:color w:val="auto"/>
        </w:rPr>
      </w:pPr>
    </w:p>
    <w:p>
      <w:pPr>
        <w:ind w:left="460" w:right="260"/>
        <w:spacing w:after="0" w:line="256" w:lineRule="auto"/>
        <w:rPr>
          <w:sz w:val="20"/>
          <w:szCs w:val="20"/>
          <w:color w:val="auto"/>
        </w:rPr>
      </w:pPr>
      <w:r>
        <w:rPr>
          <w:rFonts w:ascii="Arial" w:cs="Arial" w:eastAsia="Arial" w:hAnsi="Arial"/>
          <w:sz w:val="13"/>
          <w:szCs w:val="13"/>
          <w:color w:val="auto"/>
        </w:rPr>
        <w:t>In the United States, the company is contractually committed to deliver to third parties 232 billion cubic feet of natural gas through 2014. The company believes it can satisfy these contracts through a combination of equity production from the company’s proved developed U.S. reserves and third-party purchases. These contracts include a variety of pricing terms, including both indexed and fixed-price contracts.</w:t>
      </w:r>
    </w:p>
    <w:p>
      <w:pPr>
        <w:spacing w:after="0" w:line="69" w:lineRule="exact"/>
        <w:rPr>
          <w:sz w:val="20"/>
          <w:szCs w:val="20"/>
          <w:color w:val="auto"/>
        </w:rPr>
      </w:pPr>
    </w:p>
    <w:p>
      <w:pPr>
        <w:jc w:val="both"/>
        <w:ind w:left="460" w:right="260"/>
        <w:spacing w:after="0" w:line="288" w:lineRule="auto"/>
        <w:rPr>
          <w:sz w:val="20"/>
          <w:szCs w:val="20"/>
          <w:color w:val="auto"/>
        </w:rPr>
      </w:pPr>
      <w:r>
        <w:rPr>
          <w:rFonts w:ascii="Arial" w:cs="Arial" w:eastAsia="Arial" w:hAnsi="Arial"/>
          <w:sz w:val="12"/>
          <w:szCs w:val="12"/>
          <w:color w:val="auto"/>
        </w:rPr>
        <w:t>Outside the United States, the company is contractually committed to deliver a total of 891 billion cubic feet of natural gas from 2012 through 2014 from operations in Australia, Colombia, Denmark and the Philippines to third parties. The sales contracts contain variable pricing formulas that are generally referenced to the prevailing market price for crude oil, natural gas or other petroleum products at the time of delivery. The company believes it can satisfy these contracts from quantities available from production of the company’s proved developed reserves in these countries.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Development Activities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to Table I on page FS-62 for details associated with the company’s development expenditures and costs of proved property acquisitions for 2011, 2010 and 2009.</w:t>
      </w:r>
    </w:p>
    <w:p>
      <w:pPr>
        <w:spacing w:after="0" w:line="91" w:lineRule="exact"/>
        <w:rPr>
          <w:sz w:val="20"/>
          <w:szCs w:val="20"/>
          <w:color w:val="auto"/>
        </w:rPr>
      </w:pPr>
    </w:p>
    <w:p>
      <w:pPr>
        <w:ind w:left="460" w:right="420"/>
        <w:spacing w:after="0" w:line="359" w:lineRule="auto"/>
        <w:rPr>
          <w:sz w:val="20"/>
          <w:szCs w:val="20"/>
          <w:color w:val="auto"/>
        </w:rPr>
      </w:pPr>
      <w:r>
        <w:rPr>
          <w:rFonts w:ascii="Arial" w:cs="Arial" w:eastAsia="Arial" w:hAnsi="Arial"/>
          <w:sz w:val="11"/>
          <w:szCs w:val="11"/>
          <w:color w:val="auto"/>
        </w:rPr>
        <w:t>The table on the next page summarizes the company’s net interest in productive and dry development wells completed in each of the past three years and the status of the company’s development wells drilling at December 31, 2011. A “development well” is a well drilled within the proved area of a crude oil or natural gas reservoir to the depth of a stratigraphic horizon known to be productive.</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Development Well Activity</w:t>
      </w:r>
    </w:p>
    <w:p>
      <w:pPr>
        <w:spacing w:after="0" w:line="136" w:lineRule="exact"/>
        <w:rPr>
          <w:sz w:val="20"/>
          <w:szCs w:val="20"/>
          <w:color w:val="auto"/>
        </w:rPr>
      </w:pPr>
    </w:p>
    <w:tbl>
      <w:tblPr>
        <w:tblLayout w:type="fixed"/>
        <w:tblInd w:w="470" w:type="dxa"/>
        <w:tblCellMar>
          <w:top w:w="0" w:type="dxa"/>
          <w:left w:w="0" w:type="dxa"/>
          <w:bottom w:w="0" w:type="dxa"/>
          <w:right w:w="0" w:type="dxa"/>
        </w:tblCellMar>
      </w:tblPr>
      <w:tr>
        <w:trPr>
          <w:trHeight w:val="274"/>
        </w:trPr>
        <w:tc>
          <w:tcPr>
            <w:tcW w:w="120" w:type="dxa"/>
            <w:vAlign w:val="bottom"/>
            <w:tcBorders>
              <w:top w:val="single" w:sz="8" w:color="auto"/>
              <w:left w:val="single" w:sz="8" w:color="auto"/>
            </w:tcBorders>
          </w:tcPr>
          <w:p>
            <w:pPr>
              <w:spacing w:after="0"/>
              <w:rPr>
                <w:sz w:val="23"/>
                <w:szCs w:val="23"/>
                <w:color w:val="auto"/>
              </w:rPr>
            </w:pPr>
          </w:p>
        </w:tc>
        <w:tc>
          <w:tcPr>
            <w:tcW w:w="488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89"/>
              </w:rPr>
              <w:t>Wells Drilling</w:t>
            </w:r>
          </w:p>
        </w:tc>
        <w:tc>
          <w:tcPr>
            <w:tcW w:w="40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8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Net Wells Completed</w:t>
            </w:r>
          </w:p>
        </w:tc>
        <w:tc>
          <w:tcPr>
            <w:tcW w:w="40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gridSpan w:val="3"/>
          </w:tcPr>
          <w:p>
            <w:pPr>
              <w:jc w:val="center"/>
              <w:ind w:left="176"/>
              <w:spacing w:after="0" w:line="144" w:lineRule="exact"/>
              <w:rPr>
                <w:sz w:val="20"/>
                <w:szCs w:val="20"/>
                <w:color w:val="auto"/>
              </w:rPr>
            </w:pPr>
            <w:r>
              <w:rPr>
                <w:rFonts w:ascii="Arial" w:cs="Arial" w:eastAsia="Arial" w:hAnsi="Arial"/>
                <w:sz w:val="13"/>
                <w:szCs w:val="13"/>
                <w:b w:val="1"/>
                <w:bCs w:val="1"/>
                <w:color w:val="auto"/>
                <w:w w:val="88"/>
              </w:rPr>
              <w:t>at 12/31/11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2"/>
                <w:szCs w:val="12"/>
                <w:color w:val="auto"/>
              </w:rPr>
            </w:pPr>
          </w:p>
        </w:tc>
        <w:tc>
          <w:tcPr>
            <w:tcW w:w="1200" w:type="dxa"/>
            <w:vAlign w:val="bottom"/>
            <w:gridSpan w:val="3"/>
          </w:tcPr>
          <w:p>
            <w:pPr>
              <w:jc w:val="right"/>
              <w:ind w:right="160"/>
              <w:spacing w:after="0" w:line="144" w:lineRule="exact"/>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tcBorders>
              <w:top w:val="single" w:sz="8" w:color="auto"/>
            </w:tcBorders>
            <w:gridSpan w:val="3"/>
          </w:tcPr>
          <w:p>
            <w:pPr>
              <w:ind w:left="40"/>
              <w:spacing w:after="0" w:line="144" w:lineRule="exact"/>
              <w:rPr>
                <w:sz w:val="20"/>
                <w:szCs w:val="20"/>
                <w:color w:val="auto"/>
              </w:rPr>
            </w:pPr>
            <w:r>
              <w:rPr>
                <w:rFonts w:ascii="Arial" w:cs="Arial" w:eastAsia="Arial" w:hAnsi="Arial"/>
                <w:sz w:val="13"/>
                <w:szCs w:val="13"/>
                <w:b w:val="1"/>
                <w:bCs w:val="1"/>
                <w:color w:val="auto"/>
              </w:rPr>
              <w:t>Gross</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76"/>
              </w:rPr>
              <w:t>Net</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48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909</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Other Americas</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36</w:t>
            </w:r>
          </w:p>
        </w:tc>
        <w:tc>
          <w:tcPr>
            <w:tcW w:w="4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Africa</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4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Asia</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85</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549</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445</w:t>
            </w:r>
          </w:p>
        </w:tc>
        <w:tc>
          <w:tcPr>
            <w:tcW w:w="4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15</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580</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Europe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4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211</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1,530</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Equity in Affiliates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212</w:t>
            </w: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107</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1,555</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Borders>
              <w:left w:val="single" w:sz="8" w:color="auto"/>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Exploration Activities</w:t>
      </w:r>
    </w:p>
    <w:p>
      <w:pPr>
        <w:spacing w:after="0" w:line="95" w:lineRule="exact"/>
        <w:rPr>
          <w:sz w:val="20"/>
          <w:szCs w:val="20"/>
          <w:color w:val="auto"/>
        </w:rPr>
      </w:pPr>
    </w:p>
    <w:p>
      <w:pPr>
        <w:jc w:val="both"/>
        <w:ind w:left="460" w:right="280"/>
        <w:spacing w:after="0" w:line="256" w:lineRule="auto"/>
        <w:rPr>
          <w:sz w:val="20"/>
          <w:szCs w:val="20"/>
          <w:color w:val="auto"/>
        </w:rPr>
      </w:pPr>
      <w:r>
        <w:rPr>
          <w:rFonts w:ascii="Arial" w:cs="Arial" w:eastAsia="Arial" w:hAnsi="Arial"/>
          <w:sz w:val="13"/>
          <w:szCs w:val="13"/>
          <w:color w:val="auto"/>
        </w:rPr>
        <w:t>The following table summarizes the company’s net interests in productive and dry exploratory wells completed in each of the last three years and the number of exploratory wells drilling at December 31, 2011. “Exploratory wells” are wells drilled to find and produce crude oil or natural gas in unproved areas and include delineation wells, which are wells drilled to find a new reservoir in a field previously found to be productive of crude oil or natural gas in another reservoir or to extend a known reservoir beyond the proved area.</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Exploratory Well Activity</w:t>
      </w:r>
    </w:p>
    <w:p>
      <w:pPr>
        <w:spacing w:after="0" w:line="126" w:lineRule="exact"/>
        <w:rPr>
          <w:sz w:val="20"/>
          <w:szCs w:val="20"/>
          <w:color w:val="auto"/>
        </w:rPr>
      </w:pPr>
    </w:p>
    <w:tbl>
      <w:tblPr>
        <w:tblLayout w:type="fixed"/>
        <w:tblInd w:w="470" w:type="dxa"/>
        <w:tblCellMar>
          <w:top w:w="0" w:type="dxa"/>
          <w:left w:w="0" w:type="dxa"/>
          <w:bottom w:w="0" w:type="dxa"/>
          <w:right w:w="0" w:type="dxa"/>
        </w:tblCellMar>
      </w:tblPr>
      <w:tr>
        <w:trPr>
          <w:trHeight w:val="284"/>
        </w:trPr>
        <w:tc>
          <w:tcPr>
            <w:tcW w:w="120" w:type="dxa"/>
            <w:vAlign w:val="bottom"/>
            <w:tcBorders>
              <w:top w:val="single" w:sz="8" w:color="auto"/>
              <w:left w:val="single" w:sz="8" w:color="auto"/>
            </w:tcBorders>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Wells Drilling</w:t>
            </w:r>
          </w:p>
        </w:tc>
        <w:tc>
          <w:tcPr>
            <w:tcW w:w="4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Net Wells Completed</w:t>
            </w:r>
          </w:p>
        </w:tc>
        <w:tc>
          <w:tcPr>
            <w:tcW w:w="4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8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at 12/31/11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2"/>
                <w:szCs w:val="12"/>
                <w:color w:val="auto"/>
              </w:rPr>
            </w:pPr>
          </w:p>
        </w:tc>
        <w:tc>
          <w:tcPr>
            <w:tcW w:w="1200" w:type="dxa"/>
            <w:vAlign w:val="bottom"/>
            <w:gridSpan w:val="3"/>
          </w:tcPr>
          <w:p>
            <w:pPr>
              <w:jc w:val="right"/>
              <w:ind w:right="160"/>
              <w:spacing w:after="0" w:line="144" w:lineRule="exact"/>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5"/>
              </w:rPr>
              <w:t>Net</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ind w:left="60"/>
              <w:spacing w:after="0" w:line="144" w:lineRule="exact"/>
              <w:rPr>
                <w:sz w:val="20"/>
                <w:szCs w:val="20"/>
                <w:color w:val="auto"/>
              </w:rPr>
            </w:pPr>
            <w:r>
              <w:rPr>
                <w:rFonts w:ascii="Arial" w:cs="Arial" w:eastAsia="Arial" w:hAnsi="Arial"/>
                <w:sz w:val="13"/>
                <w:szCs w:val="13"/>
                <w:b w:val="1"/>
                <w:bCs w:val="1"/>
                <w:color w:val="auto"/>
              </w:rPr>
              <w:t>Prod.</w:t>
            </w:r>
          </w:p>
        </w:tc>
        <w:tc>
          <w:tcPr>
            <w:tcW w:w="2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Dry</w:t>
            </w:r>
          </w:p>
        </w:tc>
        <w:tc>
          <w:tcPr>
            <w:tcW w:w="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49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Other Americas</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Africa</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Asia</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4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Europe</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 Companies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4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4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4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Equity in Affiliates</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Total Including Affiliates</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40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40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20" w:type="dxa"/>
            <w:vAlign w:val="bottom"/>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Borders>
              <w:left w:val="single" w:sz="8" w:color="auto"/>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Refer to Table I on page FS-62 for detail of the company’s exploration expenditures and costs of unproved property acquisitions for 2011, 2010 and 2009.</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Review of Ongoing Exploration and Production Activities in Key Areas</w:t>
      </w:r>
    </w:p>
    <w:p>
      <w:pPr>
        <w:spacing w:after="0" w:line="95" w:lineRule="exact"/>
        <w:rPr>
          <w:sz w:val="20"/>
          <w:szCs w:val="20"/>
          <w:color w:val="auto"/>
        </w:rPr>
      </w:pPr>
    </w:p>
    <w:p>
      <w:pPr>
        <w:ind w:left="460" w:right="620"/>
        <w:spacing w:after="0" w:line="309" w:lineRule="auto"/>
        <w:rPr>
          <w:sz w:val="20"/>
          <w:szCs w:val="20"/>
          <w:color w:val="auto"/>
        </w:rPr>
      </w:pPr>
      <w:r>
        <w:rPr>
          <w:rFonts w:ascii="Arial" w:cs="Arial" w:eastAsia="Arial" w:hAnsi="Arial"/>
          <w:sz w:val="12"/>
          <w:szCs w:val="12"/>
          <w:color w:val="auto"/>
        </w:rPr>
        <w:t>Chevron’s 2011 key upstream activities, some of which are also discussed in Management’s Discussion and Analysis of Financial Condition and Results of Operations, beginning on page FS-2, are presented below. The comments include references to “total production” and “net production,” which are defined under “Production” in Exhibit 99.1 on page E-11.</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140"/>
        <w:spacing w:after="0" w:line="325" w:lineRule="auto"/>
        <w:rPr>
          <w:sz w:val="20"/>
          <w:szCs w:val="20"/>
          <w:color w:val="auto"/>
        </w:rPr>
      </w:pPr>
      <w:r>
        <w:rPr>
          <w:rFonts w:ascii="Arial" w:cs="Arial" w:eastAsia="Arial" w:hAnsi="Arial"/>
          <w:sz w:val="11"/>
          <w:szCs w:val="11"/>
          <w:color w:val="auto"/>
        </w:rPr>
        <w:t>The discussion that follows references the status of proved reserves recognition for significant long-lead-time projects not on production and for projects recently placed on production. Reserves are not discussed for exploration activities or recent discoveries that have not advanced to a project stage or for mature areas of production that do not have individual projects requiring significant levels of capital or exploratory investment. Amounts indicated for project costs represent total project costs, not the company’s share of costs for projects that are less than wholly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106680</wp:posOffset>
            </wp:positionV>
            <wp:extent cx="2025650" cy="140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5650" cy="1409700"/>
                    </a:xfrm>
                    <a:prstGeom prst="rect">
                      <a:avLst/>
                    </a:prstGeom>
                    <a:noFill/>
                  </pic:spPr>
                </pic:pic>
              </a:graphicData>
            </a:graphic>
          </wp:anchor>
        </w:drawing>
      </w:r>
    </w:p>
    <w:p>
      <w:pPr>
        <w:spacing w:after="0" w:line="293" w:lineRule="exact"/>
        <w:rPr>
          <w:sz w:val="20"/>
          <w:szCs w:val="20"/>
          <w:color w:val="auto"/>
        </w:rPr>
      </w:pPr>
    </w:p>
    <w:p>
      <w:pPr>
        <w:ind w:left="4900" w:right="60"/>
        <w:spacing w:after="0" w:line="253" w:lineRule="auto"/>
        <w:rPr>
          <w:sz w:val="20"/>
          <w:szCs w:val="20"/>
          <w:color w:val="auto"/>
        </w:rPr>
      </w:pPr>
      <w:r>
        <w:rPr>
          <w:rFonts w:ascii="Arial" w:cs="Arial" w:eastAsia="Arial" w:hAnsi="Arial"/>
          <w:sz w:val="13"/>
          <w:szCs w:val="13"/>
          <w:color w:val="auto"/>
        </w:rPr>
        <w:t>Chevron has exploration and production activities in most of the world’s major hydrocarbon basins. The company’s upstream strategy is to grow profitably in core areas, build new legacy positions and commercialize the company’s equity natural gas resource base while growing a high-impact global gas business. The map at left indicates Chevron’s primary areas of exploration and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0" w:hanging="324"/>
        <w:spacing w:after="0"/>
        <w:tabs>
          <w:tab w:leader="none" w:pos="78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United States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Upstream activities in the United States are concentrated in California, the Gulf of Mexico, the Appalachian Basin, Colorado, Michigan, New Mexico, Ohio, Oklahoma, Texas, Wyoming and Alaska.</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Average net oil-equivalent production in the United States during 2011 was 678,000 barrels per day.</w:t>
      </w:r>
    </w:p>
    <w:p>
      <w:pPr>
        <w:spacing w:after="0" w:line="82" w:lineRule="exact"/>
        <w:rPr>
          <w:sz w:val="20"/>
          <w:szCs w:val="20"/>
          <w:color w:val="auto"/>
        </w:rPr>
      </w:pPr>
    </w:p>
    <w:p>
      <w:pPr>
        <w:ind w:left="460" w:right="260"/>
        <w:spacing w:after="0" w:line="256" w:lineRule="auto"/>
        <w:rPr>
          <w:sz w:val="20"/>
          <w:szCs w:val="20"/>
          <w:color w:val="auto"/>
        </w:rPr>
      </w:pPr>
      <w:r>
        <w:rPr>
          <w:rFonts w:ascii="Arial" w:cs="Arial" w:eastAsia="Arial" w:hAnsi="Arial"/>
          <w:sz w:val="13"/>
          <w:szCs w:val="13"/>
          <w:color w:val="auto"/>
        </w:rPr>
        <w:t>In California, the company has significant production in the San Joaquin Valley. In 2011, average net oil-equivalent production was 183,000 barrels per day, composed of 165,000 barrels of crude oil, 83 million cubic feet of natural gas and 4,000 barrels of natural gas liquids. Approximately 84 percent of the crude oil production is considered heavy oil (typically with API gravity lower than 22 degrees).</w:t>
      </w:r>
    </w:p>
    <w:p>
      <w:pPr>
        <w:spacing w:after="0" w:line="156" w:lineRule="exact"/>
        <w:rPr>
          <w:sz w:val="20"/>
          <w:szCs w:val="20"/>
          <w:color w:val="auto"/>
        </w:rPr>
      </w:pPr>
    </w:p>
    <w:p>
      <w:pPr>
        <w:ind w:left="5540"/>
        <w:spacing w:after="0" w:line="281" w:lineRule="auto"/>
        <w:rPr>
          <w:sz w:val="20"/>
          <w:szCs w:val="20"/>
          <w:color w:val="auto"/>
        </w:rPr>
      </w:pPr>
      <w:r>
        <w:rPr>
          <w:rFonts w:ascii="Arial" w:cs="Arial" w:eastAsia="Arial" w:hAnsi="Arial"/>
          <w:sz w:val="12"/>
          <w:szCs w:val="12"/>
          <w:color w:val="auto"/>
        </w:rPr>
        <w:t>Average net oil-equivalent production during 2011 for the company’s combined interests in the Gulf of Mexico shelf and deepwater areas, and the onshore fields in the region was 244,000 barrels per day. The daily oil-equivalent production was composed of 161,000 barrels of crude oil, 401 million cubic feet of natural gas and 16,000 barrels of natural gas liquids.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-403860</wp:posOffset>
            </wp:positionV>
            <wp:extent cx="2050415" cy="139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0415" cy="1397635"/>
                    </a:xfrm>
                    <a:prstGeom prst="rect">
                      <a:avLst/>
                    </a:prstGeom>
                    <a:noFill/>
                  </pic:spPr>
                </pic:pic>
              </a:graphicData>
            </a:graphic>
          </wp:anchor>
        </w:drawing>
      </w:r>
    </w:p>
    <w:p>
      <w:pPr>
        <w:spacing w:after="0" w:line="103" w:lineRule="exact"/>
        <w:rPr>
          <w:sz w:val="20"/>
          <w:szCs w:val="20"/>
          <w:color w:val="auto"/>
        </w:rPr>
      </w:pPr>
    </w:p>
    <w:p>
      <w:pPr>
        <w:ind w:left="5540" w:right="180"/>
        <w:spacing w:after="0" w:line="251" w:lineRule="auto"/>
        <w:rPr>
          <w:sz w:val="20"/>
          <w:szCs w:val="20"/>
          <w:color w:val="auto"/>
        </w:rPr>
      </w:pPr>
      <w:r>
        <w:rPr>
          <w:rFonts w:ascii="Arial" w:cs="Arial" w:eastAsia="Arial" w:hAnsi="Arial"/>
          <w:sz w:val="13"/>
          <w:szCs w:val="13"/>
          <w:color w:val="auto"/>
        </w:rPr>
        <w:t>Chevron was engaged in various exploration and development activities in the deepwater Gulf of Mexico during 2011. The Jack and St. Malo fields are located within 25 miles of each other and are being jointly developed. Chevron has a 50 percent working interest in Jack and a 51 percent working interest in St. Malo. Both fields are company operated. All major installation contracts have been awarded and construction began for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floating production unit hull and topsides modules during 2011. Development drilling operations commenced in fourth quarter 2011. The facility is planned to have a design capacity of</w:t>
      </w:r>
    </w:p>
    <w:p>
      <w:pPr>
        <w:spacing w:after="0" w:line="24" w:lineRule="exact"/>
        <w:rPr>
          <w:sz w:val="20"/>
          <w:szCs w:val="20"/>
          <w:color w:val="auto"/>
        </w:rPr>
      </w:pPr>
    </w:p>
    <w:p>
      <w:pPr>
        <w:ind w:left="460" w:right="60"/>
        <w:spacing w:after="0" w:line="250" w:lineRule="auto"/>
        <w:rPr>
          <w:sz w:val="20"/>
          <w:szCs w:val="20"/>
          <w:color w:val="auto"/>
        </w:rPr>
      </w:pPr>
      <w:r>
        <w:rPr>
          <w:rFonts w:ascii="Arial" w:cs="Arial" w:eastAsia="Arial" w:hAnsi="Arial"/>
          <w:sz w:val="13"/>
          <w:szCs w:val="13"/>
          <w:color w:val="auto"/>
        </w:rPr>
        <w:t>177,000 barrels of oil-equivalent per day to accommodate production from the Jack/St. Malo development, which is estimated to have maximum total daily production of 94,000 barrels of oil equivalent, plus production from a nearby third-party field. Total project costs for the initial phase of development are estimated at $7.5 billion and start-up is expected in 2014. The project has an estimated production life of 30 years. The initial recognition of proved reserves for the project occurred in 2011.</w:t>
      </w:r>
    </w:p>
    <w:p>
      <w:pPr>
        <w:spacing w:after="0" w:line="274"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Work continued at the 60 percent-owned and operated Big Foot discovery. The development plan includes a 15-slot drilling and production tension leg platform with water injection facilities and a design capacity of 79,000 barrels of oil equivalent per day. Fabrication of topsides, hull and other components began in first-half 2011 and initial development drilling commenced in fourth quarter 2011. First production is anticipated in 2014. The field has an estimated production life of 20 years. Initial proved reserves were recognized in 2011.</w:t>
      </w:r>
    </w:p>
    <w:p>
      <w:pPr>
        <w:spacing w:after="0" w:line="69" w:lineRule="exact"/>
        <w:rPr>
          <w:sz w:val="20"/>
          <w:szCs w:val="20"/>
          <w:color w:val="auto"/>
        </w:rPr>
      </w:pPr>
    </w:p>
    <w:p>
      <w:pPr>
        <w:ind w:left="460" w:right="120"/>
        <w:spacing w:after="0" w:line="281" w:lineRule="auto"/>
        <w:rPr>
          <w:sz w:val="20"/>
          <w:szCs w:val="20"/>
          <w:color w:val="auto"/>
        </w:rPr>
      </w:pPr>
      <w:r>
        <w:rPr>
          <w:rFonts w:ascii="Arial" w:cs="Arial" w:eastAsia="Arial" w:hAnsi="Arial"/>
          <w:sz w:val="12"/>
          <w:szCs w:val="12"/>
          <w:color w:val="auto"/>
        </w:rPr>
        <w:t>Tahiti 2 is the second development phase for the 58 percent-owned and operated Tahiti Field and is designed to increase recovery and return well capacity to 125,000 barrels of oil per day. The project includes three water injection wells, two additional production wells and the water injection facilities required to deliver water to the injection wells. Two water injection wells have been completed and drilling commenced on the first production well in early 2012. The water injection facilities have been installed and water injection began in first quarter 2012. Start-up of the first production well of the second phase is expected by 2013. Initial proved reserves for the Tahiti 2 project were recognized in 2011, and the field has an estimated production life of 30 years.</w:t>
      </w:r>
    </w:p>
    <w:p>
      <w:pPr>
        <w:spacing w:after="0" w:line="55" w:lineRule="exact"/>
        <w:rPr>
          <w:sz w:val="20"/>
          <w:szCs w:val="20"/>
          <w:color w:val="auto"/>
        </w:rPr>
      </w:pPr>
    </w:p>
    <w:p>
      <w:pPr>
        <w:ind w:left="460" w:right="140"/>
        <w:spacing w:after="0" w:line="253" w:lineRule="auto"/>
        <w:rPr>
          <w:sz w:val="20"/>
          <w:szCs w:val="20"/>
          <w:color w:val="auto"/>
        </w:rPr>
      </w:pPr>
      <w:r>
        <w:rPr>
          <w:rFonts w:ascii="Arial" w:cs="Arial" w:eastAsia="Arial" w:hAnsi="Arial"/>
          <w:sz w:val="13"/>
          <w:szCs w:val="13"/>
          <w:color w:val="auto"/>
        </w:rPr>
        <w:t>The final investment decision was made for the Tubular Bells deepwater project in fourth quarter 2011. The company has a 42.9 percent nonoperated working interest in the Tubular Bells unitized area after receiving an additional 12.9 percent equity interest relinquished by a partner in 2011. Development drilling is scheduled to begin in second quarter 2012, and plans include three producing and two injection wells, with a subsea tieback to a third-party production facility. First oil is anticipated in 2014, and maximum total daily production is expected to reach 40,000 to 45,000 barrels of oil-equivalent. At the end of 2011, proved reserves had not been recognized for this project.</w:t>
      </w:r>
    </w:p>
    <w:p>
      <w:pPr>
        <w:spacing w:after="0" w:line="71"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The company has a 20.3 percent nonoperated working interest in the Caesar and Tonga unitized area. Development plans include a total of four wells and a subsea tieback to a nearby third-party production facility. Three of the four development wells have been drilled and completed as of year-end 2011. Drilling of the fourth well is expected to begin in mid-2012. Work on the subsea system, commissioning of the topsides and the initial well completion program continued into 2012. Installation of the production riser and first production are expected in mid-2012. Maximum total production is expected to be 46,000 barrels of oil-equivalent per day. Proved reserves have been recognized for the project.</w:t>
      </w:r>
    </w:p>
    <w:p>
      <w:pPr>
        <w:spacing w:after="0" w:line="71"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The company has a 15.6 percent nonoperated working interest in the Mad Dog II Project. Front-end engineering and design (FEED) is expected to commence by second quarter 2012. It is anticipated that this future development would require new production facilities to support planned maximum total daily production of 120,000 to 140,000 barrels of oil equivalent. At the end of 2011, proved reserves had not been recognized for this project.</w:t>
      </w:r>
    </w:p>
    <w:p>
      <w:pPr>
        <w:spacing w:after="0" w:line="69"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Development planning and unitization talks with owners of an adjacent field continued in 2011 for the Knotty Head project. Chevron has a 25 percent nonoperated working interest in this subsalt, Green Canyon Block 512 discovery. At the end of 2011, proved reserves had not been recognized for this project.</w:t>
      </w:r>
    </w:p>
    <w:p>
      <w:pPr>
        <w:spacing w:after="0" w:line="61" w:lineRule="exact"/>
        <w:rPr>
          <w:sz w:val="20"/>
          <w:szCs w:val="20"/>
          <w:color w:val="auto"/>
        </w:rPr>
      </w:pPr>
    </w:p>
    <w:p>
      <w:pPr>
        <w:ind w:left="460" w:right="20"/>
        <w:spacing w:after="0" w:line="275" w:lineRule="auto"/>
        <w:rPr>
          <w:sz w:val="20"/>
          <w:szCs w:val="20"/>
          <w:color w:val="auto"/>
        </w:rPr>
      </w:pPr>
      <w:r>
        <w:rPr>
          <w:rFonts w:ascii="Arial" w:cs="Arial" w:eastAsia="Arial" w:hAnsi="Arial"/>
          <w:sz w:val="12"/>
          <w:szCs w:val="12"/>
          <w:color w:val="auto"/>
        </w:rPr>
        <w:t>Deepwater exploration activities in 2011 included participation in four exploratory wells — two wildcats, one appraisal and one delineation. Following successful permitting under new, more stringent, U.S. Department of Interior guidelines, two wells resumed drilling activities after operations were halted in 2010 as a result of the deepwater drilling moratorium in the Gulf of Mexico. Drilling operations at the 43.8 percent-owned and operated Moccasin prospect resumed in first quarter 2011 and resulted in a new discovery in the Lower Tertiary Wilcox Trend. Drilling operations resumed in second quarter 2011 at the 55 percent-owned and operated Buckskin prospect, resulting in a successful appraisal well. These two discoveries, located 12 miles apart, could facilitate future co-development upon the successful completion of additional appraisal drilling planned at each prospect in 2012. Drilling was terminated at the Coronado wildcat well due to drilling conditions in the shallow section of the wellbore. The company plans to drill a replacement well at an alternate location by mid-2012.</w:t>
      </w:r>
    </w:p>
    <w:p>
      <w:pPr>
        <w:spacing w:after="0" w:line="60" w:lineRule="exact"/>
        <w:rPr>
          <w:sz w:val="20"/>
          <w:szCs w:val="20"/>
          <w:color w:val="auto"/>
        </w:rPr>
      </w:pPr>
    </w:p>
    <w:p>
      <w:pPr>
        <w:ind w:left="460" w:right="20"/>
        <w:spacing w:after="0" w:line="281" w:lineRule="auto"/>
        <w:rPr>
          <w:sz w:val="20"/>
          <w:szCs w:val="20"/>
          <w:color w:val="auto"/>
        </w:rPr>
      </w:pPr>
      <w:r>
        <w:rPr>
          <w:rFonts w:ascii="Arial" w:cs="Arial" w:eastAsia="Arial" w:hAnsi="Arial"/>
          <w:sz w:val="12"/>
          <w:szCs w:val="12"/>
          <w:color w:val="auto"/>
        </w:rPr>
        <w:t>Besides the activities connected with the development and exploration projects in the Gulf of Mexico, the company also has contracted capacity at the third-party Sabine Pass liquefied natural gas (LNG) regasification terminal in Louisiana and in a third-party pipeline system connecting the Sabine Pass LNG terminal to the natural gas pipeline grid. The pipeline provides access to two major salt dome storage fields and 10 major interstate pipeline systems, including access to Chevron’s Sabine Pipeline, which connects to the Henry Hub. The Henry Hub interconnects to nine interstate and four intrastate pipelines and is the pricing point for natural gas futures contracts traded on the New York Mercantile Exchange.</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5420"/>
        <w:spacing w:after="0" w:line="277" w:lineRule="auto"/>
        <w:rPr>
          <w:sz w:val="20"/>
          <w:szCs w:val="20"/>
          <w:color w:val="auto"/>
        </w:rPr>
      </w:pPr>
      <w:r>
        <w:rPr>
          <w:rFonts w:ascii="Arial" w:cs="Arial" w:eastAsia="Arial" w:hAnsi="Arial"/>
          <w:sz w:val="12"/>
          <w:szCs w:val="12"/>
          <w:color w:val="auto"/>
        </w:rPr>
        <w:t>Company activities outside California and the Gulf of Mexico include operated and nonoperated interests in properties across the mid-continental United States, the Appalachian Basin, Michigan, Ohio and Alaska. During 2011, the company’s U.S. production outside California and the Gulf of Mexico averaged 251,000 net oil-equivalent barrels per day, composed of 91,000 barrels of crude oil, 795 million cubic feet of natural gas and 28,000 barrels of natural gas liquids.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-499110</wp:posOffset>
            </wp:positionV>
            <wp:extent cx="1983105" cy="1446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3105" cy="1446530"/>
                    </a:xfrm>
                    <a:prstGeom prst="rect">
                      <a:avLst/>
                    </a:prstGeom>
                    <a:noFill/>
                  </pic:spPr>
                </pic:pic>
              </a:graphicData>
            </a:graphic>
          </wp:anchor>
        </w:drawing>
      </w:r>
    </w:p>
    <w:p>
      <w:pPr>
        <w:spacing w:after="0" w:line="106" w:lineRule="exact"/>
        <w:rPr>
          <w:sz w:val="20"/>
          <w:szCs w:val="20"/>
          <w:color w:val="auto"/>
        </w:rPr>
      </w:pPr>
    </w:p>
    <w:p>
      <w:pPr>
        <w:ind w:left="5420"/>
        <w:spacing w:after="0" w:line="253" w:lineRule="auto"/>
        <w:rPr>
          <w:sz w:val="20"/>
          <w:szCs w:val="20"/>
          <w:color w:val="auto"/>
        </w:rPr>
      </w:pPr>
      <w:r>
        <w:rPr>
          <w:rFonts w:ascii="Arial" w:cs="Arial" w:eastAsia="Arial" w:hAnsi="Arial"/>
          <w:sz w:val="13"/>
          <w:szCs w:val="13"/>
          <w:color w:val="auto"/>
        </w:rPr>
        <w:t>In West Texas, the company continues to pursue development of tight carbonates, tight sands, and liquids-rich shale resources in the Midland Basin’s Wolfcamp play and several plays in the Delaware Basin through use of advanced drilling and completion technologies. Additional production growth is expected from interests in these formations 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future years.</w:t>
      </w:r>
    </w:p>
    <w:p>
      <w:pPr>
        <w:spacing w:after="0" w:line="91" w:lineRule="exact"/>
        <w:rPr>
          <w:sz w:val="20"/>
          <w:szCs w:val="20"/>
          <w:color w:val="auto"/>
        </w:rPr>
      </w:pPr>
    </w:p>
    <w:p>
      <w:pPr>
        <w:jc w:val="both"/>
        <w:ind w:left="460" w:right="120"/>
        <w:spacing w:after="0" w:line="297" w:lineRule="auto"/>
        <w:rPr>
          <w:sz w:val="20"/>
          <w:szCs w:val="20"/>
          <w:color w:val="auto"/>
        </w:rPr>
      </w:pPr>
      <w:r>
        <w:rPr>
          <w:rFonts w:ascii="Arial" w:cs="Arial" w:eastAsia="Arial" w:hAnsi="Arial"/>
          <w:sz w:val="11"/>
          <w:szCs w:val="11"/>
          <w:color w:val="auto"/>
        </w:rPr>
        <w:t>In February 2011, Chevron acquired Atlas Energy, Inc. The acquisition provided a natural gas resource position in the Marcellus Shale and Utica Shale, primarily located in southwestern Pennsylvania and Ohio. The acquisition also provided a 49 percent interest in Laurel Mountain Midstream, LLC, an affiliate that owns more than 1,000 miles of natural gas gathering lines servicing the Marcellus. In addition, the acquisition provided assets in Michigan, which include Antrim Shale producing assets and approximately 350,000 total acres in the Antrim and Collingwood/Utica Shale formations.</w:t>
      </w:r>
    </w:p>
    <w:p>
      <w:pPr>
        <w:jc w:val="both"/>
        <w:ind w:left="460" w:right="120"/>
        <w:spacing w:after="0" w:line="253" w:lineRule="auto"/>
        <w:rPr>
          <w:sz w:val="20"/>
          <w:szCs w:val="20"/>
          <w:color w:val="auto"/>
        </w:rPr>
      </w:pPr>
      <w:r>
        <w:rPr>
          <w:rFonts w:ascii="Arial" w:cs="Arial" w:eastAsia="Arial" w:hAnsi="Arial"/>
          <w:sz w:val="13"/>
          <w:szCs w:val="13"/>
          <w:color w:val="auto"/>
        </w:rPr>
        <w:t>Additional asset acquisitions in 2011 expanded the company’s holdings in the Marcellus and Utica to approximately 700,000 and 600,000 total acres, respectively. In the Marcellus, 61 natural gas wells were completed in 2011.</w:t>
      </w:r>
    </w:p>
    <w:p>
      <w:pPr>
        <w:spacing w:after="0" w:line="66" w:lineRule="exact"/>
        <w:rPr>
          <w:sz w:val="20"/>
          <w:szCs w:val="20"/>
          <w:color w:val="auto"/>
        </w:rPr>
      </w:pPr>
    </w:p>
    <w:p>
      <w:pPr>
        <w:ind w:left="780" w:hanging="324"/>
        <w:spacing w:after="0"/>
        <w:tabs>
          <w:tab w:leader="none" w:pos="78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Other Americas</w:t>
      </w:r>
    </w:p>
    <w:p>
      <w:pPr>
        <w:spacing w:after="0" w:line="95" w:lineRule="exact"/>
        <w:rPr>
          <w:sz w:val="20"/>
          <w:szCs w:val="20"/>
          <w:color w:val="auto"/>
        </w:rPr>
      </w:pPr>
    </w:p>
    <w:p>
      <w:pPr>
        <w:ind w:left="460" w:right="20"/>
        <w:spacing w:after="0" w:line="267" w:lineRule="auto"/>
        <w:rPr>
          <w:sz w:val="20"/>
          <w:szCs w:val="20"/>
          <w:color w:val="auto"/>
        </w:rPr>
      </w:pPr>
      <w:r>
        <w:rPr>
          <w:rFonts w:ascii="Arial" w:cs="Arial" w:eastAsia="Arial" w:hAnsi="Arial"/>
          <w:sz w:val="13"/>
          <w:szCs w:val="13"/>
          <w:color w:val="auto"/>
        </w:rPr>
        <w:t>“Other Americas” is composed of Argentina, Brazil, Canada, Colombia, Greenland, Trinidad and Tobago, and Venezuela. Net oil-equivalent production from these countries averaged 267,000 barrels per day during 2011, including the company’s share of synthetic oil production.</w:t>
      </w:r>
    </w:p>
    <w:p>
      <w:pPr>
        <w:spacing w:after="0" w:line="144" w:lineRule="exact"/>
        <w:rPr>
          <w:sz w:val="20"/>
          <w:szCs w:val="20"/>
          <w:color w:val="auto"/>
        </w:rPr>
      </w:pPr>
    </w:p>
    <w:p>
      <w:pPr>
        <w:ind w:left="5460" w:right="20"/>
        <w:spacing w:after="0" w:line="277" w:lineRule="auto"/>
        <w:rPr>
          <w:sz w:val="20"/>
          <w:szCs w:val="20"/>
          <w:color w:val="auto"/>
        </w:rPr>
      </w:pPr>
      <w:r>
        <w:rPr>
          <w:rFonts w:ascii="Arial" w:cs="Arial" w:eastAsia="Arial" w:hAnsi="Arial"/>
          <w:sz w:val="12"/>
          <w:szCs w:val="12"/>
          <w:b w:val="1"/>
          <w:bCs w:val="1"/>
          <w:color w:val="auto"/>
        </w:rPr>
        <w:t xml:space="preserve">Canada: </w:t>
      </w:r>
      <w:r>
        <w:rPr>
          <w:rFonts w:ascii="Arial" w:cs="Arial" w:eastAsia="Arial" w:hAnsi="Arial"/>
          <w:sz w:val="12"/>
          <w:szCs w:val="12"/>
          <w:color w:val="auto"/>
        </w:rPr>
        <w:t>Company activities in Canada include nonoperated working interests of 26.9 percent in the</w:t>
      </w:r>
      <w:r>
        <w:rPr>
          <w:rFonts w:ascii="Arial" w:cs="Arial" w:eastAsia="Arial" w:hAnsi="Arial"/>
          <w:sz w:val="12"/>
          <w:szCs w:val="12"/>
          <w:b w:val="1"/>
          <w:bCs w:val="1"/>
          <w:color w:val="auto"/>
        </w:rPr>
        <w:t xml:space="preserve"> </w:t>
      </w:r>
      <w:r>
        <w:rPr>
          <w:rFonts w:ascii="Arial" w:cs="Arial" w:eastAsia="Arial" w:hAnsi="Arial"/>
          <w:sz w:val="12"/>
          <w:szCs w:val="12"/>
          <w:color w:val="auto"/>
        </w:rPr>
        <w:t>Hibernia Field, 26.6 percent in the Hebron Field and 23.6 percent in the unitized Hibernia South Extension, all offshore eastern Canada. In Alberta, the company holds a 20 percent nonoperated working interest in the Athabasca Oil Sands Project (AOSP). Average net oil-equivalent production during 2011 was 70,000 barrels per day, composed of 69,000 barrels of crude oil, synthetic oil and natural gas liquids and 4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-598170</wp:posOffset>
            </wp:positionV>
            <wp:extent cx="2038350" cy="1525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8350" cy="1525270"/>
                    </a:xfrm>
                    <a:prstGeom prst="rect">
                      <a:avLst/>
                    </a:prstGeom>
                    <a:noFill/>
                  </pic:spPr>
                </pic:pic>
              </a:graphicData>
            </a:graphic>
          </wp:anchor>
        </w:drawing>
      </w:r>
    </w:p>
    <w:p>
      <w:pPr>
        <w:spacing w:after="0" w:line="105" w:lineRule="exact"/>
        <w:rPr>
          <w:sz w:val="20"/>
          <w:szCs w:val="20"/>
          <w:color w:val="auto"/>
        </w:rPr>
      </w:pPr>
    </w:p>
    <w:p>
      <w:pPr>
        <w:ind w:left="5460" w:right="60"/>
        <w:spacing w:after="0" w:line="253" w:lineRule="auto"/>
        <w:rPr>
          <w:sz w:val="20"/>
          <w:szCs w:val="20"/>
          <w:color w:val="auto"/>
        </w:rPr>
      </w:pPr>
      <w:r>
        <w:rPr>
          <w:rFonts w:ascii="Arial" w:cs="Arial" w:eastAsia="Arial" w:hAnsi="Arial"/>
          <w:sz w:val="13"/>
          <w:szCs w:val="13"/>
          <w:color w:val="auto"/>
        </w:rPr>
        <w:t>Development of the Hibernia Southern Extension is expected to stem the production decline from the Hibernia Field. The project includes drilling of producing wells from the existing Hibernia platform and subsea drilling of water injection wells. All project approvals were in place by early 2011 and two producing wells were successfully drilled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from the platform to obtain early reservoir information. Further drilling is anticipated to commence in 2013 with full production start-up expected in 2014. The initial recognition of proved reserves occurred in 2011 for this project.</w:t>
      </w:r>
    </w:p>
    <w:p>
      <w:pPr>
        <w:spacing w:after="0" w:line="61" w:lineRule="exact"/>
        <w:rPr>
          <w:sz w:val="20"/>
          <w:szCs w:val="20"/>
          <w:color w:val="auto"/>
        </w:rPr>
      </w:pPr>
    </w:p>
    <w:p>
      <w:pPr>
        <w:ind w:left="460" w:right="160"/>
        <w:spacing w:after="0" w:line="267" w:lineRule="auto"/>
        <w:rPr>
          <w:sz w:val="20"/>
          <w:szCs w:val="20"/>
          <w:color w:val="auto"/>
        </w:rPr>
      </w:pPr>
      <w:r>
        <w:rPr>
          <w:rFonts w:ascii="Arial" w:cs="Arial" w:eastAsia="Arial" w:hAnsi="Arial"/>
          <w:sz w:val="13"/>
          <w:szCs w:val="13"/>
          <w:color w:val="auto"/>
        </w:rPr>
        <w:t>FEED activities continued in 2011 for the development of the heavy-oil Hebron Field and a final investment decision is expected in 2013. The project has an expected economic life of 30 years. At the end of 2011, proved reserves had not been recognized for this project.</w:t>
      </w:r>
    </w:p>
    <w:p>
      <w:pPr>
        <w:spacing w:after="0" w:line="263"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320"/>
        <w:spacing w:after="0" w:line="309" w:lineRule="auto"/>
        <w:rPr>
          <w:sz w:val="20"/>
          <w:szCs w:val="20"/>
          <w:color w:val="auto"/>
        </w:rPr>
      </w:pPr>
      <w:r>
        <w:rPr>
          <w:rFonts w:ascii="Arial" w:cs="Arial" w:eastAsia="Arial" w:hAnsi="Arial"/>
          <w:sz w:val="12"/>
          <w:szCs w:val="12"/>
          <w:color w:val="auto"/>
        </w:rPr>
        <w:t>At AOSP, oil sands are mined from both the Muskeg River and Jackpine mines and bitumen is extracted from the oil sands and upgraded into synthetic oil. The AOSP Expansion 1 Project activities continued in 2011 with completion of the Scotford Upgrader expansion, which increased daily production design capacity to approximately 255,000 barrels per day.</w:t>
      </w:r>
    </w:p>
    <w:p>
      <w:pPr>
        <w:spacing w:after="0" w:line="39" w:lineRule="exact"/>
        <w:rPr>
          <w:sz w:val="20"/>
          <w:szCs w:val="20"/>
          <w:color w:val="auto"/>
        </w:rPr>
      </w:pPr>
    </w:p>
    <w:p>
      <w:pPr>
        <w:ind w:left="460" w:right="100"/>
        <w:spacing w:after="0" w:line="253" w:lineRule="auto"/>
        <w:rPr>
          <w:sz w:val="20"/>
          <w:szCs w:val="20"/>
          <w:color w:val="auto"/>
        </w:rPr>
      </w:pPr>
      <w:r>
        <w:rPr>
          <w:rFonts w:ascii="Arial" w:cs="Arial" w:eastAsia="Arial" w:hAnsi="Arial"/>
          <w:sz w:val="13"/>
          <w:szCs w:val="13"/>
          <w:color w:val="auto"/>
        </w:rPr>
        <w:t>During 2011, the company increased its shale exploration acreage in Alberta in the Duvernay formation. In third quarter 2011, a multiwell drilling program commenced on these 100 percent-owned and operated leases. A long-term well test is expected to begin in fourth quarter 2012, when the first well is expected to be tied into third-party processing facilities. The company also holds exploration licenses and leases in the Flemish Pass and Orphan basins offshore Atlantic Canada, the Mackenzie Delta region of the Northwest Territories and the Beaufort Sea region of Canada’s Arctic, including a 35.4 percent nonoperated working interest in the offshore Amauligak discovery.</w:t>
      </w:r>
    </w:p>
    <w:p>
      <w:pPr>
        <w:spacing w:after="0" w:line="71" w:lineRule="exact"/>
        <w:rPr>
          <w:sz w:val="20"/>
          <w:szCs w:val="20"/>
          <w:color w:val="auto"/>
        </w:rPr>
      </w:pPr>
    </w:p>
    <w:p>
      <w:pPr>
        <w:ind w:left="460" w:right="120"/>
        <w:spacing w:after="0" w:line="267" w:lineRule="auto"/>
        <w:rPr>
          <w:sz w:val="20"/>
          <w:szCs w:val="20"/>
          <w:color w:val="auto"/>
        </w:rPr>
      </w:pPr>
      <w:r>
        <w:rPr>
          <w:rFonts w:ascii="Arial" w:cs="Arial" w:eastAsia="Arial" w:hAnsi="Arial"/>
          <w:sz w:val="13"/>
          <w:szCs w:val="13"/>
          <w:color w:val="auto"/>
        </w:rPr>
        <w:t>In addition, Chevron holds interests in the Aitken Creek and Alberta Hub natural gas storage facilities with an approximate total capacity of 100 billion cubic feet. These facilities are located adjacent to the Duvernay, Horn River and Montney shale gas plays.</w:t>
      </w:r>
    </w:p>
    <w:p>
      <w:pPr>
        <w:spacing w:after="0" w:line="57" w:lineRule="exact"/>
        <w:rPr>
          <w:sz w:val="20"/>
          <w:szCs w:val="20"/>
          <w:color w:val="auto"/>
        </w:rPr>
      </w:pPr>
    </w:p>
    <w:p>
      <w:pPr>
        <w:ind w:left="460" w:right="60"/>
        <w:spacing w:after="0" w:line="273" w:lineRule="auto"/>
        <w:rPr>
          <w:sz w:val="20"/>
          <w:szCs w:val="20"/>
          <w:color w:val="auto"/>
        </w:rPr>
      </w:pPr>
      <w:r>
        <w:rPr>
          <w:rFonts w:ascii="Arial" w:cs="Arial" w:eastAsia="Arial" w:hAnsi="Arial"/>
          <w:sz w:val="13"/>
          <w:szCs w:val="13"/>
          <w:b w:val="1"/>
          <w:bCs w:val="1"/>
          <w:color w:val="auto"/>
        </w:rPr>
        <w:t xml:space="preserve">Greenland: </w:t>
      </w:r>
      <w:r>
        <w:rPr>
          <w:rFonts w:ascii="Arial" w:cs="Arial" w:eastAsia="Arial" w:hAnsi="Arial"/>
          <w:sz w:val="13"/>
          <w:szCs w:val="13"/>
          <w:color w:val="auto"/>
        </w:rPr>
        <w:t>In 2011, the Greenland government granted a one-year extension to the initial four-year term for License 2007/26, which includes Block 4 offshore West Greenland. Interpretation of seismic</w:t>
      </w:r>
      <w:r>
        <w:rPr>
          <w:rFonts w:ascii="Arial" w:cs="Arial" w:eastAsia="Arial" w:hAnsi="Arial"/>
          <w:sz w:val="13"/>
          <w:szCs w:val="13"/>
          <w:b w:val="1"/>
          <w:bCs w:val="1"/>
          <w:color w:val="auto"/>
        </w:rPr>
        <w:t xml:space="preserve"> </w:t>
      </w:r>
      <w:r>
        <w:rPr>
          <w:rFonts w:ascii="Arial" w:cs="Arial" w:eastAsia="Arial" w:hAnsi="Arial"/>
          <w:sz w:val="13"/>
          <w:szCs w:val="13"/>
          <w:color w:val="auto"/>
        </w:rPr>
        <w:t>data continued into early 2012. Chevron has a 29.2 percent nonoperated working interest in this exploration license.</w:t>
      </w:r>
    </w:p>
    <w:p>
      <w:pPr>
        <w:spacing w:after="0" w:line="179" w:lineRule="exact"/>
        <w:rPr>
          <w:sz w:val="20"/>
          <w:szCs w:val="20"/>
          <w:color w:val="auto"/>
        </w:rPr>
      </w:pPr>
    </w:p>
    <w:p>
      <w:pPr>
        <w:ind w:left="5460" w:right="440"/>
        <w:spacing w:after="0" w:line="303" w:lineRule="auto"/>
        <w:rPr>
          <w:sz w:val="20"/>
          <w:szCs w:val="20"/>
          <w:color w:val="auto"/>
        </w:rPr>
      </w:pPr>
      <w:r>
        <w:rPr>
          <w:rFonts w:ascii="Arial" w:cs="Arial" w:eastAsia="Arial" w:hAnsi="Arial"/>
          <w:sz w:val="11"/>
          <w:szCs w:val="11"/>
          <w:b w:val="1"/>
          <w:bCs w:val="1"/>
          <w:color w:val="auto"/>
        </w:rPr>
        <w:t xml:space="preserve">Argentina: </w:t>
      </w:r>
      <w:r>
        <w:rPr>
          <w:rFonts w:ascii="Arial" w:cs="Arial" w:eastAsia="Arial" w:hAnsi="Arial"/>
          <w:sz w:val="11"/>
          <w:szCs w:val="11"/>
          <w:color w:val="auto"/>
        </w:rPr>
        <w:t>Chevron holds operated interests in four concessions in the Neuquen Basin. Working</w:t>
      </w:r>
      <w:r>
        <w:rPr>
          <w:rFonts w:ascii="Arial" w:cs="Arial" w:eastAsia="Arial" w:hAnsi="Arial"/>
          <w:sz w:val="11"/>
          <w:szCs w:val="11"/>
          <w:b w:val="1"/>
          <w:bCs w:val="1"/>
          <w:color w:val="auto"/>
        </w:rPr>
        <w:t xml:space="preserve"> </w:t>
      </w:r>
      <w:r>
        <w:rPr>
          <w:rFonts w:ascii="Arial" w:cs="Arial" w:eastAsia="Arial" w:hAnsi="Arial"/>
          <w:sz w:val="11"/>
          <w:szCs w:val="11"/>
          <w:color w:val="auto"/>
        </w:rPr>
        <w:t>interests range from 18.8 percent to 100 percent. Net oil-equivalent production in 2011 averaged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-194310</wp:posOffset>
            </wp:positionV>
            <wp:extent cx="2001520" cy="137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1520" cy="1372870"/>
                    </a:xfrm>
                    <a:prstGeom prst="rect">
                      <a:avLst/>
                    </a:prstGeom>
                    <a:noFill/>
                  </pic:spPr>
                </pic:pic>
              </a:graphicData>
            </a:graphic>
          </wp:anchor>
        </w:drawing>
      </w:r>
    </w:p>
    <w:p>
      <w:pPr>
        <w:ind w:left="5460" w:right="120"/>
        <w:spacing w:after="0" w:line="276" w:lineRule="auto"/>
        <w:rPr>
          <w:sz w:val="20"/>
          <w:szCs w:val="20"/>
          <w:color w:val="auto"/>
        </w:rPr>
      </w:pPr>
      <w:r>
        <w:rPr>
          <w:rFonts w:ascii="Arial" w:cs="Arial" w:eastAsia="Arial" w:hAnsi="Arial"/>
          <w:sz w:val="12"/>
          <w:szCs w:val="12"/>
          <w:color w:val="auto"/>
        </w:rPr>
        <w:t>27,000 barrels per day, composed of 26,000 barrels of crude oil and natural gas liquids and 4 million cubic feet of natural gas. During 2011, the company reached an agreement to extend the El Trapial concession for an additional 10 years until 2032. The company expects to drill two exploratory wells in 2012 in the Vaca Muerta formation, targeting shale gas and tight oil resources.</w:t>
      </w:r>
    </w:p>
    <w:p>
      <w:pPr>
        <w:spacing w:after="0" w:line="122" w:lineRule="exact"/>
        <w:rPr>
          <w:sz w:val="20"/>
          <w:szCs w:val="20"/>
          <w:color w:val="auto"/>
        </w:rPr>
      </w:pPr>
    </w:p>
    <w:p>
      <w:pPr>
        <w:ind w:left="5460" w:right="100"/>
        <w:spacing w:after="0" w:line="260" w:lineRule="auto"/>
        <w:rPr>
          <w:sz w:val="20"/>
          <w:szCs w:val="20"/>
          <w:color w:val="auto"/>
        </w:rPr>
      </w:pPr>
      <w:r>
        <w:rPr>
          <w:rFonts w:ascii="Arial" w:cs="Arial" w:eastAsia="Arial" w:hAnsi="Arial"/>
          <w:sz w:val="13"/>
          <w:szCs w:val="13"/>
          <w:b w:val="1"/>
          <w:bCs w:val="1"/>
          <w:color w:val="auto"/>
        </w:rPr>
        <w:t xml:space="preserve">Brazil: </w:t>
      </w:r>
      <w:r>
        <w:rPr>
          <w:rFonts w:ascii="Arial" w:cs="Arial" w:eastAsia="Arial" w:hAnsi="Arial"/>
          <w:sz w:val="13"/>
          <w:szCs w:val="13"/>
          <w:color w:val="auto"/>
        </w:rPr>
        <w:t>Chevron holds working interests in three deepwater fields in the Campos Basin. Net oil-equivalent production in 2011 averaged 35,000 barrels per day, composed of 33,000 barrels of crude oil and 13 million cubic feet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natural gas.</w:t>
      </w:r>
    </w:p>
    <w:p>
      <w:pPr>
        <w:spacing w:after="0" w:line="91" w:lineRule="exact"/>
        <w:rPr>
          <w:sz w:val="20"/>
          <w:szCs w:val="20"/>
          <w:color w:val="auto"/>
        </w:rPr>
      </w:pPr>
    </w:p>
    <w:p>
      <w:pPr>
        <w:jc w:val="both"/>
        <w:ind w:left="460" w:right="60"/>
        <w:spacing w:after="0" w:line="256" w:lineRule="auto"/>
        <w:rPr>
          <w:sz w:val="20"/>
          <w:szCs w:val="20"/>
          <w:color w:val="auto"/>
        </w:rPr>
      </w:pPr>
      <w:r>
        <w:rPr>
          <w:rFonts w:ascii="Arial" w:cs="Arial" w:eastAsia="Arial" w:hAnsi="Arial"/>
          <w:sz w:val="13"/>
          <w:szCs w:val="13"/>
          <w:color w:val="auto"/>
        </w:rPr>
        <w:t>During 2011, development drilling continued at the 51.7 percent-owned and operated Frade Field, located in the Campos Basin. Eleven development wells and four injection wells had been completed as of year-end 2011. Development drilling is planned to continue through 2013, with one additional development well, one sidetrack well and several injection wells. The concession that includes the Frade project expires in 2025.</w:t>
      </w:r>
    </w:p>
    <w:p>
      <w:pPr>
        <w:spacing w:after="0" w:line="69" w:lineRule="exact"/>
        <w:rPr>
          <w:sz w:val="20"/>
          <w:szCs w:val="20"/>
          <w:color w:val="auto"/>
        </w:rPr>
      </w:pPr>
    </w:p>
    <w:p>
      <w:pPr>
        <w:ind w:left="460" w:right="80"/>
        <w:spacing w:after="0" w:line="251" w:lineRule="auto"/>
        <w:rPr>
          <w:sz w:val="20"/>
          <w:szCs w:val="20"/>
          <w:color w:val="auto"/>
        </w:rPr>
      </w:pPr>
      <w:r>
        <w:rPr>
          <w:rFonts w:ascii="Arial" w:cs="Arial" w:eastAsia="Arial" w:hAnsi="Arial"/>
          <w:sz w:val="13"/>
          <w:szCs w:val="13"/>
          <w:color w:val="auto"/>
        </w:rPr>
        <w:t>In the partner-operated Campos Basin Block BC-20, two areas — 37.5 percent-owned Papa-Terra and 30 percent-owned Maromba — were retained for development following the end of the exploration phase of this block. During 2011, construction progressed on a floating production, storage and offloading (FPSO) vessel and tension leg well platform for the Papa-Terra project. Development drilling was initiated in fourth quarter 2011. The facility has a planned total daily capacity of 140,000 barrels of crude oil. First production is expected in 2013, and the initial recognition of proved reserves occurred during 2011. Evaluation of the field development concept for Maromba continued into early 2012. At the end of 2011, proved reserves had not been recognized for this project</w:t>
      </w:r>
      <w:r>
        <w:rPr>
          <w:rFonts w:ascii="Arial" w:cs="Arial" w:eastAsia="Arial" w:hAnsi="Arial"/>
          <w:sz w:val="13"/>
          <w:szCs w:val="13"/>
          <w:i w:val="1"/>
          <w:iCs w:val="1"/>
          <w:color w:val="auto"/>
        </w:rPr>
        <w:t>.</w:t>
      </w:r>
      <w:r>
        <w:rPr>
          <w:rFonts w:ascii="Arial" w:cs="Arial" w:eastAsia="Arial" w:hAnsi="Arial"/>
          <w:sz w:val="13"/>
          <w:szCs w:val="13"/>
          <w:color w:val="auto"/>
        </w:rPr>
        <w:t xml:space="preserve"> These concessions expire in 2032.</w:t>
      </w:r>
    </w:p>
    <w:p>
      <w:pPr>
        <w:spacing w:after="0" w:line="70" w:lineRule="exact"/>
        <w:rPr>
          <w:sz w:val="20"/>
          <w:szCs w:val="20"/>
          <w:color w:val="auto"/>
        </w:rPr>
      </w:pPr>
    </w:p>
    <w:p>
      <w:pPr>
        <w:jc w:val="both"/>
        <w:ind w:left="460"/>
        <w:spacing w:after="0" w:line="291" w:lineRule="auto"/>
        <w:rPr>
          <w:sz w:val="20"/>
          <w:szCs w:val="20"/>
          <w:color w:val="auto"/>
        </w:rPr>
      </w:pPr>
      <w:r>
        <w:rPr>
          <w:rFonts w:ascii="Arial" w:cs="Arial" w:eastAsia="Arial" w:hAnsi="Arial"/>
          <w:sz w:val="12"/>
          <w:szCs w:val="12"/>
          <w:b w:val="1"/>
          <w:bCs w:val="1"/>
          <w:color w:val="auto"/>
        </w:rPr>
        <w:t xml:space="preserve">Colombia: </w:t>
      </w:r>
      <w:r>
        <w:rPr>
          <w:rFonts w:ascii="Arial" w:cs="Arial" w:eastAsia="Arial" w:hAnsi="Arial"/>
          <w:sz w:val="12"/>
          <w:szCs w:val="12"/>
          <w:color w:val="auto"/>
        </w:rPr>
        <w:t>The company operates the offshore Chuchupa and the onshore Ballena and Riohacha natural gas fields as part of the Guajira Association contract. In exchange, Chevron receives 43 percent of</w:t>
      </w:r>
      <w:r>
        <w:rPr>
          <w:rFonts w:ascii="Arial" w:cs="Arial" w:eastAsia="Arial" w:hAnsi="Arial"/>
          <w:sz w:val="12"/>
          <w:szCs w:val="12"/>
          <w:b w:val="1"/>
          <w:bCs w:val="1"/>
          <w:color w:val="auto"/>
        </w:rPr>
        <w:t xml:space="preserve"> </w:t>
      </w:r>
      <w:r>
        <w:rPr>
          <w:rFonts w:ascii="Arial" w:cs="Arial" w:eastAsia="Arial" w:hAnsi="Arial"/>
          <w:sz w:val="12"/>
          <w:szCs w:val="12"/>
          <w:color w:val="auto"/>
        </w:rPr>
        <w:t>the production for the remaining life of each field and a variable production volume based on prior Chuchupa capital contributions. During 2011, a gas export agreement with Venezuela was extended. An onshore, multiwell drilling program commenced in late 2011. Daily net production averaged 234 million cubic feet of natural gas in 2011.</w:t>
      </w:r>
    </w:p>
    <w:p>
      <w:pPr>
        <w:spacing w:after="0" w:line="46" w:lineRule="exact"/>
        <w:rPr>
          <w:sz w:val="20"/>
          <w:szCs w:val="20"/>
          <w:color w:val="auto"/>
        </w:rPr>
      </w:pPr>
    </w:p>
    <w:p>
      <w:pPr>
        <w:ind w:left="460" w:right="80"/>
        <w:spacing w:after="0" w:line="316" w:lineRule="auto"/>
        <w:rPr>
          <w:sz w:val="20"/>
          <w:szCs w:val="20"/>
          <w:color w:val="auto"/>
        </w:rPr>
      </w:pPr>
      <w:r>
        <w:rPr>
          <w:rFonts w:ascii="Arial" w:cs="Arial" w:eastAsia="Arial" w:hAnsi="Arial"/>
          <w:sz w:val="12"/>
          <w:szCs w:val="12"/>
          <w:b w:val="1"/>
          <w:bCs w:val="1"/>
          <w:color w:val="auto"/>
        </w:rPr>
        <w:t xml:space="preserve">Trinidad and Tobago: </w:t>
      </w:r>
      <w:r>
        <w:rPr>
          <w:rFonts w:ascii="Arial" w:cs="Arial" w:eastAsia="Arial" w:hAnsi="Arial"/>
          <w:sz w:val="12"/>
          <w:szCs w:val="12"/>
          <w:color w:val="auto"/>
        </w:rPr>
        <w:t>Company interests include 50 percent ownership in three partner-operated blocks in the East Coast Marine Area offshore Trinidad, which includes the Dolphin and Dolphin Deep</w:t>
      </w:r>
      <w:r>
        <w:rPr>
          <w:rFonts w:ascii="Arial" w:cs="Arial" w:eastAsia="Arial" w:hAnsi="Arial"/>
          <w:sz w:val="12"/>
          <w:szCs w:val="12"/>
          <w:b w:val="1"/>
          <w:bCs w:val="1"/>
          <w:color w:val="auto"/>
        </w:rPr>
        <w:t xml:space="preserve"> </w:t>
      </w:r>
      <w:r>
        <w:rPr>
          <w:rFonts w:ascii="Arial" w:cs="Arial" w:eastAsia="Arial" w:hAnsi="Arial"/>
          <w:sz w:val="12"/>
          <w:szCs w:val="12"/>
          <w:color w:val="auto"/>
        </w:rPr>
        <w:t>producing natural gas fields and the Starfish discovery. Net production in 2011 averaged 183 million cubic feet of natural gas per day. Chevron also holds a</w:t>
      </w:r>
    </w:p>
    <w:p>
      <w:pPr>
        <w:spacing w:after="0" w:line="236"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440"/>
        <w:spacing w:after="0" w:line="267" w:lineRule="auto"/>
        <w:rPr>
          <w:sz w:val="20"/>
          <w:szCs w:val="20"/>
          <w:color w:val="auto"/>
        </w:rPr>
      </w:pPr>
      <w:r>
        <w:rPr>
          <w:rFonts w:ascii="Arial" w:cs="Arial" w:eastAsia="Arial" w:hAnsi="Arial"/>
          <w:sz w:val="13"/>
          <w:szCs w:val="13"/>
          <w:color w:val="auto"/>
        </w:rPr>
        <w:t>50 percent operated interest in the Manatee Area of Block 6(d), which includes a 2005 discovery. During 2011, work progressed to mature a development concept called the Regional Cooperative Agreement.</w:t>
      </w:r>
    </w:p>
    <w:p>
      <w:pPr>
        <w:spacing w:after="0" w:line="125" w:lineRule="exact"/>
        <w:rPr>
          <w:sz w:val="20"/>
          <w:szCs w:val="20"/>
          <w:color w:val="auto"/>
        </w:rPr>
      </w:pPr>
    </w:p>
    <w:p>
      <w:pPr>
        <w:ind w:left="5460" w:right="80"/>
        <w:spacing w:after="0" w:line="275" w:lineRule="auto"/>
        <w:rPr>
          <w:sz w:val="20"/>
          <w:szCs w:val="20"/>
          <w:color w:val="auto"/>
        </w:rPr>
      </w:pPr>
      <w:r>
        <w:rPr>
          <w:rFonts w:ascii="Arial" w:cs="Arial" w:eastAsia="Arial" w:hAnsi="Arial"/>
          <w:sz w:val="12"/>
          <w:szCs w:val="12"/>
          <w:b w:val="1"/>
          <w:bCs w:val="1"/>
          <w:color w:val="auto"/>
        </w:rPr>
        <w:t xml:space="preserve">Venezuela: </w:t>
      </w:r>
      <w:r>
        <w:rPr>
          <w:rFonts w:ascii="Arial" w:cs="Arial" w:eastAsia="Arial" w:hAnsi="Arial"/>
          <w:sz w:val="12"/>
          <w:szCs w:val="12"/>
          <w:color w:val="auto"/>
        </w:rPr>
        <w:t>Chevron holds interests in two producing affiliates located in western Venezuela and one</w:t>
      </w:r>
      <w:r>
        <w:rPr>
          <w:rFonts w:ascii="Arial" w:cs="Arial" w:eastAsia="Arial" w:hAnsi="Arial"/>
          <w:sz w:val="12"/>
          <w:szCs w:val="12"/>
          <w:b w:val="1"/>
          <w:bCs w:val="1"/>
          <w:color w:val="auto"/>
        </w:rPr>
        <w:t xml:space="preserve"> </w:t>
      </w:r>
      <w:r>
        <w:rPr>
          <w:rFonts w:ascii="Arial" w:cs="Arial" w:eastAsia="Arial" w:hAnsi="Arial"/>
          <w:sz w:val="12"/>
          <w:szCs w:val="12"/>
          <w:color w:val="auto"/>
        </w:rPr>
        <w:t>producing affiliate in the Orinoco Belt. Chevron has a 30 percent interest in the Petropiar affiliate that operates the Hamaca heavy-oil production and upgrading project located in Venezuela’s Orinoco Belt, a 39.2 percent interest in the Petroboscan affiliate that operates the Boscan Field in the western part of the country, and a 25.2 percent interest in the Petroindependiente affiliate that operates the LL-652 Field in Lake Maracaibo. The company’s share of net oil-equivalent production during 2011 from these operations, including synthetic oil from Hamaca, averaged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-694055</wp:posOffset>
            </wp:positionV>
            <wp:extent cx="2025650" cy="1049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5650" cy="10496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65,000 barrels per day, composed of 60,000 barrels of crude oil, synthetic oil and natural gas liquids and 27 million cubic feet of natural gas.</w:t>
      </w:r>
    </w:p>
    <w:p>
      <w:pPr>
        <w:spacing w:after="0" w:line="91" w:lineRule="exact"/>
        <w:rPr>
          <w:sz w:val="20"/>
          <w:szCs w:val="20"/>
          <w:color w:val="auto"/>
        </w:rPr>
      </w:pPr>
    </w:p>
    <w:p>
      <w:pPr>
        <w:ind w:left="460" w:right="100"/>
        <w:spacing w:after="0" w:line="309" w:lineRule="auto"/>
        <w:rPr>
          <w:sz w:val="20"/>
          <w:szCs w:val="20"/>
          <w:color w:val="auto"/>
        </w:rPr>
      </w:pPr>
      <w:r>
        <w:rPr>
          <w:rFonts w:ascii="Arial" w:cs="Arial" w:eastAsia="Arial" w:hAnsi="Arial"/>
          <w:sz w:val="12"/>
          <w:szCs w:val="12"/>
          <w:color w:val="auto"/>
        </w:rPr>
        <w:t>Chevron holds a 34 percent interest in the Petroindependencia affiliate that is working on a heavy-oil project in three blocks within the Carabobo Area of eastern Venezuela’s Orinoco Belt. During 2011, work continued toward commercialization of the Carabobo 3 Project. Conceptual engineering for the potential development of the concession is in progress.</w:t>
      </w:r>
    </w:p>
    <w:p>
      <w:pPr>
        <w:spacing w:after="0" w:line="39" w:lineRule="exact"/>
        <w:rPr>
          <w:sz w:val="20"/>
          <w:szCs w:val="20"/>
          <w:color w:val="auto"/>
        </w:rPr>
      </w:pPr>
    </w:p>
    <w:p>
      <w:pPr>
        <w:ind w:left="460" w:right="260"/>
        <w:spacing w:after="0" w:line="267" w:lineRule="auto"/>
        <w:rPr>
          <w:sz w:val="20"/>
          <w:szCs w:val="20"/>
          <w:color w:val="auto"/>
        </w:rPr>
      </w:pPr>
      <w:r>
        <w:rPr>
          <w:rFonts w:ascii="Arial" w:cs="Arial" w:eastAsia="Arial" w:hAnsi="Arial"/>
          <w:sz w:val="13"/>
          <w:szCs w:val="13"/>
          <w:color w:val="auto"/>
        </w:rPr>
        <w:t>The company operates and has a working interest of 60 percent in Block 2 in the Plataforma Deltana area offshore eastern Venezuela. During 2011, work progressed to mature a development concept called the Regional Cooperative Agreement.</w:t>
      </w:r>
    </w:p>
    <w:p>
      <w:pPr>
        <w:spacing w:after="0" w:line="134" w:lineRule="exact"/>
        <w:rPr>
          <w:sz w:val="20"/>
          <w:szCs w:val="20"/>
          <w:color w:val="auto"/>
        </w:rPr>
      </w:pPr>
    </w:p>
    <w:p>
      <w:pPr>
        <w:ind w:left="780" w:hanging="324"/>
        <w:spacing w:after="0"/>
        <w:tabs>
          <w:tab w:leader="none" w:pos="7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Africa</w:t>
      </w:r>
    </w:p>
    <w:p>
      <w:pPr>
        <w:spacing w:after="0" w:line="95"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In Africa, the company is engaged in exploration and production activities in Angola, Chad, Democratic Republic of the Congo, Liberia, Nigeria and Republic of the Congo. Net oil-equivalent production in Africa averaged 459,000 barrels per day during 2011.</w:t>
      </w:r>
    </w:p>
    <w:p>
      <w:pPr>
        <w:spacing w:after="0" w:line="144" w:lineRule="exact"/>
        <w:rPr>
          <w:sz w:val="20"/>
          <w:szCs w:val="20"/>
          <w:color w:val="auto"/>
        </w:rPr>
      </w:pPr>
    </w:p>
    <w:p>
      <w:pPr>
        <w:ind w:left="4900" w:right="80"/>
        <w:spacing w:after="0" w:line="260" w:lineRule="auto"/>
        <w:rPr>
          <w:sz w:val="20"/>
          <w:szCs w:val="20"/>
          <w:color w:val="auto"/>
        </w:rPr>
      </w:pPr>
      <w:r>
        <w:rPr>
          <w:rFonts w:ascii="Arial" w:cs="Arial" w:eastAsia="Arial" w:hAnsi="Arial"/>
          <w:sz w:val="13"/>
          <w:szCs w:val="13"/>
          <w:b w:val="1"/>
          <w:bCs w:val="1"/>
          <w:color w:val="auto"/>
        </w:rPr>
        <w:t xml:space="preserve">Angola: </w:t>
      </w:r>
      <w:r>
        <w:rPr>
          <w:rFonts w:ascii="Arial" w:cs="Arial" w:eastAsia="Arial" w:hAnsi="Arial"/>
          <w:sz w:val="13"/>
          <w:szCs w:val="13"/>
          <w:color w:val="auto"/>
        </w:rPr>
        <w:t>Chevron holds company-operated working interests in offshore Blocks 0 and 14 and nonoperated working</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interests in offshore Block 2 and the onshore Fina Sonangol Texaco area. Net production from these operations in 2011 averaged 147,000 barrels of oil-equivalent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-299720</wp:posOffset>
            </wp:positionV>
            <wp:extent cx="2032000" cy="2355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2000" cy="2355215"/>
                    </a:xfrm>
                    <a:prstGeom prst="rect">
                      <a:avLst/>
                    </a:prstGeom>
                    <a:noFill/>
                  </pic:spPr>
                </pic:pic>
              </a:graphicData>
            </a:graphic>
          </wp:anchor>
        </w:drawing>
      </w:r>
    </w:p>
    <w:p>
      <w:pPr>
        <w:spacing w:after="0" w:line="113" w:lineRule="exact"/>
        <w:rPr>
          <w:sz w:val="20"/>
          <w:szCs w:val="20"/>
          <w:color w:val="auto"/>
        </w:rPr>
      </w:pPr>
    </w:p>
    <w:p>
      <w:pPr>
        <w:ind w:left="4900" w:right="340"/>
        <w:spacing w:after="0" w:line="267" w:lineRule="auto"/>
        <w:rPr>
          <w:sz w:val="20"/>
          <w:szCs w:val="20"/>
          <w:color w:val="auto"/>
        </w:rPr>
      </w:pPr>
      <w:r>
        <w:rPr>
          <w:rFonts w:ascii="Arial" w:cs="Arial" w:eastAsia="Arial" w:hAnsi="Arial"/>
          <w:sz w:val="13"/>
          <w:szCs w:val="13"/>
          <w:color w:val="auto"/>
        </w:rPr>
        <w:t>The company operates the 39.2 percent-owned Block 0, which averaged 108,000 barrels per day of net liquids production in 2011. The Block 0 concession extends through 2030.</w:t>
      </w:r>
    </w:p>
    <w:p>
      <w:pPr>
        <w:spacing w:after="0" w:line="129" w:lineRule="exact"/>
        <w:rPr>
          <w:sz w:val="20"/>
          <w:szCs w:val="20"/>
          <w:color w:val="auto"/>
        </w:rPr>
      </w:pPr>
    </w:p>
    <w:p>
      <w:pPr>
        <w:ind w:left="4900"/>
        <w:spacing w:after="0" w:line="272" w:lineRule="auto"/>
        <w:rPr>
          <w:sz w:val="20"/>
          <w:szCs w:val="20"/>
          <w:color w:val="auto"/>
        </w:rPr>
      </w:pPr>
      <w:r>
        <w:rPr>
          <w:rFonts w:ascii="Arial" w:cs="Arial" w:eastAsia="Arial" w:hAnsi="Arial"/>
          <w:sz w:val="12"/>
          <w:szCs w:val="12"/>
          <w:color w:val="auto"/>
        </w:rPr>
        <w:t>Work on the second development stage of the Mafumeira Field in Block 0 continued in 2011. Mafumeira Sul, a project to develop the southern portion of the field, is expected to reach a final investment decision in second quarter 2012. Maximum total production from Mafumeira Sul is expected to be 110,000 barrels of crude oil and</w:t>
      </w:r>
    </w:p>
    <w:p>
      <w:pPr>
        <w:ind w:left="4900" w:right="160"/>
        <w:spacing w:after="0" w:line="253" w:lineRule="auto"/>
        <w:rPr>
          <w:sz w:val="20"/>
          <w:szCs w:val="20"/>
          <w:color w:val="auto"/>
        </w:rPr>
      </w:pPr>
      <w:r>
        <w:rPr>
          <w:rFonts w:ascii="Arial" w:cs="Arial" w:eastAsia="Arial" w:hAnsi="Arial"/>
          <w:sz w:val="13"/>
          <w:szCs w:val="13"/>
          <w:color w:val="auto"/>
        </w:rPr>
        <w:t>10,000 barrels of LPG per day. At year-end 2011, proved reserves had not been recognized for the Mafumeira Sul project.</w:t>
      </w:r>
    </w:p>
    <w:p>
      <w:pPr>
        <w:spacing w:after="0" w:line="138" w:lineRule="exact"/>
        <w:rPr>
          <w:sz w:val="20"/>
          <w:szCs w:val="20"/>
          <w:color w:val="auto"/>
        </w:rPr>
      </w:pPr>
    </w:p>
    <w:p>
      <w:pPr>
        <w:ind w:left="4900" w:right="20"/>
        <w:spacing w:after="0" w:line="309" w:lineRule="auto"/>
        <w:rPr>
          <w:sz w:val="20"/>
          <w:szCs w:val="20"/>
          <w:color w:val="auto"/>
        </w:rPr>
      </w:pPr>
      <w:r>
        <w:rPr>
          <w:rFonts w:ascii="Arial" w:cs="Arial" w:eastAsia="Arial" w:hAnsi="Arial"/>
          <w:sz w:val="12"/>
          <w:szCs w:val="12"/>
          <w:color w:val="auto"/>
        </w:rPr>
        <w:t>In the Greater Vanza/Longui Area of Block 0, development concept studies continued during 2011 and the project is expected to enter FEED in second-half 2012. FEED activities continued on the south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of the N’Dola Field development with a final investment decision expected in late 2012. At year-end 2011, no proved reserves were recognized for these projects.</w:t>
      </w:r>
    </w:p>
    <w:p>
      <w:pPr>
        <w:spacing w:after="0" w:line="91" w:lineRule="exact"/>
        <w:rPr>
          <w:sz w:val="20"/>
          <w:szCs w:val="20"/>
          <w:color w:val="auto"/>
        </w:rPr>
      </w:pPr>
    </w:p>
    <w:p>
      <w:pPr>
        <w:ind w:left="460" w:right="100"/>
        <w:spacing w:after="0" w:line="288" w:lineRule="auto"/>
        <w:rPr>
          <w:sz w:val="20"/>
          <w:szCs w:val="20"/>
          <w:color w:val="auto"/>
        </w:rPr>
      </w:pPr>
      <w:r>
        <w:rPr>
          <w:rFonts w:ascii="Arial" w:cs="Arial" w:eastAsia="Arial" w:hAnsi="Arial"/>
          <w:sz w:val="12"/>
          <w:szCs w:val="12"/>
          <w:color w:val="auto"/>
        </w:rPr>
        <w:t>In Block 0, the Area A gas management projects at the Takula and Malongo reservoirs were designed to eliminate routine flaring of natural gas. The final project entered service in 2011, which together have reduced flaring by approximately 70 million cubic feet per day, as of year-end 2011. In Area B, the first stage of the Nemba Enhanced Secondary Recovery and Flare Reduction Project was completed in second quarter 2011. The final stage is expected to eliminate routine flaring at the North and South Nemba platforms and is scheduled to begin gas injection in 2014.</w:t>
      </w:r>
    </w:p>
    <w:p>
      <w:pPr>
        <w:spacing w:after="0" w:line="51" w:lineRule="exact"/>
        <w:rPr>
          <w:sz w:val="20"/>
          <w:szCs w:val="20"/>
          <w:color w:val="auto"/>
        </w:rPr>
      </w:pPr>
    </w:p>
    <w:p>
      <w:pPr>
        <w:ind w:left="460" w:right="220"/>
        <w:spacing w:after="0" w:line="309" w:lineRule="auto"/>
        <w:rPr>
          <w:sz w:val="20"/>
          <w:szCs w:val="20"/>
          <w:color w:val="auto"/>
        </w:rPr>
      </w:pPr>
      <w:r>
        <w:rPr>
          <w:rFonts w:ascii="Arial" w:cs="Arial" w:eastAsia="Arial" w:hAnsi="Arial"/>
          <w:sz w:val="12"/>
          <w:szCs w:val="12"/>
          <w:color w:val="auto"/>
        </w:rPr>
        <w:t>Also in Block 0, a two-well appraisal and exploration program was completed in 2011. The appraisal well completed in July 2011 in the Lifua Field was successful and development opportunities are being evaluated. The second well, completed in October 2011 in the pre-salt play, was not successful. Two additional exploratory wells are planned for second-half 2012.</w:t>
      </w:r>
    </w:p>
    <w:p>
      <w:pPr>
        <w:spacing w:after="0" w:line="39"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In the 31 percent-owned Block 14, net production in 2011 averaged 29,000 barrels of liquids per day. Development and production rights for the various producing fields in Block 14 expire between 2023 and 2028.</w:t>
      </w:r>
    </w:p>
    <w:p>
      <w:pPr>
        <w:spacing w:after="0" w:line="61" w:lineRule="exact"/>
        <w:rPr>
          <w:sz w:val="20"/>
          <w:szCs w:val="20"/>
          <w:color w:val="auto"/>
        </w:rPr>
      </w:pPr>
    </w:p>
    <w:p>
      <w:pPr>
        <w:ind w:left="460" w:right="220"/>
        <w:spacing w:after="0" w:line="325" w:lineRule="auto"/>
        <w:rPr>
          <w:sz w:val="20"/>
          <w:szCs w:val="20"/>
          <w:color w:val="auto"/>
        </w:rPr>
      </w:pPr>
      <w:r>
        <w:rPr>
          <w:rFonts w:ascii="Arial" w:cs="Arial" w:eastAsia="Arial" w:hAnsi="Arial"/>
          <w:sz w:val="11"/>
          <w:szCs w:val="11"/>
          <w:color w:val="auto"/>
        </w:rPr>
        <w:t>For the Lucapa Field in Block 14, development alternatives continued to be evaluated during 2011. The project is expected to enter FEED in second quarter 2012. Development alternatives were evaluated during the year at the Malange Field and the preferred alternative is expected to enter FEED in mid-2012. As of the end of 2011, development of the Negage Field remained suspended until cooperative arrangements between Angola and Democratic Republic of the Congo are finalized. At the end of 2011, proved reserves had not been recognized for these projects.</w:t>
      </w:r>
    </w:p>
    <w:p>
      <w:pPr>
        <w:spacing w:after="0" w:line="34" w:lineRule="exact"/>
        <w:rPr>
          <w:sz w:val="20"/>
          <w:szCs w:val="20"/>
          <w:color w:val="auto"/>
        </w:rPr>
      </w:pPr>
    </w:p>
    <w:p>
      <w:pPr>
        <w:ind w:left="460" w:right="40"/>
        <w:spacing w:after="0" w:line="294" w:lineRule="auto"/>
        <w:rPr>
          <w:sz w:val="20"/>
          <w:szCs w:val="20"/>
          <w:color w:val="auto"/>
        </w:rPr>
      </w:pPr>
      <w:r>
        <w:rPr>
          <w:rFonts w:ascii="Arial" w:cs="Arial" w:eastAsia="Arial" w:hAnsi="Arial"/>
          <w:sz w:val="11"/>
          <w:szCs w:val="11"/>
          <w:color w:val="auto"/>
        </w:rPr>
        <w:t>In addition to the exploration and production activities in Angola, Chevron has a 36.4 percent ownership interest in the Angola LNG affiliate that began construction in 2008 of an onshore natural gas liquefaction plant at Soyo, Angola. The plant is designed to process 1.1 billion cubic feet of natural gas per day, with expected average total daily sales of 670 million cubic feet of regasified LNG and up to 63,000 barrels of natural gas liquids. Construction continued during 2011, reaching mechanical completion at year-end. The first LNG shipment from the plant is expected in second quarter 2012. The estimated total cost of the LNG plant is $10 billion, with an estimated life in excess of 20 years. The company also holds a 38.1 percent interest in a pipeline project that is expected to transport up to 250 million cubic feet of natural gas per day from Block 0 and Block 14 to the Angola LNG plant. The pipeline project entered construction in May 2011 and is expected to be completed in late 2013.</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Proved reserves have been recognized for the producing operations associated with the Angola LNG project.</w:t>
      </w:r>
    </w:p>
    <w:p>
      <w:pPr>
        <w:spacing w:after="0" w:line="78" w:lineRule="exact"/>
        <w:rPr>
          <w:sz w:val="20"/>
          <w:szCs w:val="20"/>
          <w:color w:val="auto"/>
        </w:rPr>
      </w:pPr>
    </w:p>
    <w:p>
      <w:pPr>
        <w:ind w:left="460" w:right="60"/>
        <w:spacing w:after="0" w:line="260" w:lineRule="auto"/>
        <w:rPr>
          <w:sz w:val="20"/>
          <w:szCs w:val="20"/>
          <w:color w:val="auto"/>
        </w:rPr>
      </w:pPr>
      <w:r>
        <w:rPr>
          <w:rFonts w:ascii="Arial" w:cs="Arial" w:eastAsia="Arial" w:hAnsi="Arial"/>
          <w:sz w:val="13"/>
          <w:szCs w:val="13"/>
          <w:b w:val="1"/>
          <w:bCs w:val="1"/>
          <w:color w:val="auto"/>
        </w:rPr>
        <w:t xml:space="preserve">Angola — Republic of the Congo Joint Development Area: </w:t>
      </w:r>
      <w:r>
        <w:rPr>
          <w:rFonts w:ascii="Arial" w:cs="Arial" w:eastAsia="Arial" w:hAnsi="Arial"/>
          <w:sz w:val="13"/>
          <w:szCs w:val="13"/>
          <w:color w:val="auto"/>
        </w:rPr>
        <w:t>Chevron operates and holds a 31.3 percent interest in the Lianzi Development Area located between Angola and Republic of the Congo. A</w:t>
      </w:r>
      <w:r>
        <w:rPr>
          <w:rFonts w:ascii="Arial" w:cs="Arial" w:eastAsia="Arial" w:hAnsi="Arial"/>
          <w:sz w:val="13"/>
          <w:szCs w:val="13"/>
          <w:b w:val="1"/>
          <w:bCs w:val="1"/>
          <w:color w:val="auto"/>
        </w:rPr>
        <w:t xml:space="preserve"> </w:t>
      </w:r>
      <w:r>
        <w:rPr>
          <w:rFonts w:ascii="Arial" w:cs="Arial" w:eastAsia="Arial" w:hAnsi="Arial"/>
          <w:sz w:val="13"/>
          <w:szCs w:val="13"/>
          <w:color w:val="auto"/>
        </w:rPr>
        <w:t>final investment decision for the Lianzi development project is expected in mid-2012. The project is expected to commence production in late 2014. At the end of 2011, proved reserves had not been recognized for the project.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Democratic Republic of the Congo: </w:t>
      </w:r>
      <w:r>
        <w:rPr>
          <w:rFonts w:ascii="Arial" w:cs="Arial" w:eastAsia="Arial" w:hAnsi="Arial"/>
          <w:sz w:val="12"/>
          <w:szCs w:val="12"/>
          <w:color w:val="auto"/>
        </w:rPr>
        <w:t>Chevron has a 17.7 percent nonoperated working interest in an offshore concession. Daily net production in 2011 averaged 3,000 barrels of oil-equivalent.</w:t>
      </w:r>
    </w:p>
    <w:p>
      <w:pPr>
        <w:spacing w:after="0" w:line="102" w:lineRule="exact"/>
        <w:rPr>
          <w:sz w:val="20"/>
          <w:szCs w:val="20"/>
          <w:color w:val="auto"/>
        </w:rPr>
      </w:pPr>
    </w:p>
    <w:p>
      <w:pPr>
        <w:ind w:left="460" w:right="120"/>
        <w:spacing w:after="0" w:line="260" w:lineRule="auto"/>
        <w:rPr>
          <w:sz w:val="20"/>
          <w:szCs w:val="20"/>
          <w:color w:val="auto"/>
        </w:rPr>
      </w:pPr>
      <w:r>
        <w:rPr>
          <w:rFonts w:ascii="Arial" w:cs="Arial" w:eastAsia="Arial" w:hAnsi="Arial"/>
          <w:sz w:val="13"/>
          <w:szCs w:val="13"/>
          <w:b w:val="1"/>
          <w:bCs w:val="1"/>
          <w:color w:val="auto"/>
        </w:rPr>
        <w:t xml:space="preserve">Republic of the Congo: </w:t>
      </w:r>
      <w:r>
        <w:rPr>
          <w:rFonts w:ascii="Arial" w:cs="Arial" w:eastAsia="Arial" w:hAnsi="Arial"/>
          <w:sz w:val="13"/>
          <w:szCs w:val="13"/>
          <w:color w:val="auto"/>
        </w:rPr>
        <w:t>Chevron has a 31.5 percent nonoperated working interest in the Nkossa, Nsoko and Moho-Bilondo permit areas and a 29.3 percent nonoperated working interest in the Kitina</w:t>
      </w:r>
      <w:r>
        <w:rPr>
          <w:rFonts w:ascii="Arial" w:cs="Arial" w:eastAsia="Arial" w:hAnsi="Arial"/>
          <w:sz w:val="13"/>
          <w:szCs w:val="13"/>
          <w:b w:val="1"/>
          <w:bCs w:val="1"/>
          <w:color w:val="auto"/>
        </w:rPr>
        <w:t xml:space="preserve"> </w:t>
      </w:r>
      <w:r>
        <w:rPr>
          <w:rFonts w:ascii="Arial" w:cs="Arial" w:eastAsia="Arial" w:hAnsi="Arial"/>
          <w:sz w:val="13"/>
          <w:szCs w:val="13"/>
          <w:color w:val="auto"/>
        </w:rPr>
        <w:t>permit area, all of which are offshore. The development and production rights for Kitina, Nsoko, Nkossa and Moho-Bilondo expire in 2014, 2018, 2027 and 2030, respectively. Net production averaged 23,000 barrels of oil-equivalent per day in 2011.</w:t>
      </w:r>
    </w:p>
    <w:p>
      <w:pPr>
        <w:spacing w:after="0" w:line="66"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The Moho Nord Project, located in the Moho-Bilondo Development Area, entered FEED in fourth quarter 2011. The project is expected to reach a final investment decision in 2013. At the end of 2011, proved reserves had not been recognized for this project.</w:t>
      </w:r>
    </w:p>
    <w:p>
      <w:pPr>
        <w:spacing w:after="0" w:line="57" w:lineRule="exact"/>
        <w:rPr>
          <w:sz w:val="20"/>
          <w:szCs w:val="20"/>
          <w:color w:val="auto"/>
        </w:rPr>
      </w:pPr>
    </w:p>
    <w:p>
      <w:pPr>
        <w:ind w:left="460" w:right="100"/>
        <w:spacing w:after="0" w:line="260" w:lineRule="auto"/>
        <w:rPr>
          <w:sz w:val="20"/>
          <w:szCs w:val="20"/>
          <w:color w:val="auto"/>
        </w:rPr>
      </w:pPr>
      <w:r>
        <w:rPr>
          <w:rFonts w:ascii="Arial" w:cs="Arial" w:eastAsia="Arial" w:hAnsi="Arial"/>
          <w:sz w:val="13"/>
          <w:szCs w:val="13"/>
          <w:b w:val="1"/>
          <w:bCs w:val="1"/>
          <w:color w:val="auto"/>
        </w:rPr>
        <w:t xml:space="preserve">Chad/Cameroon: </w:t>
      </w:r>
      <w:r>
        <w:rPr>
          <w:rFonts w:ascii="Arial" w:cs="Arial" w:eastAsia="Arial" w:hAnsi="Arial"/>
          <w:sz w:val="13"/>
          <w:szCs w:val="13"/>
          <w:color w:val="auto"/>
        </w:rPr>
        <w:t>Chevron has a 25 percent nonoperated working interest in crude oil producing operations in southern Chad and an approximate 21 percent interest in two affiliates that own an export</w:t>
      </w:r>
      <w:r>
        <w:rPr>
          <w:rFonts w:ascii="Arial" w:cs="Arial" w:eastAsia="Arial" w:hAnsi="Arial"/>
          <w:sz w:val="13"/>
          <w:szCs w:val="13"/>
          <w:b w:val="1"/>
          <w:bCs w:val="1"/>
          <w:color w:val="auto"/>
        </w:rPr>
        <w:t xml:space="preserve"> </w:t>
      </w:r>
      <w:r>
        <w:rPr>
          <w:rFonts w:ascii="Arial" w:cs="Arial" w:eastAsia="Arial" w:hAnsi="Arial"/>
          <w:sz w:val="13"/>
          <w:szCs w:val="13"/>
          <w:color w:val="auto"/>
        </w:rPr>
        <w:t>pipeline that transports the crude oil to the coast of Cameroon. Average daily net production from the Chad fields in 2011 was 26,000 barrels of oil-equivalent. The Chad producing operations are conducted under a concession that expires in 2030.</w:t>
      </w:r>
    </w:p>
    <w:p>
      <w:pPr>
        <w:spacing w:after="0" w:line="200" w:lineRule="exact"/>
        <w:rPr>
          <w:sz w:val="20"/>
          <w:szCs w:val="20"/>
          <w:color w:val="auto"/>
        </w:rPr>
      </w:pP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both"/>
        <w:ind w:left="5780" w:right="40"/>
        <w:spacing w:after="0" w:line="297" w:lineRule="auto"/>
        <w:rPr>
          <w:sz w:val="20"/>
          <w:szCs w:val="20"/>
          <w:color w:val="auto"/>
        </w:rPr>
      </w:pPr>
      <w:r>
        <w:rPr>
          <w:rFonts w:ascii="Arial" w:cs="Arial" w:eastAsia="Arial" w:hAnsi="Arial"/>
          <w:sz w:val="11"/>
          <w:szCs w:val="11"/>
          <w:b w:val="1"/>
          <w:bCs w:val="1"/>
          <w:color w:val="auto"/>
        </w:rPr>
        <w:t xml:space="preserve">Nigeria: </w:t>
      </w:r>
      <w:r>
        <w:rPr>
          <w:rFonts w:ascii="Arial" w:cs="Arial" w:eastAsia="Arial" w:hAnsi="Arial"/>
          <w:sz w:val="11"/>
          <w:szCs w:val="11"/>
          <w:color w:val="auto"/>
        </w:rPr>
        <w:t>Chevron holds a 40 percent interest in 13 concessions predominantly in the onshore and</w:t>
      </w:r>
      <w:r>
        <w:rPr>
          <w:rFonts w:ascii="Arial" w:cs="Arial" w:eastAsia="Arial" w:hAnsi="Arial"/>
          <w:sz w:val="11"/>
          <w:szCs w:val="11"/>
          <w:b w:val="1"/>
          <w:bCs w:val="1"/>
          <w:color w:val="auto"/>
        </w:rPr>
        <w:t xml:space="preserve"> </w:t>
      </w:r>
      <w:r>
        <w:rPr>
          <w:rFonts w:ascii="Arial" w:cs="Arial" w:eastAsia="Arial" w:hAnsi="Arial"/>
          <w:sz w:val="11"/>
          <w:szCs w:val="11"/>
          <w:color w:val="auto"/>
        </w:rPr>
        <w:t>near-offshore region of the Niger Delta. The company operates under a joint-venture arrangement in this region with the Nigerian National Petroleum Corporation, which owns a 60 percent interest. The company also owns varying interests in four operated and six nonoperated deepwater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-388620</wp:posOffset>
            </wp:positionV>
            <wp:extent cx="2111375" cy="1568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11375" cy="1568450"/>
                    </a:xfrm>
                    <a:prstGeom prst="rect">
                      <a:avLst/>
                    </a:prstGeom>
                    <a:noFill/>
                  </pic:spPr>
                </pic:pic>
              </a:graphicData>
            </a:graphic>
          </wp:anchor>
        </w:drawing>
      </w:r>
    </w:p>
    <w:p>
      <w:pPr>
        <w:ind w:left="5780" w:right="80"/>
        <w:spacing w:after="0" w:line="294" w:lineRule="auto"/>
        <w:rPr>
          <w:sz w:val="20"/>
          <w:szCs w:val="20"/>
          <w:color w:val="auto"/>
        </w:rPr>
      </w:pPr>
      <w:r>
        <w:rPr>
          <w:rFonts w:ascii="Arial" w:cs="Arial" w:eastAsia="Arial" w:hAnsi="Arial"/>
          <w:sz w:val="12"/>
          <w:szCs w:val="12"/>
          <w:color w:val="auto"/>
        </w:rPr>
        <w:t>In 2011, the company’s net oil-equivalent production in Nigeria averaged 260,000 barrels per day, composed of 236,000 barrels of liquids and 142 million cubic feet of natural gas.</w:t>
      </w:r>
    </w:p>
    <w:p>
      <w:pPr>
        <w:spacing w:after="0" w:line="115" w:lineRule="exact"/>
        <w:rPr>
          <w:sz w:val="20"/>
          <w:szCs w:val="20"/>
          <w:color w:val="auto"/>
        </w:rPr>
      </w:pPr>
    </w:p>
    <w:p>
      <w:pPr>
        <w:ind w:left="5780" w:right="80"/>
        <w:spacing w:after="0" w:line="253" w:lineRule="auto"/>
        <w:rPr>
          <w:sz w:val="20"/>
          <w:szCs w:val="20"/>
          <w:color w:val="auto"/>
        </w:rPr>
      </w:pPr>
      <w:r>
        <w:rPr>
          <w:rFonts w:ascii="Arial" w:cs="Arial" w:eastAsia="Arial" w:hAnsi="Arial"/>
          <w:sz w:val="13"/>
          <w:szCs w:val="13"/>
          <w:color w:val="auto"/>
        </w:rPr>
        <w:t>Chevron operates and holds a 67.3 percent interest in the Agbami Field, located in deepwater Oil Mining Lease (OML) 127 and OML 128. During 2011, drilling continued on a 10-well, Phase 2 development program that is designed to offset field decline and maintain plateau production. The first well is expected to be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completed and placed on production in second-half 2012. The leases that contain the Agbami Field expire in 2023 and 2024.</w:t>
      </w:r>
    </w:p>
    <w:p>
      <w:pPr>
        <w:spacing w:after="0" w:line="91" w:lineRule="exact"/>
        <w:rPr>
          <w:sz w:val="20"/>
          <w:szCs w:val="20"/>
          <w:color w:val="auto"/>
        </w:rPr>
      </w:pPr>
    </w:p>
    <w:p>
      <w:pPr>
        <w:ind w:left="460" w:right="100"/>
        <w:spacing w:after="0" w:line="256" w:lineRule="auto"/>
        <w:rPr>
          <w:sz w:val="20"/>
          <w:szCs w:val="20"/>
          <w:color w:val="auto"/>
        </w:rPr>
      </w:pPr>
      <w:r>
        <w:rPr>
          <w:rFonts w:ascii="Arial" w:cs="Arial" w:eastAsia="Arial" w:hAnsi="Arial"/>
          <w:sz w:val="13"/>
          <w:szCs w:val="13"/>
          <w:color w:val="auto"/>
        </w:rPr>
        <w:t>The company holds a 30 percent nonoperated working interest in the deepwater Usan project in OML 138. During 2011, development drilling continued and the FPSO vessel was moored on location. Production start-up is expected in early 2012, with maximum total production of 180,000 barrels of crude oil per day expected within one year of start-up. The production-sharing contract (PSC) expires in 2023. Proved reserves have been recognized for this project.</w:t>
      </w:r>
    </w:p>
    <w:p>
      <w:pPr>
        <w:spacing w:after="0" w:line="69" w:lineRule="exact"/>
        <w:rPr>
          <w:sz w:val="20"/>
          <w:szCs w:val="20"/>
          <w:color w:val="auto"/>
        </w:rPr>
      </w:pPr>
    </w:p>
    <w:p>
      <w:pPr>
        <w:ind w:left="460" w:right="520"/>
        <w:spacing w:after="0" w:line="267" w:lineRule="auto"/>
        <w:rPr>
          <w:sz w:val="20"/>
          <w:szCs w:val="20"/>
          <w:color w:val="auto"/>
        </w:rPr>
      </w:pPr>
      <w:r>
        <w:rPr>
          <w:rFonts w:ascii="Arial" w:cs="Arial" w:eastAsia="Arial" w:hAnsi="Arial"/>
          <w:sz w:val="13"/>
          <w:szCs w:val="13"/>
          <w:color w:val="auto"/>
        </w:rPr>
        <w:t>Also in the deepwater area, the Aparo Field in OML 132 and OML 140 and the third-party-owned Bonga SW Field in OML 118 share a common geologic structure and are planned to be jointly developed. Initiation of FEED is expected in late 2012. At the end of 2011, no proved reserves were recognized for this project.</w:t>
      </w:r>
    </w:p>
    <w:p>
      <w:pPr>
        <w:spacing w:after="0" w:line="61" w:lineRule="exact"/>
        <w:rPr>
          <w:sz w:val="20"/>
          <w:szCs w:val="20"/>
          <w:color w:val="auto"/>
        </w:rPr>
      </w:pPr>
    </w:p>
    <w:p>
      <w:pPr>
        <w:jc w:val="both"/>
        <w:ind w:left="460" w:right="100"/>
        <w:spacing w:after="0" w:line="256" w:lineRule="auto"/>
        <w:rPr>
          <w:sz w:val="20"/>
          <w:szCs w:val="20"/>
          <w:color w:val="auto"/>
        </w:rPr>
      </w:pPr>
      <w:r>
        <w:rPr>
          <w:rFonts w:ascii="Arial" w:cs="Arial" w:eastAsia="Arial" w:hAnsi="Arial"/>
          <w:sz w:val="13"/>
          <w:szCs w:val="13"/>
          <w:color w:val="auto"/>
        </w:rPr>
        <w:t>In the Niger Delta, ramp-up activity continued at the Escravos Gas Plant (EGP). During 2011, construction continued on Phase 3B of the EGP project, which is designed to gather 120 million cubic feet of natural gas per day from eight offshore fields and to compress and transport the natural gas to onshore facilities. The Phase 3B project is expected to be completed in 2016. Proved reserves associated with this project have been recognized.</w:t>
      </w:r>
    </w:p>
    <w:p>
      <w:pPr>
        <w:spacing w:after="0" w:line="69"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3"/>
          <w:szCs w:val="13"/>
          <w:color w:val="auto"/>
        </w:rPr>
        <w:t>The 40 percent-owned and operated Sonam Field Development includes facilities to produce natural gas from the Sonam natural gas field in the Escravos area. The project is designed to utilize EGP and to deliver 215 million cubic feet of natural gas per day to the domestic market, and produce an average of 30,000 barrels of liquids per day. A final investment decision was reached in late 2011, and first production is expected in 2016. Proved reserves associated with the project were recognized in 2011.</w:t>
      </w:r>
    </w:p>
    <w:p>
      <w:pPr>
        <w:spacing w:after="0" w:line="69" w:lineRule="exact"/>
        <w:rPr>
          <w:sz w:val="20"/>
          <w:szCs w:val="20"/>
          <w:color w:val="auto"/>
        </w:rPr>
      </w:pPr>
    </w:p>
    <w:p>
      <w:pPr>
        <w:jc w:val="both"/>
        <w:ind w:left="460" w:right="20"/>
        <w:spacing w:after="0" w:line="256" w:lineRule="auto"/>
        <w:rPr>
          <w:sz w:val="20"/>
          <w:szCs w:val="20"/>
          <w:color w:val="auto"/>
        </w:rPr>
      </w:pPr>
      <w:r>
        <w:rPr>
          <w:rFonts w:ascii="Arial" w:cs="Arial" w:eastAsia="Arial" w:hAnsi="Arial"/>
          <w:sz w:val="13"/>
          <w:szCs w:val="13"/>
          <w:color w:val="auto"/>
        </w:rPr>
        <w:t>Chevron has a 75 percent-owned and operated interest in a gas-to-liquids facility at Escravos that is being developed with the Nigerian National Petroleum Corporation. The 33,000-barrel-per-day facility is designed to process 325 million cubic feet per day of natural gas supplied from the Phase 3A expansion of EGP. At the end of 2011, work on the project was more than 80 percent complete and start-up is planned for 2013. The estimated cost of the plant is $8.4 billion.</w:t>
      </w:r>
    </w:p>
    <w:p>
      <w:pPr>
        <w:spacing w:after="0" w:line="69" w:lineRule="exact"/>
        <w:rPr>
          <w:sz w:val="20"/>
          <w:szCs w:val="20"/>
          <w:color w:val="auto"/>
        </w:rPr>
      </w:pPr>
    </w:p>
    <w:p>
      <w:pPr>
        <w:ind w:left="460" w:right="540"/>
        <w:spacing w:after="0" w:line="359" w:lineRule="auto"/>
        <w:rPr>
          <w:sz w:val="20"/>
          <w:szCs w:val="20"/>
          <w:color w:val="auto"/>
        </w:rPr>
      </w:pPr>
      <w:r>
        <w:rPr>
          <w:rFonts w:ascii="Arial" w:cs="Arial" w:eastAsia="Arial" w:hAnsi="Arial"/>
          <w:sz w:val="11"/>
          <w:szCs w:val="11"/>
          <w:color w:val="auto"/>
        </w:rPr>
        <w:t>The company has a 40 percent-owned and operated interest in the Onshore Asset Gas Management project that is designed to restore approximately 125 million cubic feet per day of natural gas production from certain onshore fields that have been shut in since 2003 due to civil unrest. Construction activities continued through 2011, and start-up is scheduled for late 2012.</w:t>
      </w:r>
    </w:p>
    <w:p>
      <w:pPr>
        <w:spacing w:after="0" w:line="16"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In deepwater exploration, the company has 20 percent and 27 percent nonoperated working interests in Oil Prospecting License (OPL) 214 and OPL 223, respectively. Drilling of two exploration wells commenced in fourth quarter 2011 in OPL 214, and one exploration well is planned in OPL 223 for second-half 2012. In addition, Chevron operates and holds a 95 percent interest in the deepwater Nsiko discovery in OML 140 where further exploration activities are planned.</w:t>
      </w:r>
    </w:p>
    <w:p>
      <w:pPr>
        <w:spacing w:after="0" w:line="271"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280"/>
        <w:spacing w:after="0" w:line="309" w:lineRule="auto"/>
        <w:rPr>
          <w:sz w:val="20"/>
          <w:szCs w:val="20"/>
          <w:color w:val="auto"/>
        </w:rPr>
      </w:pPr>
      <w:r>
        <w:rPr>
          <w:rFonts w:ascii="Arial" w:cs="Arial" w:eastAsia="Arial" w:hAnsi="Arial"/>
          <w:sz w:val="12"/>
          <w:szCs w:val="12"/>
          <w:color w:val="auto"/>
        </w:rPr>
        <w:t>Shallow-water exploration activities in 2011 included reprocessing 3-D seismic data from OML 86 and OML 88. In November 2011, the company began drilling a well in OML 86. In January 2012, while drilling the well, there was a release of natural gas that led to a fire. Drilling of a relief well commenced in February 2012. A root cause investigation is under way.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Chevron is the largest shareholder, with a 37 percent interest, in the West African Gas Pipeline Company Limited affiliate, which constructed, owns and operates the 421-mile West African Gas Pipeline.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pipeline supplies Nigerian natural gas to customers in Benin, Ghana and Togo for industrial applications and power generation and has the capacity to transport 170 million cubic feet per day.</w:t>
      </w:r>
    </w:p>
    <w:p>
      <w:pPr>
        <w:spacing w:after="0" w:line="90" w:lineRule="exact"/>
        <w:rPr>
          <w:sz w:val="20"/>
          <w:szCs w:val="20"/>
          <w:color w:val="auto"/>
        </w:rPr>
      </w:pPr>
    </w:p>
    <w:p>
      <w:pPr>
        <w:ind w:left="460" w:right="300"/>
        <w:spacing w:after="0" w:line="273" w:lineRule="auto"/>
        <w:rPr>
          <w:sz w:val="20"/>
          <w:szCs w:val="20"/>
          <w:color w:val="auto"/>
        </w:rPr>
      </w:pPr>
      <w:r>
        <w:rPr>
          <w:rFonts w:ascii="Arial" w:cs="Arial" w:eastAsia="Arial" w:hAnsi="Arial"/>
          <w:sz w:val="13"/>
          <w:szCs w:val="13"/>
          <w:b w:val="1"/>
          <w:bCs w:val="1"/>
          <w:color w:val="auto"/>
        </w:rPr>
        <w:t xml:space="preserve">Liberia: </w:t>
      </w:r>
      <w:r>
        <w:rPr>
          <w:rFonts w:ascii="Arial" w:cs="Arial" w:eastAsia="Arial" w:hAnsi="Arial"/>
          <w:sz w:val="13"/>
          <w:szCs w:val="13"/>
          <w:color w:val="auto"/>
        </w:rPr>
        <w:t>In 2010, Chevron acquired a 70 percent interest and operatorship in three deepwater blocks off the coast of Liberia. Exploration drilling prospects were identified during 2011 based on 3-D</w:t>
      </w:r>
      <w:r>
        <w:rPr>
          <w:rFonts w:ascii="Arial" w:cs="Arial" w:eastAsia="Arial" w:hAnsi="Arial"/>
          <w:sz w:val="13"/>
          <w:szCs w:val="13"/>
          <w:b w:val="1"/>
          <w:bCs w:val="1"/>
          <w:color w:val="auto"/>
        </w:rPr>
        <w:t xml:space="preserve"> </w:t>
      </w:r>
      <w:r>
        <w:rPr>
          <w:rFonts w:ascii="Arial" w:cs="Arial" w:eastAsia="Arial" w:hAnsi="Arial"/>
          <w:sz w:val="13"/>
          <w:szCs w:val="13"/>
          <w:color w:val="auto"/>
        </w:rPr>
        <w:t>seismic data. Two exploration wells are planned to be drilled in 2012.</w:t>
      </w:r>
    </w:p>
    <w:p>
      <w:pPr>
        <w:spacing w:after="0" w:line="131" w:lineRule="exact"/>
        <w:rPr>
          <w:sz w:val="20"/>
          <w:szCs w:val="20"/>
          <w:color w:val="auto"/>
        </w:rPr>
      </w:pPr>
    </w:p>
    <w:p>
      <w:pPr>
        <w:ind w:left="780" w:hanging="324"/>
        <w:spacing w:after="0"/>
        <w:tabs>
          <w:tab w:leader="none" w:pos="7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Asia</w:t>
      </w:r>
    </w:p>
    <w:p>
      <w:pPr>
        <w:spacing w:after="0" w:line="95" w:lineRule="exact"/>
        <w:rPr>
          <w:sz w:val="20"/>
          <w:szCs w:val="20"/>
          <w:color w:val="auto"/>
        </w:rPr>
      </w:pPr>
    </w:p>
    <w:p>
      <w:pPr>
        <w:ind w:left="460" w:right="160"/>
        <w:spacing w:after="0" w:line="267" w:lineRule="auto"/>
        <w:rPr>
          <w:sz w:val="20"/>
          <w:szCs w:val="20"/>
          <w:color w:val="auto"/>
        </w:rPr>
      </w:pPr>
      <w:r>
        <w:rPr>
          <w:rFonts w:ascii="Arial" w:cs="Arial" w:eastAsia="Arial" w:hAnsi="Arial"/>
          <w:sz w:val="13"/>
          <w:szCs w:val="13"/>
          <w:color w:val="auto"/>
        </w:rPr>
        <w:t>In Asia, the company is engaged in upstream activities in Azerbaijan, Bangladesh, Cambodia, China, Indonesia, Kazakhstan, Myanmar, the Partitioned Zone located between Saudi Arabia and Kuwait, the Philippines, Russia, Thailand, Turkey, and Vietnam. During 2011, net oil-equivalent production averaged 1,029,000 barrels per day.</w:t>
      </w:r>
    </w:p>
    <w:p>
      <w:pPr>
        <w:spacing w:after="0" w:line="134" w:lineRule="exact"/>
        <w:rPr>
          <w:sz w:val="20"/>
          <w:szCs w:val="20"/>
          <w:color w:val="auto"/>
        </w:rPr>
      </w:pPr>
    </w:p>
    <w:p>
      <w:pPr>
        <w:ind w:left="5720" w:right="20"/>
        <w:spacing w:after="0" w:line="253" w:lineRule="auto"/>
        <w:rPr>
          <w:sz w:val="20"/>
          <w:szCs w:val="20"/>
          <w:color w:val="auto"/>
        </w:rPr>
      </w:pPr>
      <w:r>
        <w:rPr>
          <w:rFonts w:ascii="Arial" w:cs="Arial" w:eastAsia="Arial" w:hAnsi="Arial"/>
          <w:sz w:val="13"/>
          <w:szCs w:val="13"/>
          <w:b w:val="1"/>
          <w:bCs w:val="1"/>
          <w:color w:val="auto"/>
        </w:rPr>
        <w:t xml:space="preserve">Azerbaijan: </w:t>
      </w:r>
      <w:r>
        <w:rPr>
          <w:rFonts w:ascii="Arial" w:cs="Arial" w:eastAsia="Arial" w:hAnsi="Arial"/>
          <w:sz w:val="13"/>
          <w:szCs w:val="13"/>
          <w:color w:val="auto"/>
        </w:rPr>
        <w:t>Chevron holds an 11.3 percent nonoperated working interest in the Azerbaijan</w:t>
      </w:r>
      <w:r>
        <w:rPr>
          <w:rFonts w:ascii="Arial" w:cs="Arial" w:eastAsia="Arial" w:hAnsi="Arial"/>
          <w:sz w:val="13"/>
          <w:szCs w:val="13"/>
          <w:b w:val="1"/>
          <w:bCs w:val="1"/>
          <w:color w:val="auto"/>
        </w:rPr>
        <w:t xml:space="preserve"> </w:t>
      </w:r>
      <w:r>
        <w:rPr>
          <w:rFonts w:ascii="Arial" w:cs="Arial" w:eastAsia="Arial" w:hAnsi="Arial"/>
          <w:sz w:val="13"/>
          <w:szCs w:val="13"/>
          <w:color w:val="auto"/>
        </w:rPr>
        <w:t>International Operating Company (AIOC), which produces crude oil in the Caspian Sea from the Azeri-Chirag-Gunashli (ACG) project. The company’s daily net production from AIOC averaged 28,000 barrels of oil-equivalent in 2011. AIOC operations are conducted under a PSC that expires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-491490</wp:posOffset>
            </wp:positionV>
            <wp:extent cx="2062480" cy="2153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62480" cy="2153920"/>
                    </a:xfrm>
                    <a:prstGeom prst="rect">
                      <a:avLst/>
                    </a:prstGeom>
                    <a:noFill/>
                  </pic:spPr>
                </pic:pic>
              </a:graphicData>
            </a:graphic>
          </wp:anchor>
        </w:drawing>
      </w:r>
    </w:p>
    <w:p>
      <w:pPr>
        <w:spacing w:after="0" w:line="119" w:lineRule="exact"/>
        <w:rPr>
          <w:sz w:val="20"/>
          <w:szCs w:val="20"/>
          <w:color w:val="auto"/>
        </w:rPr>
      </w:pPr>
    </w:p>
    <w:p>
      <w:pPr>
        <w:ind w:left="5720"/>
        <w:spacing w:after="0" w:line="281" w:lineRule="auto"/>
        <w:rPr>
          <w:sz w:val="20"/>
          <w:szCs w:val="20"/>
          <w:color w:val="auto"/>
        </w:rPr>
      </w:pPr>
      <w:r>
        <w:rPr>
          <w:rFonts w:ascii="Arial" w:cs="Arial" w:eastAsia="Arial" w:hAnsi="Arial"/>
          <w:sz w:val="12"/>
          <w:szCs w:val="12"/>
          <w:color w:val="auto"/>
        </w:rPr>
        <w:t>During 2011, construction progressed on the next development phase of the ACG project, which will further develop the deepwater Gunashli Field. Production is expected to begin in 2013. Proved reserves have been recognized for this project. The total estimated cost of the project is $6 billion, with maximum total daily production of 140,000 barrels of oil-equivalent.</w:t>
      </w:r>
    </w:p>
    <w:p>
      <w:pPr>
        <w:spacing w:after="0" w:line="123" w:lineRule="exact"/>
        <w:rPr>
          <w:sz w:val="20"/>
          <w:szCs w:val="20"/>
          <w:color w:val="auto"/>
        </w:rPr>
      </w:pPr>
    </w:p>
    <w:p>
      <w:pPr>
        <w:ind w:left="5720"/>
        <w:spacing w:after="0" w:line="251" w:lineRule="auto"/>
        <w:rPr>
          <w:sz w:val="20"/>
          <w:szCs w:val="20"/>
          <w:color w:val="auto"/>
        </w:rPr>
      </w:pPr>
      <w:r>
        <w:rPr>
          <w:rFonts w:ascii="Arial" w:cs="Arial" w:eastAsia="Arial" w:hAnsi="Arial"/>
          <w:sz w:val="13"/>
          <w:szCs w:val="13"/>
          <w:color w:val="auto"/>
        </w:rPr>
        <w:t>Chevron also has an 8.9 percent interest in the Baku-Tbilisi-Ceyhan (BTC) affiliate, which owns and operates a crude oil export pipeline from Baku, Azerbaijan, through Georgia to Mediterranean deepwater port facilities at Ceyhan, Turkey. The BTC Pipeline has a capacity of 1.2 million barrels per day and transports the majority of ACG production. Another production export route for crude oil is the Western Route Export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wholly owned by AIOC, with capacity to transport 100,000 barrels per day from Baku, Azerbaijan, to a marine terminal at Supsa, Georgia.</w:t>
      </w:r>
    </w:p>
    <w:p>
      <w:pPr>
        <w:spacing w:after="0" w:line="87" w:lineRule="exact"/>
        <w:rPr>
          <w:sz w:val="20"/>
          <w:szCs w:val="20"/>
          <w:color w:val="auto"/>
        </w:rPr>
      </w:pPr>
    </w:p>
    <w:p>
      <w:pPr>
        <w:ind w:left="460" w:right="40"/>
        <w:spacing w:after="0" w:line="316" w:lineRule="auto"/>
        <w:rPr>
          <w:sz w:val="20"/>
          <w:szCs w:val="20"/>
          <w:color w:val="auto"/>
        </w:rPr>
      </w:pPr>
      <w:r>
        <w:rPr>
          <w:rFonts w:ascii="Arial" w:cs="Arial" w:eastAsia="Arial" w:hAnsi="Arial"/>
          <w:sz w:val="11"/>
          <w:szCs w:val="11"/>
          <w:b w:val="1"/>
          <w:bCs w:val="1"/>
          <w:color w:val="auto"/>
        </w:rPr>
        <w:t xml:space="preserve">Kazakhstan: </w:t>
      </w:r>
      <w:r>
        <w:rPr>
          <w:rFonts w:ascii="Arial" w:cs="Arial" w:eastAsia="Arial" w:hAnsi="Arial"/>
          <w:sz w:val="11"/>
          <w:szCs w:val="11"/>
          <w:color w:val="auto"/>
        </w:rPr>
        <w:t>Chevron participates in two major upstream developments in western Kazakhstan. The company holds a 50 percent interest in the Tengizchevroil (TCO) affiliate, which is operating and</w:t>
      </w:r>
      <w:r>
        <w:rPr>
          <w:rFonts w:ascii="Arial" w:cs="Arial" w:eastAsia="Arial" w:hAnsi="Arial"/>
          <w:sz w:val="11"/>
          <w:szCs w:val="11"/>
          <w:b w:val="1"/>
          <w:bCs w:val="1"/>
          <w:color w:val="auto"/>
        </w:rPr>
        <w:t xml:space="preserve"> </w:t>
      </w:r>
      <w:r>
        <w:rPr>
          <w:rFonts w:ascii="Arial" w:cs="Arial" w:eastAsia="Arial" w:hAnsi="Arial"/>
          <w:sz w:val="11"/>
          <w:szCs w:val="11"/>
          <w:color w:val="auto"/>
        </w:rPr>
        <w:t>developing the Tengiz and Korolev crude oil fields under a concession that expires in 2033. Chevron’s net oil-equivalent production in 2011 from these fields averaged 296,000 barrels per day, composed of 244,000 barrels of crude oil and natural gas liquids and 312 million cubic feet of natural gas. During 2011, the majority of TCO’s crude oil production was exported through the Caspian Pipeline Consortium (CPC) pipeline that runs from Tengiz in Kazakhstan to tanker-loading facilities at Novorossiysk on the Russian coast of the Black Sea. The balance was exported via rail to Black Sea ports.</w:t>
      </w:r>
    </w:p>
    <w:p>
      <w:pPr>
        <w:spacing w:after="0" w:line="39" w:lineRule="exact"/>
        <w:rPr>
          <w:sz w:val="20"/>
          <w:szCs w:val="20"/>
          <w:color w:val="auto"/>
        </w:rPr>
      </w:pPr>
    </w:p>
    <w:p>
      <w:pPr>
        <w:ind w:left="460" w:right="100"/>
        <w:spacing w:after="0" w:line="359" w:lineRule="auto"/>
        <w:rPr>
          <w:sz w:val="20"/>
          <w:szCs w:val="20"/>
          <w:color w:val="auto"/>
        </w:rPr>
      </w:pPr>
      <w:r>
        <w:rPr>
          <w:rFonts w:ascii="Arial" w:cs="Arial" w:eastAsia="Arial" w:hAnsi="Arial"/>
          <w:sz w:val="11"/>
          <w:szCs w:val="11"/>
          <w:color w:val="auto"/>
        </w:rPr>
        <w:t>Also during 2011, TCO continued to evaluate alternatives for another expansion project to increase total daily crude oil production between 250,000 and 300,000 barrels. The expansion project will rely on sour gas injection technology utilized in current operations. Approval of FEED is anticipated in 2012. As of year-end 2011, proved reserves had not been recognized for this expansion project.</w:t>
      </w:r>
    </w:p>
    <w:p>
      <w:pPr>
        <w:spacing w:after="0" w:line="21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20"/>
        <w:spacing w:after="0" w:line="250" w:lineRule="auto"/>
        <w:rPr>
          <w:sz w:val="20"/>
          <w:szCs w:val="20"/>
          <w:color w:val="auto"/>
        </w:rPr>
      </w:pPr>
      <w:r>
        <w:rPr>
          <w:rFonts w:ascii="Arial" w:cs="Arial" w:eastAsia="Arial" w:hAnsi="Arial"/>
          <w:sz w:val="13"/>
          <w:szCs w:val="13"/>
          <w:color w:val="auto"/>
        </w:rPr>
        <w:t>Chevron holds a 20 percent nonoperated working interest in the Karachaganak project, which is conducted under a PSC that expires in 2038. During 2011, Karachaganak net oil-equivalent production averaged 62,000 barrels per day, composed of 38,000 barrels of liquids and 144 million cubic feet of natural gas. In 2011, access to the CPC and Atyrau-Samara (Russia) pipelines enabled approximately 204,000 barrels per day (34,000 net barrels) of Karachaganak liquids to be sold at world-market prices. The remaining liquids were sold into local and Russian markets. During 2011, a fourth train entered production and increased total liquids-stabilization capacity by 56,000 barrels per day, allowing increased sales of condensate into world markets. Karachaganak project partners have reached an agreement allowing the government of Kazakhstan to become a 10 percent equity owner in the Karachaganak project. The transfer of equity to the government is anticipated to occur in June 2012 and will result in Chevron’s working interest being reduced to 18 percent.</w:t>
      </w:r>
    </w:p>
    <w:p>
      <w:pPr>
        <w:spacing w:after="0" w:line="75"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During 2011, Chevron and its partners continued to evaluate alternatives for a Phase III development of Karachaganak. The timing of the project remains uncertain until a project design is finalized. At the end of 2011, proved reserves had not been recognized for the project.</w:t>
      </w:r>
    </w:p>
    <w:p>
      <w:pPr>
        <w:spacing w:after="0" w:line="57" w:lineRule="exact"/>
        <w:rPr>
          <w:sz w:val="20"/>
          <w:szCs w:val="20"/>
          <w:color w:val="auto"/>
        </w:rPr>
      </w:pPr>
    </w:p>
    <w:p>
      <w:pPr>
        <w:ind w:left="460" w:right="40"/>
        <w:spacing w:after="0" w:line="329" w:lineRule="auto"/>
        <w:rPr>
          <w:sz w:val="20"/>
          <w:szCs w:val="20"/>
          <w:color w:val="auto"/>
        </w:rPr>
      </w:pPr>
      <w:r>
        <w:rPr>
          <w:rFonts w:ascii="Arial" w:cs="Arial" w:eastAsia="Arial" w:hAnsi="Arial"/>
          <w:sz w:val="11"/>
          <w:szCs w:val="11"/>
          <w:b w:val="1"/>
          <w:bCs w:val="1"/>
          <w:color w:val="auto"/>
        </w:rPr>
        <w:t xml:space="preserve">Kazakhstan/Russia: </w:t>
      </w:r>
      <w:r>
        <w:rPr>
          <w:rFonts w:ascii="Arial" w:cs="Arial" w:eastAsia="Arial" w:hAnsi="Arial"/>
          <w:sz w:val="11"/>
          <w:szCs w:val="11"/>
          <w:color w:val="auto"/>
        </w:rPr>
        <w:t>Chevron has a 15 percent interest in the CPC affiliate. During 2011, CPC transported an average of approximately 684,000 barrels of crude oil per day, including 608,000 barrels per</w:t>
      </w:r>
      <w:r>
        <w:rPr>
          <w:rFonts w:ascii="Arial" w:cs="Arial" w:eastAsia="Arial" w:hAnsi="Arial"/>
          <w:sz w:val="11"/>
          <w:szCs w:val="11"/>
          <w:b w:val="1"/>
          <w:bCs w:val="1"/>
          <w:color w:val="auto"/>
        </w:rPr>
        <w:t xml:space="preserve"> </w:t>
      </w:r>
      <w:r>
        <w:rPr>
          <w:rFonts w:ascii="Arial" w:cs="Arial" w:eastAsia="Arial" w:hAnsi="Arial"/>
          <w:sz w:val="11"/>
          <w:szCs w:val="11"/>
          <w:color w:val="auto"/>
        </w:rPr>
        <w:t>day from Kazakhstan and 76,000 barrels per day from Russia. During 2011, the partners began construction on a project to increase pipeline capacity by 670,000 barrels per day. The total estimated cost of the project is $5.4 billion. The project is expected to be implemented in three phases, with capacity increasing progressively until reaching maximum capacity of 1.4 million barrels per day in 2016.</w:t>
      </w:r>
    </w:p>
    <w:p>
      <w:pPr>
        <w:spacing w:after="0" w:line="28" w:lineRule="exact"/>
        <w:rPr>
          <w:sz w:val="20"/>
          <w:szCs w:val="20"/>
          <w:color w:val="auto"/>
        </w:rPr>
      </w:pPr>
    </w:p>
    <w:p>
      <w:pPr>
        <w:ind w:left="460" w:right="60"/>
        <w:spacing w:after="0" w:line="273" w:lineRule="auto"/>
        <w:rPr>
          <w:sz w:val="20"/>
          <w:szCs w:val="20"/>
          <w:color w:val="auto"/>
        </w:rPr>
      </w:pPr>
      <w:r>
        <w:rPr>
          <w:rFonts w:ascii="Arial" w:cs="Arial" w:eastAsia="Arial" w:hAnsi="Arial"/>
          <w:sz w:val="13"/>
          <w:szCs w:val="13"/>
          <w:b w:val="1"/>
          <w:bCs w:val="1"/>
          <w:color w:val="auto"/>
        </w:rPr>
        <w:t xml:space="preserve">Turkey: </w:t>
      </w:r>
      <w:r>
        <w:rPr>
          <w:rFonts w:ascii="Arial" w:cs="Arial" w:eastAsia="Arial" w:hAnsi="Arial"/>
          <w:sz w:val="13"/>
          <w:szCs w:val="13"/>
          <w:color w:val="auto"/>
        </w:rPr>
        <w:t>In 2010, Chevron signed a Joint Operating Agreement for a 50 percent working interest in a 5.6 million acre exploration block located in the Black Sea. The initial exploration well completed in</w:t>
      </w:r>
      <w:r>
        <w:rPr>
          <w:rFonts w:ascii="Arial" w:cs="Arial" w:eastAsia="Arial" w:hAnsi="Arial"/>
          <w:sz w:val="13"/>
          <w:szCs w:val="13"/>
          <w:b w:val="1"/>
          <w:bCs w:val="1"/>
          <w:color w:val="auto"/>
        </w:rPr>
        <w:t xml:space="preserve"> </w:t>
      </w:r>
      <w:r>
        <w:rPr>
          <w:rFonts w:ascii="Arial" w:cs="Arial" w:eastAsia="Arial" w:hAnsi="Arial"/>
          <w:sz w:val="13"/>
          <w:szCs w:val="13"/>
          <w:color w:val="auto"/>
        </w:rPr>
        <w:t>2010 was unsuccessful. Future plans are under evaluation.</w:t>
      </w:r>
    </w:p>
    <w:p>
      <w:pPr>
        <w:spacing w:after="0" w:line="54" w:lineRule="exact"/>
        <w:rPr>
          <w:sz w:val="20"/>
          <w:szCs w:val="20"/>
          <w:color w:val="auto"/>
        </w:rPr>
      </w:pPr>
    </w:p>
    <w:p>
      <w:pPr>
        <w:ind w:left="460"/>
        <w:spacing w:after="0" w:line="277" w:lineRule="auto"/>
        <w:rPr>
          <w:sz w:val="20"/>
          <w:szCs w:val="20"/>
          <w:color w:val="auto"/>
        </w:rPr>
      </w:pPr>
      <w:r>
        <w:rPr>
          <w:rFonts w:ascii="Arial" w:cs="Arial" w:eastAsia="Arial" w:hAnsi="Arial"/>
          <w:sz w:val="12"/>
          <w:szCs w:val="12"/>
          <w:b w:val="1"/>
          <w:bCs w:val="1"/>
          <w:color w:val="auto"/>
        </w:rPr>
        <w:t xml:space="preserve">Bangladesh: </w:t>
      </w:r>
      <w:r>
        <w:rPr>
          <w:rFonts w:ascii="Arial" w:cs="Arial" w:eastAsia="Arial" w:hAnsi="Arial"/>
          <w:sz w:val="12"/>
          <w:szCs w:val="12"/>
          <w:color w:val="auto"/>
        </w:rPr>
        <w:t>Chevron holds a 98 percent interest in two operated PSCs covering Blocks 12, 13 and 14. Net oil-equivalent production from these operations in 2011 averaged 74,000 barrels per day,</w:t>
      </w:r>
      <w:r>
        <w:rPr>
          <w:rFonts w:ascii="Arial" w:cs="Arial" w:eastAsia="Arial" w:hAnsi="Arial"/>
          <w:sz w:val="12"/>
          <w:szCs w:val="12"/>
          <w:b w:val="1"/>
          <w:bCs w:val="1"/>
          <w:color w:val="auto"/>
        </w:rPr>
        <w:t xml:space="preserve"> </w:t>
      </w:r>
      <w:r>
        <w:rPr>
          <w:rFonts w:ascii="Arial" w:cs="Arial" w:eastAsia="Arial" w:hAnsi="Arial"/>
          <w:sz w:val="12"/>
          <w:szCs w:val="12"/>
          <w:color w:val="auto"/>
        </w:rPr>
        <w:t>composed of 434 million cubic feet of natural gas and 2,000 barrels of liquids. In 2011, the Muchai compression project achieved mechanical completion and is expected to support additional production starting in second quarter 2012 from the Bibiyana, Jalalabad and Moulavi Bazar natural gas fields. Proved reserves have been recognized for this project. The Bibiyana Expansion Project entered FEED in July 2011. Project scope includes expansion of the gas plant, additional development drilling and an enhanced liquids recovery unit, with an estimated total maximum daily production of 57,000 barrels of oil equivalent. A final investment decision is expected in mid-2012. At the end of 2011, proved reserves had not been recognized for this project. Also in 2011, the company relinquished its interest in Block 7 subsequent to the completion of an unsuccessful exploratory well.</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1"/>
          <w:szCs w:val="11"/>
          <w:b w:val="1"/>
          <w:bCs w:val="1"/>
          <w:color w:val="auto"/>
        </w:rPr>
        <w:t xml:space="preserve">Cambodia: </w:t>
      </w:r>
      <w:r>
        <w:rPr>
          <w:rFonts w:ascii="Arial" w:cs="Arial" w:eastAsia="Arial" w:hAnsi="Arial"/>
          <w:sz w:val="11"/>
          <w:szCs w:val="11"/>
          <w:color w:val="auto"/>
        </w:rPr>
        <w:t>Chevron owns a 30 percent interest and operates the 1.2 million-acre Block A, located in</w:t>
      </w:r>
    </w:p>
    <w:p>
      <w:pPr>
        <w:spacing w:after="0" w:line="4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the Gulf of Thailand. In 2011, the company progressed discussions on the production permit.</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Government approval and a final investment decision are expected by the end of 2012. At the end of</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2011, proved reserves had not been recognized for the project.</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2"/>
          <w:szCs w:val="12"/>
          <w:b w:val="1"/>
          <w:bCs w:val="1"/>
          <w:color w:val="auto"/>
        </w:rPr>
        <w:t xml:space="preserve">Myanmar: </w:t>
      </w:r>
      <w:r>
        <w:rPr>
          <w:rFonts w:ascii="Arial" w:cs="Arial" w:eastAsia="Arial" w:hAnsi="Arial"/>
          <w:sz w:val="12"/>
          <w:szCs w:val="12"/>
          <w:color w:val="auto"/>
        </w:rPr>
        <w:t>Chevron has a 28.3 percent nonoperated working interest in a PSC for the production of</w:t>
      </w:r>
    </w:p>
    <w:p>
      <w:pPr>
        <w:spacing w:after="0" w:line="2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natural gas from the Yadana and Sein fields, within Blocks M5 and M6, in the Andaman Sea. The</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PSC expires in 2028. The company also has a 28.3 percent nonoperated interest in a pipeline company</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that transports the natural gas to the Myanmar-Thailand border for delivery to power plants in</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Thailand. The company’s average net natural gas production in 2011 was 86 million cubic feet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line="260" w:lineRule="auto"/>
        <w:rPr>
          <w:sz w:val="20"/>
          <w:szCs w:val="20"/>
          <w:color w:val="auto"/>
        </w:rPr>
      </w:pPr>
      <w:r>
        <w:rPr>
          <w:rFonts w:ascii="Arial" w:cs="Arial" w:eastAsia="Arial" w:hAnsi="Arial"/>
          <w:sz w:val="13"/>
          <w:szCs w:val="13"/>
          <w:b w:val="1"/>
          <w:bCs w:val="1"/>
          <w:color w:val="auto"/>
        </w:rPr>
        <w:t xml:space="preserve">Thailand: </w:t>
      </w:r>
      <w:r>
        <w:rPr>
          <w:rFonts w:ascii="Arial" w:cs="Arial" w:eastAsia="Arial" w:hAnsi="Arial"/>
          <w:sz w:val="13"/>
          <w:szCs w:val="13"/>
          <w:color w:val="auto"/>
        </w:rPr>
        <w:t>Chevron has operated and nonoperated working interests in multiple offshore blocks. The company’s net oil-equivalent production in 2011 averaged 209,000 barrels per day, composed of</w:t>
      </w:r>
      <w:r>
        <w:rPr>
          <w:rFonts w:ascii="Arial" w:cs="Arial" w:eastAsia="Arial" w:hAnsi="Arial"/>
          <w:sz w:val="13"/>
          <w:szCs w:val="13"/>
          <w:b w:val="1"/>
          <w:bCs w:val="1"/>
          <w:color w:val="auto"/>
        </w:rPr>
        <w:t xml:space="preserve"> </w:t>
      </w:r>
      <w:r>
        <w:rPr>
          <w:rFonts w:ascii="Arial" w:cs="Arial" w:eastAsia="Arial" w:hAnsi="Arial"/>
          <w:sz w:val="13"/>
          <w:szCs w:val="13"/>
          <w:color w:val="auto"/>
        </w:rPr>
        <w:t>65,000 barrels of crude oil and condensate and 867 million cubic feet of natural gas. All of the company’s natural gas production is sold to PTT Public Company Limited, Thailand’s national oil company, under long-term sales contracts.</w:t>
      </w:r>
    </w:p>
    <w:p>
      <w:pPr>
        <w:spacing w:after="0" w:line="66" w:lineRule="exact"/>
        <w:rPr>
          <w:sz w:val="20"/>
          <w:szCs w:val="20"/>
          <w:color w:val="auto"/>
        </w:rPr>
      </w:pPr>
    </w:p>
    <w:p>
      <w:pPr>
        <w:ind w:left="460"/>
        <w:spacing w:after="0" w:line="359" w:lineRule="auto"/>
        <w:rPr>
          <w:sz w:val="20"/>
          <w:szCs w:val="20"/>
          <w:color w:val="auto"/>
        </w:rPr>
      </w:pPr>
      <w:r>
        <w:rPr>
          <w:rFonts w:ascii="Arial" w:cs="Arial" w:eastAsia="Arial" w:hAnsi="Arial"/>
          <w:sz w:val="11"/>
          <w:szCs w:val="11"/>
          <w:color w:val="auto"/>
        </w:rPr>
        <w:t>Operated interests are in the Pattani Basin with ownership interests ranging from 35 percent to 80 percent. Concessions for producing areas within this basin expire between 2020 and 2035. Chevron has a 16 percent nonoperated working interest in the Arthit and North Arthit fields located in the Malay Basin. Concessions for the producing areas within this basin expire between 2036 and 2040.</w:t>
      </w:r>
    </w:p>
    <w:p>
      <w:pPr>
        <w:spacing w:after="0" w:line="16" w:lineRule="exact"/>
        <w:rPr>
          <w:sz w:val="20"/>
          <w:szCs w:val="20"/>
          <w:color w:val="auto"/>
        </w:rPr>
      </w:pPr>
    </w:p>
    <w:p>
      <w:pPr>
        <w:ind w:left="460" w:right="460"/>
        <w:spacing w:after="0" w:line="267" w:lineRule="auto"/>
        <w:rPr>
          <w:sz w:val="20"/>
          <w:szCs w:val="20"/>
          <w:color w:val="auto"/>
        </w:rPr>
      </w:pPr>
      <w:r>
        <w:rPr>
          <w:rFonts w:ascii="Arial" w:cs="Arial" w:eastAsia="Arial" w:hAnsi="Arial"/>
          <w:sz w:val="13"/>
          <w:szCs w:val="13"/>
          <w:color w:val="auto"/>
        </w:rPr>
        <w:t>Start-up of the 69.9 percent-owned and operated Platong II natural gas project occurred in October 2011, and total average daily production ramped up to 377 million cubic feet of natural gas and 11,000 barrels of condensate as of the end of 2011. Proved reserves have been recognized for this project.</w:t>
      </w:r>
    </w:p>
    <w:p>
      <w:pPr>
        <w:spacing w:after="0" w:line="61" w:lineRule="exact"/>
        <w:rPr>
          <w:sz w:val="20"/>
          <w:szCs w:val="20"/>
          <w:color w:val="auto"/>
        </w:rPr>
      </w:pPr>
    </w:p>
    <w:p>
      <w:pPr>
        <w:ind w:left="460" w:right="300"/>
        <w:spacing w:after="0" w:line="267" w:lineRule="auto"/>
        <w:rPr>
          <w:sz w:val="20"/>
          <w:szCs w:val="20"/>
          <w:color w:val="auto"/>
        </w:rPr>
      </w:pPr>
      <w:r>
        <w:rPr>
          <w:rFonts w:ascii="Arial" w:cs="Arial" w:eastAsia="Arial" w:hAnsi="Arial"/>
          <w:sz w:val="13"/>
          <w:szCs w:val="13"/>
          <w:color w:val="auto"/>
        </w:rPr>
        <w:t>During 2011, the company drilled nine exploration wells in the Pattani Basin. All of the wells were successful and development alternatives are being evaluated. The company also holds exploration interests in a number of blocks that are inactive, pending resolution of border issues between Thailand and Cambodia.</w:t>
      </w:r>
    </w:p>
    <w:p>
      <w:pPr>
        <w:spacing w:after="0" w:line="57" w:lineRule="exact"/>
        <w:rPr>
          <w:sz w:val="20"/>
          <w:szCs w:val="20"/>
          <w:color w:val="auto"/>
        </w:rPr>
      </w:pPr>
    </w:p>
    <w:p>
      <w:pPr>
        <w:ind w:left="460" w:right="520"/>
        <w:spacing w:after="0" w:line="273" w:lineRule="auto"/>
        <w:rPr>
          <w:sz w:val="20"/>
          <w:szCs w:val="20"/>
          <w:color w:val="auto"/>
        </w:rPr>
      </w:pPr>
      <w:r>
        <w:rPr>
          <w:rFonts w:ascii="Arial" w:cs="Arial" w:eastAsia="Arial" w:hAnsi="Arial"/>
          <w:sz w:val="13"/>
          <w:szCs w:val="13"/>
          <w:b w:val="1"/>
          <w:bCs w:val="1"/>
          <w:color w:val="auto"/>
        </w:rPr>
        <w:t xml:space="preserve">Vietnam: </w:t>
      </w:r>
      <w:r>
        <w:rPr>
          <w:rFonts w:ascii="Arial" w:cs="Arial" w:eastAsia="Arial" w:hAnsi="Arial"/>
          <w:sz w:val="13"/>
          <w:szCs w:val="13"/>
          <w:color w:val="auto"/>
        </w:rPr>
        <w:t>Chevron is the operator of two PSCs in the Malay Basin off the southwest coast of Vietnam. The company has a 42.4 percent interest in a PSC that includes Blocks B and 48/95, and a</w:t>
      </w:r>
      <w:r>
        <w:rPr>
          <w:rFonts w:ascii="Arial" w:cs="Arial" w:eastAsia="Arial" w:hAnsi="Arial"/>
          <w:sz w:val="13"/>
          <w:szCs w:val="13"/>
          <w:b w:val="1"/>
          <w:bCs w:val="1"/>
          <w:color w:val="auto"/>
        </w:rPr>
        <w:t xml:space="preserve"> </w:t>
      </w:r>
      <w:r>
        <w:rPr>
          <w:rFonts w:ascii="Arial" w:cs="Arial" w:eastAsia="Arial" w:hAnsi="Arial"/>
          <w:sz w:val="13"/>
          <w:szCs w:val="13"/>
          <w:color w:val="auto"/>
        </w:rPr>
        <w:t>43.4 percent interest in a PSC for Block 52/97.</w:t>
      </w:r>
    </w:p>
    <w:p>
      <w:pPr>
        <w:spacing w:after="0" w:line="58"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In the blocks off the southwest coast, the Block B Gas Development is designed to produce natural gas from the Malay Basin for delivery to state-owned Petrovietnam. The project includes installation of wellhead and hub platforms, a floating storage and offloading vessel, a central processing platform and a pipeline to shore. FEED continued during 2011. Maximum total daily production is expected to be 490 million cubic feet of natural gas and 4,000 barrels of condensate. A final investment decision is expected to be reached in 2012. At the end of 2011, proved reserves had not been recognized for the development project.</w:t>
      </w:r>
    </w:p>
    <w:p>
      <w:pPr>
        <w:spacing w:after="0" w:line="71" w:lineRule="exact"/>
        <w:rPr>
          <w:sz w:val="20"/>
          <w:szCs w:val="20"/>
          <w:color w:val="auto"/>
        </w:rPr>
      </w:pPr>
    </w:p>
    <w:p>
      <w:pPr>
        <w:ind w:left="460" w:right="280"/>
        <w:spacing w:after="0" w:line="267" w:lineRule="auto"/>
        <w:rPr>
          <w:sz w:val="20"/>
          <w:szCs w:val="20"/>
          <w:color w:val="auto"/>
        </w:rPr>
      </w:pPr>
      <w:r>
        <w:rPr>
          <w:rFonts w:ascii="Arial" w:cs="Arial" w:eastAsia="Arial" w:hAnsi="Arial"/>
          <w:sz w:val="13"/>
          <w:szCs w:val="13"/>
          <w:color w:val="auto"/>
        </w:rPr>
        <w:t>During the year, work continued on preparations for a 2012 exploration drilling program to further evaluate the potential of the three company-operated blocks in the Malay Basin. The company also completed the evaluation of Block 122 offshore eastern Vietnam and reached a decision to exit the block.</w:t>
      </w:r>
    </w:p>
    <w:p>
      <w:pPr>
        <w:spacing w:after="0" w:line="125" w:lineRule="exact"/>
        <w:rPr>
          <w:sz w:val="20"/>
          <w:szCs w:val="20"/>
          <w:color w:val="auto"/>
        </w:rPr>
      </w:pPr>
    </w:p>
    <w:p>
      <w:pPr>
        <w:jc w:val="both"/>
        <w:ind w:left="5860" w:right="140"/>
        <w:spacing w:after="0" w:line="329" w:lineRule="auto"/>
        <w:rPr>
          <w:sz w:val="20"/>
          <w:szCs w:val="20"/>
          <w:color w:val="auto"/>
        </w:rPr>
      </w:pPr>
      <w:r>
        <w:rPr>
          <w:rFonts w:ascii="Arial" w:cs="Arial" w:eastAsia="Arial" w:hAnsi="Arial"/>
          <w:sz w:val="11"/>
          <w:szCs w:val="11"/>
          <w:b w:val="1"/>
          <w:bCs w:val="1"/>
          <w:color w:val="auto"/>
        </w:rPr>
        <w:t xml:space="preserve">China: </w:t>
      </w:r>
      <w:r>
        <w:rPr>
          <w:rFonts w:ascii="Arial" w:cs="Arial" w:eastAsia="Arial" w:hAnsi="Arial"/>
          <w:sz w:val="11"/>
          <w:szCs w:val="11"/>
          <w:color w:val="auto"/>
        </w:rPr>
        <w:t>Chevron has operated and nonoperated working interests in several areas in China.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company’s net oil-equivalent production in 2011 averaged 22,000 barrels per day, composed of 20,000 barrels of crude oil and condensate and 10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-321310</wp:posOffset>
            </wp:positionV>
            <wp:extent cx="2062480" cy="2385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62480" cy="2385695"/>
                    </a:xfrm>
                    <a:prstGeom prst="rect">
                      <a:avLst/>
                    </a:prstGeom>
                    <a:noFill/>
                  </pic:spPr>
                </pic:pic>
              </a:graphicData>
            </a:graphic>
          </wp:anchor>
        </w:drawing>
      </w:r>
    </w:p>
    <w:p>
      <w:pPr>
        <w:spacing w:after="0" w:line="79" w:lineRule="exact"/>
        <w:rPr>
          <w:sz w:val="20"/>
          <w:szCs w:val="20"/>
          <w:color w:val="auto"/>
        </w:rPr>
      </w:pPr>
    </w:p>
    <w:p>
      <w:pPr>
        <w:ind w:left="5860" w:right="80"/>
        <w:spacing w:after="0" w:line="273" w:lineRule="auto"/>
        <w:rPr>
          <w:sz w:val="20"/>
          <w:szCs w:val="20"/>
          <w:color w:val="auto"/>
        </w:rPr>
      </w:pPr>
      <w:r>
        <w:rPr>
          <w:rFonts w:ascii="Arial" w:cs="Arial" w:eastAsia="Arial" w:hAnsi="Arial"/>
          <w:sz w:val="12"/>
          <w:szCs w:val="12"/>
          <w:color w:val="auto"/>
        </w:rPr>
        <w:t>The company operates and holds a 49 percent interest in the Chuandongbei PSC, located in the onshore Sichuan Basin. The project includes two sour-gas processing plants with an aggregate design capacity of 740 million cubic feet per day connected by a natural gas gathering system to five fields. During 2011, the company continued construction on the first natural gas processing plant. In 2012, construction is expected to start at the second natural gas processing plant. Start-up of the initial phase of the project is expected in 2013, with planned maximum total natural gas production of 558 million cubic feet per day. Proved reserves have been recognized for this project. The PSC for Chuandongbei expires in 2037.</w:t>
      </w:r>
    </w:p>
    <w:p>
      <w:pPr>
        <w:spacing w:after="0" w:line="128" w:lineRule="exact"/>
        <w:rPr>
          <w:sz w:val="20"/>
          <w:szCs w:val="20"/>
          <w:color w:val="auto"/>
        </w:rPr>
      </w:pPr>
    </w:p>
    <w:p>
      <w:pPr>
        <w:ind w:left="5860" w:right="80"/>
        <w:spacing w:after="0" w:line="267" w:lineRule="auto"/>
        <w:rPr>
          <w:sz w:val="20"/>
          <w:szCs w:val="20"/>
          <w:color w:val="auto"/>
        </w:rPr>
      </w:pPr>
      <w:r>
        <w:rPr>
          <w:rFonts w:ascii="Arial" w:cs="Arial" w:eastAsia="Arial" w:hAnsi="Arial"/>
          <w:sz w:val="13"/>
          <w:szCs w:val="13"/>
          <w:color w:val="auto"/>
        </w:rPr>
        <w:t>The company holds operating interests in three deepwater exploration blocks in the South China Sea. During the exploration phase, the company has a 100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200"/>
        <w:spacing w:after="0" w:line="256" w:lineRule="auto"/>
        <w:rPr>
          <w:sz w:val="20"/>
          <w:szCs w:val="20"/>
          <w:color w:val="auto"/>
        </w:rPr>
      </w:pPr>
      <w:r>
        <w:rPr>
          <w:rFonts w:ascii="Arial" w:cs="Arial" w:eastAsia="Arial" w:hAnsi="Arial"/>
          <w:sz w:val="13"/>
          <w:szCs w:val="13"/>
          <w:color w:val="auto"/>
        </w:rPr>
        <w:t>working interest in Blocks 53/30 and 64/18, and a 59.2 percent working interest in Block 42/05 under three separate PSCs. The three deepwater blocks cover approximately 4.8 million acres. During 2011, a 3-D seismic acquisition program was completed for Blocks 64/18 and 53/30 and a three-well exploration program was initiated. The first well was unsuccessful. The second and third wells are expected to be completed by mid-2012.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company signed a joint study agreement to explore for natural gas from shale resources in the Qiannan Basin in April 2011 and commenced seismic operations in July 2011.</w:t>
      </w:r>
    </w:p>
    <w:p>
      <w:pPr>
        <w:spacing w:after="0" w:line="91"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The company also has nonoperated working interests of 32.7 percent in Blocks 16/08 and 16/19 in the Pearl River Mouth Basin and nonoperated working interests of 24.5 percent in the QHD 32-6 Field and 16.2 percent in Block 11/19 in the Bohai Bay.</w:t>
      </w:r>
    </w:p>
    <w:p>
      <w:pPr>
        <w:spacing w:after="0" w:line="221" w:lineRule="exact"/>
        <w:rPr>
          <w:sz w:val="20"/>
          <w:szCs w:val="20"/>
          <w:color w:val="auto"/>
        </w:rPr>
      </w:pPr>
    </w:p>
    <w:p>
      <w:pPr>
        <w:ind w:left="5660" w:right="40"/>
        <w:spacing w:after="0" w:line="306" w:lineRule="auto"/>
        <w:rPr>
          <w:sz w:val="20"/>
          <w:szCs w:val="20"/>
          <w:color w:val="auto"/>
        </w:rPr>
      </w:pPr>
      <w:r>
        <w:rPr>
          <w:rFonts w:ascii="Arial" w:cs="Arial" w:eastAsia="Arial" w:hAnsi="Arial"/>
          <w:sz w:val="11"/>
          <w:szCs w:val="11"/>
          <w:b w:val="1"/>
          <w:bCs w:val="1"/>
          <w:color w:val="auto"/>
        </w:rPr>
        <w:t xml:space="preserve">Indonesia: </w:t>
      </w:r>
      <w:r>
        <w:rPr>
          <w:rFonts w:ascii="Arial" w:cs="Arial" w:eastAsia="Arial" w:hAnsi="Arial"/>
          <w:sz w:val="11"/>
          <w:szCs w:val="11"/>
          <w:color w:val="auto"/>
        </w:rPr>
        <w:t>Chevron holds operated and nonoperated working interests in Indonesia.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has 100 percent-owned and operated interests in the Rokan and Siak PSCs onshore Sumatra. Chevron also operates four PSCs in the Kutei Basin, located offshore East Kalimantan. These interests range from 62 percent to 92.5 percent. Chevron also has a 51 percent operated working interests in two exploration blocks in western Papua, West Papua I and West Papua III, and a 25 percent nonoperated working interest in a joint venture in Block B in the South Natuna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-605790</wp:posOffset>
            </wp:positionV>
            <wp:extent cx="2044065" cy="1031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4065" cy="103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The company’s net oil-equivalent production in 2011 from its interests in Indonesia averaged 208,000 barrels per day, composed of 166,000 barrels of liquids and 253 million cubic feet of natural gas. The largest producing field is Duri, located in the Rokan PSC. Duri has been under steamflood since 1985 and is one of the world’s largest steamflood developments. The North Duri Development is divided into multiple expansion areas. Government approval of the construction contract bid awards for North Duri Area 13 expansion project is expected in mid-2012 with start-up scheduled for 2013. The Rokan PSC expires in 2021.</w:t>
      </w:r>
    </w:p>
    <w:p>
      <w:pPr>
        <w:spacing w:after="0" w:line="71" w:lineRule="exact"/>
        <w:rPr>
          <w:sz w:val="20"/>
          <w:szCs w:val="20"/>
          <w:color w:val="auto"/>
        </w:rPr>
      </w:pPr>
    </w:p>
    <w:p>
      <w:pPr>
        <w:ind w:left="460" w:right="20"/>
        <w:spacing w:after="0" w:line="253" w:lineRule="auto"/>
        <w:rPr>
          <w:sz w:val="20"/>
          <w:szCs w:val="20"/>
          <w:color w:val="auto"/>
        </w:rPr>
      </w:pPr>
      <w:r>
        <w:rPr>
          <w:rFonts w:ascii="Arial" w:cs="Arial" w:eastAsia="Arial" w:hAnsi="Arial"/>
          <w:sz w:val="13"/>
          <w:szCs w:val="13"/>
          <w:color w:val="auto"/>
        </w:rPr>
        <w:t>During 2011, two deepwater development projects in the Kutei Basin progressed under a single plan of development. In the first of these projects, Chevron advanced FEED for the Gendalo-Gehem deepwater natural gas project. The project includes two separate hub developments, natural gas and condensate pipelines, and an onshore receiving facility. Maximum daily total production from the project is expected to be about 1.1 billion cubic feet of natural gas and 31,000 barrels of condensate. Gas from the project is expected to be used domestically and for LNG export. The company’s working interest is approximately 63 percent. At the end of 2011, proved reserves had not been recognized for this project.</w:t>
      </w:r>
    </w:p>
    <w:p>
      <w:pPr>
        <w:spacing w:after="0" w:line="71" w:lineRule="exact"/>
        <w:rPr>
          <w:sz w:val="20"/>
          <w:szCs w:val="20"/>
          <w:color w:val="auto"/>
        </w:rPr>
      </w:pPr>
    </w:p>
    <w:p>
      <w:pPr>
        <w:ind w:left="460" w:right="140"/>
        <w:spacing w:after="0" w:line="359" w:lineRule="auto"/>
        <w:rPr>
          <w:sz w:val="20"/>
          <w:szCs w:val="20"/>
          <w:color w:val="auto"/>
        </w:rPr>
      </w:pPr>
      <w:r>
        <w:rPr>
          <w:rFonts w:ascii="Arial" w:cs="Arial" w:eastAsia="Arial" w:hAnsi="Arial"/>
          <w:sz w:val="11"/>
          <w:szCs w:val="11"/>
          <w:color w:val="auto"/>
        </w:rPr>
        <w:t>In the second of these projects, FEED was completed in December 2011 for the Bangka deepwater natural gas project and the contracting approval process began with the government of Indonesia. The project scope includes a subsea tie back to a floating production unit. The company’s working interest is 62 percent. At year-end 2011, proved reserves had not been recognized for this project.</w:t>
      </w:r>
    </w:p>
    <w:p>
      <w:pPr>
        <w:spacing w:after="0" w:line="16" w:lineRule="exact"/>
        <w:rPr>
          <w:sz w:val="20"/>
          <w:szCs w:val="20"/>
          <w:color w:val="auto"/>
        </w:rPr>
      </w:pPr>
    </w:p>
    <w:p>
      <w:pPr>
        <w:ind w:left="460" w:right="60"/>
        <w:spacing w:after="0" w:line="309" w:lineRule="auto"/>
        <w:rPr>
          <w:sz w:val="20"/>
          <w:szCs w:val="20"/>
          <w:color w:val="auto"/>
        </w:rPr>
      </w:pPr>
      <w:r>
        <w:rPr>
          <w:rFonts w:ascii="Arial" w:cs="Arial" w:eastAsia="Arial" w:hAnsi="Arial"/>
          <w:sz w:val="12"/>
          <w:szCs w:val="12"/>
          <w:color w:val="auto"/>
        </w:rPr>
        <w:t>Exploration activities continued in the Central Sumatra Basin where six successful appraisal wells were drilled in the Bekasap, Duri and Kulin fields in 2011, and evaluation of a well drilled in the Jorang Field continued in 2012. Also in 2011, seismic data acquisition was completed for West Papua I and is under way for West Papua III. Processing of the seismic data is planned for 2012.</w:t>
      </w:r>
    </w:p>
    <w:p>
      <w:pPr>
        <w:spacing w:after="0" w:line="39" w:lineRule="exact"/>
        <w:rPr>
          <w:sz w:val="20"/>
          <w:szCs w:val="20"/>
          <w:color w:val="auto"/>
        </w:rPr>
      </w:pPr>
    </w:p>
    <w:p>
      <w:pPr>
        <w:ind w:left="460" w:right="40"/>
        <w:spacing w:after="0" w:line="325" w:lineRule="auto"/>
        <w:rPr>
          <w:sz w:val="20"/>
          <w:szCs w:val="20"/>
          <w:color w:val="auto"/>
        </w:rPr>
      </w:pPr>
      <w:r>
        <w:rPr>
          <w:rFonts w:ascii="Arial" w:cs="Arial" w:eastAsia="Arial" w:hAnsi="Arial"/>
          <w:sz w:val="11"/>
          <w:szCs w:val="11"/>
          <w:color w:val="auto"/>
        </w:rPr>
        <w:t>In West Java, Chevron operates the wholly owned Salak geothermal field with a total power-generation capacity of 377 megawatts and holds a 95 percent interest in a power generation company that operates the Darajat geothermal contract area with a total capacity of 259 megawatts. Chevron also operates a 95 percent-owned 300-megawatt cogeneration facility in support of the company’s operation in Duri, Sumatra. In the Suoh-Sekincau prospect area of Sumatra, the company holds a 95 percent-owned and operated interest in a license to explore and develop a geothermal prospect.</w:t>
      </w:r>
    </w:p>
    <w:p>
      <w:pPr>
        <w:spacing w:after="0" w:line="200" w:lineRule="exact"/>
        <w:rPr>
          <w:sz w:val="20"/>
          <w:szCs w:val="20"/>
          <w:color w:val="auto"/>
        </w:rPr>
      </w:pPr>
    </w:p>
    <w:p>
      <w:pPr>
        <w:spacing w:after="0" w:line="276"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5720" w:right="20"/>
        <w:spacing w:after="0" w:line="255" w:lineRule="auto"/>
        <w:rPr>
          <w:sz w:val="20"/>
          <w:szCs w:val="20"/>
          <w:color w:val="auto"/>
        </w:rPr>
      </w:pPr>
      <w:r>
        <w:rPr>
          <w:rFonts w:ascii="Arial" w:cs="Arial" w:eastAsia="Arial" w:hAnsi="Arial"/>
          <w:sz w:val="13"/>
          <w:szCs w:val="13"/>
          <w:b w:val="1"/>
          <w:bCs w:val="1"/>
          <w:color w:val="auto"/>
        </w:rPr>
        <w:t xml:space="preserve">Partitioned Zone (PZ): </w:t>
      </w:r>
      <w:r>
        <w:rPr>
          <w:rFonts w:ascii="Arial" w:cs="Arial" w:eastAsia="Arial" w:hAnsi="Arial"/>
          <w:sz w:val="13"/>
          <w:szCs w:val="13"/>
          <w:color w:val="auto"/>
        </w:rPr>
        <w:t>Chevron holds a concession with the Kingdom of Saudi Arabia to operate</w:t>
      </w:r>
      <w:r>
        <w:rPr>
          <w:rFonts w:ascii="Arial" w:cs="Arial" w:eastAsia="Arial" w:hAnsi="Arial"/>
          <w:sz w:val="13"/>
          <w:szCs w:val="13"/>
          <w:b w:val="1"/>
          <w:bCs w:val="1"/>
          <w:color w:val="auto"/>
        </w:rPr>
        <w:t xml:space="preserve"> </w:t>
      </w:r>
      <w:r>
        <w:rPr>
          <w:rFonts w:ascii="Arial" w:cs="Arial" w:eastAsia="Arial" w:hAnsi="Arial"/>
          <w:sz w:val="13"/>
          <w:szCs w:val="13"/>
          <w:color w:val="auto"/>
        </w:rPr>
        <w:t>the kingdom’s 50 percent interest in the petroleum resources of the onshore area of the PZ between Saudi Arabia and Kuwait. Under the agreement, the company has rights to this 50 percent interest in the hydrocarbon resource until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-394970</wp:posOffset>
            </wp:positionV>
            <wp:extent cx="2044065" cy="1220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4065" cy="1220470"/>
                    </a:xfrm>
                    <a:prstGeom prst="rect">
                      <a:avLst/>
                    </a:prstGeom>
                    <a:noFill/>
                  </pic:spPr>
                </pic:pic>
              </a:graphicData>
            </a:graphic>
          </wp:anchor>
        </w:drawing>
      </w:r>
    </w:p>
    <w:p>
      <w:pPr>
        <w:spacing w:after="0" w:line="117" w:lineRule="exact"/>
        <w:rPr>
          <w:sz w:val="20"/>
          <w:szCs w:val="20"/>
          <w:color w:val="auto"/>
        </w:rPr>
      </w:pPr>
    </w:p>
    <w:p>
      <w:pPr>
        <w:ind w:left="5720" w:right="140"/>
        <w:spacing w:after="0" w:line="314" w:lineRule="auto"/>
        <w:rPr>
          <w:sz w:val="20"/>
          <w:szCs w:val="20"/>
          <w:color w:val="auto"/>
        </w:rPr>
      </w:pPr>
      <w:r>
        <w:rPr>
          <w:rFonts w:ascii="Arial" w:cs="Arial" w:eastAsia="Arial" w:hAnsi="Arial"/>
          <w:sz w:val="11"/>
          <w:szCs w:val="11"/>
          <w:color w:val="auto"/>
        </w:rPr>
        <w:t>During 2011, the company’s average net oil-equivalent production was 91,000 barrels per day, composed of 88,000 barrels of crude oil and 20 million cubic feet of natural gas. During 2011, the company continued a steam injection pilot project in the First Eocene carbonate reservoir that was initiated in 2009. A project to expand the steam injection pilot to the Second Eocene reservoir</w:t>
      </w: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progressed during 2011 and is expected to enter FEED in second-half 2012. At the end of 2011, proved reserves had not been recognized for these projects.</w:t>
      </w:r>
    </w:p>
    <w:p>
      <w:pPr>
        <w:spacing w:after="0" w:line="91" w:lineRule="exact"/>
        <w:rPr>
          <w:sz w:val="20"/>
          <w:szCs w:val="20"/>
          <w:color w:val="auto"/>
        </w:rPr>
      </w:pPr>
    </w:p>
    <w:p>
      <w:pPr>
        <w:jc w:val="both"/>
        <w:ind w:left="460" w:right="20"/>
        <w:spacing w:after="0" w:line="267" w:lineRule="auto"/>
        <w:rPr>
          <w:sz w:val="20"/>
          <w:szCs w:val="20"/>
          <w:color w:val="auto"/>
        </w:rPr>
      </w:pPr>
      <w:r>
        <w:rPr>
          <w:rFonts w:ascii="Arial" w:cs="Arial" w:eastAsia="Arial" w:hAnsi="Arial"/>
          <w:sz w:val="13"/>
          <w:szCs w:val="13"/>
          <w:color w:val="auto"/>
        </w:rPr>
        <w:t>Also in 2011, the Central Gas Utilization Project entered FEED. The project is intended to increase natural gas utilization and eliminate routine flaring. A final investment decision is expected in 2013. At year-end 2011, proved reserves had not been recognized for this project.</w:t>
      </w:r>
    </w:p>
    <w:p>
      <w:pPr>
        <w:spacing w:after="0" w:line="57" w:lineRule="exact"/>
        <w:rPr>
          <w:sz w:val="20"/>
          <w:szCs w:val="20"/>
          <w:color w:val="auto"/>
        </w:rPr>
      </w:pPr>
    </w:p>
    <w:p>
      <w:pPr>
        <w:ind w:left="460" w:right="100"/>
        <w:spacing w:after="0" w:line="316" w:lineRule="auto"/>
        <w:rPr>
          <w:sz w:val="20"/>
          <w:szCs w:val="20"/>
          <w:color w:val="auto"/>
        </w:rPr>
      </w:pPr>
      <w:r>
        <w:rPr>
          <w:rFonts w:ascii="Arial" w:cs="Arial" w:eastAsia="Arial" w:hAnsi="Arial"/>
          <w:sz w:val="12"/>
          <w:szCs w:val="12"/>
          <w:b w:val="1"/>
          <w:bCs w:val="1"/>
          <w:color w:val="auto"/>
        </w:rPr>
        <w:t xml:space="preserve">Philippines: </w:t>
      </w:r>
      <w:r>
        <w:rPr>
          <w:rFonts w:ascii="Arial" w:cs="Arial" w:eastAsia="Arial" w:hAnsi="Arial"/>
          <w:sz w:val="12"/>
          <w:szCs w:val="12"/>
          <w:color w:val="auto"/>
        </w:rPr>
        <w:t>The company holds a 45 percent nonoperated working interest in the Malampaya natural gas field located 50 miles offshore Palawan Island. Net oil-equivalent production in 2011 averaged</w:t>
      </w:r>
      <w:r>
        <w:rPr>
          <w:rFonts w:ascii="Arial" w:cs="Arial" w:eastAsia="Arial" w:hAnsi="Arial"/>
          <w:sz w:val="12"/>
          <w:szCs w:val="12"/>
          <w:b w:val="1"/>
          <w:bCs w:val="1"/>
          <w:color w:val="auto"/>
        </w:rPr>
        <w:t xml:space="preserve"> </w:t>
      </w:r>
      <w:r>
        <w:rPr>
          <w:rFonts w:ascii="Arial" w:cs="Arial" w:eastAsia="Arial" w:hAnsi="Arial"/>
          <w:sz w:val="12"/>
          <w:szCs w:val="12"/>
          <w:color w:val="auto"/>
        </w:rPr>
        <w:t>25,000 barrels per day, composed of 126 million cubic feet of natural gas and 4,000 barrels of condensate. During 2011, studies were progressed to maintain capacity.</w:t>
      </w:r>
    </w:p>
    <w:p>
      <w:pPr>
        <w:spacing w:after="0" w:line="35" w:lineRule="exact"/>
        <w:rPr>
          <w:sz w:val="20"/>
          <w:szCs w:val="20"/>
          <w:color w:val="auto"/>
        </w:rPr>
      </w:pPr>
    </w:p>
    <w:p>
      <w:pPr>
        <w:jc w:val="both"/>
        <w:ind w:left="460" w:right="20"/>
        <w:spacing w:after="0" w:line="288" w:lineRule="auto"/>
        <w:rPr>
          <w:sz w:val="20"/>
          <w:szCs w:val="20"/>
          <w:color w:val="auto"/>
        </w:rPr>
      </w:pPr>
      <w:r>
        <w:rPr>
          <w:rFonts w:ascii="Arial" w:cs="Arial" w:eastAsia="Arial" w:hAnsi="Arial"/>
          <w:sz w:val="12"/>
          <w:szCs w:val="12"/>
          <w:color w:val="auto"/>
        </w:rPr>
        <w:t>Chevron also develops and produces geothermal resources under an agreement with the Philippine government. During 2011, efforts continued to seek a new 25-year contract with the government for the continued operation of the steam fields, which supply geothermal resources to third-party, 637-megawatt power generation facilities in southern Luzon. Chevron also has a 90 percent-owned and operated interest in the Kalinga geothermal prospect area in northern Luzon and is in the early phase of geological and geophysical assessments.</w:t>
      </w:r>
    </w:p>
    <w:p>
      <w:pPr>
        <w:spacing w:after="0" w:line="124" w:lineRule="exact"/>
        <w:rPr>
          <w:sz w:val="20"/>
          <w:szCs w:val="20"/>
          <w:color w:val="auto"/>
        </w:rPr>
      </w:pPr>
    </w:p>
    <w:p>
      <w:pPr>
        <w:ind w:left="780" w:hanging="324"/>
        <w:spacing w:after="0"/>
        <w:tabs>
          <w:tab w:leader="none" w:pos="7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Australia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 Australia, the company’s exploration and production efforts are concentrated off the northwest coast. During 2011, the average net oil-equivalent production from Australia was 101,000 barrels per day.</w:t>
      </w:r>
    </w:p>
    <w:p>
      <w:pPr>
        <w:spacing w:after="0" w:line="200" w:lineRule="exact"/>
        <w:rPr>
          <w:sz w:val="20"/>
          <w:szCs w:val="20"/>
          <w:color w:val="auto"/>
        </w:rPr>
      </w:pPr>
    </w:p>
    <w:p>
      <w:pPr>
        <w:ind w:left="5640" w:right="240"/>
        <w:spacing w:after="0" w:line="299" w:lineRule="auto"/>
        <w:rPr>
          <w:sz w:val="20"/>
          <w:szCs w:val="20"/>
          <w:color w:val="auto"/>
        </w:rPr>
      </w:pPr>
      <w:r>
        <w:rPr>
          <w:rFonts w:ascii="Arial" w:cs="Arial" w:eastAsia="Arial" w:hAnsi="Arial"/>
          <w:sz w:val="11"/>
          <w:szCs w:val="11"/>
          <w:color w:val="auto"/>
        </w:rPr>
        <w:t>Chevron has a 16.7 percent nonoperated working interest in the North West Shelf (NWS) Venture offshore Western Australia. Daily net production from the project during 2011 averaged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-193675</wp:posOffset>
            </wp:positionV>
            <wp:extent cx="1916430" cy="1678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16430" cy="1678305"/>
                    </a:xfrm>
                    <a:prstGeom prst="rect">
                      <a:avLst/>
                    </a:prstGeom>
                    <a:noFill/>
                  </pic:spPr>
                </pic:pic>
              </a:graphicData>
            </a:graphic>
          </wp:anchor>
        </w:drawing>
      </w:r>
    </w:p>
    <w:p>
      <w:pPr>
        <w:ind w:left="5640" w:right="60"/>
        <w:spacing w:after="0" w:line="276" w:lineRule="auto"/>
        <w:rPr>
          <w:sz w:val="20"/>
          <w:szCs w:val="20"/>
          <w:color w:val="auto"/>
        </w:rPr>
      </w:pPr>
      <w:r>
        <w:rPr>
          <w:rFonts w:ascii="Arial" w:cs="Arial" w:eastAsia="Arial" w:hAnsi="Arial"/>
          <w:sz w:val="12"/>
          <w:szCs w:val="12"/>
          <w:color w:val="auto"/>
        </w:rPr>
        <w:t>18,000 barrels of crude oil and condensate, 445 million cubic feet of natural gas, and 4,000 barrels of LPG. Approximately 70 percent of the natural gas was sold in the form of LNG to major utilities in Asia, primarily under long-term contracts. The remaining natural gas was sold to the Western Australia domestic market. The concession for the NWS Venture expires in 2034.</w:t>
      </w:r>
    </w:p>
    <w:p>
      <w:pPr>
        <w:spacing w:after="0" w:line="126" w:lineRule="exact"/>
        <w:rPr>
          <w:sz w:val="20"/>
          <w:szCs w:val="20"/>
          <w:color w:val="auto"/>
        </w:rPr>
      </w:pPr>
    </w:p>
    <w:p>
      <w:pPr>
        <w:ind w:left="5640" w:right="20"/>
        <w:spacing w:after="0" w:line="277" w:lineRule="auto"/>
        <w:rPr>
          <w:sz w:val="20"/>
          <w:szCs w:val="20"/>
          <w:color w:val="auto"/>
        </w:rPr>
      </w:pPr>
      <w:r>
        <w:rPr>
          <w:rFonts w:ascii="Arial" w:cs="Arial" w:eastAsia="Arial" w:hAnsi="Arial"/>
          <w:sz w:val="12"/>
          <w:szCs w:val="12"/>
          <w:color w:val="auto"/>
        </w:rPr>
        <w:t>The NWS Venture continues to progress two major capital projects — North Rankin 2 and NWS Oil Redevelopment. The North Rankin 2 project is designed to recover remaining low-pressure natural gas from the North Rankin and Perseus natural gas fields to meet gas supply needs and maintain production capacity of NWS. The North Rankin B platform was completed and installed during 2011. Maximum total daily production is expected to be about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2 billion cubic feet of natural gas and 39,000 barrels of condensate. Total estimated projects costs are $5.4 billion and start-up is expected in 2013. Proved reserves have been recognized for the project.</w:t>
      </w:r>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8" w:right="79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260"/>
        <w:spacing w:after="0" w:line="267" w:lineRule="auto"/>
        <w:rPr>
          <w:sz w:val="20"/>
          <w:szCs w:val="20"/>
          <w:color w:val="auto"/>
        </w:rPr>
      </w:pPr>
      <w:r>
        <w:rPr>
          <w:rFonts w:ascii="Arial" w:cs="Arial" w:eastAsia="Arial" w:hAnsi="Arial"/>
          <w:sz w:val="13"/>
          <w:szCs w:val="13"/>
          <w:color w:val="auto"/>
        </w:rPr>
        <w:t>The NWS Oil Redevelopment Project recommenced production from the Cossack, Hermes, Lambert and Wanaea fields in September 2011. The project included replacement of an FPSO vessel and a portion of existing subsea infrastructure. The project is expected to extend production from these fields beyond 2020.</w:t>
      </w:r>
    </w:p>
    <w:p>
      <w:pPr>
        <w:spacing w:after="0" w:line="61" w:lineRule="exact"/>
        <w:rPr>
          <w:sz w:val="20"/>
          <w:szCs w:val="20"/>
          <w:color w:val="auto"/>
        </w:rPr>
      </w:pPr>
    </w:p>
    <w:p>
      <w:pPr>
        <w:jc w:val="both"/>
        <w:ind w:left="460" w:right="120"/>
        <w:spacing w:after="0" w:line="325" w:lineRule="auto"/>
        <w:rPr>
          <w:sz w:val="20"/>
          <w:szCs w:val="20"/>
          <w:color w:val="auto"/>
        </w:rPr>
      </w:pPr>
      <w:r>
        <w:rPr>
          <w:rFonts w:ascii="Arial" w:cs="Arial" w:eastAsia="Arial" w:hAnsi="Arial"/>
          <w:sz w:val="11"/>
          <w:szCs w:val="11"/>
          <w:color w:val="auto"/>
        </w:rPr>
        <w:t>Chevron holds a 47.3 percent ownership interest across most of the Greater Gorgon Area and is the operator of the Gorgon Project, which combines the development of the Gorgon and nearby Io/Jansz natural gas field. The project’s scope includes a three-train, 15 million-metric-ton-per-year LNG facility, a carbon sequestration project and a domestic natural gas plant. Maximum total daily production from the project is expected to reach about 2.6 billion cubic feet of natural gas and 20,000 barrels of condensate. Total estimated project costs for the first phase of development are $37 billion.</w:t>
      </w:r>
    </w:p>
    <w:p>
      <w:pPr>
        <w:spacing w:after="0" w:line="34"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Work on the Gorgon Project progressed on schedule. As of year-end 2011, more than one-third of the construction activities across numerous fronts on Barrow Island and in fabrication yards in various countries had been completed. The development drilling program also commenced in July 2011.</w:t>
      </w:r>
    </w:p>
    <w:p>
      <w:pPr>
        <w:spacing w:after="0" w:line="61" w:lineRule="exact"/>
        <w:rPr>
          <w:sz w:val="20"/>
          <w:szCs w:val="20"/>
          <w:color w:val="auto"/>
        </w:rPr>
      </w:pPr>
    </w:p>
    <w:p>
      <w:pPr>
        <w:ind w:left="460" w:right="100"/>
        <w:spacing w:after="0" w:line="251" w:lineRule="auto"/>
        <w:rPr>
          <w:sz w:val="20"/>
          <w:szCs w:val="20"/>
          <w:color w:val="auto"/>
        </w:rPr>
      </w:pPr>
      <w:r>
        <w:rPr>
          <w:rFonts w:ascii="Arial" w:cs="Arial" w:eastAsia="Arial" w:hAnsi="Arial"/>
          <w:sz w:val="13"/>
          <w:szCs w:val="13"/>
          <w:color w:val="auto"/>
        </w:rPr>
        <w:t>Through year-end 2011, Chevron has signed binding LNG Sales and Purchase Agreements (SPAs) with six Asian customers for delivery of about 4.7 million metric tons of LNG per year, which brings delivery commitments to about 70 percent of Chevron’s share of LNG from this project. Discussions continue with potential customers to increase long-term sales to 85 to 90 percent of Chevron’s net LNG off-take. Binding SPAs were also signed in 2011 for delivery of about 55 million cubic feet per day of natural gas to two Western Australian state-owned utilities starting in 2015. Proved reserves have been recognized for the Greater Gorgon Area fields included in the project, and first production of natural gas from the fields is expected in late 2014. The project’s estimated economic life exceeds 40 years from the time of start-up.</w:t>
      </w:r>
    </w:p>
    <w:p>
      <w:pPr>
        <w:spacing w:after="0" w:line="74"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A project for development of a fourth train at the Gorgon LNG facility is expected to enter FEED in late 2012. At the end of 2011, proved reserves had not been recognized for the fields associated with this expansion.</w:t>
      </w:r>
    </w:p>
    <w:p>
      <w:pPr>
        <w:spacing w:after="0" w:line="61" w:lineRule="exact"/>
        <w:rPr>
          <w:sz w:val="20"/>
          <w:szCs w:val="20"/>
          <w:color w:val="auto"/>
        </w:rPr>
      </w:pPr>
    </w:p>
    <w:p>
      <w:pPr>
        <w:ind w:left="460"/>
        <w:spacing w:after="0" w:line="251" w:lineRule="auto"/>
        <w:rPr>
          <w:sz w:val="20"/>
          <w:szCs w:val="20"/>
          <w:color w:val="auto"/>
        </w:rPr>
      </w:pPr>
      <w:r>
        <w:rPr>
          <w:rFonts w:ascii="Arial" w:cs="Arial" w:eastAsia="Arial" w:hAnsi="Arial"/>
          <w:sz w:val="13"/>
          <w:szCs w:val="13"/>
          <w:color w:val="auto"/>
        </w:rPr>
        <w:t>Chevron and its joint-venture partners are proceeding with development of the Wheatstone Project. In September 2011, the company announced the final investment decision. Construction started in late 2011. Chevron holds a 72.1 percent interest in the foundation natural gas processing facilities, which include a two-train, 8.9 million-metric-ton-per-year LNG facility and a separate domestic gas plant located at Ashburton North, along the northwest coast of Australia. The company plans to supply natural gas to the foundation project from the company-operated and 90.2 percent-owned Wheatstone and Iago fields. Maximum total daily production is expected to be about 1.4 billion cubic feet of natural gas and 25,000 barrels of condensate. The LNG facilities will also be a destination for third-party natural gas. Total estimated project costs for the first phase of development are $29 billion.</w:t>
      </w:r>
    </w:p>
    <w:p>
      <w:pPr>
        <w:spacing w:after="0" w:line="74" w:lineRule="exact"/>
        <w:rPr>
          <w:sz w:val="20"/>
          <w:szCs w:val="20"/>
          <w:color w:val="auto"/>
        </w:rPr>
      </w:pPr>
    </w:p>
    <w:p>
      <w:pPr>
        <w:ind w:left="460" w:right="120"/>
        <w:spacing w:after="0" w:line="256" w:lineRule="auto"/>
        <w:rPr>
          <w:sz w:val="20"/>
          <w:szCs w:val="20"/>
          <w:color w:val="auto"/>
        </w:rPr>
      </w:pPr>
      <w:r>
        <w:rPr>
          <w:rFonts w:ascii="Arial" w:cs="Arial" w:eastAsia="Arial" w:hAnsi="Arial"/>
          <w:sz w:val="13"/>
          <w:szCs w:val="13"/>
          <w:color w:val="auto"/>
        </w:rPr>
        <w:t>Through the end of 2011, Chevron has signed binding SPAs with two Asian customers for the delivery of about 60 percent of Chevron’s net LNG off-take from the Wheatstone Project. Discussions continue with potential customers to increase long-term sales to 85 to 90 percent of Chevron’s net LNG off-take and to sell down equity. Start-up of the first LNG train is expected in 2016. During 2011, the company recognized proved reserves for this project.</w:t>
      </w:r>
    </w:p>
    <w:p>
      <w:pPr>
        <w:spacing w:after="0" w:line="69"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In the Browse Basin, the Browse LNG development participants entered FEED in 2011, undertaking environmental, geophysical, geotechnical and engineering and design studies for the Brecknock, Calliance and Torosa fields. At the end of 2011, proved reserves had not been recognized for any of the Browse Basin fields.</w:t>
      </w:r>
    </w:p>
    <w:p>
      <w:pPr>
        <w:spacing w:after="0" w:line="61" w:lineRule="exact"/>
        <w:rPr>
          <w:sz w:val="20"/>
          <w:szCs w:val="20"/>
          <w:color w:val="auto"/>
        </w:rPr>
      </w:pPr>
    </w:p>
    <w:p>
      <w:pPr>
        <w:ind w:left="460" w:right="40"/>
        <w:spacing w:after="0" w:line="288" w:lineRule="auto"/>
        <w:rPr>
          <w:sz w:val="20"/>
          <w:szCs w:val="20"/>
          <w:color w:val="auto"/>
        </w:rPr>
      </w:pPr>
      <w:r>
        <w:rPr>
          <w:rFonts w:ascii="Arial" w:cs="Arial" w:eastAsia="Arial" w:hAnsi="Arial"/>
          <w:sz w:val="12"/>
          <w:szCs w:val="12"/>
          <w:color w:val="auto"/>
        </w:rPr>
        <w:t>During 2011, the company announced a natural gas discovery at the 50 percent-owned and operated Orthrus Deep prospect in Block WA-24-R. The company also announced natural gas discoveries at the 50 percent-owned and operated Vos prospect in WA-439-P and the 67 percent-owned and operated Acme West prospect in Block WA-205-P in 2011, and at the 50 percent-owned and operated Satyr-3 prospect in WA-374-P in January 2012. These discoveries are expected to support potential expansion opportunities at company-operated LNG facilities.</w:t>
      </w: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780" w:hanging="324"/>
        <w:spacing w:after="0"/>
        <w:tabs>
          <w:tab w:leader="none" w:pos="7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Europe</w:t>
      </w:r>
    </w:p>
    <w:p>
      <w:pPr>
        <w:spacing w:after="0" w:line="95"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In Europe, the company is engaged in exploration and production activities in Bulgaria, Denmark, the Netherlands, Norway, Poland, Romania and the United Kingdom. Net oil-equivalent production in Europe averaged 139,000 barrels per day during 2011.</w:t>
      </w:r>
    </w:p>
    <w:p>
      <w:pPr>
        <w:spacing w:after="0" w:line="105" w:lineRule="exact"/>
        <w:rPr>
          <w:sz w:val="20"/>
          <w:szCs w:val="20"/>
          <w:color w:val="auto"/>
        </w:rPr>
      </w:pPr>
    </w:p>
    <w:p>
      <w:pPr>
        <w:ind w:left="5760" w:right="20"/>
        <w:spacing w:after="0" w:line="283" w:lineRule="auto"/>
        <w:rPr>
          <w:sz w:val="20"/>
          <w:szCs w:val="20"/>
          <w:color w:val="auto"/>
        </w:rPr>
      </w:pPr>
      <w:r>
        <w:rPr>
          <w:rFonts w:ascii="Arial" w:cs="Arial" w:eastAsia="Arial" w:hAnsi="Arial"/>
          <w:sz w:val="12"/>
          <w:szCs w:val="12"/>
          <w:b w:val="1"/>
          <w:bCs w:val="1"/>
          <w:color w:val="auto"/>
        </w:rPr>
        <w:t xml:space="preserve">Denmark: </w:t>
      </w:r>
      <w:r>
        <w:rPr>
          <w:rFonts w:ascii="Arial" w:cs="Arial" w:eastAsia="Arial" w:hAnsi="Arial"/>
          <w:sz w:val="12"/>
          <w:szCs w:val="12"/>
          <w:color w:val="auto"/>
        </w:rPr>
        <w:t>Chevron has a 15 percent working interest in the partner-operated Danish Underground</w:t>
      </w:r>
      <w:r>
        <w:rPr>
          <w:rFonts w:ascii="Arial" w:cs="Arial" w:eastAsia="Arial" w:hAnsi="Arial"/>
          <w:sz w:val="12"/>
          <w:szCs w:val="12"/>
          <w:b w:val="1"/>
          <w:bCs w:val="1"/>
          <w:color w:val="auto"/>
        </w:rPr>
        <w:t xml:space="preserve"> </w:t>
      </w:r>
      <w:r>
        <w:rPr>
          <w:rFonts w:ascii="Arial" w:cs="Arial" w:eastAsia="Arial" w:hAnsi="Arial"/>
          <w:sz w:val="12"/>
          <w:szCs w:val="12"/>
          <w:color w:val="auto"/>
        </w:rPr>
        <w:t>Consortium (DUC), which produces crude oil and natural gas from 13 fields in the Danish North Sea. Net oil-equivalent production in 2011 from DUC averaged 44,000 barrels per day, composed of 29,000 barrels of crude oil and 91 million cubic feet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-404495</wp:posOffset>
            </wp:positionV>
            <wp:extent cx="2001520" cy="2837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01520" cy="2837815"/>
                    </a:xfrm>
                    <a:prstGeom prst="rect">
                      <a:avLst/>
                    </a:prstGeom>
                    <a:noFill/>
                  </pic:spPr>
                </pic:pic>
              </a:graphicData>
            </a:graphic>
          </wp:anchor>
        </w:drawing>
      </w:r>
    </w:p>
    <w:p>
      <w:pPr>
        <w:spacing w:after="0" w:line="98" w:lineRule="exact"/>
        <w:rPr>
          <w:sz w:val="20"/>
          <w:szCs w:val="20"/>
          <w:color w:val="auto"/>
        </w:rPr>
      </w:pPr>
    </w:p>
    <w:p>
      <w:pPr>
        <w:jc w:val="both"/>
        <w:ind w:left="5760" w:right="100"/>
        <w:spacing w:after="0" w:line="299" w:lineRule="auto"/>
        <w:rPr>
          <w:sz w:val="20"/>
          <w:szCs w:val="20"/>
          <w:color w:val="auto"/>
        </w:rPr>
      </w:pPr>
      <w:r>
        <w:rPr>
          <w:rFonts w:ascii="Arial" w:cs="Arial" w:eastAsia="Arial" w:hAnsi="Arial"/>
          <w:sz w:val="11"/>
          <w:szCs w:val="11"/>
          <w:b w:val="1"/>
          <w:bCs w:val="1"/>
          <w:color w:val="auto"/>
        </w:rPr>
        <w:t xml:space="preserve">Netherlands: </w:t>
      </w:r>
      <w:r>
        <w:rPr>
          <w:rFonts w:ascii="Arial" w:cs="Arial" w:eastAsia="Arial" w:hAnsi="Arial"/>
          <w:sz w:val="11"/>
          <w:szCs w:val="11"/>
          <w:color w:val="auto"/>
        </w:rPr>
        <w:t>Chevron operates and holds interests ranging from 34.1 percent to 80 percent in 10</w:t>
      </w:r>
      <w:r>
        <w:rPr>
          <w:rFonts w:ascii="Arial" w:cs="Arial" w:eastAsia="Arial" w:hAnsi="Arial"/>
          <w:sz w:val="11"/>
          <w:szCs w:val="11"/>
          <w:b w:val="1"/>
          <w:bCs w:val="1"/>
          <w:color w:val="auto"/>
        </w:rPr>
        <w:t xml:space="preserve"> </w:t>
      </w:r>
      <w:r>
        <w:rPr>
          <w:rFonts w:ascii="Arial" w:cs="Arial" w:eastAsia="Arial" w:hAnsi="Arial"/>
          <w:sz w:val="11"/>
          <w:szCs w:val="11"/>
          <w:color w:val="auto"/>
        </w:rPr>
        <w:t>blocks in the Dutch sector of the North Sea. In 2011, the company’s net oil-equivalent production from the producing blocks was 7,000 barrels per day, composed of 2,000 barrels of crude oil and</w:t>
      </w:r>
    </w:p>
    <w:p>
      <w:pPr>
        <w:spacing w:after="0" w:line="1" w:lineRule="exact"/>
        <w:rPr>
          <w:sz w:val="20"/>
          <w:szCs w:val="20"/>
          <w:color w:val="auto"/>
        </w:rPr>
      </w:pPr>
    </w:p>
    <w:p>
      <w:pPr>
        <w:jc w:val="both"/>
        <w:ind w:left="5760"/>
        <w:spacing w:after="0" w:line="253" w:lineRule="auto"/>
        <w:rPr>
          <w:sz w:val="20"/>
          <w:szCs w:val="20"/>
          <w:color w:val="auto"/>
        </w:rPr>
      </w:pPr>
      <w:r>
        <w:rPr>
          <w:rFonts w:ascii="Arial" w:cs="Arial" w:eastAsia="Arial" w:hAnsi="Arial"/>
          <w:sz w:val="13"/>
          <w:szCs w:val="13"/>
          <w:color w:val="auto"/>
        </w:rPr>
        <w:t>31 million cubic feet of natural gas. In fourth quarter 2011, the second stage of the A/B Gas Project achieved first gas.</w:t>
      </w:r>
    </w:p>
    <w:p>
      <w:pPr>
        <w:spacing w:after="0" w:line="134" w:lineRule="exact"/>
        <w:rPr>
          <w:sz w:val="20"/>
          <w:szCs w:val="20"/>
          <w:color w:val="auto"/>
        </w:rPr>
      </w:pPr>
    </w:p>
    <w:p>
      <w:pPr>
        <w:jc w:val="both"/>
        <w:ind w:left="5760"/>
        <w:spacing w:after="0" w:line="279" w:lineRule="auto"/>
        <w:rPr>
          <w:sz w:val="20"/>
          <w:szCs w:val="20"/>
          <w:color w:val="auto"/>
        </w:rPr>
      </w:pPr>
      <w:r>
        <w:rPr>
          <w:rFonts w:ascii="Arial" w:cs="Arial" w:eastAsia="Arial" w:hAnsi="Arial"/>
          <w:sz w:val="12"/>
          <w:szCs w:val="12"/>
          <w:b w:val="1"/>
          <w:bCs w:val="1"/>
          <w:color w:val="auto"/>
        </w:rPr>
        <w:t xml:space="preserve">Norway: </w:t>
      </w:r>
      <w:r>
        <w:rPr>
          <w:rFonts w:ascii="Arial" w:cs="Arial" w:eastAsia="Arial" w:hAnsi="Arial"/>
          <w:sz w:val="12"/>
          <w:szCs w:val="12"/>
          <w:color w:val="auto"/>
        </w:rPr>
        <w:t>The company holds a 7.6 percent nonoperated working interest in the Draugen Field.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net production averaged 3,000 barrels of oil-equivalent per day during 2011. Chevron is the operator and has a 40 percent working interest in exploration license PL 527. In 2011, Chevron was awarded a 40 percent-owned and operated interest in exploration license PL 598. Both licenses are in the deepwater portion of the Norwegian Sea.</w:t>
      </w:r>
    </w:p>
    <w:p>
      <w:pPr>
        <w:spacing w:after="0" w:line="120" w:lineRule="exact"/>
        <w:rPr>
          <w:sz w:val="20"/>
          <w:szCs w:val="20"/>
          <w:color w:val="auto"/>
        </w:rPr>
      </w:pPr>
    </w:p>
    <w:p>
      <w:pPr>
        <w:ind w:left="5760" w:right="60"/>
        <w:spacing w:after="0" w:line="255" w:lineRule="auto"/>
        <w:rPr>
          <w:sz w:val="20"/>
          <w:szCs w:val="20"/>
          <w:color w:val="auto"/>
        </w:rPr>
      </w:pPr>
      <w:r>
        <w:rPr>
          <w:rFonts w:ascii="Arial" w:cs="Arial" w:eastAsia="Arial" w:hAnsi="Arial"/>
          <w:sz w:val="13"/>
          <w:szCs w:val="13"/>
          <w:b w:val="1"/>
          <w:bCs w:val="1"/>
          <w:color w:val="auto"/>
        </w:rPr>
        <w:t xml:space="preserve">United Kingdom: </w:t>
      </w:r>
      <w:r>
        <w:rPr>
          <w:rFonts w:ascii="Arial" w:cs="Arial" w:eastAsia="Arial" w:hAnsi="Arial"/>
          <w:sz w:val="13"/>
          <w:szCs w:val="13"/>
          <w:color w:val="auto"/>
        </w:rPr>
        <w:t>The company’s average net oil-equivalent production in 2011 from 10 offshore</w:t>
      </w:r>
      <w:r>
        <w:rPr>
          <w:rFonts w:ascii="Arial" w:cs="Arial" w:eastAsia="Arial" w:hAnsi="Arial"/>
          <w:sz w:val="13"/>
          <w:szCs w:val="13"/>
          <w:b w:val="1"/>
          <w:bCs w:val="1"/>
          <w:color w:val="auto"/>
        </w:rPr>
        <w:t xml:space="preserve"> </w:t>
      </w:r>
      <w:r>
        <w:rPr>
          <w:rFonts w:ascii="Arial" w:cs="Arial" w:eastAsia="Arial" w:hAnsi="Arial"/>
          <w:sz w:val="13"/>
          <w:szCs w:val="13"/>
          <w:color w:val="auto"/>
        </w:rPr>
        <w:t>fields was 85,000 barrels per day, composed of 59,000 barrels of crude oil and natural gas liquids and 155 million cubic feet of natural gas. Most of the production was from the 85 percent-owned and operated Captain Field, the 23.4 percent-owned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and operated Alba Field, and the 32.4 percent-owned and jointly operated Britannia Field.</w:t>
      </w:r>
    </w:p>
    <w:p>
      <w:pPr>
        <w:spacing w:after="0" w:line="91"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The final investment decision was reached in fourth quarter 2011 for the Clair Ridge Project, located west of the Shetland Islands, in which the company has a 19.4 percent nonoperated working interest. Total design capacity is planned to be 120,000 barrels of crude oil per day, and total estimated projects costs are $7 billion. Production is scheduled to begin in 2016. Initial proved reserves were recognized for this phase of the project in 2011.</w:t>
      </w:r>
    </w:p>
    <w:p>
      <w:pPr>
        <w:spacing w:after="0" w:line="69"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3"/>
          <w:szCs w:val="13"/>
          <w:color w:val="auto"/>
        </w:rPr>
        <w:t>At the 70 percent-owned and operated Alder discovery, FEED activities progressed during 2011 and a final investment decision is planned for late 2012. In the 40 percent-owned and operated Rosebank area northwest of the Shetland Islands, seismic, geophysical, geotechnical and environmental surveys were completed during 2011, and FEED is expected to begin in the second-half 2012. At the end of 2011, proved reserves have not been recognized for these projects.</w:t>
      </w:r>
    </w:p>
    <w:p>
      <w:pPr>
        <w:spacing w:after="0" w:line="69" w:lineRule="exact"/>
        <w:rPr>
          <w:sz w:val="20"/>
          <w:szCs w:val="20"/>
          <w:color w:val="auto"/>
        </w:rPr>
      </w:pPr>
    </w:p>
    <w:p>
      <w:pPr>
        <w:ind w:left="460" w:right="40"/>
        <w:spacing w:after="0" w:line="256" w:lineRule="auto"/>
        <w:rPr>
          <w:sz w:val="20"/>
          <w:szCs w:val="20"/>
          <w:color w:val="auto"/>
        </w:rPr>
      </w:pPr>
      <w:r>
        <w:rPr>
          <w:rFonts w:ascii="Arial" w:cs="Arial" w:eastAsia="Arial" w:hAnsi="Arial"/>
          <w:sz w:val="13"/>
          <w:szCs w:val="13"/>
          <w:color w:val="auto"/>
        </w:rPr>
        <w:t>Also west of the Shetland Islands, a three-well exploration and appraisal drilling program continued through 2011 and was completed in early 2012. This program comprised exploration wells on the Lagavulin and Aberlour prospects and appraisal drilling and well testing of the Cambo discovery. The Lagavulin well was unsuccessful and the results from the other wells are under evaluation. Licenses P1196 (Lagavulin) and P1165 (Talisker) were relinquished in November 2011 at the termination of the license period.</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addition, the company entered into a master regasification agreement for access to available capacity at the South Hook LNG terminal in southwest Wales in 2011.</w:t>
      </w: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8" w:right="8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4900" w:right="40"/>
        <w:spacing w:after="0" w:line="306" w:lineRule="auto"/>
        <w:rPr>
          <w:sz w:val="20"/>
          <w:szCs w:val="20"/>
          <w:color w:val="auto"/>
        </w:rPr>
      </w:pPr>
      <w:r>
        <w:rPr>
          <w:rFonts w:ascii="Arial" w:cs="Arial" w:eastAsia="Arial" w:hAnsi="Arial"/>
          <w:sz w:val="11"/>
          <w:szCs w:val="11"/>
          <w:b w:val="1"/>
          <w:bCs w:val="1"/>
          <w:color w:val="auto"/>
        </w:rPr>
        <w:t xml:space="preserve">Bulgaria: </w:t>
      </w:r>
      <w:r>
        <w:rPr>
          <w:rFonts w:ascii="Arial" w:cs="Arial" w:eastAsia="Arial" w:hAnsi="Arial"/>
          <w:sz w:val="11"/>
          <w:szCs w:val="11"/>
          <w:color w:val="auto"/>
        </w:rPr>
        <w:t>In June 2011, the Bulgarian government advised that Chevron had submitted a winning tender for a</w:t>
      </w:r>
      <w:r>
        <w:rPr>
          <w:rFonts w:ascii="Arial" w:cs="Arial" w:eastAsia="Arial" w:hAnsi="Arial"/>
          <w:sz w:val="11"/>
          <w:szCs w:val="11"/>
          <w:b w:val="1"/>
          <w:bCs w:val="1"/>
          <w:color w:val="auto"/>
        </w:rPr>
        <w:t xml:space="preserve"> </w:t>
      </w:r>
      <w:r>
        <w:rPr>
          <w:rFonts w:ascii="Arial" w:cs="Arial" w:eastAsia="Arial" w:hAnsi="Arial"/>
          <w:sz w:val="11"/>
          <w:szCs w:val="11"/>
          <w:color w:val="auto"/>
        </w:rPr>
        <w:t>permit for exploration in a 1.1 million-acre area in northeast Bulgaria. In January 2012, prior to execution of the license agreement, the Bulgarian government announced the withdrawal of the decision awarding the permit and the Bulgarian parliament imposed a ban on hydraulic fracturing, a technology commonly used for shale exploration and production. Chevron is continuing to work closely with the government of Bulgaria to provide the necessary assurances to the government and the public that hydrocarbons from shale can be developed safely and responsibly.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-605790</wp:posOffset>
            </wp:positionV>
            <wp:extent cx="2038350" cy="2172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38350" cy="2172335"/>
                    </a:xfrm>
                    <a:prstGeom prst="rect">
                      <a:avLst/>
                    </a:prstGeom>
                    <a:noFill/>
                  </pic:spPr>
                </pic:pic>
              </a:graphicData>
            </a:graphic>
          </wp:anchor>
        </w:drawing>
      </w:r>
    </w:p>
    <w:p>
      <w:pPr>
        <w:spacing w:after="0" w:line="89" w:lineRule="exact"/>
        <w:rPr>
          <w:sz w:val="20"/>
          <w:szCs w:val="20"/>
          <w:color w:val="auto"/>
        </w:rPr>
      </w:pPr>
    </w:p>
    <w:p>
      <w:pPr>
        <w:ind w:left="4900" w:right="280"/>
        <w:spacing w:after="0" w:line="283" w:lineRule="auto"/>
        <w:rPr>
          <w:sz w:val="20"/>
          <w:szCs w:val="20"/>
          <w:color w:val="auto"/>
        </w:rPr>
      </w:pPr>
      <w:r>
        <w:rPr>
          <w:rFonts w:ascii="Arial" w:cs="Arial" w:eastAsia="Arial" w:hAnsi="Arial"/>
          <w:sz w:val="12"/>
          <w:szCs w:val="12"/>
          <w:b w:val="1"/>
          <w:bCs w:val="1"/>
          <w:color w:val="auto"/>
        </w:rPr>
        <w:t xml:space="preserve">Poland: </w:t>
      </w:r>
      <w:r>
        <w:rPr>
          <w:rFonts w:ascii="Arial" w:cs="Arial" w:eastAsia="Arial" w:hAnsi="Arial"/>
          <w:sz w:val="12"/>
          <w:szCs w:val="12"/>
          <w:color w:val="auto"/>
        </w:rPr>
        <w:t>Chevron holds four shale concessions in southeast Poland (Grabowiec, Zwierzyniec, Krasnik and</w:t>
      </w:r>
      <w:r>
        <w:rPr>
          <w:rFonts w:ascii="Arial" w:cs="Arial" w:eastAsia="Arial" w:hAnsi="Arial"/>
          <w:sz w:val="12"/>
          <w:szCs w:val="12"/>
          <w:b w:val="1"/>
          <w:bCs w:val="1"/>
          <w:color w:val="auto"/>
        </w:rPr>
        <w:t xml:space="preserve"> </w:t>
      </w:r>
      <w:r>
        <w:rPr>
          <w:rFonts w:ascii="Arial" w:cs="Arial" w:eastAsia="Arial" w:hAnsi="Arial"/>
          <w:sz w:val="12"/>
          <w:szCs w:val="12"/>
          <w:color w:val="auto"/>
        </w:rPr>
        <w:t>Frampol). All four exploration licenses are 100 percent-owned and operated and comprise a total of 1.1 million acres. In 2011, Chevron focused on processing data from a 2-D seismic survey. The data is being used to plan a multiwell drilling program that commenced in fourth quarter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right="20"/>
        <w:spacing w:after="0" w:line="260" w:lineRule="auto"/>
        <w:rPr>
          <w:sz w:val="20"/>
          <w:szCs w:val="20"/>
          <w:color w:val="auto"/>
        </w:rPr>
      </w:pPr>
      <w:r>
        <w:rPr>
          <w:rFonts w:ascii="Arial" w:cs="Arial" w:eastAsia="Arial" w:hAnsi="Arial"/>
          <w:sz w:val="13"/>
          <w:szCs w:val="13"/>
          <w:b w:val="1"/>
          <w:bCs w:val="1"/>
          <w:color w:val="auto"/>
        </w:rPr>
        <w:t xml:space="preserve">Romania: </w:t>
      </w:r>
      <w:r>
        <w:rPr>
          <w:rFonts w:ascii="Arial" w:cs="Arial" w:eastAsia="Arial" w:hAnsi="Arial"/>
          <w:sz w:val="13"/>
          <w:szCs w:val="13"/>
          <w:color w:val="auto"/>
        </w:rPr>
        <w:t>The company holds a 100 percent interest in the EV-2 Barlad shale concession. This license, located in northeast Romania, covers 1.6 million acres. In 2011, the company acquired 2-D seismic</w:t>
      </w:r>
      <w:r>
        <w:rPr>
          <w:rFonts w:ascii="Arial" w:cs="Arial" w:eastAsia="Arial" w:hAnsi="Arial"/>
          <w:sz w:val="13"/>
          <w:szCs w:val="13"/>
          <w:b w:val="1"/>
          <w:bCs w:val="1"/>
          <w:color w:val="auto"/>
        </w:rPr>
        <w:t xml:space="preserve"> </w:t>
      </w:r>
      <w:r>
        <w:rPr>
          <w:rFonts w:ascii="Arial" w:cs="Arial" w:eastAsia="Arial" w:hAnsi="Arial"/>
          <w:sz w:val="13"/>
          <w:szCs w:val="13"/>
          <w:color w:val="auto"/>
        </w:rPr>
        <w:t>data across the EV-2 Barlad concession. A multiwell drilling program is expected to begin in late 2012. Also during 2011, the company continued negotiations on license agreements for three shale exploration blocks in southeast Romania, Blocks 17, 18 and 19, which comprise approximately 670,000 acres.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Sales of Natural Gas and Natural Gas Liquids</w:t>
      </w:r>
    </w:p>
    <w:p>
      <w:pPr>
        <w:spacing w:after="0" w:line="95" w:lineRule="exact"/>
        <w:rPr>
          <w:sz w:val="20"/>
          <w:szCs w:val="20"/>
          <w:color w:val="auto"/>
        </w:rPr>
      </w:pPr>
    </w:p>
    <w:p>
      <w:pPr>
        <w:ind w:left="460" w:right="200"/>
        <w:spacing w:after="0" w:line="267" w:lineRule="auto"/>
        <w:rPr>
          <w:sz w:val="20"/>
          <w:szCs w:val="20"/>
          <w:color w:val="auto"/>
        </w:rPr>
      </w:pPr>
      <w:r>
        <w:rPr>
          <w:rFonts w:ascii="Arial" w:cs="Arial" w:eastAsia="Arial" w:hAnsi="Arial"/>
          <w:sz w:val="13"/>
          <w:szCs w:val="13"/>
          <w:color w:val="auto"/>
        </w:rPr>
        <w:t>The company sells natural gas and natural gas liquids from its producing operations under a variety of contractual arrangements. In addition, the company also makes third-party purchases and sales of natural gas and natural gas liquids in connection with its trading activities.</w:t>
      </w:r>
    </w:p>
    <w:p>
      <w:pPr>
        <w:spacing w:after="0" w:line="61" w:lineRule="exact"/>
        <w:rPr>
          <w:sz w:val="20"/>
          <w:szCs w:val="20"/>
          <w:color w:val="auto"/>
        </w:rPr>
      </w:pPr>
    </w:p>
    <w:p>
      <w:pPr>
        <w:jc w:val="both"/>
        <w:ind w:left="460" w:right="140"/>
        <w:spacing w:after="0" w:line="256" w:lineRule="auto"/>
        <w:rPr>
          <w:sz w:val="20"/>
          <w:szCs w:val="20"/>
          <w:color w:val="auto"/>
        </w:rPr>
      </w:pPr>
      <w:r>
        <w:rPr>
          <w:rFonts w:ascii="Arial" w:cs="Arial" w:eastAsia="Arial" w:hAnsi="Arial"/>
          <w:sz w:val="13"/>
          <w:szCs w:val="13"/>
          <w:color w:val="auto"/>
        </w:rPr>
        <w:t>During 2011, U.S. and international sales of natural gas were 5.8 billion and 4.4 billion cubic feet per day, respectively, which includes the company’s share of equity affiliates’ sales. Outside the United States, substantially all of the natural gas sales from the company’s producing interests are from operations in Australia, Bangladesh, Europe, Kazakhstan, Indonesia, Latin America, the Philippines and Thailand.</w:t>
      </w:r>
    </w:p>
    <w:p>
      <w:pPr>
        <w:spacing w:after="0" w:line="69" w:lineRule="exact"/>
        <w:rPr>
          <w:sz w:val="20"/>
          <w:szCs w:val="20"/>
          <w:color w:val="auto"/>
        </w:rPr>
      </w:pPr>
    </w:p>
    <w:p>
      <w:pPr>
        <w:ind w:left="460" w:right="400"/>
        <w:spacing w:after="0" w:line="267" w:lineRule="auto"/>
        <w:rPr>
          <w:sz w:val="20"/>
          <w:szCs w:val="20"/>
          <w:color w:val="auto"/>
        </w:rPr>
      </w:pPr>
      <w:r>
        <w:rPr>
          <w:rFonts w:ascii="Arial" w:cs="Arial" w:eastAsia="Arial" w:hAnsi="Arial"/>
          <w:sz w:val="13"/>
          <w:szCs w:val="13"/>
          <w:color w:val="auto"/>
        </w:rPr>
        <w:t>U.S. and international sales of natural gas liquids were 161 thousand and 87 thousand barrels per day, respectively, in 2011. Substantially all of the international sales of natural gas liquids are from company operations in Africa, Kazakhstan, Indonesia and the United Kingdom.</w:t>
      </w:r>
    </w:p>
    <w:p>
      <w:pPr>
        <w:spacing w:after="0" w:line="61" w:lineRule="exact"/>
        <w:rPr>
          <w:sz w:val="20"/>
          <w:szCs w:val="20"/>
          <w:color w:val="auto"/>
        </w:rPr>
      </w:pPr>
    </w:p>
    <w:p>
      <w:pPr>
        <w:ind w:left="460"/>
        <w:spacing w:after="0" w:line="359" w:lineRule="auto"/>
        <w:rPr>
          <w:sz w:val="20"/>
          <w:szCs w:val="20"/>
          <w:color w:val="auto"/>
        </w:rPr>
      </w:pPr>
      <w:r>
        <w:rPr>
          <w:rFonts w:ascii="Arial" w:cs="Arial" w:eastAsia="Arial" w:hAnsi="Arial"/>
          <w:sz w:val="11"/>
          <w:szCs w:val="11"/>
          <w:color w:val="auto"/>
        </w:rPr>
        <w:t>Refer to “Selected Operating Data,” on page FS-10 in Management’s Discussion and Analysis of Financial Condition and Results of Operations, for further information on the company’s sales volumes of natural gas and natural gas liquids. Refer also to “Delivery Commitments” on page 7 for information related to the company’s delivery commitments for the sale of crude oil and natural gas.</w:t>
      </w:r>
    </w:p>
    <w:p>
      <w:pPr>
        <w:spacing w:after="0" w:line="64"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Downstream</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Refining Operations</w:t>
      </w:r>
    </w:p>
    <w:p>
      <w:pPr>
        <w:spacing w:after="0" w:line="95" w:lineRule="exact"/>
        <w:rPr>
          <w:sz w:val="20"/>
          <w:szCs w:val="20"/>
          <w:color w:val="auto"/>
        </w:rPr>
      </w:pPr>
    </w:p>
    <w:p>
      <w:pPr>
        <w:ind w:left="460" w:right="500"/>
        <w:spacing w:after="0" w:line="267" w:lineRule="auto"/>
        <w:rPr>
          <w:sz w:val="20"/>
          <w:szCs w:val="20"/>
          <w:color w:val="auto"/>
        </w:rPr>
      </w:pPr>
      <w:r>
        <w:rPr>
          <w:rFonts w:ascii="Arial" w:cs="Arial" w:eastAsia="Arial" w:hAnsi="Arial"/>
          <w:sz w:val="13"/>
          <w:szCs w:val="13"/>
          <w:color w:val="auto"/>
        </w:rPr>
        <w:t>At the end of 2011, the company had a refining network capable of processing about 2 million barrels of crude oil per day. Operable capacity at December 31, 2011, and daily refinery inputs for 2009 through 2011 for the company and affiliate refineries were as follows: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Petroleum Refineries: Locations, Capacities and Inputs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(Crude-unit capacities and crude oil inputs in thousands of barrels per day; includes equity share in affiliates)</w:t>
      </w:r>
    </w:p>
    <w:p>
      <w:pPr>
        <w:spacing w:after="0" w:line="172" w:lineRule="exact"/>
        <w:rPr>
          <w:sz w:val="20"/>
          <w:szCs w:val="20"/>
          <w:color w:val="auto"/>
        </w:rPr>
      </w:pPr>
    </w:p>
    <w:tbl>
      <w:tblPr>
        <w:tblLayout w:type="fixed"/>
        <w:tblInd w:w="470" w:type="dxa"/>
        <w:tblCellMar>
          <w:top w:w="0" w:type="dxa"/>
          <w:left w:w="0" w:type="dxa"/>
          <w:bottom w:w="0" w:type="dxa"/>
          <w:right w:w="0" w:type="dxa"/>
        </w:tblCellMar>
      </w:tblPr>
      <w:tr>
        <w:trPr>
          <w:trHeight w:val="236"/>
        </w:trPr>
        <w:tc>
          <w:tcPr>
            <w:tcW w:w="120" w:type="dxa"/>
            <w:vAlign w:val="bottom"/>
            <w:tcBorders>
              <w:top w:val="single" w:sz="8" w:color="auto"/>
              <w:left w:val="single" w:sz="8" w:color="auto"/>
            </w:tcBorders>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319"/>
              <w:spacing w:after="0"/>
              <w:rPr>
                <w:sz w:val="20"/>
                <w:szCs w:val="20"/>
                <w:color w:val="auto"/>
              </w:rPr>
            </w:pPr>
            <w:r>
              <w:rPr>
                <w:rFonts w:ascii="Arial" w:cs="Arial" w:eastAsia="Arial" w:hAnsi="Arial"/>
                <w:sz w:val="10"/>
                <w:szCs w:val="10"/>
                <w:b w:val="1"/>
                <w:bCs w:val="1"/>
                <w:color w:val="auto"/>
              </w:rPr>
              <w:t>December 31, 2011</w:t>
            </w:r>
          </w:p>
        </w:tc>
        <w:tc>
          <w:tcPr>
            <w:tcW w:w="4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3"/>
            <w:vMerge w:val="restart"/>
          </w:tcPr>
          <w:p>
            <w:pPr>
              <w:ind w:left="340"/>
              <w:spacing w:after="0"/>
              <w:rPr>
                <w:sz w:val="20"/>
                <w:szCs w:val="20"/>
                <w:color w:val="auto"/>
              </w:rPr>
            </w:pPr>
            <w:r>
              <w:rPr>
                <w:rFonts w:ascii="Arial" w:cs="Arial" w:eastAsia="Arial" w:hAnsi="Arial"/>
                <w:sz w:val="10"/>
                <w:szCs w:val="10"/>
                <w:b w:val="1"/>
                <w:bCs w:val="1"/>
                <w:color w:val="auto"/>
              </w:rPr>
              <w:t>Refinery Inputs</w:t>
            </w: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20" w:type="dxa"/>
            <w:vAlign w:val="bottom"/>
            <w:tcBorders>
              <w:left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jc w:val="right"/>
              <w:ind w:right="59"/>
              <w:spacing w:after="0" w:line="95" w:lineRule="exact"/>
              <w:rPr>
                <w:sz w:val="20"/>
                <w:szCs w:val="20"/>
                <w:color w:val="auto"/>
              </w:rPr>
            </w:pPr>
            <w:r>
              <w:rPr>
                <w:rFonts w:ascii="Arial" w:cs="Arial" w:eastAsia="Arial" w:hAnsi="Arial"/>
                <w:sz w:val="10"/>
                <w:szCs w:val="10"/>
                <w:b w:val="1"/>
                <w:bCs w:val="1"/>
                <w:color w:val="auto"/>
              </w:rPr>
              <w:t>Operable</w:t>
            </w: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Borders>
              <w:left w:val="single" w:sz="8" w:color="auto"/>
            </w:tcBorders>
          </w:tcPr>
          <w:p>
            <w:pPr>
              <w:spacing w:after="0"/>
              <w:rPr>
                <w:sz w:val="8"/>
                <w:szCs w:val="8"/>
                <w:color w:val="auto"/>
              </w:rPr>
            </w:pPr>
          </w:p>
        </w:tc>
        <w:tc>
          <w:tcPr>
            <w:tcW w:w="2840" w:type="dxa"/>
            <w:vAlign w:val="bottom"/>
          </w:tcPr>
          <w:p>
            <w:pPr>
              <w:ind w:left="2340"/>
              <w:spacing w:after="0" w:line="95" w:lineRule="exact"/>
              <w:rPr>
                <w:sz w:val="20"/>
                <w:szCs w:val="20"/>
                <w:color w:val="auto"/>
              </w:rPr>
            </w:pPr>
            <w:r>
              <w:rPr>
                <w:rFonts w:ascii="Arial" w:cs="Arial" w:eastAsia="Arial" w:hAnsi="Arial"/>
                <w:sz w:val="10"/>
                <w:szCs w:val="10"/>
                <w:b w:val="1"/>
                <w:bCs w:val="1"/>
                <w:color w:val="auto"/>
              </w:rPr>
              <w:t>Locations</w:t>
            </w:r>
          </w:p>
        </w:tc>
        <w:tc>
          <w:tcPr>
            <w:tcW w:w="2280" w:type="dxa"/>
            <w:vAlign w:val="bottom"/>
          </w:tcPr>
          <w:p>
            <w:pPr>
              <w:spacing w:after="0"/>
              <w:rPr>
                <w:sz w:val="8"/>
                <w:szCs w:val="8"/>
                <w:color w:val="auto"/>
              </w:rPr>
            </w:pPr>
          </w:p>
        </w:tc>
        <w:tc>
          <w:tcPr>
            <w:tcW w:w="1060" w:type="dxa"/>
            <w:vAlign w:val="bottom"/>
            <w:gridSpan w:val="2"/>
          </w:tcPr>
          <w:p>
            <w:pPr>
              <w:jc w:val="right"/>
              <w:ind w:right="98"/>
              <w:spacing w:after="0" w:line="95" w:lineRule="exact"/>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8"/>
                <w:szCs w:val="8"/>
                <w:color w:val="auto"/>
              </w:rPr>
            </w:pPr>
          </w:p>
        </w:tc>
        <w:tc>
          <w:tcPr>
            <w:tcW w:w="640" w:type="dxa"/>
            <w:vAlign w:val="bottom"/>
          </w:tcPr>
          <w:p>
            <w:pPr>
              <w:jc w:val="right"/>
              <w:ind w:right="59"/>
              <w:spacing w:after="0" w:line="95" w:lineRule="exact"/>
              <w:rPr>
                <w:sz w:val="20"/>
                <w:szCs w:val="20"/>
                <w:color w:val="auto"/>
              </w:rPr>
            </w:pPr>
            <w:r>
              <w:rPr>
                <w:rFonts w:ascii="Arial" w:cs="Arial" w:eastAsia="Arial" w:hAnsi="Arial"/>
                <w:sz w:val="10"/>
                <w:szCs w:val="10"/>
                <w:b w:val="1"/>
                <w:bCs w:val="1"/>
                <w:color w:val="auto"/>
              </w:rPr>
              <w:t>Capacity</w:t>
            </w:r>
          </w:p>
        </w:tc>
        <w:tc>
          <w:tcPr>
            <w:tcW w:w="420" w:type="dxa"/>
            <w:vAlign w:val="bottom"/>
          </w:tcPr>
          <w:p>
            <w:pPr>
              <w:spacing w:after="0"/>
              <w:rPr>
                <w:sz w:val="8"/>
                <w:szCs w:val="8"/>
                <w:color w:val="auto"/>
              </w:rPr>
            </w:pPr>
          </w:p>
        </w:tc>
        <w:tc>
          <w:tcPr>
            <w:tcW w:w="640" w:type="dxa"/>
            <w:vAlign w:val="bottom"/>
          </w:tcPr>
          <w:p>
            <w:pPr>
              <w:jc w:val="right"/>
              <w:ind w:right="158"/>
              <w:spacing w:after="0" w:line="95" w:lineRule="exact"/>
              <w:rPr>
                <w:sz w:val="20"/>
                <w:szCs w:val="20"/>
                <w:color w:val="auto"/>
              </w:rPr>
            </w:pPr>
            <w:r>
              <w:rPr>
                <w:rFonts w:ascii="Arial" w:cs="Arial" w:eastAsia="Arial" w:hAnsi="Arial"/>
                <w:sz w:val="10"/>
                <w:szCs w:val="10"/>
                <w:b w:val="1"/>
                <w:bCs w:val="1"/>
                <w:color w:val="auto"/>
              </w:rPr>
              <w:t>2011</w:t>
            </w:r>
          </w:p>
        </w:tc>
        <w:tc>
          <w:tcPr>
            <w:tcW w:w="1020" w:type="dxa"/>
            <w:vAlign w:val="bottom"/>
            <w:gridSpan w:val="2"/>
          </w:tcPr>
          <w:p>
            <w:pPr>
              <w:jc w:val="right"/>
              <w:ind w:right="156"/>
              <w:spacing w:after="0" w:line="95"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620" w:type="dxa"/>
            <w:vAlign w:val="bottom"/>
          </w:tcPr>
          <w:p>
            <w:pPr>
              <w:jc w:val="right"/>
              <w:ind w:right="157"/>
              <w:spacing w:after="0" w:line="95"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20" w:type="dxa"/>
            <w:vAlign w:val="bottom"/>
            <w:tcBorders>
              <w:left w:val="single" w:sz="8" w:color="auto"/>
            </w:tcBorders>
            <w:vMerge w:val="restart"/>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20" w:type="dxa"/>
            <w:vAlign w:val="bottom"/>
            <w:tcBorders>
              <w:left w:val="single" w:sz="8" w:color="auto"/>
            </w:tcBorders>
            <w:vMerge w:val="continue"/>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Pascagoula</w:t>
            </w:r>
          </w:p>
        </w:tc>
        <w:tc>
          <w:tcPr>
            <w:tcW w:w="2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Mississippi</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El Segundo</w:t>
            </w:r>
          </w:p>
        </w:tc>
        <w:tc>
          <w:tcPr>
            <w:tcW w:w="2280" w:type="dxa"/>
            <w:vAlign w:val="bottom"/>
          </w:tcPr>
          <w:p>
            <w:pPr>
              <w:ind w:left="80"/>
              <w:spacing w:after="0"/>
              <w:rPr>
                <w:sz w:val="20"/>
                <w:szCs w:val="20"/>
                <w:color w:val="auto"/>
              </w:rPr>
            </w:pPr>
            <w:r>
              <w:rPr>
                <w:rFonts w:ascii="Arial" w:cs="Arial" w:eastAsia="Arial" w:hAnsi="Arial"/>
                <w:sz w:val="13"/>
                <w:szCs w:val="13"/>
                <w:color w:val="auto"/>
              </w:rPr>
              <w:t>California</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269</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244</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250</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Richmond</w:t>
            </w:r>
          </w:p>
        </w:tc>
        <w:tc>
          <w:tcPr>
            <w:tcW w:w="2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California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Kapolei</w:t>
            </w:r>
          </w:p>
        </w:tc>
        <w:tc>
          <w:tcPr>
            <w:tcW w:w="2280" w:type="dxa"/>
            <w:vAlign w:val="bottom"/>
          </w:tcPr>
          <w:p>
            <w:pPr>
              <w:ind w:left="80"/>
              <w:spacing w:after="0"/>
              <w:rPr>
                <w:sz w:val="20"/>
                <w:szCs w:val="20"/>
                <w:color w:val="auto"/>
              </w:rPr>
            </w:pPr>
            <w:r>
              <w:rPr>
                <w:rFonts w:ascii="Arial" w:cs="Arial" w:eastAsia="Arial" w:hAnsi="Arial"/>
                <w:sz w:val="13"/>
                <w:szCs w:val="13"/>
                <w:color w:val="auto"/>
              </w:rPr>
              <w:t>Hawaii</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54</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47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Salt Lake City</w:t>
            </w:r>
          </w:p>
        </w:tc>
        <w:tc>
          <w:tcPr>
            <w:tcW w:w="2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Utah</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Perth Amboy</w:t>
            </w:r>
            <w:r>
              <w:rPr>
                <w:rFonts w:ascii="Arial" w:cs="Arial" w:eastAsia="Arial" w:hAnsi="Arial"/>
                <w:sz w:val="10"/>
                <w:szCs w:val="10"/>
                <w:color w:val="auto"/>
              </w:rPr>
              <w:t>1</w:t>
            </w:r>
          </w:p>
        </w:tc>
        <w:tc>
          <w:tcPr>
            <w:tcW w:w="2280" w:type="dxa"/>
            <w:vAlign w:val="bottom"/>
          </w:tcPr>
          <w:p>
            <w:pPr>
              <w:ind w:left="80"/>
              <w:spacing w:after="0"/>
              <w:rPr>
                <w:sz w:val="20"/>
                <w:szCs w:val="20"/>
                <w:color w:val="auto"/>
              </w:rPr>
            </w:pPr>
            <w:r>
              <w:rPr>
                <w:rFonts w:ascii="Arial" w:cs="Arial" w:eastAsia="Arial" w:hAnsi="Arial"/>
                <w:sz w:val="13"/>
                <w:szCs w:val="13"/>
                <w:color w:val="auto"/>
              </w:rPr>
              <w:t>New Jersey</w:t>
            </w:r>
          </w:p>
        </w:tc>
        <w:tc>
          <w:tcPr>
            <w:tcW w:w="5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5"/>
              </w:rPr>
              <w:t xml:space="preserve">Total Consolidated Companies </w:t>
            </w:r>
            <w:r>
              <w:rPr>
                <w:rFonts w:ascii="Arial" w:cs="Arial" w:eastAsia="Arial" w:hAnsi="Arial"/>
                <w:sz w:val="13"/>
                <w:szCs w:val="13"/>
                <w:color w:val="auto"/>
                <w:w w:val="95"/>
              </w:rPr>
              <w:t>—</w:t>
            </w:r>
            <w:r>
              <w:rPr>
                <w:rFonts w:ascii="Arial" w:cs="Arial" w:eastAsia="Arial" w:hAnsi="Arial"/>
                <w:sz w:val="13"/>
                <w:szCs w:val="13"/>
                <w:b w:val="1"/>
                <w:bCs w:val="1"/>
                <w:color w:val="auto"/>
                <w:w w:val="95"/>
              </w:rPr>
              <w:t xml:space="preserve"> United States</w:t>
            </w:r>
          </w:p>
        </w:tc>
        <w:tc>
          <w:tcPr>
            <w:tcW w:w="2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1,035</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854</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color w:val="auto"/>
              </w:rPr>
              <w:t>Pembroke</w:t>
            </w:r>
            <w:r>
              <w:rPr>
                <w:rFonts w:ascii="Arial" w:cs="Arial" w:eastAsia="Arial" w:hAnsi="Arial"/>
                <w:sz w:val="10"/>
                <w:szCs w:val="10"/>
                <w:color w:val="auto"/>
              </w:rPr>
              <w:t>2</w:t>
            </w:r>
          </w:p>
        </w:tc>
        <w:tc>
          <w:tcPr>
            <w:tcW w:w="2280" w:type="dxa"/>
            <w:vAlign w:val="bottom"/>
          </w:tcPr>
          <w:p>
            <w:pPr>
              <w:ind w:left="80"/>
              <w:spacing w:after="0"/>
              <w:rPr>
                <w:sz w:val="20"/>
                <w:szCs w:val="20"/>
                <w:color w:val="auto"/>
              </w:rPr>
            </w:pPr>
            <w:r>
              <w:rPr>
                <w:rFonts w:ascii="Arial" w:cs="Arial" w:eastAsia="Arial" w:hAnsi="Arial"/>
                <w:sz w:val="13"/>
                <w:szCs w:val="13"/>
                <w:color w:val="auto"/>
              </w:rPr>
              <w:t>United Kingdom</w:t>
            </w: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122</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Cape Town</w:t>
            </w:r>
            <w:r>
              <w:rPr>
                <w:rFonts w:ascii="Arial" w:cs="Arial" w:eastAsia="Arial" w:hAnsi="Arial"/>
                <w:sz w:val="10"/>
                <w:szCs w:val="10"/>
                <w:color w:val="auto"/>
              </w:rPr>
              <w:t>3</w:t>
            </w:r>
          </w:p>
        </w:tc>
        <w:tc>
          <w:tcPr>
            <w:tcW w:w="2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South Africa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Burnaby, B.C.</w:t>
            </w:r>
          </w:p>
        </w:tc>
        <w:tc>
          <w:tcPr>
            <w:tcW w:w="2280" w:type="dxa"/>
            <w:vAlign w:val="bottom"/>
          </w:tcPr>
          <w:p>
            <w:pPr>
              <w:ind w:left="80"/>
              <w:spacing w:after="0"/>
              <w:rPr>
                <w:sz w:val="20"/>
                <w:szCs w:val="20"/>
                <w:color w:val="auto"/>
              </w:rPr>
            </w:pPr>
            <w:r>
              <w:rPr>
                <w:rFonts w:ascii="Arial" w:cs="Arial" w:eastAsia="Arial" w:hAnsi="Arial"/>
                <w:sz w:val="13"/>
                <w:szCs w:val="13"/>
                <w:color w:val="auto"/>
              </w:rPr>
              <w:t>Canada</w:t>
            </w:r>
          </w:p>
        </w:tc>
        <w:tc>
          <w:tcPr>
            <w:tcW w:w="5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7"/>
              </w:rPr>
              <w:t xml:space="preserve">Total Consolidated Companies </w:t>
            </w:r>
            <w:r>
              <w:rPr>
                <w:rFonts w:ascii="Arial" w:cs="Arial" w:eastAsia="Arial" w:hAnsi="Arial"/>
                <w:sz w:val="13"/>
                <w:szCs w:val="13"/>
                <w:color w:val="auto"/>
                <w:w w:val="97"/>
              </w:rPr>
              <w:t>—</w:t>
            </w:r>
            <w:r>
              <w:rPr>
                <w:rFonts w:ascii="Arial" w:cs="Arial" w:eastAsia="Arial" w:hAnsi="Arial"/>
                <w:sz w:val="13"/>
                <w:szCs w:val="13"/>
                <w:b w:val="1"/>
                <w:bCs w:val="1"/>
                <w:color w:val="auto"/>
                <w:w w:val="97"/>
              </w:rPr>
              <w:t xml:space="preserve"> International</w:t>
            </w:r>
          </w:p>
        </w:tc>
        <w:tc>
          <w:tcPr>
            <w:tcW w:w="2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Affiliates</w:t>
            </w:r>
            <w:r>
              <w:rPr>
                <w:rFonts w:ascii="Arial" w:cs="Arial" w:eastAsia="Arial" w:hAnsi="Arial"/>
                <w:sz w:val="10"/>
                <w:szCs w:val="10"/>
                <w:color w:val="auto"/>
              </w:rPr>
              <w:t>4</w:t>
            </w:r>
          </w:p>
        </w:tc>
        <w:tc>
          <w:tcPr>
            <w:tcW w:w="2280" w:type="dxa"/>
            <w:vAlign w:val="bottom"/>
          </w:tcPr>
          <w:p>
            <w:pPr>
              <w:ind w:left="80"/>
              <w:spacing w:after="0"/>
              <w:rPr>
                <w:sz w:val="20"/>
                <w:szCs w:val="20"/>
                <w:color w:val="auto"/>
              </w:rPr>
            </w:pPr>
            <w:r>
              <w:rPr>
                <w:rFonts w:ascii="Arial" w:cs="Arial" w:eastAsia="Arial" w:hAnsi="Arial"/>
                <w:sz w:val="13"/>
                <w:szCs w:val="13"/>
                <w:color w:val="auto"/>
              </w:rPr>
              <w:t>Various Locations</w:t>
            </w:r>
          </w:p>
        </w:tc>
        <w:tc>
          <w:tcPr>
            <w:tcW w:w="5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767</w:t>
            </w:r>
          </w:p>
        </w:tc>
        <w:tc>
          <w:tcPr>
            <w:tcW w:w="4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691</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 xml:space="preserve">Total Including Affiliates </w:t>
            </w:r>
            <w:r>
              <w:rPr>
                <w:rFonts w:ascii="Arial" w:cs="Arial" w:eastAsia="Arial" w:hAnsi="Arial"/>
                <w:sz w:val="13"/>
                <w:szCs w:val="13"/>
                <w:color w:val="auto"/>
              </w:rPr>
              <w:t>—</w:t>
            </w:r>
            <w:r>
              <w:rPr>
                <w:rFonts w:ascii="Arial" w:cs="Arial" w:eastAsia="Arial" w:hAnsi="Arial"/>
                <w:sz w:val="13"/>
                <w:szCs w:val="13"/>
                <w:b w:val="1"/>
                <w:bCs w:val="1"/>
                <w:color w:val="auto"/>
              </w:rPr>
              <w:t xml:space="preserve"> International</w:t>
            </w:r>
          </w:p>
        </w:tc>
        <w:tc>
          <w:tcPr>
            <w:tcW w:w="2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932</w:t>
            </w:r>
          </w:p>
        </w:tc>
        <w:tc>
          <w:tcPr>
            <w:tcW w:w="4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933</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4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Borders>
              <w:lef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 xml:space="preserve">Total Including Affiliates </w:t>
            </w:r>
            <w:r>
              <w:rPr>
                <w:rFonts w:ascii="Arial" w:cs="Arial" w:eastAsia="Arial" w:hAnsi="Arial"/>
                <w:sz w:val="13"/>
                <w:szCs w:val="13"/>
                <w:color w:val="auto"/>
              </w:rPr>
              <w:t>—</w:t>
            </w:r>
            <w:r>
              <w:rPr>
                <w:rFonts w:ascii="Arial" w:cs="Arial" w:eastAsia="Arial" w:hAnsi="Arial"/>
                <w:sz w:val="13"/>
                <w:szCs w:val="13"/>
                <w:b w:val="1"/>
                <w:bCs w:val="1"/>
                <w:color w:val="auto"/>
              </w:rPr>
              <w:t xml:space="preserve"> Worldwide</w:t>
            </w:r>
          </w:p>
        </w:tc>
        <w:tc>
          <w:tcPr>
            <w:tcW w:w="2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15</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1,967</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1,787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1,894</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1,878</w:t>
            </w: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80" w:hanging="156"/>
        <w:spacing w:after="0"/>
        <w:tabs>
          <w:tab w:leader="none" w:pos="8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Perth Amboy has been idled since early 2008 and is operated as a terminal.</w:t>
      </w:r>
    </w:p>
    <w:p>
      <w:pPr>
        <w:spacing w:after="0" w:line="7" w:lineRule="exact"/>
        <w:rPr>
          <w:rFonts w:ascii="Arial" w:cs="Arial" w:eastAsia="Arial" w:hAnsi="Arial"/>
          <w:sz w:val="20"/>
          <w:szCs w:val="20"/>
          <w:color w:val="auto"/>
          <w:vertAlign w:val="superscript"/>
        </w:rPr>
      </w:pPr>
    </w:p>
    <w:p>
      <w:pPr>
        <w:ind w:left="720"/>
        <w:spacing w:after="0" w:line="188" w:lineRule="auto"/>
        <w:rPr>
          <w:rFonts w:ascii="Arial" w:cs="Arial" w:eastAsia="Arial" w:hAnsi="Arial"/>
          <w:sz w:val="20"/>
          <w:szCs w:val="20"/>
          <w:color w:val="auto"/>
          <w:vertAlign w:val="superscript"/>
        </w:rPr>
      </w:pPr>
      <w:r>
        <w:rPr>
          <w:rFonts w:ascii="Arial" w:cs="Arial" w:eastAsia="Arial" w:hAnsi="Arial"/>
          <w:sz w:val="16"/>
          <w:szCs w:val="16"/>
          <w:color w:val="auto"/>
          <w:vertAlign w:val="superscript"/>
        </w:rPr>
        <w:t>2</w:t>
      </w:r>
      <w:r>
        <w:rPr>
          <w:rFonts w:ascii="Arial" w:cs="Arial" w:eastAsia="Arial" w:hAnsi="Arial"/>
          <w:sz w:val="10"/>
          <w:szCs w:val="10"/>
          <w:color w:val="auto"/>
        </w:rPr>
        <w:t xml:space="preserve">  Pembroke was sold in August 2011.</w:t>
      </w:r>
    </w:p>
    <w:p>
      <w:pPr>
        <w:ind w:left="880" w:right="660" w:hanging="155"/>
        <w:spacing w:after="0" w:line="189"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Chevron holds 100 percent of the common stock issued by Chevron South Africa (Pty) Limited, which owns the Cape Town Refinery. A consortium of South African partners owns preferred shares ultimately convertible to a 25 percent equity interest in Chevron South Africa (Pty) Limited. None of the preferred shares had been converted as of February 2012.</w:t>
      </w:r>
    </w:p>
    <w:p>
      <w:pPr>
        <w:ind w:left="720"/>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4</w:t>
      </w:r>
      <w:r>
        <w:rPr>
          <w:rFonts w:ascii="Arial" w:cs="Arial" w:eastAsia="Arial" w:hAnsi="Arial"/>
          <w:sz w:val="12"/>
          <w:szCs w:val="12"/>
          <w:color w:val="auto"/>
        </w:rPr>
        <w:t xml:space="preserve">  Includes 1,000, 2,000 and 4,000 barrels per day of refinery inputs in 2011, 2010 and 2009, respectively, for interests in refineries that were sold during those periods.</w:t>
      </w:r>
    </w:p>
    <w:p>
      <w:pPr>
        <w:spacing w:after="0" w:line="18" w:lineRule="exact"/>
        <w:rPr>
          <w:sz w:val="20"/>
          <w:szCs w:val="20"/>
          <w:color w:val="auto"/>
        </w:rPr>
      </w:pPr>
    </w:p>
    <w:p>
      <w:pPr>
        <w:jc w:val="both"/>
        <w:ind w:left="460" w:right="360"/>
        <w:spacing w:after="0" w:line="248" w:lineRule="auto"/>
        <w:rPr>
          <w:sz w:val="20"/>
          <w:szCs w:val="20"/>
          <w:color w:val="auto"/>
        </w:rPr>
      </w:pPr>
      <w:r>
        <w:rPr>
          <w:rFonts w:ascii="Arial" w:cs="Arial" w:eastAsia="Arial" w:hAnsi="Arial"/>
          <w:sz w:val="13"/>
          <w:szCs w:val="13"/>
          <w:color w:val="auto"/>
        </w:rPr>
        <w:t>Average crude oil distillation capacity utilization during 2011 was 89 percent, compared with 92 percent in 2010. At the U.S. fuel refineries, crude oil distillation capacity utilization averaged 89 percent in 2011, compared with 95 percent in 2010. Chevron processes both imported and domestic crude oil in its U.S. refining operations. Imported crude oil accounted for about 85 percent and 84 percent of Chevron’s U.S. refinery inputs in 2011 and 2010, respectively.</w:t>
      </w:r>
    </w:p>
    <w:p>
      <w:pPr>
        <w:spacing w:after="0" w:line="74" w:lineRule="exact"/>
        <w:rPr>
          <w:sz w:val="20"/>
          <w:szCs w:val="20"/>
          <w:color w:val="auto"/>
        </w:rPr>
      </w:pPr>
    </w:p>
    <w:p>
      <w:pPr>
        <w:ind w:left="460" w:right="260"/>
        <w:spacing w:after="0" w:line="256" w:lineRule="auto"/>
        <w:rPr>
          <w:sz w:val="20"/>
          <w:szCs w:val="20"/>
          <w:color w:val="auto"/>
        </w:rPr>
      </w:pPr>
      <w:r>
        <w:rPr>
          <w:rFonts w:ascii="Arial" w:cs="Arial" w:eastAsia="Arial" w:hAnsi="Arial"/>
          <w:sz w:val="13"/>
          <w:szCs w:val="13"/>
          <w:color w:val="auto"/>
        </w:rPr>
        <w:t>At the Pascagoula Refinery, construction progressed on a facility to produce approximately 25,000 barrels per day of premium base oil for use in manufacturing high-performance finished lubricants, such as motor oils for consumer and commercial applications. Project completion is expected by year-end 2013. In February 2012, the company signed an agreement to sell its idled 80,000-barrel-per-day refinery, which is operating as a terminal, at Perth Amboy. The sale is expected to close in second quarter 2012.</w:t>
      </w:r>
    </w:p>
    <w:p>
      <w:pPr>
        <w:spacing w:after="0" w:line="69" w:lineRule="exact"/>
        <w:rPr>
          <w:sz w:val="20"/>
          <w:szCs w:val="20"/>
          <w:color w:val="auto"/>
        </w:rPr>
      </w:pPr>
    </w:p>
    <w:p>
      <w:pPr>
        <w:ind w:left="460" w:right="340"/>
        <w:spacing w:after="0" w:line="250" w:lineRule="auto"/>
        <w:rPr>
          <w:sz w:val="20"/>
          <w:szCs w:val="20"/>
          <w:color w:val="auto"/>
        </w:rPr>
      </w:pPr>
      <w:r>
        <w:rPr>
          <w:rFonts w:ascii="Arial" w:cs="Arial" w:eastAsia="Arial" w:hAnsi="Arial"/>
          <w:sz w:val="13"/>
          <w:szCs w:val="13"/>
          <w:color w:val="auto"/>
        </w:rPr>
        <w:t>At the refinery in El Segundo, construction progressed on a new processing unit designed to further improve the facility’s overall reliability, enhance high-value product yield and provide additional flexibility to process a broad range of crude slates. Project completion is expected in third quarter 2012. At the Richmond Refinery, the company filed an application for a conditional use permit for a revised project and the City of Richmond published its Notice of Preparation of the revised Environmental Impact Report in second quarter 2011. The project is designed to improve the refinery’s ability to process higher sulfur crudes, without changing the refinery’s capacity to process crude blends in the intermediate-light gravity range. Improved ability to process higher sulfur crudes is expected to provide increased flexibility to process lower API-gravity crudes within the refinery’s existing capacity range. Refer also to a discussion of contingencies related to this project in Note 24 to the Consolidated Financial Statements on page FS-57.</w:t>
      </w: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140"/>
          </w:cols>
          <w:pgMar w:left="220" w:top="339" w:right="5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80"/>
        <w:spacing w:after="0" w:line="314" w:lineRule="auto"/>
        <w:rPr>
          <w:sz w:val="20"/>
          <w:szCs w:val="20"/>
          <w:color w:val="auto"/>
        </w:rPr>
      </w:pPr>
      <w:r>
        <w:rPr>
          <w:rFonts w:ascii="Arial" w:cs="Arial" w:eastAsia="Arial" w:hAnsi="Arial"/>
          <w:sz w:val="11"/>
          <w:szCs w:val="11"/>
          <w:color w:val="auto"/>
        </w:rPr>
        <w:t>Outside the United States, GS Caltex, the company’s 50 percent-owned affiliate, progressed the construction of a 53,000-barrel-per-day gas oil fluid catalytic cracking unit at the Yeosu Refinery in South Korea. The unit is scheduled for start-up in 2013. The unit is designed to increase high-value product yield and lower feedstock costs. Construction continued on modifications to the 64 percent-owned Star Petroleum Refinery in Thailand to meet regional specifications for cleaner fuels. Project completion is scheduled for 2012. During August 2011, the company completed the sale of the Pembroke Refinery in the United Kingdom. Also in 2011, Caltex Australia Ltd., the company’s 50 percent-owned affiliate, initiated a review of its refining operations in Australia, which is ongoing.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Marketing Operations</w:t>
      </w:r>
    </w:p>
    <w:p>
      <w:pPr>
        <w:spacing w:after="0" w:line="95"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The company markets petroleum products under the principal brands of “Chevron,” “Texaco” and “Caltex” throughout many parts of the world. The table below identifies the company’s and affiliates’ refined products sales volumes, excluding intercompany sales, for the three years ended December 31, 2011.</w:t>
      </w:r>
    </w:p>
    <w:p>
      <w:pPr>
        <w:spacing w:after="0" w:line="5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Refined Products Sales Volumes</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(Thousands of Barrels per Day)</w:t>
      </w:r>
    </w:p>
    <w:p>
      <w:pPr>
        <w:spacing w:after="0" w:line="138" w:lineRule="exact"/>
        <w:rPr>
          <w:sz w:val="20"/>
          <w:szCs w:val="20"/>
          <w:color w:val="auto"/>
        </w:rPr>
      </w:pPr>
    </w:p>
    <w:tbl>
      <w:tblPr>
        <w:tblLayout w:type="fixed"/>
        <w:tblInd w:w="470" w:type="dxa"/>
        <w:tblCellMar>
          <w:top w:w="0" w:type="dxa"/>
          <w:left w:w="0" w:type="dxa"/>
          <w:bottom w:w="0" w:type="dxa"/>
          <w:right w:w="0" w:type="dxa"/>
        </w:tblCellMar>
      </w:tblPr>
      <w:tr>
        <w:trPr>
          <w:trHeight w:val="115"/>
        </w:trPr>
        <w:tc>
          <w:tcPr>
            <w:tcW w:w="6900" w:type="dxa"/>
            <w:vAlign w:val="bottom"/>
            <w:tcBorders>
              <w:top w:val="single" w:sz="8" w:color="auto"/>
              <w:left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2011</w:t>
            </w:r>
          </w:p>
        </w:tc>
        <w:tc>
          <w:tcPr>
            <w:tcW w:w="64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2010</w:t>
            </w:r>
          </w:p>
        </w:tc>
        <w:tc>
          <w:tcPr>
            <w:tcW w:w="62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900" w:type="dxa"/>
            <w:vAlign w:val="bottom"/>
            <w:tcBorders>
              <w:left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United States</w:t>
            </w: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Gasoline</w:t>
            </w: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649</w:t>
            </w: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700</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Jet Fuel</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b w:val="1"/>
                <w:bCs w:val="1"/>
                <w:color w:val="auto"/>
              </w:rPr>
              <w:t>209</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223</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Gas Oil and Kerosene</w:t>
            </w: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213</w:t>
            </w: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232</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Residual Fuel Oil</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b w:val="1"/>
                <w:bCs w:val="1"/>
                <w:color w:val="auto"/>
              </w:rPr>
              <w:t>87</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99</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Other Petroleum Products</w:t>
            </w:r>
            <w:r>
              <w:rPr>
                <w:rFonts w:ascii="Arial" w:cs="Arial" w:eastAsia="Arial" w:hAnsi="Arial"/>
                <w:sz w:val="10"/>
                <w:szCs w:val="10"/>
                <w:color w:val="auto"/>
              </w:rPr>
              <w:t>1</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99</w:t>
            </w:r>
          </w:p>
        </w:tc>
        <w:tc>
          <w:tcPr>
            <w:tcW w:w="64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95</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690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Total United States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1,257</w:t>
            </w:r>
          </w:p>
        </w:tc>
        <w:tc>
          <w:tcPr>
            <w:tcW w:w="6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1,349</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w:t>
            </w:r>
          </w:p>
        </w:tc>
        <w:tc>
          <w:tcPr>
            <w:tcW w:w="0" w:type="dxa"/>
            <w:vAlign w:val="bottom"/>
          </w:tcPr>
          <w:p>
            <w:pPr>
              <w:spacing w:after="0"/>
              <w:rPr>
                <w:sz w:val="1"/>
                <w:szCs w:val="1"/>
                <w:color w:val="auto"/>
              </w:rPr>
            </w:pPr>
          </w:p>
        </w:tc>
      </w:tr>
      <w:tr>
        <w:trPr>
          <w:trHeight w:val="153"/>
        </w:trPr>
        <w:tc>
          <w:tcPr>
            <w:tcW w:w="690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International</w:t>
            </w:r>
            <w:r>
              <w:rPr>
                <w:rFonts w:ascii="Arial" w:cs="Arial" w:eastAsia="Arial" w:hAnsi="Arial"/>
                <w:sz w:val="10"/>
                <w:szCs w:val="10"/>
                <w:color w:val="auto"/>
              </w:rPr>
              <w:t>2</w:t>
            </w:r>
          </w:p>
        </w:tc>
        <w:tc>
          <w:tcPr>
            <w:tcW w:w="74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Gasoline</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b w:val="1"/>
                <w:bCs w:val="1"/>
                <w:color w:val="auto"/>
              </w:rPr>
              <w:t>447</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521</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Jet Fuel</w:t>
            </w: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269</w:t>
            </w: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271</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Gas Oil and Kerosene</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b w:val="1"/>
                <w:bCs w:val="1"/>
                <w:color w:val="auto"/>
              </w:rPr>
              <w:t>543</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583</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Residual Fuel Oil</w:t>
            </w: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233</w:t>
            </w: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197</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54"/>
        </w:trPr>
        <w:tc>
          <w:tcPr>
            <w:tcW w:w="690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Other Petroleum Products</w:t>
            </w:r>
            <w:r>
              <w:rPr>
                <w:rFonts w:ascii="Arial" w:cs="Arial" w:eastAsia="Arial" w:hAnsi="Arial"/>
                <w:sz w:val="10"/>
                <w:szCs w:val="10"/>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200</w:t>
            </w:r>
          </w:p>
        </w:tc>
        <w:tc>
          <w:tcPr>
            <w:tcW w:w="6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192</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20"/>
        </w:trPr>
        <w:tc>
          <w:tcPr>
            <w:tcW w:w="6900" w:type="dxa"/>
            <w:vAlign w:val="bottom"/>
            <w:tcBorders>
              <w:lef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Total International</w:t>
            </w:r>
          </w:p>
        </w:tc>
        <w:tc>
          <w:tcPr>
            <w:tcW w:w="7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900" w:type="dxa"/>
            <w:vAlign w:val="bottom"/>
            <w:tcBorders>
              <w:left w:val="single" w:sz="8" w:color="auto"/>
            </w:tcBorders>
            <w:vMerge w:val="continue"/>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1,692</w:t>
            </w:r>
          </w:p>
        </w:tc>
        <w:tc>
          <w:tcPr>
            <w:tcW w:w="640" w:type="dxa"/>
            <w:vAlign w:val="bottom"/>
            <w:vMerge w:val="continue"/>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rPr>
              <w:t>1,764</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1,851</w:t>
            </w:r>
          </w:p>
        </w:tc>
        <w:tc>
          <w:tcPr>
            <w:tcW w:w="0" w:type="dxa"/>
            <w:vAlign w:val="bottom"/>
          </w:tcPr>
          <w:p>
            <w:pPr>
              <w:spacing w:after="0"/>
              <w:rPr>
                <w:sz w:val="1"/>
                <w:szCs w:val="1"/>
                <w:color w:val="auto"/>
              </w:rPr>
            </w:pPr>
          </w:p>
        </w:tc>
      </w:tr>
      <w:tr>
        <w:trPr>
          <w:trHeight w:val="20"/>
        </w:trPr>
        <w:tc>
          <w:tcPr>
            <w:tcW w:w="690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Worldwide</w:t>
            </w:r>
            <w:r>
              <w:rPr>
                <w:rFonts w:ascii="Arial" w:cs="Arial" w:eastAsia="Arial" w:hAnsi="Arial"/>
                <w:sz w:val="10"/>
                <w:szCs w:val="10"/>
                <w:b w:val="1"/>
                <w:bCs w:val="1"/>
                <w:color w:val="auto"/>
              </w:rPr>
              <w:t>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2,949</w:t>
            </w:r>
          </w:p>
        </w:tc>
        <w:tc>
          <w:tcPr>
            <w:tcW w:w="6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3,113</w:t>
            </w:r>
          </w:p>
        </w:tc>
        <w:tc>
          <w:tcPr>
            <w:tcW w:w="82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60" w:hanging="74"/>
        <w:spacing w:after="0"/>
        <w:tabs>
          <w:tab w:leader="none" w:pos="660" w:val="left"/>
        </w:tabs>
        <w:numPr>
          <w:ilvl w:val="0"/>
          <w:numId w:val="15"/>
        </w:numPr>
        <w:rPr>
          <w:rFonts w:ascii="Arial" w:cs="Arial" w:eastAsia="Arial" w:hAnsi="Arial"/>
          <w:sz w:val="9"/>
          <w:szCs w:val="9"/>
          <w:color w:val="auto"/>
        </w:rPr>
      </w:pPr>
      <w:r>
        <w:rPr>
          <w:rFonts w:ascii="Arial" w:cs="Arial" w:eastAsia="Arial" w:hAnsi="Arial"/>
          <w:sz w:val="10"/>
          <w:szCs w:val="10"/>
          <w:color w:val="auto"/>
        </w:rPr>
        <w:t>Principally naphtha, lubricants, asphalt and coke.</w:t>
      </w:r>
    </w:p>
    <w:p>
      <w:pPr>
        <w:spacing w:after="0" w:line="37" w:lineRule="exact"/>
        <w:rPr>
          <w:sz w:val="20"/>
          <w:szCs w:val="20"/>
          <w:color w:val="auto"/>
        </w:rPr>
      </w:pPr>
    </w:p>
    <w:tbl>
      <w:tblPr>
        <w:tblLayout w:type="fixed"/>
        <w:tblInd w:w="580" w:type="dxa"/>
        <w:tblCellMar>
          <w:top w:w="0" w:type="dxa"/>
          <w:left w:w="0" w:type="dxa"/>
          <w:bottom w:w="0" w:type="dxa"/>
          <w:right w:w="0" w:type="dxa"/>
        </w:tblCellMar>
      </w:tblPr>
      <w:tr>
        <w:trPr>
          <w:trHeight w:val="131"/>
        </w:trPr>
        <w:tc>
          <w:tcPr>
            <w:tcW w:w="454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0"/>
                <w:szCs w:val="10"/>
                <w:color w:val="auto"/>
              </w:rPr>
              <w:t>Includes share of equity affiliates’ sales:</w:t>
            </w:r>
          </w:p>
        </w:tc>
        <w:tc>
          <w:tcPr>
            <w:tcW w:w="3580" w:type="dxa"/>
            <w:vAlign w:val="bottom"/>
          </w:tcPr>
          <w:p>
            <w:pPr>
              <w:jc w:val="right"/>
              <w:ind w:right="549"/>
              <w:spacing w:after="0"/>
              <w:rPr>
                <w:sz w:val="20"/>
                <w:szCs w:val="20"/>
                <w:color w:val="auto"/>
              </w:rPr>
            </w:pPr>
            <w:r>
              <w:rPr>
                <w:rFonts w:ascii="Arial" w:cs="Arial" w:eastAsia="Arial" w:hAnsi="Arial"/>
                <w:sz w:val="10"/>
                <w:szCs w:val="10"/>
                <w:b w:val="1"/>
                <w:bCs w:val="1"/>
                <w:color w:val="auto"/>
              </w:rPr>
              <w:t>556</w:t>
            </w:r>
          </w:p>
        </w:tc>
        <w:tc>
          <w:tcPr>
            <w:tcW w:w="1360" w:type="dxa"/>
            <w:vAlign w:val="bottom"/>
          </w:tcPr>
          <w:p>
            <w:pPr>
              <w:jc w:val="right"/>
              <w:ind w:right="549"/>
              <w:spacing w:after="0"/>
              <w:rPr>
                <w:sz w:val="20"/>
                <w:szCs w:val="20"/>
                <w:color w:val="auto"/>
              </w:rPr>
            </w:pPr>
            <w:r>
              <w:rPr>
                <w:rFonts w:ascii="Arial" w:cs="Arial" w:eastAsia="Arial" w:hAnsi="Arial"/>
                <w:sz w:val="10"/>
                <w:szCs w:val="10"/>
                <w:color w:val="auto"/>
              </w:rPr>
              <w:t>562</w:t>
            </w:r>
          </w:p>
        </w:tc>
        <w:tc>
          <w:tcPr>
            <w:tcW w:w="740" w:type="dxa"/>
            <w:vAlign w:val="bottom"/>
          </w:tcPr>
          <w:p>
            <w:pPr>
              <w:jc w:val="right"/>
              <w:spacing w:after="0"/>
              <w:rPr>
                <w:sz w:val="20"/>
                <w:szCs w:val="20"/>
                <w:color w:val="auto"/>
              </w:rPr>
            </w:pPr>
            <w:r>
              <w:rPr>
                <w:rFonts w:ascii="Arial" w:cs="Arial" w:eastAsia="Arial" w:hAnsi="Arial"/>
                <w:sz w:val="10"/>
                <w:szCs w:val="10"/>
                <w:color w:val="auto"/>
              </w:rPr>
              <w:t>516</w:t>
            </w:r>
          </w:p>
        </w:tc>
      </w:tr>
    </w:tbl>
    <w:p>
      <w:pPr>
        <w:spacing w:after="0" w:line="67" w:lineRule="exact"/>
        <w:rPr>
          <w:sz w:val="20"/>
          <w:szCs w:val="20"/>
          <w:color w:val="auto"/>
        </w:rPr>
      </w:pPr>
    </w:p>
    <w:p>
      <w:pPr>
        <w:ind w:left="460" w:right="140"/>
        <w:spacing w:after="0" w:line="309" w:lineRule="auto"/>
        <w:rPr>
          <w:sz w:val="20"/>
          <w:szCs w:val="20"/>
          <w:color w:val="auto"/>
        </w:rPr>
      </w:pPr>
      <w:r>
        <w:rPr>
          <w:rFonts w:ascii="Arial" w:cs="Arial" w:eastAsia="Arial" w:hAnsi="Arial"/>
          <w:sz w:val="12"/>
          <w:szCs w:val="12"/>
          <w:color w:val="auto"/>
        </w:rPr>
        <w:t>In the United States, the company markets under the Chevron and Texaco brands. At year-end 2011, the company supplied directly or through retailers and marketers approximately 8,170 Chevron- and Texaco-branded motor vehicle service stations, primarily in the southern and western states. Approximately 490 of these outlets are company-owned or -leased stations.</w:t>
      </w:r>
    </w:p>
    <w:p>
      <w:pPr>
        <w:spacing w:after="0" w:line="39" w:lineRule="exact"/>
        <w:rPr>
          <w:sz w:val="20"/>
          <w:szCs w:val="20"/>
          <w:color w:val="auto"/>
        </w:rPr>
      </w:pPr>
    </w:p>
    <w:p>
      <w:pPr>
        <w:ind w:left="460" w:right="160"/>
        <w:spacing w:after="0" w:line="253" w:lineRule="auto"/>
        <w:rPr>
          <w:sz w:val="20"/>
          <w:szCs w:val="20"/>
          <w:color w:val="auto"/>
        </w:rPr>
      </w:pPr>
      <w:r>
        <w:rPr>
          <w:rFonts w:ascii="Arial" w:cs="Arial" w:eastAsia="Arial" w:hAnsi="Arial"/>
          <w:sz w:val="13"/>
          <w:szCs w:val="13"/>
          <w:color w:val="auto"/>
        </w:rPr>
        <w:t>Outside the United States, Chevron supplied directly or through retailers and marketers approximately 9,660 branded service stations, including affiliates. In British Columbia, Canada, the company markets under the Chevron brand. The company markets in Latin America and the Caribbean using the Texaco brand. In the Asia-Pacific region, southern Africa, Egypt and Pakistan, the company uses the Caltex brand. The company also operates through affiliates under various brand names. In South Korea, the company operates through its 50 percent-owned affiliate, GS Caltex, and in Australia through its 50 percent-owned affiliate, Caltex Australia Limited.</w:t>
      </w:r>
    </w:p>
    <w:p>
      <w:pPr>
        <w:spacing w:after="0" w:line="71" w:lineRule="exact"/>
        <w:rPr>
          <w:sz w:val="20"/>
          <w:szCs w:val="20"/>
          <w:color w:val="auto"/>
        </w:rPr>
      </w:pPr>
    </w:p>
    <w:p>
      <w:pPr>
        <w:ind w:left="460" w:right="20"/>
        <w:spacing w:after="0" w:line="251" w:lineRule="auto"/>
        <w:rPr>
          <w:sz w:val="20"/>
          <w:szCs w:val="20"/>
          <w:color w:val="auto"/>
        </w:rPr>
      </w:pPr>
      <w:r>
        <w:rPr>
          <w:rFonts w:ascii="Arial" w:cs="Arial" w:eastAsia="Arial" w:hAnsi="Arial"/>
          <w:sz w:val="13"/>
          <w:szCs w:val="13"/>
          <w:color w:val="auto"/>
        </w:rPr>
        <w:t>The company continued its ongoing effort to concentrate downstream resources and capital on strategic assets. In 2011, the company completed the sale of its fuels marketing and aviation businesses in 16 countries in the Caribbean and Latin America and certain marketing businesses in five countries in Africa. In August 2011, the company also completed the sale of its marketing businesses in Ireland and the United Kingdom. In 2012, the company expects to complete the sale of its fuels marketing, finished lubricants and aviation fuels businesses in Spain as well as certain fuels marketing and aviation businesses in the central Caribbean, following receipt of required local regulatory and government approvals. In addition, the company converted more than 240 company-operated service stations into retailer-owned sites in various countries outside the United States.</w:t>
      </w:r>
    </w:p>
    <w:p>
      <w:pPr>
        <w:spacing w:after="0" w:line="266"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Chevron markets commercial aviation fuel at approximately 170 airports worldwide. The company also markets an extensive line of lubricant and coolant products under the brand names Havoline, Delo, Ursa, Meropa and Taro.</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Chemicals Operations</w:t>
      </w:r>
    </w:p>
    <w:p>
      <w:pPr>
        <w:spacing w:after="0" w:line="95"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Chevron owns a 50 percent interest in its Chevron Phillips Chemical Company LLC (CPChem) affiliate. At the end of 2011, CPChem owned or had joint-venture interests in 38 manufacturing facilities and four research and technical centers around the world.</w:t>
      </w:r>
    </w:p>
    <w:p>
      <w:pPr>
        <w:spacing w:after="0" w:line="61" w:lineRule="exact"/>
        <w:rPr>
          <w:sz w:val="20"/>
          <w:szCs w:val="20"/>
          <w:color w:val="auto"/>
        </w:rPr>
      </w:pPr>
    </w:p>
    <w:p>
      <w:pPr>
        <w:ind w:left="460" w:right="400"/>
        <w:spacing w:after="0" w:line="267" w:lineRule="auto"/>
        <w:rPr>
          <w:sz w:val="20"/>
          <w:szCs w:val="20"/>
          <w:color w:val="auto"/>
        </w:rPr>
      </w:pPr>
      <w:r>
        <w:rPr>
          <w:rFonts w:ascii="Arial" w:cs="Arial" w:eastAsia="Arial" w:hAnsi="Arial"/>
          <w:sz w:val="13"/>
          <w:szCs w:val="13"/>
          <w:color w:val="auto"/>
        </w:rPr>
        <w:t>CPChem’s 35 percent-owned Saudi Polymers Company expects to commence commercial operations on a new petrochemical project in Al Jubail, Saudi Arabia, in 2012. The joint-venture project includes olefins, polyethylene, polypropylene, 1-hexene and polystyrene units.</w:t>
      </w:r>
    </w:p>
    <w:p>
      <w:pPr>
        <w:spacing w:after="0" w:line="61" w:lineRule="exact"/>
        <w:rPr>
          <w:sz w:val="20"/>
          <w:szCs w:val="20"/>
          <w:color w:val="auto"/>
        </w:rPr>
      </w:pPr>
    </w:p>
    <w:p>
      <w:pPr>
        <w:ind w:left="460" w:right="80"/>
        <w:spacing w:after="0" w:line="325" w:lineRule="auto"/>
        <w:rPr>
          <w:sz w:val="20"/>
          <w:szCs w:val="20"/>
          <w:color w:val="auto"/>
        </w:rPr>
      </w:pPr>
      <w:r>
        <w:rPr>
          <w:rFonts w:ascii="Arial" w:cs="Arial" w:eastAsia="Arial" w:hAnsi="Arial"/>
          <w:sz w:val="11"/>
          <w:szCs w:val="11"/>
          <w:color w:val="auto"/>
        </w:rPr>
        <w:t>In the United States, CPChem continued with plans to construct a 1-hexene plant at the company’s Cedar Bayou complex in Baytown, Texas, capable of producing in excess of 200,000 tons per year. Start-up is expected in 2014. The plant is expected to be the largest 1-hexene unit in the world and will utilize CPChem’s proprietary 1-hexene technology. CPChem is also conducting a feasibility study to evaluate a potential U.S. Gulf Coast ethylene cracker and derivatives complex to capitalize on advantaged feedstock sourced from emerging shale gas development in North America.</w:t>
      </w:r>
    </w:p>
    <w:p>
      <w:pPr>
        <w:spacing w:after="0" w:line="34" w:lineRule="exact"/>
        <w:rPr>
          <w:sz w:val="20"/>
          <w:szCs w:val="20"/>
          <w:color w:val="auto"/>
        </w:rPr>
      </w:pPr>
    </w:p>
    <w:p>
      <w:pPr>
        <w:ind w:left="460"/>
        <w:spacing w:after="0" w:line="314" w:lineRule="auto"/>
        <w:rPr>
          <w:sz w:val="20"/>
          <w:szCs w:val="20"/>
          <w:color w:val="auto"/>
        </w:rPr>
      </w:pPr>
      <w:r>
        <w:rPr>
          <w:rFonts w:ascii="Arial" w:cs="Arial" w:eastAsia="Arial" w:hAnsi="Arial"/>
          <w:sz w:val="11"/>
          <w:szCs w:val="11"/>
          <w:color w:val="auto"/>
        </w:rPr>
        <w:t>Chevron’s Oronite brand lubricant and fuel additives business is a leading developer, manufacturer and marketer of performance additives for lubricating oils and fuels. The company owns and operates facilities in Brazil, France, Japan, the Netherlands, Singapore and the United States and has equity interests in facilities in India and Mexico. Oronite lubricant additives are blended into refined base oil to produce finished lubricant packages used primarily in engine applications such as passenger car, heavy-duty diesel, marine, locomotive and motorcycle engines, and additives for fuels that are blended to improve engine performance and extend engine life. In February 2012, the company reached a final investment decision to significantly increase the capacity of the existing additives plant in Singapore.</w:t>
      </w:r>
    </w:p>
    <w:p>
      <w:pPr>
        <w:spacing w:after="0" w:line="189"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Transportation</w:t>
      </w:r>
    </w:p>
    <w:p>
      <w:pPr>
        <w:spacing w:after="0" w:line="91" w:lineRule="exact"/>
        <w:rPr>
          <w:sz w:val="20"/>
          <w:szCs w:val="20"/>
          <w:color w:val="auto"/>
        </w:rPr>
      </w:pPr>
    </w:p>
    <w:p>
      <w:pPr>
        <w:ind w:left="460" w:right="180"/>
        <w:spacing w:after="0" w:line="316" w:lineRule="auto"/>
        <w:rPr>
          <w:sz w:val="20"/>
          <w:szCs w:val="20"/>
          <w:color w:val="auto"/>
        </w:rPr>
      </w:pPr>
      <w:r>
        <w:rPr>
          <w:rFonts w:ascii="Arial" w:cs="Arial" w:eastAsia="Arial" w:hAnsi="Arial"/>
          <w:sz w:val="12"/>
          <w:szCs w:val="12"/>
          <w:b w:val="1"/>
          <w:bCs w:val="1"/>
          <w:color w:val="auto"/>
        </w:rPr>
        <w:t xml:space="preserve">Pipelines: </w:t>
      </w:r>
      <w:r>
        <w:rPr>
          <w:rFonts w:ascii="Arial" w:cs="Arial" w:eastAsia="Arial" w:hAnsi="Arial"/>
          <w:sz w:val="12"/>
          <w:szCs w:val="12"/>
          <w:color w:val="auto"/>
        </w:rPr>
        <w:t>Chevron owns and operates an extensive network of crude oil, refined product, chemical, natural gas liquid and natural gas pipelines and other infrastructure assets in the United States.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also has direct and indirect interests in other U.S. and international pipelines. The company’s ownership interests in pipelines are summarized in the following table.</w:t>
      </w:r>
    </w:p>
    <w:p>
      <w:pPr>
        <w:spacing w:after="0" w:line="184" w:lineRule="exact"/>
        <w:rPr>
          <w:sz w:val="20"/>
          <w:szCs w:val="20"/>
          <w:color w:val="auto"/>
        </w:rPr>
      </w:pPr>
    </w:p>
    <w:tbl>
      <w:tblPr>
        <w:tblLayout w:type="fixed"/>
        <w:tblInd w:w="141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300" w:type="dxa"/>
            <w:vAlign w:val="bottom"/>
            <w:gridSpan w:val="4"/>
          </w:tcPr>
          <w:p>
            <w:pPr>
              <w:ind w:left="980"/>
              <w:spacing w:after="0"/>
              <w:rPr>
                <w:sz w:val="20"/>
                <w:szCs w:val="20"/>
                <w:color w:val="auto"/>
              </w:rPr>
            </w:pPr>
            <w:r>
              <w:rPr>
                <w:rFonts w:ascii="Arial" w:cs="Arial" w:eastAsia="Arial" w:hAnsi="Arial"/>
                <w:sz w:val="13"/>
                <w:szCs w:val="13"/>
                <w:b w:val="1"/>
                <w:bCs w:val="1"/>
                <w:color w:val="auto"/>
              </w:rPr>
              <w:t>Pipeline Mileage at December 31, 2011</w:t>
            </w:r>
          </w:p>
        </w:tc>
      </w:tr>
      <w:tr>
        <w:trPr>
          <w:trHeight w:val="159"/>
        </w:trPr>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740" w:type="dxa"/>
            <w:vAlign w:val="bottom"/>
            <w:tcBorders>
              <w:right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Net Mileage</w:t>
            </w:r>
            <w:r>
              <w:rPr>
                <w:rFonts w:ascii="Arial" w:cs="Arial" w:eastAsia="Arial" w:hAnsi="Arial"/>
                <w:sz w:val="8"/>
                <w:szCs w:val="8"/>
                <w:b w:val="1"/>
                <w:bCs w:val="1"/>
                <w:color w:val="auto"/>
              </w:rPr>
              <w:t>1,2</w:t>
            </w:r>
          </w:p>
        </w:tc>
      </w:tr>
      <w:tr>
        <w:trPr>
          <w:trHeight w:val="143"/>
        </w:trPr>
        <w:tc>
          <w:tcPr>
            <w:tcW w:w="100" w:type="dxa"/>
            <w:vAlign w:val="bottom"/>
            <w:tcBorders>
              <w:left w:val="single" w:sz="8" w:color="auto"/>
            </w:tcBorders>
          </w:tcPr>
          <w:p>
            <w:pPr>
              <w:spacing w:after="0"/>
              <w:rPr>
                <w:sz w:val="12"/>
                <w:szCs w:val="12"/>
                <w:color w:val="auto"/>
              </w:rPr>
            </w:pPr>
          </w:p>
        </w:tc>
        <w:tc>
          <w:tcPr>
            <w:tcW w:w="2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United States:</w:t>
            </w:r>
          </w:p>
        </w:tc>
        <w:tc>
          <w:tcPr>
            <w:tcW w:w="4560" w:type="dxa"/>
            <w:vAlign w:val="bottom"/>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tcPr>
          <w:p>
            <w:pPr>
              <w:ind w:left="120"/>
              <w:spacing w:after="0"/>
              <w:rPr>
                <w:sz w:val="20"/>
                <w:szCs w:val="20"/>
                <w:color w:val="auto"/>
              </w:rPr>
            </w:pPr>
            <w:r>
              <w:rPr>
                <w:rFonts w:ascii="Arial" w:cs="Arial" w:eastAsia="Arial" w:hAnsi="Arial"/>
                <w:sz w:val="13"/>
                <w:szCs w:val="13"/>
                <w:color w:val="auto"/>
              </w:rPr>
              <w:t>Crude Oil</w:t>
            </w:r>
          </w:p>
        </w:tc>
        <w:tc>
          <w:tcPr>
            <w:tcW w:w="6140" w:type="dxa"/>
            <w:vAlign w:val="bottom"/>
            <w:gridSpan w:val="2"/>
          </w:tcPr>
          <w:p>
            <w:pPr>
              <w:jc w:val="right"/>
              <w:spacing w:after="0"/>
              <w:rPr>
                <w:sz w:val="20"/>
                <w:szCs w:val="20"/>
                <w:color w:val="auto"/>
              </w:rPr>
            </w:pPr>
            <w:r>
              <w:rPr>
                <w:rFonts w:ascii="Arial" w:cs="Arial" w:eastAsia="Arial" w:hAnsi="Arial"/>
                <w:sz w:val="13"/>
                <w:szCs w:val="13"/>
                <w:color w:val="auto"/>
              </w:rPr>
              <w:t>2,115</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Natural Gas</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2,282</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tcPr>
          <w:p>
            <w:pPr>
              <w:ind w:left="120"/>
              <w:spacing w:after="0"/>
              <w:rPr>
                <w:sz w:val="20"/>
                <w:szCs w:val="20"/>
                <w:color w:val="auto"/>
              </w:rPr>
            </w:pPr>
            <w:r>
              <w:rPr>
                <w:rFonts w:ascii="Arial" w:cs="Arial" w:eastAsia="Arial" w:hAnsi="Arial"/>
                <w:sz w:val="13"/>
                <w:szCs w:val="13"/>
                <w:color w:val="auto"/>
              </w:rPr>
              <w:t>Petroleum Products</w:t>
            </w:r>
          </w:p>
        </w:tc>
        <w:tc>
          <w:tcPr>
            <w:tcW w:w="456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6,125</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United States</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10,522</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tcPr>
          <w:p>
            <w:pPr>
              <w:spacing w:after="0"/>
              <w:rPr>
                <w:sz w:val="20"/>
                <w:szCs w:val="20"/>
                <w:color w:val="auto"/>
              </w:rPr>
            </w:pPr>
            <w:r>
              <w:rPr>
                <w:rFonts w:ascii="Arial" w:cs="Arial" w:eastAsia="Arial" w:hAnsi="Arial"/>
                <w:sz w:val="13"/>
                <w:szCs w:val="13"/>
                <w:color w:val="auto"/>
              </w:rPr>
              <w:t>International:</w:t>
            </w: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Crude Oil</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tcPr>
          <w:p>
            <w:pPr>
              <w:ind w:left="120"/>
              <w:spacing w:after="0"/>
              <w:rPr>
                <w:sz w:val="20"/>
                <w:szCs w:val="20"/>
                <w:color w:val="auto"/>
              </w:rPr>
            </w:pPr>
            <w:r>
              <w:rPr>
                <w:rFonts w:ascii="Arial" w:cs="Arial" w:eastAsia="Arial" w:hAnsi="Arial"/>
                <w:sz w:val="13"/>
                <w:szCs w:val="13"/>
                <w:color w:val="auto"/>
              </w:rPr>
              <w:t>Natural Gas</w:t>
            </w:r>
          </w:p>
        </w:tc>
        <w:tc>
          <w:tcPr>
            <w:tcW w:w="6140" w:type="dxa"/>
            <w:vAlign w:val="bottom"/>
            <w:gridSpan w:val="2"/>
          </w:tcPr>
          <w:p>
            <w:pPr>
              <w:jc w:val="right"/>
              <w:spacing w:after="0"/>
              <w:rPr>
                <w:sz w:val="20"/>
                <w:szCs w:val="20"/>
                <w:color w:val="auto"/>
              </w:rPr>
            </w:pPr>
            <w:r>
              <w:rPr>
                <w:rFonts w:ascii="Arial" w:cs="Arial" w:eastAsia="Arial" w:hAnsi="Arial"/>
                <w:sz w:val="13"/>
                <w:szCs w:val="13"/>
                <w:color w:val="auto"/>
              </w:rPr>
              <w:t>699</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Petroleum Products</w:t>
            </w:r>
          </w:p>
        </w:tc>
        <w:tc>
          <w:tcPr>
            <w:tcW w:w="456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2140" w:type="dxa"/>
            <w:vAlign w:val="bottom"/>
          </w:tcPr>
          <w:p>
            <w:pPr>
              <w:ind w:left="120"/>
              <w:spacing w:after="0"/>
              <w:rPr>
                <w:sz w:val="20"/>
                <w:szCs w:val="20"/>
                <w:color w:val="auto"/>
              </w:rPr>
            </w:pPr>
            <w:r>
              <w:rPr>
                <w:rFonts w:ascii="Arial" w:cs="Arial" w:eastAsia="Arial" w:hAnsi="Arial"/>
                <w:sz w:val="13"/>
                <w:szCs w:val="13"/>
                <w:color w:val="auto"/>
              </w:rPr>
              <w:t>Total International</w:t>
            </w:r>
          </w:p>
        </w:tc>
        <w:tc>
          <w:tcPr>
            <w:tcW w:w="456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1,710</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r>
      <w:tr>
        <w:trPr>
          <w:trHeight w:val="162"/>
        </w:trPr>
        <w:tc>
          <w:tcPr>
            <w:tcW w:w="100" w:type="dxa"/>
            <w:vAlign w:val="bottom"/>
            <w:tcBorders>
              <w:left w:val="single" w:sz="8" w:color="auto"/>
            </w:tcBorders>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Worldwide</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12,232</w:t>
            </w:r>
          </w:p>
        </w:tc>
        <w:tc>
          <w:tcPr>
            <w:tcW w:w="80" w:type="dxa"/>
            <w:vAlign w:val="bottom"/>
            <w:shd w:val="clear" w:color="auto" w:fill="CCEEFF"/>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r>
      <w:tr>
        <w:trPr>
          <w:trHeight w:val="81"/>
        </w:trPr>
        <w:tc>
          <w:tcPr>
            <w:tcW w:w="100" w:type="dxa"/>
            <w:vAlign w:val="bottom"/>
            <w:tcBorders>
              <w:left w:val="single" w:sz="8" w:color="auto"/>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158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r>
    </w:tbl>
    <w:p>
      <w:pPr>
        <w:spacing w:after="0" w:line="49" w:lineRule="exact"/>
        <w:rPr>
          <w:sz w:val="20"/>
          <w:szCs w:val="20"/>
          <w:color w:val="auto"/>
        </w:rPr>
      </w:pPr>
    </w:p>
    <w:p>
      <w:pPr>
        <w:ind w:left="1580" w:hanging="79"/>
        <w:spacing w:after="0"/>
        <w:tabs>
          <w:tab w:leader="none" w:pos="158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Includes company’s share of pipeline mileage owned by equity affiliates.</w:t>
      </w:r>
    </w:p>
    <w:p>
      <w:pPr>
        <w:ind w:left="1580" w:hanging="79"/>
        <w:spacing w:after="0" w:line="190" w:lineRule="auto"/>
        <w:tabs>
          <w:tab w:leader="none" w:pos="1580" w:val="left"/>
        </w:tabs>
        <w:numPr>
          <w:ilvl w:val="0"/>
          <w:numId w:val="17"/>
        </w:numPr>
        <w:rPr>
          <w:rFonts w:ascii="Arial" w:cs="Arial" w:eastAsia="Arial" w:hAnsi="Arial"/>
          <w:sz w:val="20"/>
          <w:szCs w:val="20"/>
          <w:color w:val="auto"/>
          <w:vertAlign w:val="superscript"/>
        </w:rPr>
      </w:pPr>
      <w:r>
        <w:rPr>
          <w:rFonts w:ascii="Arial" w:cs="Arial" w:eastAsia="Arial" w:hAnsi="Arial"/>
          <w:sz w:val="12"/>
          <w:szCs w:val="12"/>
          <w:color w:val="auto"/>
        </w:rPr>
        <w:t>Excludes gathering pipelines relating to the crude oil and natural gas production function.</w:t>
      </w:r>
    </w:p>
    <w:p>
      <w:pPr>
        <w:spacing w:after="0" w:line="200" w:lineRule="exact"/>
        <w:rPr>
          <w:rFonts w:ascii="Arial" w:cs="Arial" w:eastAsia="Arial" w:hAnsi="Arial"/>
          <w:sz w:val="20"/>
          <w:szCs w:val="20"/>
          <w:color w:val="auto"/>
          <w:vertAlign w:val="superscript"/>
        </w:rPr>
      </w:pPr>
    </w:p>
    <w:p>
      <w:pPr>
        <w:spacing w:after="0" w:line="238" w:lineRule="exact"/>
        <w:rPr>
          <w:rFonts w:ascii="Arial" w:cs="Arial" w:eastAsia="Arial" w:hAnsi="Arial"/>
          <w:sz w:val="20"/>
          <w:szCs w:val="20"/>
          <w:color w:val="auto"/>
          <w:vertAlign w:val="superscript"/>
        </w:rPr>
      </w:pPr>
    </w:p>
    <w:p>
      <w:pPr>
        <w:ind w:left="5620"/>
        <w:spacing w:after="0"/>
        <w:rPr>
          <w:rFonts w:ascii="Arial" w:cs="Arial" w:eastAsia="Arial" w:hAnsi="Arial"/>
          <w:sz w:val="20"/>
          <w:szCs w:val="20"/>
          <w:color w:val="auto"/>
          <w:vertAlign w:val="superscript"/>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jc w:val="both"/>
        <w:ind w:left="460" w:right="280"/>
        <w:spacing w:after="0" w:line="256" w:lineRule="auto"/>
        <w:rPr>
          <w:sz w:val="20"/>
          <w:szCs w:val="20"/>
          <w:color w:val="auto"/>
        </w:rPr>
      </w:pPr>
      <w:r>
        <w:rPr>
          <w:rFonts w:ascii="Arial" w:cs="Arial" w:eastAsia="Arial" w:hAnsi="Arial"/>
          <w:sz w:val="13"/>
          <w:szCs w:val="13"/>
          <w:color w:val="auto"/>
        </w:rPr>
        <w:t>Work was completed in first quarter 2012 to return the Cal-Ky Pipeline to crude oil service as a supply line for the Pascagoula Refinery. This crude oil pipeline is also expected to provide additional outlets for the company’s equity production. The company is leading the construction of a 136 mile, 24-inch pipeline from the Jack/St. Malo facility to Green Canyon 19 in the U.S. Gulf of Mexico, where there is an interconnect to pipelines delivering crude oil into Texas and Louisiana.</w:t>
      </w:r>
    </w:p>
    <w:p>
      <w:pPr>
        <w:spacing w:after="0" w:line="69" w:lineRule="exact"/>
        <w:rPr>
          <w:sz w:val="20"/>
          <w:szCs w:val="20"/>
          <w:color w:val="auto"/>
        </w:rPr>
      </w:pPr>
    </w:p>
    <w:p>
      <w:pPr>
        <w:ind w:left="460" w:right="20"/>
        <w:spacing w:after="0" w:line="267" w:lineRule="auto"/>
        <w:rPr>
          <w:sz w:val="20"/>
          <w:szCs w:val="20"/>
          <w:color w:val="auto"/>
        </w:rPr>
      </w:pPr>
      <w:r>
        <w:rPr>
          <w:rFonts w:ascii="Arial" w:cs="Arial" w:eastAsia="Arial" w:hAnsi="Arial"/>
          <w:sz w:val="13"/>
          <w:szCs w:val="13"/>
          <w:color w:val="auto"/>
        </w:rPr>
        <w:t>Refer to pages 14, 16 and 17 in the Upstream section for information on the Chad/Cameroon pipeline, the West Africa Gas Pipeline, the Baku-Tbilisi-Ceyhan Pipeline, the Western Route Export Pipeline and the Caspian Pipeline Consortium.</w:t>
      </w:r>
    </w:p>
    <w:p>
      <w:pPr>
        <w:spacing w:after="0" w:line="57" w:lineRule="exact"/>
        <w:rPr>
          <w:sz w:val="20"/>
          <w:szCs w:val="20"/>
          <w:color w:val="auto"/>
        </w:rPr>
      </w:pPr>
    </w:p>
    <w:p>
      <w:pPr>
        <w:ind w:left="460" w:right="200"/>
        <w:spacing w:after="0" w:line="273" w:lineRule="auto"/>
        <w:rPr>
          <w:sz w:val="20"/>
          <w:szCs w:val="20"/>
          <w:color w:val="auto"/>
        </w:rPr>
      </w:pPr>
      <w:r>
        <w:rPr>
          <w:rFonts w:ascii="Arial" w:cs="Arial" w:eastAsia="Arial" w:hAnsi="Arial"/>
          <w:sz w:val="13"/>
          <w:szCs w:val="13"/>
          <w:b w:val="1"/>
          <w:bCs w:val="1"/>
          <w:color w:val="auto"/>
        </w:rPr>
        <w:t xml:space="preserve">Tankers: </w:t>
      </w:r>
      <w:r>
        <w:rPr>
          <w:rFonts w:ascii="Arial" w:cs="Arial" w:eastAsia="Arial" w:hAnsi="Arial"/>
          <w:sz w:val="13"/>
          <w:szCs w:val="13"/>
          <w:color w:val="auto"/>
        </w:rPr>
        <w:t>All tankers in Chevron’s controlled seagoing fleet were utilized during 2011. During 2011, the company had 48 deep-sea vessels chartered on a voyage basis, or for a period of less than one</w:t>
      </w:r>
      <w:r>
        <w:rPr>
          <w:rFonts w:ascii="Arial" w:cs="Arial" w:eastAsia="Arial" w:hAnsi="Arial"/>
          <w:sz w:val="13"/>
          <w:szCs w:val="13"/>
          <w:b w:val="1"/>
          <w:bCs w:val="1"/>
          <w:color w:val="auto"/>
        </w:rPr>
        <w:t xml:space="preserve"> </w:t>
      </w:r>
      <w:r>
        <w:rPr>
          <w:rFonts w:ascii="Arial" w:cs="Arial" w:eastAsia="Arial" w:hAnsi="Arial"/>
          <w:sz w:val="13"/>
          <w:szCs w:val="13"/>
          <w:color w:val="auto"/>
        </w:rPr>
        <w:t>year. The table below summarizes the capacity of the company’s controlled fleet.</w:t>
      </w:r>
    </w:p>
    <w:p>
      <w:pPr>
        <w:spacing w:after="0" w:line="208"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Controlled Tankers at December 31, 2011</w:t>
      </w:r>
      <w:r>
        <w:rPr>
          <w:rFonts w:ascii="Arial" w:cs="Arial" w:eastAsia="Arial" w:hAnsi="Arial"/>
          <w:sz w:val="10"/>
          <w:szCs w:val="10"/>
          <w:b w:val="1"/>
          <w:bCs w:val="1"/>
          <w:color w:val="auto"/>
        </w:rPr>
        <w:t>1</w:t>
      </w:r>
    </w:p>
    <w:p>
      <w:pPr>
        <w:spacing w:after="0" w:line="136" w:lineRule="exact"/>
        <w:rPr>
          <w:sz w:val="20"/>
          <w:szCs w:val="20"/>
          <w:color w:val="auto"/>
        </w:rPr>
      </w:pPr>
    </w:p>
    <w:tbl>
      <w:tblPr>
        <w:tblLayout w:type="fixed"/>
        <w:tblInd w:w="1410" w:type="dxa"/>
        <w:tblCellMar>
          <w:top w:w="0" w:type="dxa"/>
          <w:left w:w="0" w:type="dxa"/>
          <w:bottom w:w="0" w:type="dxa"/>
          <w:right w:w="0" w:type="dxa"/>
        </w:tblCellMar>
      </w:tblPr>
      <w:tr>
        <w:trPr>
          <w:trHeight w:val="207"/>
        </w:trPr>
        <w:tc>
          <w:tcPr>
            <w:tcW w:w="100" w:type="dxa"/>
            <w:vAlign w:val="bottom"/>
            <w:tcBorders>
              <w:top w:val="single" w:sz="8" w:color="auto"/>
              <w:left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U.S. Flag</w:t>
            </w: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Foreign Flag</w:t>
            </w:r>
          </w:p>
        </w:tc>
        <w:tc>
          <w:tcPr>
            <w:tcW w:w="0" w:type="dxa"/>
            <w:vAlign w:val="bottom"/>
          </w:tcPr>
          <w:p>
            <w:pPr>
              <w:spacing w:after="0"/>
              <w:rPr>
                <w:sz w:val="1"/>
                <w:szCs w:val="1"/>
                <w:color w:val="auto"/>
              </w:rPr>
            </w:pPr>
          </w:p>
        </w:tc>
      </w:tr>
      <w:tr>
        <w:trPr>
          <w:trHeight w:val="81"/>
        </w:trPr>
        <w:tc>
          <w:tcPr>
            <w:tcW w:w="100" w:type="dxa"/>
            <w:vAlign w:val="bottom"/>
            <w:tcBorders>
              <w:left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jc w:val="center"/>
              <w:ind w:left="230"/>
              <w:spacing w:after="0" w:line="81" w:lineRule="exact"/>
              <w:rPr>
                <w:sz w:val="20"/>
                <w:szCs w:val="20"/>
                <w:color w:val="auto"/>
              </w:rPr>
            </w:pPr>
            <w:r>
              <w:rPr>
                <w:rFonts w:ascii="Arial" w:cs="Arial" w:eastAsia="Arial" w:hAnsi="Arial"/>
                <w:sz w:val="9"/>
                <w:szCs w:val="9"/>
                <w:b w:val="1"/>
                <w:bCs w:val="1"/>
                <w:color w:val="auto"/>
              </w:rPr>
              <w:t>Cargo Capacity</w:t>
            </w:r>
          </w:p>
        </w:tc>
        <w:tc>
          <w:tcPr>
            <w:tcW w:w="2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Cargo Capacity</w:t>
            </w:r>
          </w:p>
        </w:tc>
        <w:tc>
          <w:tcPr>
            <w:tcW w:w="160" w:type="dxa"/>
            <w:vAlign w:val="bottom"/>
            <w:tcBorders>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00" w:type="dxa"/>
            <w:vAlign w:val="bottom"/>
            <w:tcBorders>
              <w:left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600" w:type="dxa"/>
            <w:vAlign w:val="bottom"/>
          </w:tcPr>
          <w:p>
            <w:pPr>
              <w:jc w:val="right"/>
              <w:ind w:right="59"/>
              <w:spacing w:after="0"/>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10"/>
                <w:szCs w:val="10"/>
                <w:color w:val="auto"/>
              </w:rPr>
            </w:pPr>
          </w:p>
        </w:tc>
        <w:tc>
          <w:tcPr>
            <w:tcW w:w="1400" w:type="dxa"/>
            <w:vAlign w:val="bottom"/>
          </w:tcPr>
          <w:p>
            <w:pPr>
              <w:jc w:val="center"/>
              <w:ind w:left="230"/>
              <w:spacing w:after="0"/>
              <w:rPr>
                <w:sz w:val="20"/>
                <w:szCs w:val="20"/>
                <w:color w:val="auto"/>
              </w:rPr>
            </w:pPr>
            <w:r>
              <w:rPr>
                <w:rFonts w:ascii="Arial" w:cs="Arial" w:eastAsia="Arial" w:hAnsi="Arial"/>
                <w:sz w:val="10"/>
                <w:szCs w:val="10"/>
                <w:b w:val="1"/>
                <w:bCs w:val="1"/>
                <w:color w:val="auto"/>
                <w:w w:val="94"/>
              </w:rPr>
              <w:t>(Millions of Barrels)</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jc w:val="right"/>
              <w:ind w:right="62"/>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spacing w:after="0"/>
              <w:rPr>
                <w:sz w:val="10"/>
                <w:szCs w:val="10"/>
                <w:color w:val="auto"/>
              </w:rPr>
            </w:pPr>
          </w:p>
        </w:tc>
        <w:tc>
          <w:tcPr>
            <w:tcW w:w="18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94"/>
              </w:rPr>
              <w:t>(Millions of Barrels)</w:t>
            </w:r>
          </w:p>
        </w:tc>
        <w:tc>
          <w:tcPr>
            <w:tcW w:w="0" w:type="dxa"/>
            <w:vAlign w:val="bottom"/>
          </w:tcPr>
          <w:p>
            <w:pPr>
              <w:spacing w:after="0"/>
              <w:rPr>
                <w:sz w:val="1"/>
                <w:szCs w:val="1"/>
                <w:color w:val="auto"/>
              </w:rPr>
            </w:pPr>
          </w:p>
        </w:tc>
      </w:tr>
      <w:tr>
        <w:trPr>
          <w:trHeight w:val="28"/>
        </w:trPr>
        <w:tc>
          <w:tcPr>
            <w:tcW w:w="100" w:type="dxa"/>
            <w:vAlign w:val="bottom"/>
            <w:tcBorders>
              <w:left w:val="single" w:sz="8" w:color="auto"/>
            </w:tcBorders>
            <w:vMerge w:val="restart"/>
          </w:tcPr>
          <w:p>
            <w:pPr>
              <w:spacing w:after="0"/>
              <w:rPr>
                <w:sz w:val="2"/>
                <w:szCs w:val="2"/>
                <w:color w:val="auto"/>
              </w:rPr>
            </w:pPr>
          </w:p>
        </w:tc>
        <w:tc>
          <w:tcPr>
            <w:tcW w:w="25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0" w:type="dxa"/>
            <w:vAlign w:val="bottom"/>
            <w:tcBorders>
              <w:left w:val="single" w:sz="8" w:color="auto"/>
            </w:tcBorders>
            <w:vMerge w:val="continue"/>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Owned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Bareboat-Chartered</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0" w:type="dxa"/>
            <w:vAlign w:val="bottom"/>
            <w:tcBorders>
              <w:left w:val="single" w:sz="8" w:color="auto"/>
            </w:tcBorders>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Time-Chartered</w:t>
            </w:r>
            <w:r>
              <w:rPr>
                <w:rFonts w:ascii="Arial" w:cs="Arial" w:eastAsia="Arial" w:hAnsi="Arial"/>
                <w:sz w:val="10"/>
                <w:szCs w:val="10"/>
                <w:color w:val="auto"/>
              </w:rPr>
              <w:t>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2520" w:type="dxa"/>
            <w:vAlign w:val="bottom"/>
          </w:tcPr>
          <w:p>
            <w:pPr>
              <w:ind w:left="120"/>
              <w:spacing w:after="0"/>
              <w:rPr>
                <w:sz w:val="20"/>
                <w:szCs w:val="20"/>
                <w:color w:val="auto"/>
              </w:rPr>
            </w:pPr>
            <w:r>
              <w:rPr>
                <w:rFonts w:ascii="Arial" w:cs="Arial" w:eastAsia="Arial" w:hAnsi="Arial"/>
                <w:sz w:val="13"/>
                <w:szCs w:val="13"/>
                <w:color w:val="auto"/>
              </w:rPr>
              <w:t>Total</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36.6</w:t>
            </w: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00" w:type="dxa"/>
            <w:vAlign w:val="bottom"/>
            <w:tcBorders>
              <w:left w:val="single" w:sz="8" w:color="auto"/>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580" w:hanging="79"/>
        <w:spacing w:after="0"/>
        <w:tabs>
          <w:tab w:leader="none" w:pos="1580"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Consolidated companies only. Excludes tankers chartered on a voyage basis, those with dead-weight tonnage less than 25,000 and those used exclusively for storage.</w:t>
      </w:r>
    </w:p>
    <w:p>
      <w:pPr>
        <w:spacing w:after="0" w:line="45" w:lineRule="exact"/>
        <w:rPr>
          <w:rFonts w:ascii="Arial" w:cs="Arial" w:eastAsia="Arial" w:hAnsi="Arial"/>
          <w:sz w:val="20"/>
          <w:szCs w:val="20"/>
          <w:color w:val="auto"/>
          <w:vertAlign w:val="superscript"/>
        </w:rPr>
      </w:pPr>
    </w:p>
    <w:p>
      <w:pPr>
        <w:ind w:left="1500"/>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2</w:t>
      </w:r>
      <w:r>
        <w:rPr>
          <w:rFonts w:ascii="Arial" w:cs="Arial" w:eastAsia="Arial" w:hAnsi="Arial"/>
          <w:sz w:val="12"/>
          <w:szCs w:val="12"/>
          <w:color w:val="auto"/>
        </w:rPr>
        <w:t xml:space="preserve"> Tankers chartered for more than one year.</w:t>
      </w:r>
    </w:p>
    <w:p>
      <w:pPr>
        <w:spacing w:after="0" w:line="77"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The company’s U.S.-flagged fleet is engaged primarily in transporting refined products between the Gulf Coast and the East Coast and from California refineries to terminals on the West Coast and in Alaska and Hawaii. The company retired one U.S.-flagged product tanker in 2011.</w:t>
      </w:r>
    </w:p>
    <w:p>
      <w:pPr>
        <w:spacing w:after="0" w:line="61"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The foreign-flagged vessels are engaged primarily in transporting crude oil from the Middle East, Southeast Asia, the Black Sea, South America, Mexico and West Africa to ports in the United States, Europe, Australia and Asia. The company’s foreign-flagged vessels also transport refined products to and from various locations worldwide.</w:t>
      </w:r>
    </w:p>
    <w:p>
      <w:pPr>
        <w:spacing w:after="0" w:line="61"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In addition to the vessels described above, the company has contracts in place to build LNG carriers and a dynamic-positioning shuttle tanker to support future upstream projects. The company also owns a one-sixth interest in each of seven LNG carriers transporting cargoes for the North West Shelf Venture in Australia.</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Other Businesses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Mining</w:t>
      </w:r>
    </w:p>
    <w:p>
      <w:pPr>
        <w:spacing w:after="0" w:line="95" w:lineRule="exact"/>
        <w:rPr>
          <w:sz w:val="20"/>
          <w:szCs w:val="20"/>
          <w:color w:val="auto"/>
        </w:rPr>
      </w:pPr>
    </w:p>
    <w:p>
      <w:pPr>
        <w:ind w:left="460" w:right="260"/>
        <w:spacing w:after="0" w:line="253" w:lineRule="auto"/>
        <w:rPr>
          <w:sz w:val="20"/>
          <w:szCs w:val="20"/>
          <w:color w:val="auto"/>
        </w:rPr>
      </w:pPr>
      <w:r>
        <w:rPr>
          <w:rFonts w:ascii="Arial" w:cs="Arial" w:eastAsia="Arial" w:hAnsi="Arial"/>
          <w:sz w:val="13"/>
          <w:szCs w:val="13"/>
          <w:color w:val="auto"/>
        </w:rPr>
        <w:t>Chevron’s U.S.-based mining company continues its efforts to divest its remaining coal mining operations. The company completed the sale of the North River Mine and other coal-related assets in Alabama in second quarter 2011, and the sale of its Kemmerer, Wyoming, surface coal mine in first quarter 2012. The company is pursuing the sale of its 50 percent interest in Youngs Creek Mining Company, LLC, which was formed to develop a coal mine in northern Wyoming. Activities related to final reclamation continued in 2011 at the company-operated surface coal mine in McKinley, New Mexico, which ceased coal production at the end of 2009.</w:t>
      </w:r>
    </w:p>
    <w:p>
      <w:pPr>
        <w:spacing w:after="0" w:line="71"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At year-end 2011, Chevron had 153 million tons of proven and probable coal reserves in the United States, including reserves of low-sulfur coal. Coal sales from wholly owned mines in 2011 were 6 million tons, down about 2 million tons from 2010.</w:t>
      </w:r>
    </w:p>
    <w:p>
      <w:pPr>
        <w:spacing w:after="0" w:line="25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40"/>
          </w:cols>
          <w:pgMar w:left="220" w:top="338" w:right="8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In addition to the coal operations, Chevron owns and operates the Questa molybdenum mine in New Mexico. At year-end 2011, Chevron had 53 million pounds of proven molybdenum reserves at Questa. Production and underground development at Questa continued at reduced levels in 2011 in response to weak prices for molybdenum.</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Power Generation</w:t>
      </w:r>
    </w:p>
    <w:p>
      <w:pPr>
        <w:spacing w:after="0" w:line="95" w:lineRule="exact"/>
        <w:rPr>
          <w:sz w:val="20"/>
          <w:szCs w:val="20"/>
          <w:color w:val="auto"/>
        </w:rPr>
      </w:pPr>
    </w:p>
    <w:p>
      <w:pPr>
        <w:ind w:left="460" w:right="100"/>
        <w:spacing w:after="0" w:line="288" w:lineRule="auto"/>
        <w:rPr>
          <w:sz w:val="20"/>
          <w:szCs w:val="20"/>
          <w:color w:val="auto"/>
        </w:rPr>
      </w:pPr>
      <w:r>
        <w:rPr>
          <w:rFonts w:ascii="Arial" w:cs="Arial" w:eastAsia="Arial" w:hAnsi="Arial"/>
          <w:sz w:val="12"/>
          <w:szCs w:val="12"/>
          <w:color w:val="auto"/>
        </w:rPr>
        <w:t>Chevron’s Global Power Company manages interests in 13 power assets with a total operating capacity of more than 3,100 megawatts, primarily through joint ventures in the United States and Asia. Twelve of these are efficient combined-cycle and gas-fired cogeneration facilities that utilize recovered waste heat to produce electricity and support industrial thermal hosts. The 13th facility is a wind farm, located in Casper, Wyoming, that is designed to optimize the use of a decommissioned refinery site for delivery of clean, renewable energy to the local utility.</w:t>
      </w:r>
    </w:p>
    <w:p>
      <w:pPr>
        <w:spacing w:after="0" w:line="51" w:lineRule="exact"/>
        <w:rPr>
          <w:sz w:val="20"/>
          <w:szCs w:val="20"/>
          <w:color w:val="auto"/>
        </w:rPr>
      </w:pPr>
    </w:p>
    <w:p>
      <w:pPr>
        <w:ind w:left="460" w:right="260"/>
        <w:spacing w:after="0" w:line="309" w:lineRule="auto"/>
        <w:rPr>
          <w:sz w:val="20"/>
          <w:szCs w:val="20"/>
          <w:color w:val="auto"/>
        </w:rPr>
      </w:pPr>
      <w:r>
        <w:rPr>
          <w:rFonts w:ascii="Arial" w:cs="Arial" w:eastAsia="Arial" w:hAnsi="Arial"/>
          <w:sz w:val="12"/>
          <w:szCs w:val="12"/>
          <w:color w:val="auto"/>
        </w:rPr>
        <w:t>The company has major geothermal operations in Indonesia and the Philippines and is investigating several advanced solar technologies for use in oil field operations as part of its renewable energy strategy. For additional information on the company’s geothermal operations and renewable energy projects, refer to pages 19 and 20 and “Research and Technology” below.</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Chevron Energy Solutions (CES)</w:t>
      </w:r>
    </w:p>
    <w:p>
      <w:pPr>
        <w:spacing w:after="0" w:line="95" w:lineRule="exact"/>
        <w:rPr>
          <w:sz w:val="20"/>
          <w:szCs w:val="20"/>
          <w:color w:val="auto"/>
        </w:rPr>
      </w:pPr>
    </w:p>
    <w:p>
      <w:pPr>
        <w:ind w:left="460" w:right="40"/>
        <w:spacing w:after="0" w:line="281" w:lineRule="auto"/>
        <w:rPr>
          <w:sz w:val="20"/>
          <w:szCs w:val="20"/>
          <w:color w:val="auto"/>
        </w:rPr>
      </w:pPr>
      <w:r>
        <w:rPr>
          <w:rFonts w:ascii="Arial" w:cs="Arial" w:eastAsia="Arial" w:hAnsi="Arial"/>
          <w:sz w:val="12"/>
          <w:szCs w:val="12"/>
          <w:color w:val="auto"/>
        </w:rPr>
        <w:t>CES is a wholly owned subsidiary that develops and builds sustainable energy projects that increase energy efficiency and production of renewable power, reduce energy costs, and ensure reliable, high-quality energy for government, education and business facilities. Since 2000, CES has developed hundreds of projects that have helped customers reduce their energy costs and environmental impact. Projects announced in 2011 include the City of Dinuba solar project in California; the Houston Independent School District renewable and energy efficiency project in Texas; the Eglin Air Force Base energy management systems upgrade project in Florida; and the Oceanic Time Warner solar project in Hawaii.</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Research and Technology</w:t>
      </w:r>
    </w:p>
    <w:p>
      <w:pPr>
        <w:spacing w:after="0" w:line="95" w:lineRule="exact"/>
        <w:rPr>
          <w:sz w:val="20"/>
          <w:szCs w:val="20"/>
          <w:color w:val="auto"/>
        </w:rPr>
      </w:pPr>
    </w:p>
    <w:p>
      <w:pPr>
        <w:ind w:left="460" w:right="20"/>
        <w:spacing w:after="0" w:line="253" w:lineRule="auto"/>
        <w:rPr>
          <w:sz w:val="20"/>
          <w:szCs w:val="20"/>
          <w:color w:val="auto"/>
        </w:rPr>
      </w:pPr>
      <w:r>
        <w:rPr>
          <w:rFonts w:ascii="Arial" w:cs="Arial" w:eastAsia="Arial" w:hAnsi="Arial"/>
          <w:sz w:val="13"/>
          <w:szCs w:val="13"/>
          <w:color w:val="auto"/>
        </w:rPr>
        <w:t>The company’s energy technology organization supports Chevron’s upstream and downstream businesses by providing technology, services and competency development in earth sciences; reservoir and production engineering; drilling and completions; facilities engineering; manufacturing; process technology; catalysis; technical computing; and health, environment and safety disciplines. The information technology organization integrates computing, telecommunications, data management, security and network technology to provide a standardized digital infrastructure and enable Chevron’s global operations and business processes.</w:t>
      </w:r>
    </w:p>
    <w:p>
      <w:pPr>
        <w:spacing w:after="0" w:line="71" w:lineRule="exact"/>
        <w:rPr>
          <w:sz w:val="20"/>
          <w:szCs w:val="20"/>
          <w:color w:val="auto"/>
        </w:rPr>
      </w:pPr>
    </w:p>
    <w:p>
      <w:pPr>
        <w:ind w:left="460"/>
        <w:spacing w:after="0" w:line="288" w:lineRule="auto"/>
        <w:rPr>
          <w:sz w:val="20"/>
          <w:szCs w:val="20"/>
          <w:color w:val="auto"/>
        </w:rPr>
      </w:pPr>
      <w:r>
        <w:rPr>
          <w:rFonts w:ascii="Arial" w:cs="Arial" w:eastAsia="Arial" w:hAnsi="Arial"/>
          <w:sz w:val="12"/>
          <w:szCs w:val="12"/>
          <w:color w:val="auto"/>
        </w:rPr>
        <w:t>Chevron Technology Ventures (CTV) manages investments and projects in emerging energy technologies and their integration into Chevron’s core businesses. As of the end of 2011, CTV continued to explore technologies such as next-generation biofuels and advanced solar. In 2011, the company completed construction and commissioned the world’s largest solar-to-steam generation project for use in enhanced-oil-recovery operations in Coalinga, California. The project will test the viability of using solar power to produce steam to improve oil recovery.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Chevron’s research and development expenses were $627 million, $526 million and $603 million for the years 2011, 2010 and 2009, respectively.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1"/>
          <w:szCs w:val="11"/>
          <w:color w:val="auto"/>
        </w:rPr>
        <w:t>Some of the investments the company makes in the areas described above are in new or unproven technologies and business processes, and ultimate technical or commercial successes are not certain.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Environmental Protection</w:t>
      </w:r>
    </w:p>
    <w:p>
      <w:pPr>
        <w:spacing w:after="0" w:line="95"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The company designs, operates and maintains its facilities to avoid potential spills or leaks and minimize the impact of those that may occur. Chevron requires its facilities and operations to have operating standards and processes and emergency response plans that address all credible and significant risks identified by site-specific risk and impact assessments. Chevron also requires that sufficient resources be available to execute these plans. In the unlikely event that a major spill or leak occurs, Chevron also maintains a Worldwide Emergency Response Team comprised of employees who are trained in various aspects of emergency response, including post-incident remediation.</w:t>
      </w:r>
    </w:p>
    <w:p>
      <w:pPr>
        <w:spacing w:after="0" w:line="273"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20"/>
          </w:cols>
          <w:pgMar w:left="220" w:top="339" w:right="8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80"/>
        <w:spacing w:after="0" w:line="275" w:lineRule="auto"/>
        <w:rPr>
          <w:sz w:val="20"/>
          <w:szCs w:val="20"/>
          <w:color w:val="auto"/>
        </w:rPr>
      </w:pPr>
      <w:r>
        <w:rPr>
          <w:rFonts w:ascii="Arial" w:cs="Arial" w:eastAsia="Arial" w:hAnsi="Arial"/>
          <w:sz w:val="12"/>
          <w:szCs w:val="12"/>
          <w:color w:val="auto"/>
        </w:rPr>
        <w:t>To complement the company’s capabilities, Chevron maintains active membership in international oil spill response cooperatives, including the Marine Spill Response Corporation, which operates in U.S. territorial waters, and Oil Spill Response, Ltd. (OSRL), which operates globally. The company is a founding member of the Marine Well Containment Company, whose primary mission is to expediently deploy containment equipment and systems to capture and contain crude oil in the unlikely event of a future loss of control of a deepwater well in the Gulf of Mexico. In addition, the company is a member of the Subsea Well Response Project (SWRP). SWRP’s objective is to further develop the industry’s capability to contain and shut in subsea well control incidents in different regions of the world. In late 2011, upon detection of ocean floor oil seeps in the deepwater Frade Field in Brazil, Chevron rapidly deployed capabilities and processes in coordination with OSRL. In early 2012, the company rapidly deployed response capabilities to address a natural gas well control incident in Nigeria.</w:t>
      </w:r>
    </w:p>
    <w:p>
      <w:pPr>
        <w:spacing w:after="0" w:line="60" w:lineRule="exact"/>
        <w:rPr>
          <w:sz w:val="20"/>
          <w:szCs w:val="20"/>
          <w:color w:val="auto"/>
        </w:rPr>
      </w:pPr>
    </w:p>
    <w:p>
      <w:pPr>
        <w:ind w:left="460" w:right="180"/>
        <w:spacing w:after="0" w:line="253" w:lineRule="auto"/>
        <w:rPr>
          <w:sz w:val="20"/>
          <w:szCs w:val="20"/>
          <w:color w:val="auto"/>
        </w:rPr>
      </w:pPr>
      <w:r>
        <w:rPr>
          <w:rFonts w:ascii="Arial" w:cs="Arial" w:eastAsia="Arial" w:hAnsi="Arial"/>
          <w:sz w:val="13"/>
          <w:szCs w:val="13"/>
          <w:color w:val="auto"/>
        </w:rPr>
        <w:t>Virtually all aspects of the company’s businesses are subject to various U.S. federal, state and local environmental, health and safety laws and regulations and to similar laws and regulations in other countries. These regulatory requirements continue to change and increase in both number and complexity and to govern not only the manner in which the company conducts its operations, but also the products it sells. Most of the costs of complying with the many laws and regulations pertaining to the company’s operations are, or are expected to become, embedded in the normal costs of conducting business.</w:t>
      </w:r>
    </w:p>
    <w:p>
      <w:pPr>
        <w:spacing w:after="0" w:line="71" w:lineRule="exact"/>
        <w:rPr>
          <w:sz w:val="20"/>
          <w:szCs w:val="20"/>
          <w:color w:val="auto"/>
        </w:rPr>
      </w:pPr>
    </w:p>
    <w:p>
      <w:pPr>
        <w:ind w:left="460" w:right="80"/>
        <w:spacing w:after="0" w:line="281" w:lineRule="auto"/>
        <w:rPr>
          <w:sz w:val="20"/>
          <w:szCs w:val="20"/>
          <w:color w:val="auto"/>
        </w:rPr>
      </w:pPr>
      <w:r>
        <w:rPr>
          <w:rFonts w:ascii="Arial" w:cs="Arial" w:eastAsia="Arial" w:hAnsi="Arial"/>
          <w:sz w:val="12"/>
          <w:szCs w:val="12"/>
          <w:color w:val="auto"/>
        </w:rPr>
        <w:t>In 2011, the company’s U.S. capitalized environmental expenditures were $345 million, representing about 3 percent of the company’s total consolidated U.S. capital and exploratory expenditures. These environmental expenditures include capital outlays to retrofit existing facilities as well as those associated with new facilities. The expenditures relate mostly to air- and water-quality projects and activities at the company’s refineries, oil and gas producing facilities, and marketing facilities. For 2012, the company estimates U.S. capital expenditures for environmental control facilities will be approximately $410 million. The future annual capital costs are uncertain and will be governed by several factors, including future changes to regulatory requirements.</w:t>
      </w:r>
    </w:p>
    <w:p>
      <w:pPr>
        <w:spacing w:after="0" w:line="55" w:lineRule="exact"/>
        <w:rPr>
          <w:sz w:val="20"/>
          <w:szCs w:val="20"/>
          <w:color w:val="auto"/>
        </w:rPr>
      </w:pPr>
    </w:p>
    <w:p>
      <w:pPr>
        <w:ind w:left="460"/>
        <w:spacing w:after="0" w:line="253" w:lineRule="auto"/>
        <w:rPr>
          <w:sz w:val="20"/>
          <w:szCs w:val="20"/>
          <w:color w:val="auto"/>
        </w:rPr>
      </w:pPr>
      <w:r>
        <w:rPr>
          <w:rFonts w:ascii="Arial" w:cs="Arial" w:eastAsia="Arial" w:hAnsi="Arial"/>
          <w:sz w:val="13"/>
          <w:szCs w:val="13"/>
          <w:color w:val="auto"/>
        </w:rPr>
        <w:t>Regulations intended to protect the environment, including those intended to address concerns about greenhouse gas emissions and global climate change, continue to evolve. Legislation, regulations and market-based programs that could affect the company’s operations exist at the international or multinational (such as the Kyoto Protocol and the European Union’s Emissions Trading System), national (such as the U.S. Environmental Protection Agency’s rules for stricter emission standards and increased renewable fuel content for transportation fuels), and regional (such as California’s Global Warming Solutions Act) levels.</w:t>
      </w:r>
    </w:p>
    <w:p>
      <w:pPr>
        <w:spacing w:after="0" w:line="71" w:lineRule="exact"/>
        <w:rPr>
          <w:sz w:val="20"/>
          <w:szCs w:val="20"/>
          <w:color w:val="auto"/>
        </w:rPr>
      </w:pPr>
    </w:p>
    <w:p>
      <w:pPr>
        <w:ind w:left="460" w:right="60"/>
        <w:spacing w:after="0" w:line="256" w:lineRule="auto"/>
        <w:rPr>
          <w:sz w:val="20"/>
          <w:szCs w:val="20"/>
          <w:color w:val="auto"/>
        </w:rPr>
      </w:pPr>
      <w:r>
        <w:rPr>
          <w:rFonts w:ascii="Arial" w:cs="Arial" w:eastAsia="Arial" w:hAnsi="Arial"/>
          <w:sz w:val="13"/>
          <w:szCs w:val="13"/>
          <w:color w:val="auto"/>
        </w:rPr>
        <w:t>Refer to Management’s Discussion and Analysis of Financial Condition and Results of Operations on pages FS-14 through FS-16 for additional information on environmental matters and their impact on Chevron and on the company’s 2011 environmental expenditures, remediation provisions and year-end environmental reserves. Refer also to Item 1A. Risk Factors on pages 29 through 31 for a discussion of greenhouse gas regulation and climate change.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Web Site Access to SEC Reports</w:t>
      </w:r>
    </w:p>
    <w:p>
      <w:pPr>
        <w:spacing w:after="0" w:line="95" w:lineRule="exact"/>
        <w:rPr>
          <w:sz w:val="20"/>
          <w:szCs w:val="20"/>
          <w:color w:val="auto"/>
        </w:rPr>
      </w:pPr>
    </w:p>
    <w:p>
      <w:pPr>
        <w:ind w:left="460" w:right="160"/>
        <w:spacing w:after="0" w:line="253" w:lineRule="auto"/>
        <w:rPr>
          <w:sz w:val="20"/>
          <w:szCs w:val="20"/>
          <w:color w:val="auto"/>
        </w:rPr>
      </w:pPr>
      <w:r>
        <w:rPr>
          <w:rFonts w:ascii="Arial" w:cs="Arial" w:eastAsia="Arial" w:hAnsi="Arial"/>
          <w:sz w:val="13"/>
          <w:szCs w:val="13"/>
          <w:color w:val="auto"/>
        </w:rPr>
        <w:t xml:space="preserve">The company’s Internet Web site is </w:t>
      </w:r>
      <w:r>
        <w:rPr>
          <w:rFonts w:ascii="Arial" w:cs="Arial" w:eastAsia="Arial" w:hAnsi="Arial"/>
          <w:sz w:val="13"/>
          <w:szCs w:val="13"/>
          <w:u w:val="single" w:color="auto"/>
          <w:color w:val="auto"/>
        </w:rPr>
        <w:t>www.chevron.com</w:t>
      </w:r>
      <w:r>
        <w:rPr>
          <w:rFonts w:ascii="Arial" w:cs="Arial" w:eastAsia="Arial" w:hAnsi="Arial"/>
          <w:sz w:val="13"/>
          <w:szCs w:val="13"/>
          <w:color w:val="auto"/>
        </w:rPr>
        <w:t xml:space="preserve">. Information contained on the company’s Internet Web site is not part of this Annual Report on Form 10-K. The company’s Annual Reports on Form 10-K, Quarterly Reports on Form 10-Q, Current Reports on Form 8-K and any amendments to these reports filed or furnished pursuant to Section 13(a) or 15(d) of the Securities Exchange Act of 1934 are available free of charge on the company’s Web site soon after such reports are filed with or furnished to the Securities and Exchange Commission (SEC). The reports are also available on the SEC’s Web site at </w:t>
      </w:r>
      <w:r>
        <w:rPr>
          <w:rFonts w:ascii="Arial" w:cs="Arial" w:eastAsia="Arial" w:hAnsi="Arial"/>
          <w:sz w:val="13"/>
          <w:szCs w:val="13"/>
          <w:u w:val="single" w:color="auto"/>
          <w:color w:val="auto"/>
        </w:rPr>
        <w:t>www.sec.gov</w:t>
      </w:r>
      <w:r>
        <w:rPr>
          <w:rFonts w:ascii="Arial" w:cs="Arial" w:eastAsia="Arial" w:hAnsi="Arial"/>
          <w:sz w:val="13"/>
          <w:szCs w:val="13"/>
          <w:color w:val="auto"/>
        </w:rPr>
        <w:t>.</w:t>
      </w:r>
    </w:p>
    <w:p>
      <w:pPr>
        <w:spacing w:after="0" w:line="14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95" w:lineRule="exact"/>
        <w:rPr>
          <w:sz w:val="20"/>
          <w:szCs w:val="20"/>
          <w:color w:val="auto"/>
        </w:rPr>
      </w:pPr>
    </w:p>
    <w:p>
      <w:pPr>
        <w:ind w:left="460" w:right="720"/>
        <w:spacing w:after="0" w:line="267" w:lineRule="auto"/>
        <w:rPr>
          <w:sz w:val="20"/>
          <w:szCs w:val="20"/>
          <w:color w:val="auto"/>
        </w:rPr>
      </w:pPr>
      <w:r>
        <w:rPr>
          <w:rFonts w:ascii="Arial" w:cs="Arial" w:eastAsia="Arial" w:hAnsi="Arial"/>
          <w:sz w:val="13"/>
          <w:szCs w:val="13"/>
          <w:color w:val="auto"/>
        </w:rPr>
        <w:t>Chevron is a global energy company with a diversified business portfolio, a strong balance sheet, and a history of generating sufficient cash to pay dividends and fund capital and exploratory expenditures. Nevertheless, some inherent risks could materially impact the company’s financial results of operations or financial condition.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Chevron is exposed to the effects of changing commodity prices.</w:t>
      </w:r>
    </w:p>
    <w:p>
      <w:pPr>
        <w:spacing w:after="0" w:line="91" w:lineRule="exact"/>
        <w:rPr>
          <w:sz w:val="20"/>
          <w:szCs w:val="20"/>
          <w:color w:val="auto"/>
        </w:rPr>
      </w:pPr>
    </w:p>
    <w:p>
      <w:pPr>
        <w:ind w:left="460" w:right="40"/>
        <w:spacing w:after="0" w:line="253" w:lineRule="auto"/>
        <w:rPr>
          <w:sz w:val="20"/>
          <w:szCs w:val="20"/>
          <w:color w:val="auto"/>
        </w:rPr>
      </w:pPr>
      <w:r>
        <w:rPr>
          <w:rFonts w:ascii="Arial" w:cs="Arial" w:eastAsia="Arial" w:hAnsi="Arial"/>
          <w:sz w:val="13"/>
          <w:szCs w:val="13"/>
          <w:color w:val="auto"/>
        </w:rPr>
        <w:t>Chevron is primarily in a commodities business with a history of price volatility. The single largest variable that affects the company’s results of operations is the price of crude oil, which can be influenced by general economic conditions, industry inventory levels, production quotas imposed by the Organization of Petroleum Exporting Countries (OPEC), weather-related damage and disruptions, competing fuel prices and geopolitical risk. Chevron accepts the risk of changing commodity prices as part of its business planning process. As such, an investment in the company carries significant exposure to fluctuations in crude oil prices.</w:t>
      </w:r>
    </w:p>
    <w:p>
      <w:pPr>
        <w:spacing w:after="0" w:line="27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60"/>
        <w:spacing w:after="0" w:line="309" w:lineRule="auto"/>
        <w:rPr>
          <w:sz w:val="20"/>
          <w:szCs w:val="20"/>
          <w:color w:val="auto"/>
        </w:rPr>
      </w:pPr>
      <w:r>
        <w:rPr>
          <w:rFonts w:ascii="Arial" w:cs="Arial" w:eastAsia="Arial" w:hAnsi="Arial"/>
          <w:sz w:val="12"/>
          <w:szCs w:val="12"/>
          <w:color w:val="auto"/>
        </w:rPr>
        <w:t>During extended periods of historically low prices for crude oil, the company’s upstream earnings and capital and exploratory expenditure programs will be negatively affected. Upstream assets may also become impaired. The impact on downstream earnings is dependent upon the supply and demand for refined products and the associated margins on refined product sales.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scope of Chevron’s business will decline if the company does not successfully develop resources.</w:t>
      </w:r>
    </w:p>
    <w:p>
      <w:pPr>
        <w:spacing w:after="0" w:line="91" w:lineRule="exact"/>
        <w:rPr>
          <w:sz w:val="20"/>
          <w:szCs w:val="20"/>
          <w:color w:val="auto"/>
        </w:rPr>
      </w:pPr>
    </w:p>
    <w:p>
      <w:pPr>
        <w:ind w:left="460" w:right="100"/>
        <w:spacing w:after="0" w:line="325" w:lineRule="auto"/>
        <w:rPr>
          <w:sz w:val="20"/>
          <w:szCs w:val="20"/>
          <w:color w:val="auto"/>
        </w:rPr>
      </w:pPr>
      <w:r>
        <w:rPr>
          <w:rFonts w:ascii="Arial" w:cs="Arial" w:eastAsia="Arial" w:hAnsi="Arial"/>
          <w:sz w:val="11"/>
          <w:szCs w:val="11"/>
          <w:color w:val="auto"/>
        </w:rPr>
        <w:t>The company is in an extractive business; therefore, if Chevron is not successful in replacing the crude oil and natural gas it produces with good prospects for future production or through acquisitions, the company’s business will decline. Creating and maintaining an inventory of projects depends on many factors, including obtaining and renewing rights to explore, develop and produce hydrocarbons; drilling success; ability to bring long-lead-time, capital-intensive projects to completion on budget and on schedule; and efficient and profitable operation of mature properties.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company’s operations could be disrupted by natural or human factors.</w:t>
      </w:r>
    </w:p>
    <w:p>
      <w:pPr>
        <w:spacing w:after="0" w:line="91" w:lineRule="exact"/>
        <w:rPr>
          <w:sz w:val="20"/>
          <w:szCs w:val="20"/>
          <w:color w:val="auto"/>
        </w:rPr>
      </w:pPr>
    </w:p>
    <w:p>
      <w:pPr>
        <w:ind w:left="460" w:right="220"/>
        <w:spacing w:after="0" w:line="256" w:lineRule="auto"/>
        <w:rPr>
          <w:sz w:val="20"/>
          <w:szCs w:val="20"/>
          <w:color w:val="auto"/>
        </w:rPr>
      </w:pPr>
      <w:r>
        <w:rPr>
          <w:rFonts w:ascii="Arial" w:cs="Arial" w:eastAsia="Arial" w:hAnsi="Arial"/>
          <w:sz w:val="13"/>
          <w:szCs w:val="13"/>
          <w:color w:val="auto"/>
        </w:rPr>
        <w:t>Chevron operates in both urban areas and remote and sometimes inhospitable regions. The company’s operations and facilities are therefore subject to disruption from either natural or human causes beyond its control, including hurricanes, floods and other forms of severe weather, war, civil unrest and other political events, fires, earthquakes, system failures, cyber threats and terrorist acts, any of which could result in suspension of operations or harm to people or the natural environment.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company’s operations have inherent risks and hazards that require significant and continuous oversight.</w:t>
      </w:r>
    </w:p>
    <w:p>
      <w:pPr>
        <w:spacing w:after="0" w:line="91" w:lineRule="exact"/>
        <w:rPr>
          <w:sz w:val="20"/>
          <w:szCs w:val="20"/>
          <w:color w:val="auto"/>
        </w:rPr>
      </w:pPr>
    </w:p>
    <w:p>
      <w:pPr>
        <w:ind w:left="460" w:right="80"/>
        <w:spacing w:after="0" w:line="275" w:lineRule="auto"/>
        <w:rPr>
          <w:sz w:val="20"/>
          <w:szCs w:val="20"/>
          <w:color w:val="auto"/>
        </w:rPr>
      </w:pPr>
      <w:r>
        <w:rPr>
          <w:rFonts w:ascii="Arial" w:cs="Arial" w:eastAsia="Arial" w:hAnsi="Arial"/>
          <w:sz w:val="12"/>
          <w:szCs w:val="12"/>
          <w:color w:val="auto"/>
        </w:rPr>
        <w:t>Chevron’s results depend on its ability to identify and mitigate the risks and hazards inherent to operating in the crude oil and natural gas industry. The company seeks to minimize these operational risks by carefully designing and building its facilities and conducting its operations in a safe and reliable manner. However, failure to manage these risks effectively could result in unexpected incidents, including releases, explosions or mechanical failures resulting in personal injury, loss of life, environmental damage, loss of revenues, legal liability and/or disruption to operations. Chevron has implemented and maintains a system of corporate policies, behaviors and compliance mechanisms to manage safety, health, environmental, reliability and efficiency risks; to verify compliance with applicable laws and policies; and to respond to and learn from unexpected incidents. Nonetheless, in certain situations where Chevron is not the operator, the company may have limited influence and control over third parties, which may limit its ability to manage and control such risks.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Chevron’s business subjects the company to liability risks from litigation or government action.</w:t>
      </w:r>
    </w:p>
    <w:p>
      <w:pPr>
        <w:spacing w:after="0" w:line="91" w:lineRule="exact"/>
        <w:rPr>
          <w:sz w:val="20"/>
          <w:szCs w:val="20"/>
          <w:color w:val="auto"/>
        </w:rPr>
      </w:pPr>
    </w:p>
    <w:p>
      <w:pPr>
        <w:ind w:left="460"/>
        <w:spacing w:after="0" w:line="277" w:lineRule="auto"/>
        <w:rPr>
          <w:sz w:val="20"/>
          <w:szCs w:val="20"/>
          <w:color w:val="auto"/>
        </w:rPr>
      </w:pPr>
      <w:r>
        <w:rPr>
          <w:rFonts w:ascii="Arial" w:cs="Arial" w:eastAsia="Arial" w:hAnsi="Arial"/>
          <w:sz w:val="12"/>
          <w:szCs w:val="12"/>
          <w:color w:val="auto"/>
        </w:rPr>
        <w:t>The company produces, transports, refines and markets materials with potential toxicity, and it purchases, handles and disposes of other potentially toxic materials in the course of its business. Chevron operations also produce byproducts, which may be considered pollutants. Often these operations are conducted through joint ventures over which the company may have limited influence and control. Any of these activities could result in liability or significant delays in operations arising from private litigation or government action, either as a result of an accidental, unlawful discharge or as a result of new conclusions on the effects of the company’s operations on human health or the environment. In addition, to the extent that societal pressures or political or other factors are involved, it is possible that such liability could be imposed without regard to the company’s causation of or contribution to the asserted damage, or to other mitigating factors.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The company does not insure against all potential losses, which could result in significant financial exposure.</w:t>
      </w:r>
    </w:p>
    <w:p>
      <w:pPr>
        <w:spacing w:after="0" w:line="91" w:lineRule="exact"/>
        <w:rPr>
          <w:sz w:val="20"/>
          <w:szCs w:val="20"/>
          <w:color w:val="auto"/>
        </w:rPr>
      </w:pPr>
    </w:p>
    <w:p>
      <w:pPr>
        <w:ind w:left="460" w:right="120"/>
        <w:spacing w:after="0" w:line="281" w:lineRule="auto"/>
        <w:rPr>
          <w:sz w:val="20"/>
          <w:szCs w:val="20"/>
          <w:color w:val="auto"/>
        </w:rPr>
      </w:pPr>
      <w:r>
        <w:rPr>
          <w:rFonts w:ascii="Arial" w:cs="Arial" w:eastAsia="Arial" w:hAnsi="Arial"/>
          <w:sz w:val="12"/>
          <w:szCs w:val="12"/>
          <w:color w:val="auto"/>
        </w:rPr>
        <w:t>The company does not have commercial insurance or third-party indemnities to cover fully all operational risks or potential liability in the event of a significant incident or series of incidents causing catastrophic loss. As a result the company is, to a substantial extent, self-insured for such events. The company relies on existing liquidity, financial resources and borrowing capacity to meet short-term obligations that would arise from such an event or series of events. The occurrence of a significant incident or unforeseen liability for which the company is not fully insured or for which insurance recovery is significantly delayed could have a material adverse effect on the company’s results of operations or financial condition.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Political instability and significant changes in the regulatory environment could harm Chevron’s business.</w:t>
      </w:r>
    </w:p>
    <w:p>
      <w:pPr>
        <w:spacing w:after="0" w:line="91" w:lineRule="exact"/>
        <w:rPr>
          <w:sz w:val="20"/>
          <w:szCs w:val="20"/>
          <w:color w:val="auto"/>
        </w:rPr>
      </w:pPr>
    </w:p>
    <w:p>
      <w:pPr>
        <w:ind w:left="460" w:right="300"/>
        <w:spacing w:after="0" w:line="267" w:lineRule="auto"/>
        <w:rPr>
          <w:sz w:val="20"/>
          <w:szCs w:val="20"/>
          <w:color w:val="auto"/>
        </w:rPr>
      </w:pPr>
      <w:r>
        <w:rPr>
          <w:rFonts w:ascii="Arial" w:cs="Arial" w:eastAsia="Arial" w:hAnsi="Arial"/>
          <w:sz w:val="13"/>
          <w:szCs w:val="13"/>
          <w:color w:val="auto"/>
        </w:rPr>
        <w:t>The company’s operations, particularly exploration and production, can be affected by changing economic, regulatory and political environments in the various countries in which it operates. As has occurred in the past, actions could be</w:t>
      </w:r>
    </w:p>
    <w:p>
      <w:pPr>
        <w:spacing w:after="0" w:line="26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taken by governments to increase public ownership of the company’s partially or wholly owned businesses or to impose additional taxes or royalties.</w:t>
      </w:r>
    </w:p>
    <w:p>
      <w:pPr>
        <w:spacing w:after="0" w:line="91" w:lineRule="exact"/>
        <w:rPr>
          <w:sz w:val="20"/>
          <w:szCs w:val="20"/>
          <w:color w:val="auto"/>
        </w:rPr>
      </w:pPr>
    </w:p>
    <w:p>
      <w:pPr>
        <w:ind w:left="460" w:right="20"/>
        <w:spacing w:after="0" w:line="274" w:lineRule="auto"/>
        <w:rPr>
          <w:sz w:val="20"/>
          <w:szCs w:val="20"/>
          <w:color w:val="auto"/>
        </w:rPr>
      </w:pPr>
      <w:r>
        <w:rPr>
          <w:rFonts w:ascii="Arial" w:cs="Arial" w:eastAsia="Arial" w:hAnsi="Arial"/>
          <w:sz w:val="12"/>
          <w:szCs w:val="12"/>
          <w:color w:val="auto"/>
        </w:rPr>
        <w:t>In certain locations, governments have imposed or proposed restrictions on the company’s operations, export and exchange controls, burdensome taxes, and public disclosure requirements that might harm the company’s competitiveness or relations with other governments or third parties. In other countries, political conditions have existed that may threaten the safety of employees and the company’s continued presence in those countries and internal unrest, acts of violence or strained relations between a government and the company or other governments may adversely affect the company’s operations. Those developments have, at times, significantly affected the company’s related operations and results and are carefully considered by management when evaluating the level of current and future activity in such countries. At December 31, 2011, 22 percent of the company’s net proved reserves were located in Kazakhstan. The company also has significant interests in OPEC-member countries, including Angola, Nigeria and Venezuela and in the Partitioned Zone between Saudi Arabia and Kuwait. Twenty-two percent of the company’s net proved reserves, including affiliates, were located in OPEC countries at December 31, 2011.</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Regulation of greenhouse gas emissions could increase Chevron’s operational costs and reduce demand for Chevron’s products.</w:t>
      </w:r>
    </w:p>
    <w:p>
      <w:pPr>
        <w:spacing w:after="0" w:line="91" w:lineRule="exact"/>
        <w:rPr>
          <w:sz w:val="20"/>
          <w:szCs w:val="20"/>
          <w:color w:val="auto"/>
        </w:rPr>
      </w:pPr>
    </w:p>
    <w:p>
      <w:pPr>
        <w:ind w:left="460" w:right="160"/>
        <w:spacing w:after="0" w:line="267" w:lineRule="auto"/>
        <w:rPr>
          <w:sz w:val="20"/>
          <w:szCs w:val="20"/>
          <w:color w:val="auto"/>
        </w:rPr>
      </w:pPr>
      <w:r>
        <w:rPr>
          <w:rFonts w:ascii="Arial" w:cs="Arial" w:eastAsia="Arial" w:hAnsi="Arial"/>
          <w:sz w:val="13"/>
          <w:szCs w:val="13"/>
          <w:color w:val="auto"/>
        </w:rPr>
        <w:t>Continued political attention to issues concerning climate change, the role of human activity in it, and potential mitigation through regulation could have a material impact on the company’s operations and financial results.</w:t>
      </w:r>
    </w:p>
    <w:p>
      <w:pPr>
        <w:spacing w:after="0" w:line="61" w:lineRule="exact"/>
        <w:rPr>
          <w:sz w:val="20"/>
          <w:szCs w:val="20"/>
          <w:color w:val="auto"/>
        </w:rPr>
      </w:pPr>
    </w:p>
    <w:p>
      <w:pPr>
        <w:ind w:left="460"/>
        <w:spacing w:after="0" w:line="274" w:lineRule="auto"/>
        <w:rPr>
          <w:sz w:val="20"/>
          <w:szCs w:val="20"/>
          <w:color w:val="auto"/>
        </w:rPr>
      </w:pPr>
      <w:r>
        <w:rPr>
          <w:rFonts w:ascii="Arial" w:cs="Arial" w:eastAsia="Arial" w:hAnsi="Arial"/>
          <w:sz w:val="12"/>
          <w:szCs w:val="12"/>
          <w:color w:val="auto"/>
        </w:rPr>
        <w:t>International agreements and national or regional legislation and regulatory measures to limit greenhouse emissions are currently in various stages of discussion or implementation. These and other greenhouse gas emissions-related laws, policies and regulations may result in substantial capital, compliance, operating and maintenance costs. The level of expenditure required to comply with these laws and regulations is uncertain and is expected to vary depending on the laws enacted in each jurisdiction, the company’s activities in it and market conditions. Greenhouse gas emissions that could be regulated include those arising from the company’s exploration and production of crude oil and natural gas; the upgrading of production from oil sands into synthetic oil; power generation; the conversion of crude oil and natural gas into refined products; the processing, liquefaction and regasification of natural gas; the transportation of crude oil, natural gas and related products and consumers’ or customers’ use of the company’s products. Some of these activities, such as consumers’ and customers’ use of the company’s products, as well as actions taken by the company’s competitors in response to such laws and regulations, are beyond the company’s control.</w:t>
      </w:r>
    </w:p>
    <w:p>
      <w:pPr>
        <w:spacing w:after="0" w:line="60" w:lineRule="exact"/>
        <w:rPr>
          <w:sz w:val="20"/>
          <w:szCs w:val="20"/>
          <w:color w:val="auto"/>
        </w:rPr>
      </w:pPr>
    </w:p>
    <w:p>
      <w:pPr>
        <w:jc w:val="both"/>
        <w:ind w:left="460" w:right="200"/>
        <w:spacing w:after="0" w:line="297" w:lineRule="auto"/>
        <w:rPr>
          <w:sz w:val="20"/>
          <w:szCs w:val="20"/>
          <w:color w:val="auto"/>
        </w:rPr>
      </w:pPr>
      <w:r>
        <w:rPr>
          <w:rFonts w:ascii="Arial" w:cs="Arial" w:eastAsia="Arial" w:hAnsi="Arial"/>
          <w:sz w:val="11"/>
          <w:szCs w:val="11"/>
          <w:color w:val="auto"/>
        </w:rPr>
        <w:t>The effect of regulation on the company’s financial performance will depend on a number of factors including, among others, the sectors covered, the greenhouse gas emissions reductions required by law, the extent to which Chevron would be entitled to receive emission allowance allocations or would need to purchase compliance instruments on the open market or through auctions, the price and availability of emission allowances and credits, and the impact of legislation or other regulation on the company’s ability to recover the costs incurred through the pricing of the company’s products.</w:t>
      </w:r>
    </w:p>
    <w:p>
      <w:pPr>
        <w:ind w:left="460" w:right="320"/>
        <w:spacing w:after="0" w:line="253" w:lineRule="auto"/>
        <w:rPr>
          <w:sz w:val="20"/>
          <w:szCs w:val="20"/>
          <w:color w:val="auto"/>
        </w:rPr>
      </w:pPr>
      <w:r>
        <w:rPr>
          <w:rFonts w:ascii="Arial" w:cs="Arial" w:eastAsia="Arial" w:hAnsi="Arial"/>
          <w:sz w:val="13"/>
          <w:szCs w:val="13"/>
          <w:color w:val="auto"/>
        </w:rPr>
        <w:t>Material price increases or incentives to conserve or use alternative energy sources could reduce demand for products the company currently sells and adversely affect the company’s sales volumes, revenues and margins.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Changes in management’s estimates and assumptions may have a material impact on the company’s consolidated financial statements and financial or operations performance in any given period.</w:t>
      </w:r>
    </w:p>
    <w:p>
      <w:pPr>
        <w:spacing w:after="0" w:line="114" w:lineRule="exact"/>
        <w:rPr>
          <w:sz w:val="20"/>
          <w:szCs w:val="20"/>
          <w:color w:val="auto"/>
        </w:rPr>
      </w:pPr>
    </w:p>
    <w:p>
      <w:pPr>
        <w:ind w:left="460"/>
        <w:spacing w:after="0" w:line="275" w:lineRule="auto"/>
        <w:rPr>
          <w:sz w:val="20"/>
          <w:szCs w:val="20"/>
          <w:color w:val="auto"/>
        </w:rPr>
      </w:pPr>
      <w:r>
        <w:rPr>
          <w:rFonts w:ascii="Arial" w:cs="Arial" w:eastAsia="Arial" w:hAnsi="Arial"/>
          <w:sz w:val="12"/>
          <w:szCs w:val="12"/>
          <w:color w:val="auto"/>
        </w:rPr>
        <w:t>In preparing the company’s periodic reports under the Securities Exchange Act of 1934, including its financial statements, Chevron’s management is required under applicable rules and regulations to make estimates and assumptions as of a specified date.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measurement of benefit obligations for pension and other postretirement benefit plans; estimates of crude oil and natural gas recoverable reserves; accruals for estimated liabilities, including litigation reserves; and impairments to property, plant and equipment. Changes in estimates or assumptions or the information underlying the assumptions, such as changes in the company’s business plans, general market conditions or changes in commodity prices, could affect reported amounts of assets, liabilities or expenses.</w:t>
      </w:r>
    </w:p>
    <w:p>
      <w:pPr>
        <w:spacing w:after="0" w:line="13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60"/>
          </w:cols>
          <w:pgMar w:left="220" w:top="339" w:right="8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95"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The location and character of the company’s crude oil, natural gas and mining properties and its refining, marketing, transportation and chemicals facilities are described on page 3 under Item 1. Business. Information required by Subpart 1200 of Regulation S-K (“Disclosure by Registrants Engaged in Oil and Gas Producing Activities”) is also contained in Item 1 and in Tables I through VII on pages FS-62 through FS-76. Note 13, “Properties, Plant and Equipment,” to the company’s financial statements is on page FS-41.</w:t>
      </w:r>
    </w:p>
    <w:p>
      <w:pPr>
        <w:spacing w:after="0" w:line="142"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Ecuador</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Information related to Ecuador matters is included in Note 14 to the Consolidated Financial Statements under the heading Ecuador, beginning on page FS-41.</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Certain Governmental Proceedings</w:t>
      </w:r>
    </w:p>
    <w:p>
      <w:pPr>
        <w:spacing w:after="0" w:line="13" w:lineRule="exact"/>
        <w:rPr>
          <w:sz w:val="20"/>
          <w:szCs w:val="20"/>
          <w:color w:val="auto"/>
        </w:rPr>
      </w:pPr>
    </w:p>
    <w:p>
      <w:pPr>
        <w:ind w:left="460"/>
        <w:spacing w:after="0" w:line="281" w:lineRule="auto"/>
        <w:rPr>
          <w:sz w:val="20"/>
          <w:szCs w:val="20"/>
          <w:color w:val="auto"/>
        </w:rPr>
      </w:pPr>
      <w:r>
        <w:rPr>
          <w:rFonts w:ascii="Arial" w:cs="Arial" w:eastAsia="Arial" w:hAnsi="Arial"/>
          <w:sz w:val="12"/>
          <w:szCs w:val="12"/>
          <w:color w:val="auto"/>
        </w:rPr>
        <w:t>In November 2008, the California Air Resources Board (CARB) proposed a civil penalty against Chevron’s Sacramento, California, terminal for alleged violations between August and December 2007 of CARB’s regulations governing the minimum concentration of additives in gasoline. Due to a computer programming error, the Sacramento terminal’s automatic dispensers allegedly failed to inject additive detergent into a gasoline line. It appears that the resolution of these notices of violation may result in the payment of a civil penalty exceeding $100,000.</w:t>
      </w:r>
    </w:p>
    <w:p>
      <w:pPr>
        <w:spacing w:after="0" w:line="55" w:lineRule="exact"/>
        <w:rPr>
          <w:sz w:val="20"/>
          <w:szCs w:val="20"/>
          <w:color w:val="auto"/>
        </w:rPr>
      </w:pPr>
    </w:p>
    <w:p>
      <w:pPr>
        <w:ind w:left="460"/>
        <w:spacing w:after="0" w:line="281" w:lineRule="auto"/>
        <w:rPr>
          <w:sz w:val="20"/>
          <w:szCs w:val="20"/>
          <w:color w:val="auto"/>
        </w:rPr>
      </w:pPr>
      <w:r>
        <w:rPr>
          <w:rFonts w:ascii="Arial" w:cs="Arial" w:eastAsia="Arial" w:hAnsi="Arial"/>
          <w:sz w:val="12"/>
          <w:szCs w:val="12"/>
          <w:color w:val="auto"/>
        </w:rPr>
        <w:t>In November 2008, CARB proposed a civil penalty against Chevron’s Richmond, California, refinery for a notice of violation relating to gasoline that was not properly certified as to composition. The composition certificates for the gasoline were corrected without requiring any change to the composition of the gasoline. In July 2009, CARB issued the refinery a notice of violation relating to an error in gasoline blending that caused the product composition certifications to be in error. The composition certifications were corrected without requiring any change to the gasoline. Discussions with CARB officials relating to all of these matters continue. It appears that the resolution of these notices of violation may result in the payment of a civil penalty exceeding $100,000.</w:t>
      </w:r>
    </w:p>
    <w:p>
      <w:pPr>
        <w:spacing w:after="0" w:line="55" w:lineRule="exact"/>
        <w:rPr>
          <w:sz w:val="20"/>
          <w:szCs w:val="20"/>
          <w:color w:val="auto"/>
        </w:rPr>
      </w:pPr>
    </w:p>
    <w:p>
      <w:pPr>
        <w:ind w:left="460" w:right="80"/>
        <w:spacing w:after="0" w:line="309" w:lineRule="auto"/>
        <w:rPr>
          <w:sz w:val="20"/>
          <w:szCs w:val="20"/>
          <w:color w:val="auto"/>
        </w:rPr>
      </w:pPr>
      <w:r>
        <w:rPr>
          <w:rFonts w:ascii="Arial" w:cs="Arial" w:eastAsia="Arial" w:hAnsi="Arial"/>
          <w:sz w:val="12"/>
          <w:szCs w:val="12"/>
          <w:color w:val="auto"/>
        </w:rPr>
        <w:t>In July 2009, CARB issued a notice of violation against Chevron Products Company for alleged violations of CARB’s regulations governing the certification of gasoline that occurred during storage at a third-party facility and which had been self-reported by Chevron on discovery. Chevron believes that this matter will not result in the payment of a civil penalty exceeding $100,000.</w:t>
      </w:r>
    </w:p>
    <w:p>
      <w:pPr>
        <w:spacing w:after="0" w:line="39" w:lineRule="exact"/>
        <w:rPr>
          <w:sz w:val="20"/>
          <w:szCs w:val="20"/>
          <w:color w:val="auto"/>
        </w:rPr>
      </w:pPr>
    </w:p>
    <w:p>
      <w:pPr>
        <w:ind w:left="460" w:right="180"/>
        <w:spacing w:after="0" w:line="267" w:lineRule="auto"/>
        <w:rPr>
          <w:sz w:val="20"/>
          <w:szCs w:val="20"/>
          <w:color w:val="auto"/>
        </w:rPr>
      </w:pPr>
      <w:r>
        <w:rPr>
          <w:rFonts w:ascii="Arial" w:cs="Arial" w:eastAsia="Arial" w:hAnsi="Arial"/>
          <w:sz w:val="13"/>
          <w:szCs w:val="13"/>
          <w:color w:val="auto"/>
        </w:rPr>
        <w:t>In 2011, CARB made penalty demands with respect to four notices of violation against Chevron for alleged violations of CARB’s fuel blend regulations at certain California terminals and refineries. It appears that the resolution of these notices of violation may result in the payment of a civil penalty exceeding $100,000.</w:t>
      </w:r>
    </w:p>
    <w:p>
      <w:pPr>
        <w:spacing w:after="0" w:line="61"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In July 2009, the Hawaii Department of Health (DOH) alleged that Chevron is obligated to pay stipulated civil penalties exceeding $100,000 in conjunction with commitments Chevron undertook to install and operate certain air emission control equipment at its Hawaii Refinery pursuant to a Clean Air Act settlement with the United States Environmental Protection Agency (EPA) and DOH. Chevron has disputed many of the allegations.</w:t>
      </w:r>
    </w:p>
    <w:p>
      <w:pPr>
        <w:spacing w:after="0" w:line="69" w:lineRule="exact"/>
        <w:rPr>
          <w:sz w:val="20"/>
          <w:szCs w:val="20"/>
          <w:color w:val="auto"/>
        </w:rPr>
      </w:pPr>
    </w:p>
    <w:p>
      <w:pPr>
        <w:ind w:left="460" w:right="200"/>
        <w:spacing w:after="0" w:line="253" w:lineRule="auto"/>
        <w:rPr>
          <w:sz w:val="20"/>
          <w:szCs w:val="20"/>
          <w:color w:val="auto"/>
        </w:rPr>
      </w:pPr>
      <w:r>
        <w:rPr>
          <w:rFonts w:ascii="Arial" w:cs="Arial" w:eastAsia="Arial" w:hAnsi="Arial"/>
          <w:sz w:val="13"/>
          <w:szCs w:val="13"/>
          <w:color w:val="auto"/>
        </w:rPr>
        <w:t>Chevron has entered into negotiations with the EPA with respect to alleged air quality violations at Chevron’s Perth Amboy, New Jersey refinery identified in a September 16, 2008 Compliance Order issued by the EPA. The alleged violations relate to certain management and reporting requirements set forth in the EPA’s Leak Detection and Repair regulations (these regulations pertain to the control and monitoring of fugitive emissions from refinery process equipment). Based on discussions with the EPA, it appears that the resolution of this matter may result in the payment of a civil penalty exceeding $100,000.</w:t>
      </w:r>
    </w:p>
    <w:p>
      <w:pPr>
        <w:spacing w:after="0" w:line="71" w:lineRule="exact"/>
        <w:rPr>
          <w:sz w:val="20"/>
          <w:szCs w:val="20"/>
          <w:color w:val="auto"/>
        </w:rPr>
      </w:pPr>
    </w:p>
    <w:p>
      <w:pPr>
        <w:ind w:left="460" w:right="240"/>
        <w:spacing w:after="0" w:line="256" w:lineRule="auto"/>
        <w:rPr>
          <w:sz w:val="20"/>
          <w:szCs w:val="20"/>
          <w:color w:val="auto"/>
        </w:rPr>
      </w:pPr>
      <w:r>
        <w:rPr>
          <w:rFonts w:ascii="Arial" w:cs="Arial" w:eastAsia="Arial" w:hAnsi="Arial"/>
          <w:sz w:val="13"/>
          <w:szCs w:val="13"/>
          <w:color w:val="auto"/>
        </w:rPr>
        <w:t>The EPA indicated that it would assess Chevron’s Salt Lake City Refinery a civil penalty for alleged violations of federal requirements and Utah’s air pollution laws. These alleged violations were the subject of an August 20, 2008 EPA Notice of Violation (NOV) for which no penalty was assessed at the time. It appears that the resolution of this NOV may result in the payment of a civil penalty exceeding $100,000.</w:t>
      </w:r>
    </w:p>
    <w:p>
      <w:pPr>
        <w:spacing w:after="0" w:line="69" w:lineRule="exact"/>
        <w:rPr>
          <w:sz w:val="20"/>
          <w:szCs w:val="20"/>
          <w:color w:val="auto"/>
        </w:rPr>
      </w:pPr>
    </w:p>
    <w:p>
      <w:pPr>
        <w:ind w:left="460" w:right="200"/>
        <w:spacing w:after="0" w:line="256" w:lineRule="auto"/>
        <w:rPr>
          <w:sz w:val="20"/>
          <w:szCs w:val="20"/>
          <w:color w:val="auto"/>
        </w:rPr>
      </w:pPr>
      <w:r>
        <w:rPr>
          <w:rFonts w:ascii="Arial" w:cs="Arial" w:eastAsia="Arial" w:hAnsi="Arial"/>
          <w:sz w:val="13"/>
          <w:szCs w:val="13"/>
          <w:color w:val="auto"/>
        </w:rPr>
        <w:t>The South Coast Air Quality Management District (SCAQMD) issued a NOV to Chevron’s Huntington Beach, California, terminal seeking a civil penalty for alleged violations involving the repair of two holes in the roof of a tank at the terminal. Based on a July 8, 2011, settlement communication with the SCAQMD, it appears that the resolution of this NOV may result in the payment of a civil penalty exceeding $100,000.</w:t>
      </w:r>
    </w:p>
    <w:p>
      <w:pPr>
        <w:spacing w:after="0" w:line="27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9" w:right="79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right="140"/>
        <w:spacing w:after="0" w:line="256" w:lineRule="auto"/>
        <w:rPr>
          <w:sz w:val="20"/>
          <w:szCs w:val="20"/>
          <w:color w:val="auto"/>
        </w:rPr>
      </w:pPr>
      <w:r>
        <w:rPr>
          <w:rFonts w:ascii="Arial" w:cs="Arial" w:eastAsia="Arial" w:hAnsi="Arial"/>
          <w:sz w:val="13"/>
          <w:szCs w:val="13"/>
          <w:color w:val="auto"/>
        </w:rPr>
        <w:t>Chevron reached a final resolution of an administrative penalty proceeding brought by the Utah Department of Environmental Quality by agreeing to pay the State of Utah a civil penalty of $500,000 as the result of two crude oil releases. The first release occurred in June 2010 and the second occurred in December 2010. In addition, Chevron agreed to pay the State of Utah and the Salt Lake City Corporation $4 million in damages and restoration projects. The public review period passed and the penalty has been paid.</w:t>
      </w:r>
    </w:p>
    <w:p>
      <w:pPr>
        <w:spacing w:after="0" w:line="142"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95" w:lineRule="exact"/>
        <w:rPr>
          <w:sz w:val="20"/>
          <w:szCs w:val="20"/>
          <w:color w:val="auto"/>
        </w:rPr>
      </w:pPr>
    </w:p>
    <w:p>
      <w:pPr>
        <w:ind w:left="460" w:right="800"/>
        <w:spacing w:after="0" w:line="267" w:lineRule="auto"/>
        <w:rPr>
          <w:sz w:val="20"/>
          <w:szCs w:val="20"/>
          <w:color w:val="auto"/>
        </w:rPr>
      </w:pPr>
      <w:r>
        <w:rPr>
          <w:rFonts w:ascii="Arial" w:cs="Arial" w:eastAsia="Arial" w:hAnsi="Arial"/>
          <w:sz w:val="13"/>
          <w:szCs w:val="13"/>
          <w:color w:val="auto"/>
        </w:rPr>
        <w:t>Information concerning mine safety violations or other regulatory matters required by Section 1503(a) of the Dodd-Frank Wall Street Reform and Consumer Protection Act and Item 104 of Regulation S-K (17 C.F.R. § 229.104) is included in Exhibit 95 of this Annual Report on Form 10-K.</w:t>
      </w:r>
    </w:p>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II</w:t>
      </w:r>
    </w:p>
    <w:p>
      <w:pPr>
        <w:spacing w:after="0" w:line="16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color w:val="auto"/>
        </w:rPr>
        <w:t>Market for the Registrant’s Common Equity, Related Stockholder Matters and Issuer Purchases of Equity Securities</w:t>
      </w:r>
    </w:p>
    <w:p>
      <w:pPr>
        <w:spacing w:after="0" w:line="95" w:lineRule="exact"/>
        <w:rPr>
          <w:sz w:val="20"/>
          <w:szCs w:val="20"/>
          <w:color w:val="auto"/>
        </w:rPr>
      </w:pPr>
    </w:p>
    <w:p>
      <w:pPr>
        <w:ind w:left="460" w:right="200"/>
        <w:spacing w:after="0" w:line="267" w:lineRule="auto"/>
        <w:rPr>
          <w:sz w:val="20"/>
          <w:szCs w:val="20"/>
          <w:color w:val="auto"/>
        </w:rPr>
      </w:pPr>
      <w:r>
        <w:rPr>
          <w:rFonts w:ascii="Arial" w:cs="Arial" w:eastAsia="Arial" w:hAnsi="Arial"/>
          <w:sz w:val="13"/>
          <w:szCs w:val="13"/>
          <w:color w:val="auto"/>
        </w:rPr>
        <w:t>The information on Chevron’s common stock market prices, dividends, principal exchanges on which the stock is traded and number of stockholders of record is contained in the Quarterly Results and Stock Market Data tabulations, on page FS-20.</w:t>
      </w:r>
    </w:p>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CHEVRON CORPORATION</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Maximum</w:t>
            </w:r>
          </w:p>
        </w:tc>
      </w:tr>
      <w:tr>
        <w:trPr>
          <w:trHeight w:val="106"/>
        </w:trPr>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6"/>
              </w:rPr>
              <w:t>Total Number of</w:t>
            </w: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0"/>
              </w:rPr>
              <w:t>Number of Shares</w:t>
            </w:r>
          </w:p>
        </w:tc>
      </w:tr>
      <w:tr>
        <w:trPr>
          <w:trHeight w:val="106"/>
        </w:trPr>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320"/>
              <w:spacing w:after="0" w:line="106" w:lineRule="exact"/>
              <w:rPr>
                <w:sz w:val="20"/>
                <w:szCs w:val="20"/>
                <w:color w:val="auto"/>
              </w:rPr>
            </w:pPr>
            <w:r>
              <w:rPr>
                <w:rFonts w:ascii="Arial" w:cs="Arial" w:eastAsia="Arial" w:hAnsi="Arial"/>
                <w:sz w:val="10"/>
                <w:szCs w:val="10"/>
                <w:b w:val="1"/>
                <w:bCs w:val="1"/>
                <w:color w:val="auto"/>
                <w:w w:val="93"/>
              </w:rPr>
              <w:t>Total Number</w:t>
            </w:r>
          </w:p>
        </w:tc>
        <w:tc>
          <w:tcPr>
            <w:tcW w:w="96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1"/>
              </w:rPr>
              <w:t>Average</w:t>
            </w:r>
          </w:p>
        </w:tc>
        <w:tc>
          <w:tcPr>
            <w:tcW w:w="1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88"/>
              </w:rPr>
              <w:t>Shares Purchased as</w:t>
            </w: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5"/>
              </w:rPr>
              <w:t>that May Yet be</w:t>
            </w:r>
          </w:p>
        </w:tc>
      </w:tr>
      <w:tr>
        <w:trPr>
          <w:trHeight w:val="106"/>
        </w:trPr>
        <w:tc>
          <w:tcPr>
            <w:tcW w:w="5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320"/>
              <w:spacing w:after="0" w:line="106" w:lineRule="exact"/>
              <w:rPr>
                <w:sz w:val="20"/>
                <w:szCs w:val="20"/>
                <w:color w:val="auto"/>
              </w:rPr>
            </w:pPr>
            <w:r>
              <w:rPr>
                <w:rFonts w:ascii="Arial" w:cs="Arial" w:eastAsia="Arial" w:hAnsi="Arial"/>
                <w:sz w:val="10"/>
                <w:szCs w:val="10"/>
                <w:b w:val="1"/>
                <w:bCs w:val="1"/>
                <w:color w:val="auto"/>
                <w:w w:val="87"/>
              </w:rPr>
              <w:t>of Shares</w:t>
            </w:r>
          </w:p>
        </w:tc>
        <w:tc>
          <w:tcPr>
            <w:tcW w:w="96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0"/>
              </w:rPr>
              <w:t>Price Paid</w:t>
            </w:r>
          </w:p>
        </w:tc>
        <w:tc>
          <w:tcPr>
            <w:tcW w:w="1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6"/>
              </w:rPr>
              <w:t>Part of Publicly</w:t>
            </w:r>
          </w:p>
        </w:tc>
        <w:tc>
          <w:tcPr>
            <w:tcW w:w="124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4"/>
              </w:rPr>
              <w:t>Purchased Under</w:t>
            </w:r>
          </w:p>
        </w:tc>
      </w:tr>
      <w:tr>
        <w:trPr>
          <w:trHeight w:val="120"/>
        </w:trPr>
        <w:tc>
          <w:tcPr>
            <w:tcW w:w="522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10"/>
                <w:szCs w:val="10"/>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6"/>
              </w:rPr>
              <w:t>Purchased</w:t>
            </w:r>
            <w:r>
              <w:rPr>
                <w:rFonts w:ascii="Arial" w:cs="Arial" w:eastAsia="Arial" w:hAnsi="Arial"/>
                <w:sz w:val="8"/>
                <w:szCs w:val="8"/>
                <w:b w:val="1"/>
                <w:bCs w:val="1"/>
                <w:color w:val="auto"/>
                <w:w w:val="96"/>
              </w:rPr>
              <w:t>(1)(2)</w:t>
            </w:r>
          </w:p>
        </w:tc>
        <w:tc>
          <w:tcPr>
            <w:tcW w:w="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per Share</w:t>
            </w:r>
          </w:p>
        </w:tc>
        <w:tc>
          <w:tcPr>
            <w:tcW w:w="16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0"/>
              </w:rPr>
              <w:t>Announced Program</w:t>
            </w: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the Program</w:t>
            </w:r>
            <w:r>
              <w:rPr>
                <w:rFonts w:ascii="Arial" w:cs="Arial" w:eastAsia="Arial" w:hAnsi="Arial"/>
                <w:sz w:val="8"/>
                <w:szCs w:val="8"/>
                <w:b w:val="1"/>
                <w:bCs w:val="1"/>
                <w:color w:val="auto"/>
                <w:w w:val="96"/>
              </w:rPr>
              <w:t>(2)</w:t>
            </w:r>
          </w:p>
        </w:tc>
      </w:tr>
      <w:tr>
        <w:trPr>
          <w:trHeight w:val="28"/>
        </w:trPr>
        <w:tc>
          <w:tcPr>
            <w:tcW w:w="52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4"/>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Oct. 1 – Oct. 31, 2011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4,379,887</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b w:val="1"/>
                <w:bCs w:val="1"/>
                <w:color w:val="auto"/>
              </w:rPr>
              <w:t>99.86</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4,378,905</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3"/>
                <w:szCs w:val="13"/>
                <w:b w:val="1"/>
                <w:bCs w:val="1"/>
                <w:color w:val="auto"/>
              </w:rPr>
              <w:t>—</w:t>
            </w:r>
          </w:p>
        </w:tc>
      </w:tr>
      <w:tr>
        <w:trPr>
          <w:trHeight w:val="154"/>
        </w:trPr>
        <w:tc>
          <w:tcPr>
            <w:tcW w:w="5220" w:type="dxa"/>
            <w:vAlign w:val="bottom"/>
          </w:tcPr>
          <w:p>
            <w:pPr>
              <w:spacing w:after="0"/>
              <w:rPr>
                <w:sz w:val="20"/>
                <w:szCs w:val="20"/>
                <w:color w:val="auto"/>
              </w:rPr>
            </w:pPr>
            <w:r>
              <w:rPr>
                <w:rFonts w:ascii="Arial" w:cs="Arial" w:eastAsia="Arial" w:hAnsi="Arial"/>
                <w:sz w:val="13"/>
                <w:szCs w:val="13"/>
                <w:color w:val="auto"/>
              </w:rPr>
              <w:t>Nov. 1 – Nov. 30, 2011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4,173,725</w:t>
            </w:r>
          </w:p>
        </w:tc>
        <w:tc>
          <w:tcPr>
            <w:tcW w:w="30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102.18</w:t>
            </w:r>
          </w:p>
        </w:tc>
        <w:tc>
          <w:tcPr>
            <w:tcW w:w="1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4,170,000</w:t>
            </w:r>
          </w:p>
        </w:tc>
        <w:tc>
          <w:tcPr>
            <w:tcW w:w="1240" w:type="dxa"/>
            <w:vAlign w:val="bottom"/>
            <w:gridSpan w:val="2"/>
          </w:tcPr>
          <w:p>
            <w:pPr>
              <w:ind w:left="1020"/>
              <w:spacing w:after="0"/>
              <w:rPr>
                <w:sz w:val="20"/>
                <w:szCs w:val="20"/>
                <w:color w:val="auto"/>
              </w:rPr>
            </w:pPr>
            <w:r>
              <w:rPr>
                <w:rFonts w:ascii="Arial" w:cs="Arial" w:eastAsia="Arial" w:hAnsi="Arial"/>
                <w:sz w:val="13"/>
                <w:szCs w:val="13"/>
                <w:b w:val="1"/>
                <w:bCs w:val="1"/>
                <w:color w:val="auto"/>
              </w:rPr>
              <w:t>—</w:t>
            </w:r>
          </w:p>
        </w:tc>
      </w:tr>
      <w:tr>
        <w:trPr>
          <w:trHeight w:val="154"/>
        </w:trPr>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Dec. 1 – Dec. 31, 2011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3,738,606</w:t>
            </w: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b w:val="1"/>
                <w:bCs w:val="1"/>
                <w:color w:val="auto"/>
              </w:rPr>
              <w:t>103.63</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3,730,500</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3"/>
                <w:szCs w:val="13"/>
                <w:b w:val="1"/>
                <w:bCs w:val="1"/>
                <w:color w:val="auto"/>
              </w:rPr>
              <w:t>—</w:t>
            </w:r>
          </w:p>
        </w:tc>
      </w:tr>
      <w:tr>
        <w:trPr>
          <w:trHeight w:val="162"/>
        </w:trPr>
        <w:tc>
          <w:tcPr>
            <w:tcW w:w="5220" w:type="dxa"/>
            <w:vAlign w:val="bottom"/>
          </w:tcPr>
          <w:p>
            <w:pPr>
              <w:spacing w:after="0"/>
              <w:rPr>
                <w:sz w:val="20"/>
                <w:szCs w:val="20"/>
                <w:color w:val="auto"/>
              </w:rPr>
            </w:pPr>
            <w:r>
              <w:rPr>
                <w:rFonts w:ascii="Arial" w:cs="Arial" w:eastAsia="Arial" w:hAnsi="Arial"/>
                <w:sz w:val="13"/>
                <w:szCs w:val="13"/>
                <w:b w:val="1"/>
                <w:bCs w:val="1"/>
                <w:color w:val="auto"/>
              </w:rPr>
              <w:t>Total Oct. 1 – Dec. 31, 2011</w:t>
            </w:r>
          </w:p>
        </w:tc>
        <w:tc>
          <w:tcPr>
            <w:tcW w:w="2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12,292,218</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101.80</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12,279,405</w:t>
            </w:r>
          </w:p>
        </w:tc>
        <w:tc>
          <w:tcPr>
            <w:tcW w:w="300" w:type="dxa"/>
            <w:vAlign w:val="bottom"/>
          </w:tcPr>
          <w:p>
            <w:pPr>
              <w:spacing w:after="0"/>
              <w:rPr>
                <w:sz w:val="14"/>
                <w:szCs w:val="14"/>
                <w:color w:val="auto"/>
              </w:rPr>
            </w:pPr>
          </w:p>
        </w:tc>
        <w:tc>
          <w:tcPr>
            <w:tcW w:w="1240" w:type="dxa"/>
            <w:vAlign w:val="bottom"/>
            <w:gridSpan w:val="2"/>
          </w:tcPr>
          <w:p>
            <w:pPr>
              <w:ind w:left="1020"/>
              <w:spacing w:after="0"/>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164465</wp:posOffset>
            </wp:positionV>
            <wp:extent cx="106172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240" w:lineRule="exact"/>
        <w:rPr>
          <w:sz w:val="20"/>
          <w:szCs w:val="20"/>
          <w:color w:val="auto"/>
        </w:rPr>
      </w:pPr>
    </w:p>
    <w:p>
      <w:pPr>
        <w:ind w:left="780" w:right="220" w:hanging="262"/>
        <w:spacing w:after="0" w:line="288" w:lineRule="auto"/>
        <w:tabs>
          <w:tab w:leader="none" w:pos="7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Pertains to common shares repurchased during the three-month period ended December 31, 2011, from company employees for required personal income tax withholdings on the exercise of the stock options issued to management under long-term incentive plans and former Texaco Inc. and Unocal stock option plans. Also includes shares delivered or attested to in satisfaction of the exercise price by holders of certain former Texaco Inc. employee stock options exercised during the three-month period ended December 31, 2011.</w:t>
      </w:r>
    </w:p>
    <w:p>
      <w:pPr>
        <w:spacing w:after="0" w:line="2" w:lineRule="exact"/>
        <w:rPr>
          <w:rFonts w:ascii="Arial" w:cs="Arial" w:eastAsia="Arial" w:hAnsi="Arial"/>
          <w:sz w:val="12"/>
          <w:szCs w:val="12"/>
          <w:color w:val="auto"/>
        </w:rPr>
      </w:pPr>
    </w:p>
    <w:p>
      <w:pPr>
        <w:ind w:left="780" w:right="20" w:hanging="262"/>
        <w:spacing w:after="0" w:line="256" w:lineRule="auto"/>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July 2010, the Board of Directors approved an ongoing share repurchase program with no set term or monetary limits, under which common shares would be acquired by the company through open market purchases (some pursuant to a Rule 10b5-1 plan) at prevailing prices, as permitted by securities laws and other legal requirements and subject to market conditions and other factors. As of December 31, 2011, 51,064,679 shares had been acquired under this program for $5.0 billion.</w:t>
      </w:r>
    </w:p>
    <w:p>
      <w:pPr>
        <w:spacing w:after="0" w:line="142"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selected financial data for years 2007 through 2011 are presented on page FS-61.</w:t>
      </w:r>
    </w:p>
    <w:p>
      <w:pPr>
        <w:spacing w:after="0" w:line="16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index to Management’s Discussion and Analysis of Financial Condition and Results of Operations, Consolidated Financial Statements and Supplementary Data is presented on page FS-1.</w:t>
      </w:r>
    </w:p>
    <w:p>
      <w:pPr>
        <w:spacing w:after="0" w:line="175"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95" w:lineRule="exact"/>
        <w:rPr>
          <w:sz w:val="20"/>
          <w:szCs w:val="20"/>
          <w:color w:val="auto"/>
        </w:rPr>
      </w:pPr>
    </w:p>
    <w:p>
      <w:pPr>
        <w:ind w:left="460" w:right="260"/>
        <w:spacing w:after="0" w:line="267" w:lineRule="auto"/>
        <w:rPr>
          <w:sz w:val="20"/>
          <w:szCs w:val="20"/>
          <w:color w:val="auto"/>
        </w:rPr>
      </w:pPr>
      <w:r>
        <w:rPr>
          <w:rFonts w:ascii="Arial" w:cs="Arial" w:eastAsia="Arial" w:hAnsi="Arial"/>
          <w:sz w:val="13"/>
          <w:szCs w:val="13"/>
          <w:color w:val="auto"/>
        </w:rPr>
        <w:t>The company’s discussion of interest rate, foreign currency and commodity price market risk is contained in Management’s Discussion and Analysis of Financial Condition and Results of Operations — “Financial and Derivative</w:t>
      </w: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Instruments,” beginning on page FS-13 and in Note 10 to the Consolidated Financial Statements, “Financial and Derivative Instruments,” beginning on page FS-36.</w:t>
      </w:r>
    </w:p>
    <w:p>
      <w:pPr>
        <w:spacing w:after="0" w:line="16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index to Management’s Discussion and Analysis, Consolidated Financial Statements and Supplementary Data is presented on page FS-1.</w:t>
      </w:r>
    </w:p>
    <w:p>
      <w:pPr>
        <w:spacing w:after="0" w:line="164"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64"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91" w:lineRule="exact"/>
        <w:rPr>
          <w:sz w:val="20"/>
          <w:szCs w:val="20"/>
          <w:color w:val="auto"/>
        </w:rPr>
      </w:pPr>
    </w:p>
    <w:p>
      <w:pPr>
        <w:ind w:left="880" w:hanging="424"/>
        <w:spacing w:after="0"/>
        <w:tabs>
          <w:tab w:leader="none" w:pos="88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Evaluation of Disclosure Controls and Procedures</w:t>
      </w:r>
    </w:p>
    <w:p>
      <w:pPr>
        <w:spacing w:after="0" w:line="95" w:lineRule="exact"/>
        <w:rPr>
          <w:sz w:val="20"/>
          <w:szCs w:val="20"/>
          <w:color w:val="auto"/>
        </w:rPr>
      </w:pPr>
    </w:p>
    <w:p>
      <w:pPr>
        <w:jc w:val="both"/>
        <w:ind w:left="460" w:right="20"/>
        <w:spacing w:after="0" w:line="288" w:lineRule="auto"/>
        <w:rPr>
          <w:sz w:val="20"/>
          <w:szCs w:val="20"/>
          <w:color w:val="auto"/>
        </w:rPr>
      </w:pPr>
      <w:r>
        <w:rPr>
          <w:rFonts w:ascii="Arial" w:cs="Arial" w:eastAsia="Arial" w:hAnsi="Arial"/>
          <w:sz w:val="12"/>
          <w:szCs w:val="12"/>
          <w:color w:val="auto"/>
        </w:rPr>
        <w:t>The company’s management has evaluated, with the participation of the Chief Executive Officer and the Chief Financial Officer, the effectiveness of the company’s disclosure controls and procedures (as defined in Rule 13a-15(e) and 15d-15(e) under the Securities Exchange Act of 1934 (the “Exchange Act”)) as of the end of the period covered by this report. Based on this evaluation, the Chief Executive Officer and the Chief Financial Officer concluded that the company’s disclosure controls and procedures were effective as of December 31, 2011.</w:t>
      </w:r>
    </w:p>
    <w:p>
      <w:pPr>
        <w:spacing w:after="0" w:line="124" w:lineRule="exact"/>
        <w:rPr>
          <w:sz w:val="20"/>
          <w:szCs w:val="20"/>
          <w:color w:val="auto"/>
        </w:rPr>
      </w:pPr>
    </w:p>
    <w:p>
      <w:pPr>
        <w:ind w:left="880" w:hanging="424"/>
        <w:spacing w:after="0"/>
        <w:tabs>
          <w:tab w:leader="none" w:pos="88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Management’s Report on Internal Control Over Financial Reporting</w:t>
      </w:r>
    </w:p>
    <w:p>
      <w:pPr>
        <w:spacing w:after="0" w:line="95" w:lineRule="exact"/>
        <w:rPr>
          <w:sz w:val="20"/>
          <w:szCs w:val="20"/>
          <w:color w:val="auto"/>
        </w:rPr>
      </w:pPr>
    </w:p>
    <w:p>
      <w:pPr>
        <w:ind w:left="460" w:right="160"/>
        <w:spacing w:after="0" w:line="253"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such term is defined in Exchange Act Rule 13a-15(f). The company’s management, including the Chief Executive Officer and the Chief Financial Officer, conducted an evaluation of the effectiveness of the company’s internal control over financial reporting based on the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 Based on the results of this evaluation, the company’s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concluded that internal control over financial reporting was effective as of December 31, 2011.</w:t>
      </w:r>
    </w:p>
    <w:p>
      <w:pPr>
        <w:spacing w:after="0" w:line="71"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The effectiveness of the company’s internal control over financial reporting as of December 31, 2011, has been audited by PricewaterhouseCoopers LLP, an independent registered public accounting firm, as stated in its report included on page FS-22.</w:t>
      </w:r>
    </w:p>
    <w:p>
      <w:pPr>
        <w:spacing w:after="0" w:line="134" w:lineRule="exact"/>
        <w:rPr>
          <w:sz w:val="20"/>
          <w:szCs w:val="20"/>
          <w:color w:val="auto"/>
        </w:rPr>
      </w:pPr>
    </w:p>
    <w:p>
      <w:pPr>
        <w:ind w:left="880" w:hanging="424"/>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Changes in Internal Control Over Financial Reporting</w:t>
      </w:r>
    </w:p>
    <w:p>
      <w:pPr>
        <w:spacing w:after="0" w:line="95"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During the quarter ended December 31, 2011, there were no changes in the company’s internal control over financial reporting that have materially affected, or are reasonably likely to materially affect, the company’s internal control over financial reporting.</w:t>
      </w:r>
    </w:p>
    <w:p>
      <w:pPr>
        <w:spacing w:after="0" w:line="13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80"/>
          </w:cols>
          <w:pgMar w:left="220" w:top="338" w:right="7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PART III</w:t>
      </w:r>
    </w:p>
    <w:p>
      <w:pPr>
        <w:spacing w:after="0" w:line="168"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245"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Executive Officers of the Registrant at February 23, 2012</w:t>
      </w:r>
    </w:p>
    <w:p>
      <w:pPr>
        <w:spacing w:after="0" w:line="95" w:lineRule="exact"/>
        <w:rPr>
          <w:sz w:val="20"/>
          <w:szCs w:val="20"/>
          <w:color w:val="auto"/>
        </w:rPr>
      </w:pPr>
    </w:p>
    <w:p>
      <w:pPr>
        <w:jc w:val="center"/>
        <w:ind w:right="-419"/>
        <w:spacing w:after="0"/>
        <w:rPr>
          <w:sz w:val="20"/>
          <w:szCs w:val="20"/>
          <w:color w:val="auto"/>
        </w:rPr>
      </w:pPr>
      <w:r>
        <w:rPr>
          <w:rFonts w:ascii="Arial" w:cs="Arial" w:eastAsia="Arial" w:hAnsi="Arial"/>
          <w:sz w:val="11"/>
          <w:szCs w:val="11"/>
          <w:color w:val="auto"/>
        </w:rPr>
        <w:t>The Executive Officers of the Corporation consist of the Chairman of the Board, the Vice Chairman of the Board and such other officers of the Corporation who are members of the Executive Committee.</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2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Age</w:t>
            </w: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Current and Prior Positions (up to five years)</w:t>
            </w:r>
          </w:p>
        </w:tc>
        <w:tc>
          <w:tcPr>
            <w:tcW w:w="100" w:type="dxa"/>
            <w:vAlign w:val="bottom"/>
          </w:tcPr>
          <w:p>
            <w:pPr>
              <w:spacing w:after="0"/>
              <w:rPr>
                <w:sz w:val="10"/>
                <w:szCs w:val="10"/>
                <w:color w:val="auto"/>
              </w:rPr>
            </w:pPr>
          </w:p>
        </w:tc>
        <w:tc>
          <w:tcPr>
            <w:tcW w:w="3440" w:type="dxa"/>
            <w:vAlign w:val="bottom"/>
            <w:tcBorders>
              <w:bottom w:val="single" w:sz="8" w:color="auto"/>
            </w:tcBorders>
          </w:tcPr>
          <w:p>
            <w:pPr>
              <w:ind w:left="1020"/>
              <w:spacing w:after="0"/>
              <w:rPr>
                <w:sz w:val="20"/>
                <w:szCs w:val="20"/>
                <w:color w:val="auto"/>
              </w:rPr>
            </w:pPr>
            <w:r>
              <w:rPr>
                <w:rFonts w:ascii="Arial" w:cs="Arial" w:eastAsia="Arial" w:hAnsi="Arial"/>
                <w:sz w:val="10"/>
                <w:szCs w:val="10"/>
                <w:b w:val="1"/>
                <w:bCs w:val="1"/>
                <w:color w:val="auto"/>
              </w:rPr>
              <w:t>Current Areas of Responsibility</w:t>
            </w:r>
          </w:p>
        </w:tc>
      </w:tr>
      <w:tr>
        <w:trPr>
          <w:trHeight w:val="28"/>
        </w:trPr>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154"/>
        </w:trPr>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J.S. Watson</w:t>
            </w:r>
          </w:p>
        </w:tc>
        <w:tc>
          <w:tcPr>
            <w:tcW w:w="47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55  Chairman of the Board and Chief Executive Officer (since 2010)</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Vice Chairman of the Board (2009)</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Executive Vice President (2008 to 2009)</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45"/>
        </w:trPr>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Vice President and President of Chevron</w:t>
            </w:r>
          </w:p>
        </w:tc>
        <w:tc>
          <w:tcPr>
            <w:tcW w:w="10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International Exploration and Production</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63"/>
        </w:trPr>
        <w:tc>
          <w:tcPr>
            <w:tcW w:w="2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Company (2005 through 2007)</w:t>
            </w:r>
          </w:p>
        </w:tc>
        <w:tc>
          <w:tcPr>
            <w:tcW w:w="1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3"/>
                <w:szCs w:val="13"/>
                <w:color w:val="auto"/>
              </w:rPr>
              <w:t>G.L. Kirkland</w:t>
            </w:r>
          </w:p>
        </w:tc>
        <w:tc>
          <w:tcPr>
            <w:tcW w:w="4760" w:type="dxa"/>
            <w:vAlign w:val="bottom"/>
            <w:gridSpan w:val="3"/>
          </w:tcPr>
          <w:p>
            <w:pPr>
              <w:ind w:left="40"/>
              <w:spacing w:after="0"/>
              <w:rPr>
                <w:sz w:val="20"/>
                <w:szCs w:val="20"/>
                <w:color w:val="auto"/>
              </w:rPr>
            </w:pPr>
            <w:r>
              <w:rPr>
                <w:rFonts w:ascii="Arial" w:cs="Arial" w:eastAsia="Arial" w:hAnsi="Arial"/>
                <w:sz w:val="13"/>
                <w:szCs w:val="13"/>
                <w:color w:val="auto"/>
              </w:rPr>
              <w:t>61  Vice Chairman of the Board and Executive</w:t>
            </w:r>
          </w:p>
        </w:tc>
        <w:tc>
          <w:tcPr>
            <w:tcW w:w="1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Worldwide Exploration and</w:t>
            </w:r>
          </w:p>
        </w:tc>
      </w:tr>
      <w:tr>
        <w:trPr>
          <w:trHeight w:val="154"/>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Vice President (since 2010)</w:t>
            </w: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Production Activities and Global</w:t>
            </w:r>
          </w:p>
        </w:tc>
      </w:tr>
      <w:tr>
        <w:trPr>
          <w:trHeight w:val="154"/>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Executive Vice President (2005 through 2009)</w:t>
            </w: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Gas Activities, including Natural</w:t>
            </w:r>
          </w:p>
        </w:tc>
      </w:tr>
      <w:tr>
        <w:trPr>
          <w:trHeight w:val="162"/>
        </w:trPr>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Gas Trading</w:t>
            </w:r>
          </w:p>
        </w:tc>
      </w:tr>
      <w:tr>
        <w:trPr>
          <w:trHeight w:val="222"/>
        </w:trPr>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J.R. Blackwell</w:t>
            </w:r>
          </w:p>
        </w:tc>
        <w:tc>
          <w:tcPr>
            <w:tcW w:w="47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53  Executive Vice President (since 2011)</w:t>
            </w:r>
          </w:p>
        </w:tc>
        <w:tc>
          <w:tcPr>
            <w:tcW w:w="10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Technology; Mining; Project</w:t>
            </w: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President of Chevron Asia Pacific Exploration</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Resources Company;</w:t>
            </w: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and Production Company (2008 through 2011)</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Procurement</w:t>
            </w:r>
          </w:p>
        </w:tc>
      </w:tr>
      <w:tr>
        <w:trPr>
          <w:trHeight w:val="154"/>
        </w:trPr>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Managing Director of Chevron Southern Africa</w:t>
            </w:r>
          </w:p>
        </w:tc>
        <w:tc>
          <w:tcPr>
            <w:tcW w:w="10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r>
      <w:tr>
        <w:trPr>
          <w:trHeight w:val="163"/>
        </w:trPr>
        <w:tc>
          <w:tcPr>
            <w:tcW w:w="2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Strategic Business Unit (2003 to 2007)</w:t>
            </w:r>
          </w:p>
        </w:tc>
        <w:tc>
          <w:tcPr>
            <w:tcW w:w="10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r>
    </w:tbl>
    <w:p>
      <w:pPr>
        <w:spacing w:after="0" w:line="68" w:lineRule="exact"/>
        <w:rPr>
          <w:sz w:val="20"/>
          <w:szCs w:val="20"/>
          <w:color w:val="auto"/>
        </w:rPr>
      </w:pPr>
    </w:p>
    <w:p>
      <w:pPr>
        <w:sectPr>
          <w:pgSz w:w="11900" w:h="16838" w:orient="portrait"/>
          <w:cols w:equalWidth="0" w:num="1">
            <w:col w:w="10900"/>
          </w:cols>
          <w:pgMar w:left="220" w:top="338" w:right="779" w:bottom="1440" w:gutter="0" w:footer="0" w:header="0"/>
        </w:sectPr>
      </w:pPr>
    </w:p>
    <w:p>
      <w:pPr>
        <w:ind w:left="460"/>
        <w:spacing w:after="0"/>
        <w:tabs>
          <w:tab w:leader="none" w:pos="2620" w:val="left"/>
          <w:tab w:leader="none" w:pos="2860" w:val="left"/>
        </w:tabs>
        <w:rPr>
          <w:sz w:val="20"/>
          <w:szCs w:val="20"/>
          <w:color w:val="auto"/>
        </w:rPr>
      </w:pPr>
      <w:r>
        <w:rPr>
          <w:rFonts w:ascii="Arial" w:cs="Arial" w:eastAsia="Arial" w:hAnsi="Arial"/>
          <w:sz w:val="13"/>
          <w:szCs w:val="13"/>
          <w:color w:val="auto"/>
        </w:rPr>
        <w:t>M.K. Wirth</w:t>
      </w:r>
      <w:r>
        <w:rPr>
          <w:sz w:val="20"/>
          <w:szCs w:val="20"/>
          <w:color w:val="auto"/>
        </w:rPr>
        <w:tab/>
      </w:r>
      <w:r>
        <w:rPr>
          <w:rFonts w:ascii="Arial" w:cs="Arial" w:eastAsia="Arial" w:hAnsi="Arial"/>
          <w:sz w:val="13"/>
          <w:szCs w:val="13"/>
          <w:color w:val="auto"/>
        </w:rPr>
        <w:t>51</w:t>
      </w:r>
      <w:r>
        <w:rPr>
          <w:sz w:val="20"/>
          <w:szCs w:val="20"/>
          <w:color w:val="auto"/>
        </w:rPr>
        <w:tab/>
      </w:r>
      <w:r>
        <w:rPr>
          <w:rFonts w:ascii="Arial" w:cs="Arial" w:eastAsia="Arial" w:hAnsi="Arial"/>
          <w:sz w:val="11"/>
          <w:szCs w:val="11"/>
          <w:color w:val="auto"/>
        </w:rPr>
        <w:t>Executive Vice President (since 2006)</w:t>
      </w:r>
    </w:p>
    <w:p>
      <w:pPr>
        <w:spacing w:after="0" w:line="13" w:lineRule="exact"/>
        <w:rPr>
          <w:sz w:val="20"/>
          <w:szCs w:val="20"/>
          <w:color w:val="auto"/>
        </w:rPr>
      </w:pPr>
    </w:p>
    <w:p>
      <w:pPr>
        <w:jc w:val="right"/>
        <w:ind w:right="1820"/>
        <w:spacing w:after="0"/>
        <w:rPr>
          <w:sz w:val="20"/>
          <w:szCs w:val="20"/>
          <w:color w:val="auto"/>
        </w:rPr>
      </w:pPr>
      <w:r>
        <w:rPr>
          <w:rFonts w:ascii="Arial" w:cs="Arial" w:eastAsia="Arial" w:hAnsi="Arial"/>
          <w:sz w:val="13"/>
          <w:szCs w:val="13"/>
          <w:color w:val="auto"/>
        </w:rPr>
        <w:t>President of Global Supply and Trading</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(2004 to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Worldwide Refining, Marketing,</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Lubricants, and Supply and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Trading Activities, excluding</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Natural Gas Trading; Chemicals</w:t>
      </w:r>
    </w:p>
    <w:p>
      <w:pPr>
        <w:spacing w:after="0" w:line="46" w:lineRule="exact"/>
        <w:rPr>
          <w:sz w:val="20"/>
          <w:szCs w:val="20"/>
          <w:color w:val="auto"/>
        </w:rPr>
      </w:pPr>
    </w:p>
    <w:p>
      <w:pPr>
        <w:sectPr>
          <w:pgSz w:w="11900" w:h="16838" w:orient="portrait"/>
          <w:cols w:equalWidth="0" w:num="2">
            <w:col w:w="6740" w:space="720"/>
            <w:col w:w="3440"/>
          </w:cols>
          <w:pgMar w:left="220" w:top="338" w:right="779" w:bottom="1440" w:gutter="0" w:footer="0" w:header="0"/>
          <w:type w:val="continuous"/>
        </w:sectPr>
      </w:pPr>
    </w:p>
    <w:tbl>
      <w:tblPr>
        <w:tblLayout w:type="fixed"/>
        <w:tblInd w:w="460" w:type="dxa"/>
        <w:tblCellMar>
          <w:top w:w="0" w:type="dxa"/>
          <w:left w:w="0" w:type="dxa"/>
          <w:bottom w:w="0" w:type="dxa"/>
          <w:right w:w="0" w:type="dxa"/>
        </w:tblCellMar>
      </w:tblPr>
      <w:tr>
        <w:trPr>
          <w:trHeight w:val="212"/>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R.I. Zygocki</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Executive Vice President (since 2011)</w:t>
            </w:r>
          </w:p>
        </w:tc>
        <w:tc>
          <w:tcPr>
            <w:tcW w:w="3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Strategy and Planning; Health,</w:t>
            </w:r>
          </w:p>
        </w:tc>
      </w:tr>
      <w:tr>
        <w:trPr>
          <w:trHeight w:val="145"/>
        </w:trPr>
        <w:tc>
          <w:tcPr>
            <w:tcW w:w="2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120" w:type="dxa"/>
            <w:vAlign w:val="bottom"/>
            <w:shd w:val="clear" w:color="auto" w:fill="CCEEFF"/>
          </w:tcPr>
          <w:p>
            <w:pPr>
              <w:ind w:left="60"/>
              <w:spacing w:after="0" w:line="146" w:lineRule="exact"/>
              <w:rPr>
                <w:sz w:val="20"/>
                <w:szCs w:val="20"/>
                <w:color w:val="auto"/>
              </w:rPr>
            </w:pPr>
            <w:r>
              <w:rPr>
                <w:rFonts w:ascii="Arial" w:cs="Arial" w:eastAsia="Arial" w:hAnsi="Arial"/>
                <w:sz w:val="13"/>
                <w:szCs w:val="13"/>
                <w:color w:val="auto"/>
              </w:rPr>
              <w:t>Vice President, Policy, Government and Public</w:t>
            </w:r>
          </w:p>
        </w:tc>
        <w:tc>
          <w:tcPr>
            <w:tcW w:w="3960" w:type="dxa"/>
            <w:vAlign w:val="bottom"/>
            <w:shd w:val="clear" w:color="auto" w:fill="CCEEFF"/>
          </w:tcPr>
          <w:p>
            <w:pPr>
              <w:ind w:left="520"/>
              <w:spacing w:after="0" w:line="146" w:lineRule="exact"/>
              <w:rPr>
                <w:sz w:val="20"/>
                <w:szCs w:val="20"/>
                <w:color w:val="auto"/>
              </w:rPr>
            </w:pPr>
            <w:r>
              <w:rPr>
                <w:rFonts w:ascii="Arial" w:cs="Arial" w:eastAsia="Arial" w:hAnsi="Arial"/>
                <w:sz w:val="13"/>
                <w:szCs w:val="13"/>
                <w:color w:val="auto"/>
              </w:rPr>
              <w:t>Environment and Safety; Policy,</w:t>
            </w:r>
          </w:p>
        </w:tc>
      </w:tr>
      <w:tr>
        <w:trPr>
          <w:trHeight w:val="154"/>
        </w:trPr>
        <w:tc>
          <w:tcPr>
            <w:tcW w:w="2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Affairs (2007 through 2011)</w:t>
            </w:r>
          </w:p>
        </w:tc>
        <w:tc>
          <w:tcPr>
            <w:tcW w:w="3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Government and Public Affairs</w:t>
            </w:r>
          </w:p>
        </w:tc>
      </w:tr>
      <w:tr>
        <w:trPr>
          <w:trHeight w:val="163"/>
        </w:trPr>
        <w:tc>
          <w:tcPr>
            <w:tcW w:w="2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Vice President, Health, Environment and Safety (2003 through 2007)</w:t>
            </w:r>
          </w:p>
        </w:tc>
        <w:tc>
          <w:tcPr>
            <w:tcW w:w="3960" w:type="dxa"/>
            <w:vAlign w:val="bottom"/>
            <w:shd w:val="clear" w:color="auto" w:fill="CCEEFF"/>
          </w:tcPr>
          <w:p>
            <w:pPr>
              <w:spacing w:after="0"/>
              <w:rPr>
                <w:sz w:val="14"/>
                <w:szCs w:val="14"/>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3"/>
                <w:szCs w:val="13"/>
                <w:color w:val="auto"/>
              </w:rPr>
              <w:t>P.E. Yarrington</w:t>
            </w:r>
          </w:p>
        </w:tc>
        <w:tc>
          <w:tcPr>
            <w:tcW w:w="260" w:type="dxa"/>
            <w:vAlign w:val="bottom"/>
          </w:tcPr>
          <w:p>
            <w:pPr>
              <w:jc w:val="right"/>
              <w:spacing w:after="0"/>
              <w:rPr>
                <w:sz w:val="20"/>
                <w:szCs w:val="20"/>
                <w:color w:val="auto"/>
              </w:rPr>
            </w:pPr>
            <w:r>
              <w:rPr>
                <w:rFonts w:ascii="Arial" w:cs="Arial" w:eastAsia="Arial" w:hAnsi="Arial"/>
                <w:sz w:val="13"/>
                <w:szCs w:val="13"/>
                <w:color w:val="auto"/>
              </w:rPr>
              <w:t>55</w:t>
            </w:r>
          </w:p>
        </w:tc>
        <w:tc>
          <w:tcPr>
            <w:tcW w:w="4120" w:type="dxa"/>
            <w:vAlign w:val="bottom"/>
          </w:tcPr>
          <w:p>
            <w:pPr>
              <w:ind w:left="60"/>
              <w:spacing w:after="0"/>
              <w:rPr>
                <w:sz w:val="20"/>
                <w:szCs w:val="20"/>
                <w:color w:val="auto"/>
              </w:rPr>
            </w:pPr>
            <w:r>
              <w:rPr>
                <w:rFonts w:ascii="Arial" w:cs="Arial" w:eastAsia="Arial" w:hAnsi="Arial"/>
                <w:sz w:val="13"/>
                <w:szCs w:val="13"/>
                <w:color w:val="auto"/>
              </w:rPr>
              <w:t>Vice President and Chief Financial Officer</w:t>
            </w:r>
          </w:p>
        </w:tc>
        <w:tc>
          <w:tcPr>
            <w:tcW w:w="3960" w:type="dxa"/>
            <w:vAlign w:val="bottom"/>
          </w:tcPr>
          <w:p>
            <w:pPr>
              <w:ind w:left="520"/>
              <w:spacing w:after="0"/>
              <w:rPr>
                <w:sz w:val="20"/>
                <w:szCs w:val="20"/>
                <w:color w:val="auto"/>
              </w:rPr>
            </w:pPr>
            <w:r>
              <w:rPr>
                <w:rFonts w:ascii="Arial" w:cs="Arial" w:eastAsia="Arial" w:hAnsi="Arial"/>
                <w:sz w:val="13"/>
                <w:szCs w:val="13"/>
                <w:color w:val="auto"/>
              </w:rPr>
              <w:t>Finance</w:t>
            </w:r>
          </w:p>
        </w:tc>
      </w:tr>
      <w:tr>
        <w:trPr>
          <w:trHeight w:val="154"/>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Pr>
          <w:p>
            <w:pPr>
              <w:ind w:left="120"/>
              <w:spacing w:after="0"/>
              <w:rPr>
                <w:sz w:val="20"/>
                <w:szCs w:val="20"/>
                <w:color w:val="auto"/>
              </w:rPr>
            </w:pPr>
            <w:r>
              <w:rPr>
                <w:rFonts w:ascii="Arial" w:cs="Arial" w:eastAsia="Arial" w:hAnsi="Arial"/>
                <w:sz w:val="13"/>
                <w:szCs w:val="13"/>
                <w:color w:val="auto"/>
              </w:rPr>
              <w:t>(since 2009)</w:t>
            </w:r>
          </w:p>
        </w:tc>
        <w:tc>
          <w:tcPr>
            <w:tcW w:w="3960" w:type="dxa"/>
            <w:vAlign w:val="bottom"/>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Pr>
          <w:p>
            <w:pPr>
              <w:ind w:left="60"/>
              <w:spacing w:after="0"/>
              <w:rPr>
                <w:sz w:val="20"/>
                <w:szCs w:val="20"/>
                <w:color w:val="auto"/>
              </w:rPr>
            </w:pPr>
            <w:r>
              <w:rPr>
                <w:rFonts w:ascii="Arial" w:cs="Arial" w:eastAsia="Arial" w:hAnsi="Arial"/>
                <w:sz w:val="13"/>
                <w:szCs w:val="13"/>
                <w:color w:val="auto"/>
              </w:rPr>
              <w:t>Vice President and Treasurer (2007 through 2008)</w:t>
            </w:r>
          </w:p>
        </w:tc>
        <w:tc>
          <w:tcPr>
            <w:tcW w:w="3960" w:type="dxa"/>
            <w:vAlign w:val="bottom"/>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Pr>
          <w:p>
            <w:pPr>
              <w:ind w:left="60"/>
              <w:spacing w:after="0"/>
              <w:rPr>
                <w:sz w:val="20"/>
                <w:szCs w:val="20"/>
                <w:color w:val="auto"/>
              </w:rPr>
            </w:pPr>
            <w:r>
              <w:rPr>
                <w:rFonts w:ascii="Arial" w:cs="Arial" w:eastAsia="Arial" w:hAnsi="Arial"/>
                <w:sz w:val="13"/>
                <w:szCs w:val="13"/>
                <w:color w:val="auto"/>
              </w:rPr>
              <w:t>Vice President, Policy, Government and Public</w:t>
            </w:r>
          </w:p>
        </w:tc>
        <w:tc>
          <w:tcPr>
            <w:tcW w:w="3960" w:type="dxa"/>
            <w:vAlign w:val="bottom"/>
          </w:tcPr>
          <w:p>
            <w:pPr>
              <w:spacing w:after="0"/>
              <w:rPr>
                <w:sz w:val="13"/>
                <w:szCs w:val="13"/>
                <w:color w:val="auto"/>
              </w:rPr>
            </w:pPr>
          </w:p>
        </w:tc>
      </w:tr>
      <w:tr>
        <w:trPr>
          <w:trHeight w:val="162"/>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ind w:left="180"/>
              <w:spacing w:after="0"/>
              <w:rPr>
                <w:sz w:val="20"/>
                <w:szCs w:val="20"/>
                <w:color w:val="auto"/>
              </w:rPr>
            </w:pPr>
            <w:r>
              <w:rPr>
                <w:rFonts w:ascii="Arial" w:cs="Arial" w:eastAsia="Arial" w:hAnsi="Arial"/>
                <w:sz w:val="13"/>
                <w:szCs w:val="13"/>
                <w:color w:val="auto"/>
              </w:rPr>
              <w:t>Affairs (2002 to 2007)</w:t>
            </w:r>
          </w:p>
        </w:tc>
        <w:tc>
          <w:tcPr>
            <w:tcW w:w="3960" w:type="dxa"/>
            <w:vAlign w:val="bottom"/>
          </w:tcPr>
          <w:p>
            <w:pPr>
              <w:spacing w:after="0"/>
              <w:rPr>
                <w:sz w:val="14"/>
                <w:szCs w:val="14"/>
                <w:color w:val="auto"/>
              </w:rPr>
            </w:pPr>
          </w:p>
        </w:tc>
      </w:tr>
      <w:tr>
        <w:trPr>
          <w:trHeight w:val="222"/>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R.H. Pate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Vice President and General Counsel (since 2009)</w:t>
            </w:r>
          </w:p>
        </w:tc>
        <w:tc>
          <w:tcPr>
            <w:tcW w:w="39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Law, Governance and Compliance</w:t>
            </w:r>
          </w:p>
        </w:tc>
      </w:tr>
      <w:tr>
        <w:trPr>
          <w:trHeight w:val="154"/>
        </w:trPr>
        <w:tc>
          <w:tcPr>
            <w:tcW w:w="2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1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Partner and Head of Global Competition Practice</w:t>
            </w:r>
          </w:p>
        </w:tc>
        <w:tc>
          <w:tcPr>
            <w:tcW w:w="3960" w:type="dxa"/>
            <w:vAlign w:val="bottom"/>
            <w:shd w:val="clear" w:color="auto" w:fill="CCEEFF"/>
          </w:tcPr>
          <w:p>
            <w:pPr>
              <w:spacing w:after="0"/>
              <w:rPr>
                <w:sz w:val="13"/>
                <w:szCs w:val="13"/>
                <w:color w:val="auto"/>
              </w:rPr>
            </w:pPr>
          </w:p>
        </w:tc>
      </w:tr>
      <w:tr>
        <w:trPr>
          <w:trHeight w:val="154"/>
        </w:trPr>
        <w:tc>
          <w:tcPr>
            <w:tcW w:w="2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of Hunton &amp; Williams LLP, a major U.S. law</w:t>
            </w:r>
          </w:p>
        </w:tc>
        <w:tc>
          <w:tcPr>
            <w:tcW w:w="3960" w:type="dxa"/>
            <w:vAlign w:val="bottom"/>
            <w:shd w:val="clear" w:color="auto" w:fill="CCEEFF"/>
          </w:tcPr>
          <w:p>
            <w:pPr>
              <w:spacing w:after="0"/>
              <w:rPr>
                <w:sz w:val="13"/>
                <w:szCs w:val="13"/>
                <w:color w:val="auto"/>
              </w:rPr>
            </w:pPr>
          </w:p>
        </w:tc>
      </w:tr>
      <w:tr>
        <w:trPr>
          <w:trHeight w:val="163"/>
        </w:trPr>
        <w:tc>
          <w:tcPr>
            <w:tcW w:w="2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firm (2005 to 2009)</w:t>
            </w:r>
          </w:p>
        </w:tc>
        <w:tc>
          <w:tcPr>
            <w:tcW w:w="3960" w:type="dxa"/>
            <w:vAlign w:val="bottom"/>
            <w:shd w:val="clear" w:color="auto" w:fill="CCEEFF"/>
          </w:tcPr>
          <w:p>
            <w:pPr>
              <w:spacing w:after="0"/>
              <w:rPr>
                <w:sz w:val="14"/>
                <w:szCs w:val="14"/>
                <w:color w:val="auto"/>
              </w:rPr>
            </w:pPr>
          </w:p>
        </w:tc>
      </w:tr>
    </w:tbl>
    <w:p>
      <w:pPr>
        <w:spacing w:after="0" w:line="78" w:lineRule="exact"/>
        <w:rPr>
          <w:sz w:val="20"/>
          <w:szCs w:val="20"/>
          <w:color w:val="auto"/>
        </w:rPr>
      </w:pPr>
    </w:p>
    <w:p>
      <w:pPr>
        <w:ind w:left="460" w:right="200"/>
        <w:spacing w:after="0" w:line="256" w:lineRule="auto"/>
        <w:rPr>
          <w:sz w:val="20"/>
          <w:szCs w:val="20"/>
          <w:color w:val="auto"/>
        </w:rPr>
      </w:pPr>
      <w:r>
        <w:rPr>
          <w:rFonts w:ascii="Arial" w:cs="Arial" w:eastAsia="Arial" w:hAnsi="Arial"/>
          <w:sz w:val="13"/>
          <w:szCs w:val="13"/>
          <w:color w:val="auto"/>
        </w:rPr>
        <w:t>The information about directors required by Item 401(a), (d), (e) and (f) of Regulation S-K and contained under the heading “Election of Directors” in the Notice of the 2012 Annual Meeting and 2012 Proxy Statement, to be filed pursuant to Rule 14a-6(b) under the Securities Exchange Act of 1934 (the “Exchange Act”), in connection with the company’s 2012 Annual Meeting of Stockholders (the “2012 Proxy Statement”), is incorporated by reference into this Annual Report on Form 10-K.</w:t>
      </w:r>
    </w:p>
    <w:p>
      <w:pPr>
        <w:spacing w:after="0" w:line="69"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The information required by Item 405 of Regulation S-K and contained under the heading “Stock Ownership Information — Section 16(a) Beneficial Ownership Reporting Compliance” in the 2012 Proxy Statement is incorporated by reference into this Annual Report on Form 10-K.</w:t>
      </w:r>
    </w:p>
    <w:p>
      <w:pPr>
        <w:spacing w:after="0" w:line="61" w:lineRule="exact"/>
        <w:rPr>
          <w:sz w:val="20"/>
          <w:szCs w:val="20"/>
          <w:color w:val="auto"/>
        </w:rPr>
      </w:pPr>
    </w:p>
    <w:p>
      <w:pPr>
        <w:ind w:left="460" w:right="340"/>
        <w:spacing w:after="0" w:line="267" w:lineRule="auto"/>
        <w:rPr>
          <w:sz w:val="20"/>
          <w:szCs w:val="20"/>
          <w:color w:val="auto"/>
        </w:rPr>
      </w:pPr>
      <w:r>
        <w:rPr>
          <w:rFonts w:ascii="Arial" w:cs="Arial" w:eastAsia="Arial" w:hAnsi="Arial"/>
          <w:sz w:val="13"/>
          <w:szCs w:val="13"/>
          <w:color w:val="auto"/>
        </w:rPr>
        <w:t>The information required by Item 406 of Regulation S-K and contained under the heading “Board Operations — Business Conduct and Ethics Code” in the 2012 Proxy Statement is incorporated by reference into this Annual Report on Form 10-K.</w:t>
      </w:r>
    </w:p>
    <w:p>
      <w:pPr>
        <w:spacing w:after="0" w:line="26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8" w:right="779" w:bottom="1440" w:gutter="0" w:footer="0" w:header="0"/>
          <w:type w:val="continuous"/>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460"/>
        <w:spacing w:after="0" w:line="267" w:lineRule="auto"/>
        <w:rPr>
          <w:sz w:val="20"/>
          <w:szCs w:val="20"/>
          <w:color w:val="auto"/>
        </w:rPr>
      </w:pPr>
      <w:r>
        <w:rPr>
          <w:rFonts w:ascii="Arial" w:cs="Arial" w:eastAsia="Arial" w:hAnsi="Arial"/>
          <w:sz w:val="13"/>
          <w:szCs w:val="13"/>
          <w:color w:val="auto"/>
        </w:rPr>
        <w:t>The information required by Item 407(d)(4) and (5) of Regulation S-K and contained under the heading “Board Operations — Board Committee Membership and Functions” in the 2012 Proxy Statement is incorporated by reference into this Annual Report on Form 10-K.</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There were no changes to the process by which stockholders may recommend nominees to the Board of Directors during the last fiscal year.</w:t>
      </w:r>
    </w:p>
    <w:p>
      <w:pPr>
        <w:spacing w:after="0" w:line="16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95" w:lineRule="exact"/>
        <w:rPr>
          <w:sz w:val="20"/>
          <w:szCs w:val="20"/>
          <w:color w:val="auto"/>
        </w:rPr>
      </w:pPr>
    </w:p>
    <w:p>
      <w:pPr>
        <w:ind w:left="460" w:right="280"/>
        <w:spacing w:after="0" w:line="267" w:lineRule="auto"/>
        <w:rPr>
          <w:sz w:val="20"/>
          <w:szCs w:val="20"/>
          <w:color w:val="auto"/>
        </w:rPr>
      </w:pPr>
      <w:r>
        <w:rPr>
          <w:rFonts w:ascii="Arial" w:cs="Arial" w:eastAsia="Arial" w:hAnsi="Arial"/>
          <w:sz w:val="13"/>
          <w:szCs w:val="13"/>
          <w:color w:val="auto"/>
        </w:rPr>
        <w:t>The information required by Item 402 of Regulation S-K and contained under the headings “Executive Compensation” and “Director Compensation” in the 2012 Proxy Statement is incorporated by reference into this Annual Report on Form 10-K.</w:t>
      </w:r>
    </w:p>
    <w:p>
      <w:pPr>
        <w:spacing w:after="0" w:line="61" w:lineRule="exact"/>
        <w:rPr>
          <w:sz w:val="20"/>
          <w:szCs w:val="20"/>
          <w:color w:val="auto"/>
        </w:rPr>
      </w:pPr>
    </w:p>
    <w:p>
      <w:pPr>
        <w:ind w:left="460" w:right="280"/>
        <w:spacing w:after="0" w:line="267" w:lineRule="auto"/>
        <w:rPr>
          <w:sz w:val="20"/>
          <w:szCs w:val="20"/>
          <w:color w:val="auto"/>
        </w:rPr>
      </w:pPr>
      <w:r>
        <w:rPr>
          <w:rFonts w:ascii="Arial" w:cs="Arial" w:eastAsia="Arial" w:hAnsi="Arial"/>
          <w:sz w:val="13"/>
          <w:szCs w:val="13"/>
          <w:color w:val="auto"/>
        </w:rPr>
        <w:t>The information required by Item 407(e)(4) of Regulation S-K and contained under the heading “Board Operations — Board Committee Membership and Functions” in the 2012 Proxy Statement is incorporated by reference into this Annual Report on Form 10-K.</w:t>
      </w:r>
    </w:p>
    <w:p>
      <w:pPr>
        <w:spacing w:after="0" w:line="61" w:lineRule="exact"/>
        <w:rPr>
          <w:sz w:val="20"/>
          <w:szCs w:val="20"/>
          <w:color w:val="auto"/>
        </w:rPr>
      </w:pPr>
    </w:p>
    <w:p>
      <w:pPr>
        <w:ind w:left="460" w:right="120"/>
        <w:spacing w:after="0" w:line="281" w:lineRule="auto"/>
        <w:rPr>
          <w:sz w:val="20"/>
          <w:szCs w:val="20"/>
          <w:color w:val="auto"/>
        </w:rPr>
      </w:pPr>
      <w:r>
        <w:rPr>
          <w:rFonts w:ascii="Arial" w:cs="Arial" w:eastAsia="Arial" w:hAnsi="Arial"/>
          <w:sz w:val="12"/>
          <w:szCs w:val="12"/>
          <w:color w:val="auto"/>
        </w:rPr>
        <w:t>The information required by Item 407(e)(5) of Regulation S-K and contained under the heading “Board Operations — Management Compensation Committee Report” in the 2012 Proxy Statement is incorporated herein by reference into this Annual Report on Form 10-K. Pursuant to the rules and regulations of the SEC under the Exchange Act, the information under such caption incorporated by reference from the 2012 Proxy Statement shall not be deemed to be “solicited material,” or to be “filed” with the Commission, or subject to Regulation 14A or 14C or the liabilities of Section 18 of the Exchange Act nor shall it be deemed incorporated by reference into any filing under the Securities Act of 1933.</w:t>
      </w:r>
    </w:p>
    <w:p>
      <w:pPr>
        <w:spacing w:after="0" w:line="128"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95" w:lineRule="exact"/>
        <w:rPr>
          <w:sz w:val="20"/>
          <w:szCs w:val="20"/>
          <w:color w:val="auto"/>
        </w:rPr>
      </w:pPr>
    </w:p>
    <w:p>
      <w:pPr>
        <w:ind w:left="460" w:right="100"/>
        <w:spacing w:after="0" w:line="267" w:lineRule="auto"/>
        <w:rPr>
          <w:sz w:val="20"/>
          <w:szCs w:val="20"/>
          <w:color w:val="auto"/>
        </w:rPr>
      </w:pPr>
      <w:r>
        <w:rPr>
          <w:rFonts w:ascii="Arial" w:cs="Arial" w:eastAsia="Arial" w:hAnsi="Arial"/>
          <w:sz w:val="13"/>
          <w:szCs w:val="13"/>
          <w:color w:val="auto"/>
        </w:rPr>
        <w:t>The information required by Item 403 of Regulation S-K and contained under the heading “Stock Ownership Information — Security Ownership of Certain Beneficial Owners and Management” in the 2012 Proxy Statement is incorporated by reference into this Annual Report on Form 10-K.</w:t>
      </w:r>
    </w:p>
    <w:p>
      <w:pPr>
        <w:spacing w:after="0" w:line="61" w:lineRule="exact"/>
        <w:rPr>
          <w:sz w:val="20"/>
          <w:szCs w:val="20"/>
          <w:color w:val="auto"/>
        </w:rPr>
      </w:pPr>
    </w:p>
    <w:p>
      <w:pPr>
        <w:ind w:left="460" w:right="60"/>
        <w:spacing w:after="0" w:line="267" w:lineRule="auto"/>
        <w:rPr>
          <w:sz w:val="20"/>
          <w:szCs w:val="20"/>
          <w:color w:val="auto"/>
        </w:rPr>
      </w:pPr>
      <w:r>
        <w:rPr>
          <w:rFonts w:ascii="Arial" w:cs="Arial" w:eastAsia="Arial" w:hAnsi="Arial"/>
          <w:sz w:val="13"/>
          <w:szCs w:val="13"/>
          <w:color w:val="auto"/>
        </w:rPr>
        <w:t>The information required by Item 201(d) of Regulation S-K and contained under the heading “Equity Compensation Plan Information” in the 2012 Proxy Statement is incorporated by reference into this Annual Report on Form 10-K.</w:t>
      </w:r>
    </w:p>
    <w:p>
      <w:pPr>
        <w:spacing w:after="0" w:line="13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95" w:lineRule="exact"/>
        <w:rPr>
          <w:sz w:val="20"/>
          <w:szCs w:val="20"/>
          <w:color w:val="auto"/>
        </w:rPr>
      </w:pPr>
    </w:p>
    <w:p>
      <w:pPr>
        <w:ind w:left="460" w:right="320"/>
        <w:spacing w:after="0" w:line="267" w:lineRule="auto"/>
        <w:rPr>
          <w:sz w:val="20"/>
          <w:szCs w:val="20"/>
          <w:color w:val="auto"/>
        </w:rPr>
      </w:pPr>
      <w:r>
        <w:rPr>
          <w:rFonts w:ascii="Arial" w:cs="Arial" w:eastAsia="Arial" w:hAnsi="Arial"/>
          <w:sz w:val="13"/>
          <w:szCs w:val="13"/>
          <w:color w:val="auto"/>
        </w:rPr>
        <w:t>The information required by Item 404 of Regulation S-K and contained under the heading “Board Operations — Transactions with Related Persons” in the 2012 Proxy Statement is incorporated by reference into this Annual Report on Form 10-K.</w:t>
      </w:r>
    </w:p>
    <w:p>
      <w:pPr>
        <w:spacing w:after="0" w:line="61" w:lineRule="exact"/>
        <w:rPr>
          <w:sz w:val="20"/>
          <w:szCs w:val="20"/>
          <w:color w:val="auto"/>
        </w:rPr>
      </w:pPr>
    </w:p>
    <w:p>
      <w:pPr>
        <w:ind w:left="460" w:right="420"/>
        <w:spacing w:after="0" w:line="267" w:lineRule="auto"/>
        <w:rPr>
          <w:sz w:val="20"/>
          <w:szCs w:val="20"/>
          <w:color w:val="auto"/>
        </w:rPr>
      </w:pPr>
      <w:r>
        <w:rPr>
          <w:rFonts w:ascii="Arial" w:cs="Arial" w:eastAsia="Arial" w:hAnsi="Arial"/>
          <w:sz w:val="13"/>
          <w:szCs w:val="13"/>
          <w:color w:val="auto"/>
        </w:rPr>
        <w:t>The information required by Item 407(a) of Regulation S-K and contained under the heading “Election of Directors — Independence of Directors” in the 2012 Proxy Statement is incorporated by reference into this Annual Report on Form 10-K.</w:t>
      </w:r>
    </w:p>
    <w:p>
      <w:pPr>
        <w:spacing w:after="0" w:line="13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95" w:lineRule="exact"/>
        <w:rPr>
          <w:sz w:val="20"/>
          <w:szCs w:val="20"/>
          <w:color w:val="auto"/>
        </w:rPr>
      </w:pPr>
    </w:p>
    <w:p>
      <w:pPr>
        <w:ind w:left="460" w:right="80"/>
        <w:spacing w:after="0" w:line="267" w:lineRule="auto"/>
        <w:rPr>
          <w:sz w:val="20"/>
          <w:szCs w:val="20"/>
          <w:color w:val="auto"/>
        </w:rPr>
      </w:pPr>
      <w:r>
        <w:rPr>
          <w:rFonts w:ascii="Arial" w:cs="Arial" w:eastAsia="Arial" w:hAnsi="Arial"/>
          <w:sz w:val="13"/>
          <w:szCs w:val="13"/>
          <w:color w:val="auto"/>
        </w:rPr>
        <w:t>The information required by Item 9(e) of Schedule 14A and contained under the heading “Proposal to Ratify the Appointment of the Independent Registered Public Accounting Firm” in the 2012 Proxy Statement is incorporated by reference into this Annual Report on Form 10-K.</w:t>
      </w:r>
    </w:p>
    <w:p>
      <w:pPr>
        <w:spacing w:after="0" w:line="263"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840"/>
          </w:cols>
          <w:pgMar w:left="220" w:top="339" w:right="8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68"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color w:val="auto"/>
        </w:rPr>
        <w:t>Exhibits, Financial Statement Schedules</w:t>
      </w:r>
    </w:p>
    <w:p>
      <w:pPr>
        <w:spacing w:after="0" w:line="91" w:lineRule="exact"/>
        <w:rPr>
          <w:sz w:val="20"/>
          <w:szCs w:val="20"/>
          <w:color w:val="auto"/>
        </w:rPr>
      </w:pPr>
    </w:p>
    <w:p>
      <w:pPr>
        <w:ind w:left="1360" w:hanging="173"/>
        <w:spacing w:after="0"/>
        <w:tabs>
          <w:tab w:leader="none" w:pos="13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documents are filed as part of this report:</w:t>
      </w:r>
    </w:p>
    <w:p>
      <w:pPr>
        <w:spacing w:after="0" w:line="94" w:lineRule="exact"/>
        <w:rPr>
          <w:rFonts w:ascii="Arial" w:cs="Arial" w:eastAsia="Arial" w:hAnsi="Arial"/>
          <w:sz w:val="13"/>
          <w:szCs w:val="13"/>
          <w:b w:val="1"/>
          <w:bCs w:val="1"/>
          <w:color w:val="auto"/>
        </w:rPr>
      </w:pPr>
    </w:p>
    <w:p>
      <w:pPr>
        <w:ind w:left="1640" w:hanging="214"/>
        <w:spacing w:after="0"/>
        <w:tabs>
          <w:tab w:leader="none" w:pos="16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Financial Statements:</w:t>
      </w:r>
    </w:p>
    <w:p>
      <w:pPr>
        <w:spacing w:after="0" w:line="331" w:lineRule="exact"/>
        <w:rPr>
          <w:sz w:val="20"/>
          <w:szCs w:val="20"/>
          <w:color w:val="auto"/>
        </w:rPr>
      </w:pPr>
    </w:p>
    <w:p>
      <w:pPr>
        <w:ind w:left="460"/>
        <w:spacing w:after="0"/>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Report of Independent Registered Public Accounting Firm — PricewaterhouseCoopers LLP</w:t>
        </w:r>
      </w:hyperlink>
    </w:p>
    <w:p>
      <w:pPr>
        <w:spacing w:after="0" w:line="13" w:lineRule="exact"/>
        <w:rPr>
          <w:sz w:val="20"/>
          <w:szCs w:val="20"/>
          <w:color w:val="auto"/>
        </w:rPr>
      </w:pPr>
    </w:p>
    <w:p>
      <w:pPr>
        <w:ind w:left="460"/>
        <w:spacing w:after="0"/>
        <w:rPr>
          <w:rFonts w:ascii="Arial" w:cs="Arial" w:eastAsia="Arial" w:hAnsi="Arial"/>
          <w:sz w:val="13"/>
          <w:szCs w:val="13"/>
          <w:u w:val="single" w:color="auto"/>
          <w:color w:val="0000EE"/>
        </w:rPr>
      </w:pPr>
      <w:hyperlink w:anchor="page64">
        <w:r>
          <w:rPr>
            <w:rFonts w:ascii="Arial" w:cs="Arial" w:eastAsia="Arial" w:hAnsi="Arial"/>
            <w:sz w:val="13"/>
            <w:szCs w:val="13"/>
            <w:u w:val="single" w:color="auto"/>
            <w:color w:val="0000EE"/>
          </w:rPr>
          <w:t>Consolidated Statement of Income for the three years ended December 31, 2011</w:t>
        </w:r>
      </w:hyperlink>
    </w:p>
    <w:p>
      <w:pPr>
        <w:spacing w:after="0" w:line="4" w:lineRule="exact"/>
        <w:rPr>
          <w:sz w:val="20"/>
          <w:szCs w:val="20"/>
          <w:color w:val="auto"/>
        </w:rPr>
      </w:pPr>
    </w:p>
    <w:p>
      <w:pPr>
        <w:ind w:left="460"/>
        <w:spacing w:after="0"/>
        <w:rPr>
          <w:rFonts w:ascii="Arial" w:cs="Arial" w:eastAsia="Arial" w:hAnsi="Arial"/>
          <w:sz w:val="13"/>
          <w:szCs w:val="13"/>
          <w:u w:val="single" w:color="auto"/>
          <w:color w:val="0000EE"/>
        </w:rPr>
      </w:pPr>
      <w:hyperlink w:anchor="page65">
        <w:r>
          <w:rPr>
            <w:rFonts w:ascii="Arial" w:cs="Arial" w:eastAsia="Arial" w:hAnsi="Arial"/>
            <w:sz w:val="13"/>
            <w:szCs w:val="13"/>
            <w:u w:val="single" w:color="auto"/>
            <w:color w:val="0000EE"/>
          </w:rPr>
          <w:t>Consolidated Statement of Comprehensive Income for the three years ended December 31, 2011</w:t>
        </w:r>
      </w:hyperlink>
    </w:p>
    <w:p>
      <w:pPr>
        <w:spacing w:after="0" w:line="4" w:lineRule="exact"/>
        <w:rPr>
          <w:sz w:val="20"/>
          <w:szCs w:val="20"/>
          <w:color w:val="auto"/>
        </w:rPr>
      </w:pPr>
    </w:p>
    <w:p>
      <w:pPr>
        <w:ind w:left="460"/>
        <w:spacing w:after="0"/>
        <w:rPr>
          <w:rFonts w:ascii="Arial" w:cs="Arial" w:eastAsia="Arial" w:hAnsi="Arial"/>
          <w:sz w:val="13"/>
          <w:szCs w:val="13"/>
          <w:u w:val="single" w:color="auto"/>
          <w:color w:val="0000EE"/>
        </w:rPr>
      </w:pPr>
      <w:hyperlink w:anchor="page66">
        <w:r>
          <w:rPr>
            <w:rFonts w:ascii="Arial" w:cs="Arial" w:eastAsia="Arial" w:hAnsi="Arial"/>
            <w:sz w:val="13"/>
            <w:szCs w:val="13"/>
            <w:u w:val="single" w:color="auto"/>
            <w:color w:val="0000EE"/>
          </w:rPr>
          <w:t>Consolidated Balance Sheet at December 31, 2011 and 2010</w:t>
        </w:r>
      </w:hyperlink>
    </w:p>
    <w:p>
      <w:pPr>
        <w:spacing w:after="0" w:line="4" w:lineRule="exact"/>
        <w:rPr>
          <w:sz w:val="20"/>
          <w:szCs w:val="20"/>
          <w:color w:val="auto"/>
        </w:rPr>
      </w:pPr>
    </w:p>
    <w:p>
      <w:pPr>
        <w:ind w:left="460"/>
        <w:spacing w:after="0"/>
        <w:rPr>
          <w:rFonts w:ascii="Arial" w:cs="Arial" w:eastAsia="Arial" w:hAnsi="Arial"/>
          <w:sz w:val="13"/>
          <w:szCs w:val="13"/>
          <w:u w:val="single" w:color="auto"/>
          <w:color w:val="0000EE"/>
        </w:rPr>
      </w:pPr>
      <w:hyperlink w:anchor="page67">
        <w:r>
          <w:rPr>
            <w:rFonts w:ascii="Arial" w:cs="Arial" w:eastAsia="Arial" w:hAnsi="Arial"/>
            <w:sz w:val="13"/>
            <w:szCs w:val="13"/>
            <w:u w:val="single" w:color="auto"/>
            <w:color w:val="0000EE"/>
          </w:rPr>
          <w:t>Consolidated Statement of Cash Flows for the three years ended December 31, 2011</w:t>
        </w:r>
      </w:hyperlink>
    </w:p>
    <w:p>
      <w:pPr>
        <w:spacing w:after="0" w:line="4" w:lineRule="exact"/>
        <w:rPr>
          <w:sz w:val="20"/>
          <w:szCs w:val="20"/>
          <w:color w:val="auto"/>
        </w:rPr>
      </w:pPr>
    </w:p>
    <w:p>
      <w:pPr>
        <w:ind w:left="460"/>
        <w:spacing w:after="0"/>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Consolidated Statement of Equity for the three years ended December 31, 2011</w:t>
        </w:r>
      </w:hyperlink>
    </w:p>
    <w:p>
      <w:pPr>
        <w:spacing w:after="0" w:line="4" w:lineRule="exact"/>
        <w:rPr>
          <w:sz w:val="20"/>
          <w:szCs w:val="20"/>
          <w:color w:val="auto"/>
        </w:rPr>
      </w:pPr>
    </w:p>
    <w:p>
      <w:pPr>
        <w:ind w:left="460"/>
        <w:spacing w:after="0"/>
        <w:rPr>
          <w:rFonts w:ascii="Arial" w:cs="Arial" w:eastAsia="Arial" w:hAnsi="Arial"/>
          <w:sz w:val="13"/>
          <w:szCs w:val="13"/>
          <w:u w:val="single" w:color="auto"/>
          <w:color w:val="0000EE"/>
        </w:rPr>
      </w:pPr>
      <w:hyperlink w:anchor="page69">
        <w:r>
          <w:rPr>
            <w:rFonts w:ascii="Arial" w:cs="Arial" w:eastAsia="Arial" w:hAnsi="Arial"/>
            <w:sz w:val="13"/>
            <w:szCs w:val="13"/>
            <w:u w:val="single" w:color="auto"/>
            <w:color w:val="0000EE"/>
          </w:rPr>
          <w:t>Notes to the Consolidated Financial Statements</w:t>
        </w:r>
      </w:hyperlink>
    </w:p>
    <w:p>
      <w:pPr>
        <w:spacing w:after="0" w:line="82"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(2) Financial Statement Schedules:</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3"/>
          <w:szCs w:val="13"/>
          <w:color w:val="auto"/>
        </w:rPr>
        <w:t>Included on page 38 is Schedule II — Valuation and Qualifying Accounts.</w:t>
      </w:r>
    </w:p>
    <w:p>
      <w:pPr>
        <w:spacing w:after="0" w:line="91"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(3) Exhibits:</w:t>
      </w:r>
    </w:p>
    <w:p>
      <w:pPr>
        <w:spacing w:after="0" w:line="91" w:lineRule="exact"/>
        <w:rPr>
          <w:sz w:val="20"/>
          <w:szCs w:val="20"/>
          <w:color w:val="auto"/>
        </w:rPr>
      </w:pPr>
    </w:p>
    <w:p>
      <w:pPr>
        <w:jc w:val="center"/>
        <w:ind w:left="560"/>
        <w:spacing w:after="0"/>
        <w:rPr>
          <w:sz w:val="20"/>
          <w:szCs w:val="20"/>
          <w:color w:val="auto"/>
        </w:rPr>
      </w:pPr>
      <w:r>
        <w:rPr>
          <w:rFonts w:ascii="Arial" w:cs="Arial" w:eastAsia="Arial" w:hAnsi="Arial"/>
          <w:sz w:val="11"/>
          <w:szCs w:val="11"/>
          <w:color w:val="auto"/>
        </w:rPr>
        <w:t>The Exhibit Index on pages E-1 through E-2 lists the exhibits that are filed as part of this report.</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179"/>
        <w:spacing w:after="0"/>
        <w:rPr>
          <w:sz w:val="20"/>
          <w:szCs w:val="20"/>
          <w:color w:val="auto"/>
        </w:rPr>
      </w:pPr>
      <w:r>
        <w:rPr>
          <w:rFonts w:ascii="Arial" w:cs="Arial" w:eastAsia="Arial" w:hAnsi="Arial"/>
          <w:sz w:val="10"/>
          <w:szCs w:val="10"/>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12573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7300" cy="63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FS-22</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FS-23</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FS-26</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FS-28 to FS-59</w:t>
      </w:r>
    </w:p>
    <w:p>
      <w:pPr>
        <w:sectPr>
          <w:pgSz w:w="11900" w:h="16838" w:orient="portrait"/>
          <w:cols w:equalWidth="0" w:num="2">
            <w:col w:w="8200" w:space="720"/>
            <w:col w:w="1319"/>
          </w:cols>
          <w:pgMar w:left="220" w:top="339" w:right="1440"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88"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Millions of Dollars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79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1"/>
              </w:rPr>
              <w:t>Year Ended December 31</w:t>
            </w: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5"/>
        </w:trPr>
        <w:tc>
          <w:tcPr>
            <w:tcW w:w="7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7"/>
              <w:spacing w:after="0" w:line="95" w:lineRule="exact"/>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57"/>
              <w:spacing w:after="0" w:line="95"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5"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28"/>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4"/>
        </w:trPr>
        <w:tc>
          <w:tcPr>
            <w:tcW w:w="7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Employee Termination Benefits:</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7940" w:type="dxa"/>
            <w:vAlign w:val="bottom"/>
          </w:tcPr>
          <w:p>
            <w:pPr>
              <w:spacing w:after="0"/>
              <w:rPr>
                <w:sz w:val="20"/>
                <w:szCs w:val="20"/>
                <w:color w:val="auto"/>
              </w:rPr>
            </w:pPr>
            <w:r>
              <w:rPr>
                <w:rFonts w:ascii="Arial" w:cs="Arial" w:eastAsia="Arial" w:hAnsi="Arial"/>
                <w:sz w:val="13"/>
                <w:szCs w:val="13"/>
                <w:color w:val="auto"/>
              </w:rPr>
              <w:t>Balance at January 1</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369"/>
              <w:spacing w:after="0"/>
              <w:rPr>
                <w:sz w:val="20"/>
                <w:szCs w:val="20"/>
                <w:color w:val="auto"/>
              </w:rPr>
            </w:pPr>
            <w:r>
              <w:rPr>
                <w:rFonts w:ascii="Arial" w:cs="Arial" w:eastAsia="Arial" w:hAnsi="Arial"/>
                <w:sz w:val="13"/>
                <w:szCs w:val="13"/>
                <w:b w:val="1"/>
                <w:bCs w:val="1"/>
                <w:color w:val="auto"/>
              </w:rPr>
              <w:t>145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r>
      <w:tr>
        <w:trPr>
          <w:trHeight w:val="154"/>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Additions (deductions) charged (credited) to expense</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r>
      <w:tr>
        <w:trPr>
          <w:trHeight w:val="154"/>
        </w:trPr>
        <w:tc>
          <w:tcPr>
            <w:tcW w:w="7940" w:type="dxa"/>
            <w:vAlign w:val="bottom"/>
          </w:tcPr>
          <w:p>
            <w:pPr>
              <w:spacing w:after="0"/>
              <w:rPr>
                <w:sz w:val="20"/>
                <w:szCs w:val="20"/>
                <w:color w:val="auto"/>
              </w:rPr>
            </w:pPr>
            <w:r>
              <w:rPr>
                <w:rFonts w:ascii="Arial" w:cs="Arial" w:eastAsia="Arial" w:hAnsi="Arial"/>
                <w:sz w:val="13"/>
                <w:szCs w:val="13"/>
                <w:color w:val="auto"/>
              </w:rPr>
              <w:t>Payments</w:t>
            </w:r>
          </w:p>
        </w:tc>
        <w:tc>
          <w:tcPr>
            <w:tcW w:w="140" w:type="dxa"/>
            <w:vAlign w:val="bottom"/>
          </w:tcPr>
          <w:p>
            <w:pPr>
              <w:spacing w:after="0"/>
              <w:rPr>
                <w:sz w:val="13"/>
                <w:szCs w:val="13"/>
                <w:color w:val="auto"/>
              </w:rPr>
            </w:pPr>
          </w:p>
        </w:tc>
        <w:tc>
          <w:tcPr>
            <w:tcW w:w="920" w:type="dxa"/>
            <w:vAlign w:val="bottom"/>
            <w:gridSpan w:val="2"/>
          </w:tcPr>
          <w:p>
            <w:pPr>
              <w:jc w:val="right"/>
              <w:ind w:right="329"/>
              <w:spacing w:after="0"/>
              <w:rPr>
                <w:sz w:val="20"/>
                <w:szCs w:val="20"/>
                <w:color w:val="auto"/>
              </w:rPr>
            </w:pPr>
            <w:r>
              <w:rPr>
                <w:rFonts w:ascii="Arial" w:cs="Arial" w:eastAsia="Arial" w:hAnsi="Arial"/>
                <w:sz w:val="13"/>
                <w:szCs w:val="13"/>
                <w:b w:val="1"/>
                <w:bCs w:val="1"/>
                <w:color w:val="auto"/>
              </w:rPr>
              <w:t>(82)</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(19)</w:t>
            </w:r>
          </w:p>
        </w:tc>
      </w:tr>
      <w:tr>
        <w:trPr>
          <w:trHeight w:val="162"/>
        </w:trPr>
        <w:tc>
          <w:tcPr>
            <w:tcW w:w="7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w:t>
            </w: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r>
      <w:tr>
        <w:trPr>
          <w:trHeight w:val="163"/>
        </w:trPr>
        <w:tc>
          <w:tcPr>
            <w:tcW w:w="7940" w:type="dxa"/>
            <w:vAlign w:val="bottom"/>
          </w:tcPr>
          <w:p>
            <w:pPr>
              <w:spacing w:after="0"/>
              <w:rPr>
                <w:sz w:val="20"/>
                <w:szCs w:val="20"/>
                <w:color w:val="auto"/>
              </w:rPr>
            </w:pPr>
            <w:r>
              <w:rPr>
                <w:rFonts w:ascii="Arial" w:cs="Arial" w:eastAsia="Arial" w:hAnsi="Arial"/>
                <w:sz w:val="13"/>
                <w:szCs w:val="13"/>
                <w:b w:val="1"/>
                <w:bCs w:val="1"/>
                <w:color w:val="auto"/>
              </w:rPr>
              <w:t>Allowance for Doubtful Accounts: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239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r>
      <w:tr>
        <w:trPr>
          <w:trHeight w:val="154"/>
        </w:trPr>
        <w:tc>
          <w:tcPr>
            <w:tcW w:w="7940" w:type="dxa"/>
            <w:vAlign w:val="bottom"/>
          </w:tcPr>
          <w:p>
            <w:pPr>
              <w:spacing w:after="0"/>
              <w:rPr>
                <w:sz w:val="20"/>
                <w:szCs w:val="20"/>
                <w:color w:val="auto"/>
              </w:rPr>
            </w:pPr>
            <w:r>
              <w:rPr>
                <w:rFonts w:ascii="Arial" w:cs="Arial" w:eastAsia="Arial" w:hAnsi="Arial"/>
                <w:sz w:val="13"/>
                <w:szCs w:val="13"/>
                <w:color w:val="auto"/>
              </w:rPr>
              <w:t>Additions (reductions) to expense</w:t>
            </w:r>
          </w:p>
        </w:tc>
        <w:tc>
          <w:tcPr>
            <w:tcW w:w="140" w:type="dxa"/>
            <w:vAlign w:val="bottom"/>
          </w:tcPr>
          <w:p>
            <w:pPr>
              <w:spacing w:after="0"/>
              <w:rPr>
                <w:sz w:val="13"/>
                <w:szCs w:val="13"/>
                <w:color w:val="auto"/>
              </w:rPr>
            </w:pPr>
          </w:p>
        </w:tc>
        <w:tc>
          <w:tcPr>
            <w:tcW w:w="920" w:type="dxa"/>
            <w:vAlign w:val="bottom"/>
            <w:gridSpan w:val="2"/>
          </w:tcPr>
          <w:p>
            <w:pPr>
              <w:jc w:val="right"/>
              <w:ind w:right="369"/>
              <w:spacing w:after="0"/>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r>
      <w:tr>
        <w:trPr>
          <w:trHeight w:val="154"/>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Bad debt write-offs</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29"/>
              <w:spacing w:after="0"/>
              <w:rPr>
                <w:sz w:val="20"/>
                <w:szCs w:val="20"/>
                <w:color w:val="auto"/>
              </w:rPr>
            </w:pPr>
            <w:r>
              <w:rPr>
                <w:rFonts w:ascii="Arial" w:cs="Arial" w:eastAsia="Arial" w:hAnsi="Arial"/>
                <w:sz w:val="13"/>
                <w:szCs w:val="13"/>
                <w:b w:val="1"/>
                <w:bCs w:val="1"/>
                <w:color w:val="auto"/>
              </w:rPr>
              <w:t>(76)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w:t>
            </w:r>
          </w:p>
        </w:tc>
      </w:tr>
      <w:tr>
        <w:trPr>
          <w:trHeight w:val="167"/>
        </w:trPr>
        <w:tc>
          <w:tcPr>
            <w:tcW w:w="7940" w:type="dxa"/>
            <w:vAlign w:val="bottom"/>
          </w:tcPr>
          <w:p>
            <w:pPr>
              <w:spacing w:after="0"/>
              <w:rPr>
                <w:sz w:val="20"/>
                <w:szCs w:val="20"/>
                <w:color w:val="auto"/>
              </w:rPr>
            </w:pPr>
            <w:r>
              <w:rPr>
                <w:rFonts w:ascii="Arial" w:cs="Arial" w:eastAsia="Arial" w:hAnsi="Arial"/>
                <w:sz w:val="13"/>
                <w:szCs w:val="13"/>
                <w:b w:val="1"/>
                <w:bCs w:val="1"/>
                <w:color w:val="auto"/>
              </w:rPr>
              <w:t>Balance at December 31</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167</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r>
      <w:tr>
        <w:trPr>
          <w:trHeight w:val="159"/>
        </w:trPr>
        <w:tc>
          <w:tcPr>
            <w:tcW w:w="7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Income Tax Valuation Allowance:*</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4"/>
        </w:trPr>
        <w:tc>
          <w:tcPr>
            <w:tcW w:w="7940" w:type="dxa"/>
            <w:vAlign w:val="bottom"/>
          </w:tcPr>
          <w:p>
            <w:pPr>
              <w:spacing w:after="0"/>
              <w:rPr>
                <w:sz w:val="20"/>
                <w:szCs w:val="20"/>
                <w:color w:val="auto"/>
              </w:rPr>
            </w:pPr>
            <w:r>
              <w:rPr>
                <w:rFonts w:ascii="Arial" w:cs="Arial" w:eastAsia="Arial" w:hAnsi="Arial"/>
                <w:sz w:val="13"/>
                <w:szCs w:val="13"/>
                <w:color w:val="auto"/>
              </w:rPr>
              <w:t>Balance at January 1</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369"/>
              <w:spacing w:after="0"/>
              <w:rPr>
                <w:sz w:val="20"/>
                <w:szCs w:val="20"/>
                <w:color w:val="auto"/>
              </w:rPr>
            </w:pPr>
            <w:r>
              <w:rPr>
                <w:rFonts w:ascii="Arial" w:cs="Arial" w:eastAsia="Arial" w:hAnsi="Arial"/>
                <w:sz w:val="13"/>
                <w:szCs w:val="13"/>
                <w:b w:val="1"/>
                <w:bCs w:val="1"/>
                <w:color w:val="auto"/>
              </w:rPr>
              <w:t>9,185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7,921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7,535</w:t>
            </w:r>
          </w:p>
        </w:tc>
      </w:tr>
      <w:tr>
        <w:trPr>
          <w:trHeight w:val="154"/>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Additions to deferred income tax expense</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9"/>
              <w:spacing w:after="0"/>
              <w:rPr>
                <w:sz w:val="20"/>
                <w:szCs w:val="20"/>
                <w:color w:val="auto"/>
              </w:rPr>
            </w:pPr>
            <w:r>
              <w:rPr>
                <w:rFonts w:ascii="Arial" w:cs="Arial" w:eastAsia="Arial" w:hAnsi="Arial"/>
                <w:sz w:val="13"/>
                <w:szCs w:val="13"/>
                <w:b w:val="1"/>
                <w:bCs w:val="1"/>
                <w:color w:val="auto"/>
              </w:rPr>
              <w:t>2,216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1,454</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2,204</w:t>
            </w:r>
          </w:p>
        </w:tc>
      </w:tr>
      <w:tr>
        <w:trPr>
          <w:trHeight w:val="154"/>
        </w:trPr>
        <w:tc>
          <w:tcPr>
            <w:tcW w:w="7940" w:type="dxa"/>
            <w:vAlign w:val="bottom"/>
          </w:tcPr>
          <w:p>
            <w:pPr>
              <w:spacing w:after="0"/>
              <w:rPr>
                <w:sz w:val="20"/>
                <w:szCs w:val="20"/>
                <w:color w:val="auto"/>
              </w:rPr>
            </w:pPr>
            <w:r>
              <w:rPr>
                <w:rFonts w:ascii="Arial" w:cs="Arial" w:eastAsia="Arial" w:hAnsi="Arial"/>
                <w:sz w:val="13"/>
                <w:szCs w:val="13"/>
                <w:color w:val="auto"/>
              </w:rPr>
              <w:t>Reduction of deferred income tax expense</w:t>
            </w:r>
          </w:p>
        </w:tc>
        <w:tc>
          <w:tcPr>
            <w:tcW w:w="140" w:type="dxa"/>
            <w:vAlign w:val="bottom"/>
          </w:tcPr>
          <w:p>
            <w:pPr>
              <w:spacing w:after="0"/>
              <w:rPr>
                <w:sz w:val="13"/>
                <w:szCs w:val="13"/>
                <w:color w:val="auto"/>
              </w:rPr>
            </w:pPr>
          </w:p>
        </w:tc>
        <w:tc>
          <w:tcPr>
            <w:tcW w:w="920" w:type="dxa"/>
            <w:vAlign w:val="bottom"/>
            <w:gridSpan w:val="2"/>
          </w:tcPr>
          <w:p>
            <w:pPr>
              <w:jc w:val="right"/>
              <w:ind w:right="329"/>
              <w:spacing w:after="0"/>
              <w:rPr>
                <w:sz w:val="20"/>
                <w:szCs w:val="20"/>
                <w:color w:val="auto"/>
              </w:rPr>
            </w:pPr>
            <w:r>
              <w:rPr>
                <w:rFonts w:ascii="Arial" w:cs="Arial" w:eastAsia="Arial" w:hAnsi="Arial"/>
                <w:sz w:val="13"/>
                <w:szCs w:val="13"/>
                <w:b w:val="1"/>
                <w:bCs w:val="1"/>
                <w:color w:val="auto"/>
              </w:rPr>
              <w:t>(305)</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(1,818)</w:t>
            </w:r>
          </w:p>
        </w:tc>
      </w:tr>
      <w:tr>
        <w:trPr>
          <w:trHeight w:val="162"/>
        </w:trPr>
        <w:tc>
          <w:tcPr>
            <w:tcW w:w="7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11,096</w:t>
            </w: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9,185</w:t>
            </w: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7,921</w:t>
            </w:r>
          </w:p>
        </w:tc>
        <w:tc>
          <w:tcPr>
            <w:tcW w:w="100" w:type="dxa"/>
            <w:vAlign w:val="bottom"/>
            <w:shd w:val="clear" w:color="auto" w:fill="CCEEFF"/>
          </w:tcPr>
          <w:p>
            <w:pPr>
              <w:spacing w:after="0"/>
              <w:rPr>
                <w:sz w:val="14"/>
                <w:szCs w:val="14"/>
                <w:color w:val="auto"/>
              </w:rPr>
            </w:pP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See also Note 15 to the Consolidated Financial Statements, beginning on page FS-43.</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29297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900"/>
          </w:cols>
          <w:pgMar w:left="220" w:top="339" w:right="77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SIGNATURES</w:t>
      </w:r>
    </w:p>
    <w:p>
      <w:pPr>
        <w:spacing w:after="0" w:line="95" w:lineRule="exact"/>
        <w:rPr>
          <w:sz w:val="20"/>
          <w:szCs w:val="20"/>
          <w:color w:val="auto"/>
        </w:rPr>
      </w:pPr>
    </w:p>
    <w:p>
      <w:pPr>
        <w:ind w:left="460" w:right="1040"/>
        <w:spacing w:after="0" w:line="267"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on the 23rd day of February, 2012.</w:t>
      </w:r>
    </w:p>
    <w:p>
      <w:pPr>
        <w:spacing w:after="0" w:line="177" w:lineRule="exact"/>
        <w:rPr>
          <w:sz w:val="20"/>
          <w:szCs w:val="20"/>
          <w:color w:val="auto"/>
        </w:rPr>
      </w:pPr>
    </w:p>
    <w:p>
      <w:pPr>
        <w:ind w:left="7680"/>
        <w:spacing w:after="0"/>
        <w:rPr>
          <w:sz w:val="20"/>
          <w:szCs w:val="20"/>
          <w:color w:val="auto"/>
        </w:rPr>
      </w:pPr>
      <w:r>
        <w:rPr>
          <w:rFonts w:ascii="Arial" w:cs="Arial" w:eastAsia="Arial" w:hAnsi="Arial"/>
          <w:sz w:val="13"/>
          <w:szCs w:val="13"/>
          <w:color w:val="auto"/>
        </w:rPr>
        <w:t>Chevron Corporation</w:t>
      </w:r>
    </w:p>
    <w:p>
      <w:pPr>
        <w:spacing w:after="0" w:line="206" w:lineRule="exact"/>
        <w:rPr>
          <w:sz w:val="20"/>
          <w:szCs w:val="20"/>
          <w:color w:val="auto"/>
        </w:rPr>
      </w:pPr>
    </w:p>
    <w:p>
      <w:pPr>
        <w:ind w:left="5580"/>
        <w:spacing w:after="0"/>
        <w:tabs>
          <w:tab w:leader="none" w:pos="78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S. W</w:t>
      </w:r>
      <w:r>
        <w:rPr>
          <w:rFonts w:ascii="Arial" w:cs="Arial" w:eastAsia="Arial" w:hAnsi="Arial"/>
          <w:sz w:val="8"/>
          <w:szCs w:val="8"/>
          <w:color w:val="auto"/>
        </w:rPr>
        <w:t>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14605</wp:posOffset>
            </wp:positionV>
            <wp:extent cx="358902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89020" cy="6350"/>
                    </a:xfrm>
                    <a:prstGeom prst="rect">
                      <a:avLst/>
                    </a:prstGeom>
                    <a:noFill/>
                  </pic:spPr>
                </pic:pic>
              </a:graphicData>
            </a:graphic>
          </wp:anchor>
        </w:drawing>
      </w:r>
    </w:p>
    <w:p>
      <w:pPr>
        <w:spacing w:after="0" w:line="3" w:lineRule="exact"/>
        <w:rPr>
          <w:sz w:val="20"/>
          <w:szCs w:val="20"/>
          <w:color w:val="auto"/>
        </w:rPr>
      </w:pPr>
    </w:p>
    <w:p>
      <w:pPr>
        <w:jc w:val="center"/>
        <w:ind w:left="5320"/>
        <w:spacing w:after="0"/>
        <w:rPr>
          <w:sz w:val="20"/>
          <w:szCs w:val="20"/>
          <w:color w:val="auto"/>
        </w:rPr>
      </w:pPr>
      <w:r>
        <w:rPr>
          <w:rFonts w:ascii="Arial" w:cs="Arial" w:eastAsia="Arial" w:hAnsi="Arial"/>
          <w:sz w:val="13"/>
          <w:szCs w:val="13"/>
          <w:color w:val="auto"/>
        </w:rPr>
        <w:t>John S. Watson, Chairman of the Board</w:t>
      </w:r>
    </w:p>
    <w:p>
      <w:pPr>
        <w:spacing w:after="0" w:line="13" w:lineRule="exact"/>
        <w:rPr>
          <w:sz w:val="20"/>
          <w:szCs w:val="20"/>
          <w:color w:val="auto"/>
        </w:rPr>
      </w:pPr>
    </w:p>
    <w:p>
      <w:pPr>
        <w:jc w:val="center"/>
        <w:ind w:left="5320"/>
        <w:spacing w:after="0"/>
        <w:rPr>
          <w:sz w:val="20"/>
          <w:szCs w:val="20"/>
          <w:color w:val="auto"/>
        </w:rPr>
      </w:pPr>
      <w:r>
        <w:rPr>
          <w:rFonts w:ascii="Arial" w:cs="Arial" w:eastAsia="Arial" w:hAnsi="Arial"/>
          <w:sz w:val="13"/>
          <w:szCs w:val="13"/>
          <w:color w:val="auto"/>
        </w:rPr>
        <w:t>and Chief Executive Officer</w:t>
      </w:r>
    </w:p>
    <w:p>
      <w:pPr>
        <w:spacing w:after="0" w:line="82" w:lineRule="exact"/>
        <w:rPr>
          <w:sz w:val="20"/>
          <w:szCs w:val="20"/>
          <w:color w:val="auto"/>
        </w:rPr>
      </w:pPr>
    </w:p>
    <w:p>
      <w:pPr>
        <w:ind w:left="460" w:right="620"/>
        <w:spacing w:after="0" w:line="267"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indicated on the 23rd day of February, 2012.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20" w:type="dxa"/>
            <w:vAlign w:val="bottom"/>
            <w:gridSpan w:val="8"/>
          </w:tcPr>
          <w:p>
            <w:pPr>
              <w:jc w:val="center"/>
              <w:ind w:left="1216"/>
              <w:spacing w:after="0"/>
              <w:rPr>
                <w:sz w:val="20"/>
                <w:szCs w:val="20"/>
                <w:color w:val="auto"/>
              </w:rPr>
            </w:pPr>
            <w:r>
              <w:rPr>
                <w:rFonts w:ascii="Arial" w:cs="Arial" w:eastAsia="Arial" w:hAnsi="Arial"/>
                <w:sz w:val="13"/>
                <w:szCs w:val="13"/>
                <w:b w:val="1"/>
                <w:bCs w:val="1"/>
                <w:color w:val="auto"/>
                <w:w w:val="89"/>
              </w:rPr>
              <w:t>Principal Executive Officers</w:t>
            </w: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ind w:right="1280"/>
              <w:spacing w:after="0"/>
              <w:rPr>
                <w:sz w:val="20"/>
                <w:szCs w:val="20"/>
                <w:color w:val="auto"/>
              </w:rPr>
            </w:pPr>
            <w:r>
              <w:rPr>
                <w:rFonts w:ascii="Arial" w:cs="Arial" w:eastAsia="Arial" w:hAnsi="Arial"/>
                <w:sz w:val="13"/>
                <w:szCs w:val="13"/>
                <w:b w:val="1"/>
                <w:bCs w:val="1"/>
                <w:color w:val="auto"/>
                <w:w w:val="88"/>
              </w:rPr>
              <w:t>(and Directors)</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9"/>
          </w:tcPr>
          <w:p>
            <w:pPr>
              <w:jc w:val="center"/>
              <w:ind w:right="2820"/>
              <w:spacing w:after="0"/>
              <w:rPr>
                <w:sz w:val="20"/>
                <w:szCs w:val="20"/>
                <w:color w:val="auto"/>
              </w:rPr>
            </w:pPr>
            <w:r>
              <w:rPr>
                <w:rFonts w:ascii="Arial" w:cs="Arial" w:eastAsia="Arial" w:hAnsi="Arial"/>
                <w:sz w:val="13"/>
                <w:szCs w:val="13"/>
                <w:b w:val="1"/>
                <w:bCs w:val="1"/>
                <w:color w:val="auto"/>
                <w:w w:val="91"/>
              </w:rPr>
              <w:t>Directors</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/s/J</w:t>
            </w:r>
            <w:r>
              <w:rPr>
                <w:rFonts w:ascii="Arial" w:cs="Arial" w:eastAsia="Arial" w:hAnsi="Arial"/>
                <w:sz w:val="8"/>
                <w:szCs w:val="8"/>
                <w:color w:val="auto"/>
                <w:w w:val="96"/>
              </w:rPr>
              <w:t>OHN</w:t>
            </w:r>
            <w:r>
              <w:rPr>
                <w:rFonts w:ascii="Arial" w:cs="Arial" w:eastAsia="Arial" w:hAnsi="Arial"/>
                <w:sz w:val="13"/>
                <w:szCs w:val="13"/>
                <w:color w:val="auto"/>
                <w:w w:val="96"/>
              </w:rPr>
              <w:t xml:space="preserve"> S. W</w:t>
            </w:r>
            <w:r>
              <w:rPr>
                <w:rFonts w:ascii="Arial" w:cs="Arial" w:eastAsia="Arial" w:hAnsi="Arial"/>
                <w:sz w:val="8"/>
                <w:szCs w:val="8"/>
                <w:color w:val="auto"/>
                <w:w w:val="96"/>
              </w:rPr>
              <w:t>ATSON</w:t>
            </w:r>
          </w:p>
        </w:tc>
        <w:tc>
          <w:tcPr>
            <w:tcW w:w="1280" w:type="dxa"/>
            <w:vAlign w:val="bottom"/>
            <w:gridSpan w:val="3"/>
          </w:tcPr>
          <w:p>
            <w:pPr>
              <w:spacing w:after="0"/>
              <w:rPr>
                <w:sz w:val="21"/>
                <w:szCs w:val="21"/>
                <w:color w:val="auto"/>
              </w:rPr>
            </w:pPr>
          </w:p>
        </w:tc>
        <w:tc>
          <w:tcPr>
            <w:tcW w:w="2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0"/>
              </w:rPr>
              <w:t>L</w:t>
            </w:r>
            <w:r>
              <w:rPr>
                <w:rFonts w:ascii="Arial" w:cs="Arial" w:eastAsia="Arial" w:hAnsi="Arial"/>
                <w:sz w:val="8"/>
                <w:szCs w:val="8"/>
                <w:color w:val="auto"/>
                <w:w w:val="90"/>
              </w:rPr>
              <w:t>INNET</w:t>
            </w:r>
            <w:r>
              <w:rPr>
                <w:rFonts w:ascii="Arial" w:cs="Arial" w:eastAsia="Arial" w:hAnsi="Arial"/>
                <w:sz w:val="13"/>
                <w:szCs w:val="13"/>
                <w:color w:val="auto"/>
                <w:w w:val="90"/>
              </w:rPr>
              <w:t xml:space="preserve"> F. D</w:t>
            </w:r>
            <w:r>
              <w:rPr>
                <w:rFonts w:ascii="Arial" w:cs="Arial" w:eastAsia="Arial" w:hAnsi="Arial"/>
                <w:sz w:val="8"/>
                <w:szCs w:val="8"/>
                <w:color w:val="auto"/>
                <w:w w:val="90"/>
              </w:rPr>
              <w:t>EILY</w:t>
            </w:r>
            <w:r>
              <w:rPr>
                <w:rFonts w:ascii="Arial" w:cs="Arial" w:eastAsia="Arial" w:hAnsi="Arial"/>
                <w:sz w:val="13"/>
                <w:szCs w:val="13"/>
                <w:color w:val="auto"/>
                <w:w w:val="90"/>
              </w:rPr>
              <w:t>*</w:t>
            </w:r>
          </w:p>
        </w:tc>
        <w:tc>
          <w:tcPr>
            <w:tcW w:w="27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820" w:type="dxa"/>
            <w:vAlign w:val="bottom"/>
            <w:gridSpan w:val="8"/>
          </w:tcPr>
          <w:p>
            <w:pPr>
              <w:jc w:val="center"/>
              <w:ind w:left="1256"/>
              <w:spacing w:after="0"/>
              <w:rPr>
                <w:sz w:val="20"/>
                <w:szCs w:val="20"/>
                <w:color w:val="auto"/>
              </w:rPr>
            </w:pPr>
            <w:r>
              <w:rPr>
                <w:rFonts w:ascii="Arial" w:cs="Arial" w:eastAsia="Arial" w:hAnsi="Arial"/>
                <w:sz w:val="13"/>
                <w:szCs w:val="13"/>
                <w:color w:val="auto"/>
                <w:w w:val="88"/>
              </w:rPr>
              <w:t>John S. Watson, Chairman of the</w:t>
            </w: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60" w:type="dxa"/>
            <w:vAlign w:val="bottom"/>
            <w:gridSpan w:val="9"/>
          </w:tcPr>
          <w:p>
            <w:pPr>
              <w:jc w:val="center"/>
              <w:ind w:right="2760"/>
              <w:spacing w:after="0"/>
              <w:rPr>
                <w:sz w:val="20"/>
                <w:szCs w:val="20"/>
                <w:color w:val="auto"/>
              </w:rPr>
            </w:pPr>
            <w:r>
              <w:rPr>
                <w:rFonts w:ascii="Arial" w:cs="Arial" w:eastAsia="Arial" w:hAnsi="Arial"/>
                <w:sz w:val="13"/>
                <w:szCs w:val="13"/>
                <w:color w:val="auto"/>
                <w:w w:val="84"/>
              </w:rPr>
              <w:t>Linnet F. Deily</w:t>
            </w:r>
          </w:p>
        </w:tc>
        <w:tc>
          <w:tcPr>
            <w:tcW w:w="0" w:type="dxa"/>
            <w:vAlign w:val="bottom"/>
          </w:tcPr>
          <w:p>
            <w:pPr>
              <w:spacing w:after="0"/>
              <w:rPr>
                <w:sz w:val="1"/>
                <w:szCs w:val="1"/>
                <w:color w:val="auto"/>
              </w:rPr>
            </w:pPr>
          </w:p>
        </w:tc>
      </w:tr>
      <w:tr>
        <w:trPr>
          <w:trHeight w:val="162"/>
        </w:trPr>
        <w:tc>
          <w:tcPr>
            <w:tcW w:w="4820" w:type="dxa"/>
            <w:vAlign w:val="bottom"/>
            <w:gridSpan w:val="8"/>
          </w:tcPr>
          <w:p>
            <w:pPr>
              <w:jc w:val="center"/>
              <w:ind w:left="1256"/>
              <w:spacing w:after="0"/>
              <w:rPr>
                <w:sz w:val="20"/>
                <w:szCs w:val="20"/>
                <w:color w:val="auto"/>
              </w:rPr>
            </w:pPr>
            <w:r>
              <w:rPr>
                <w:rFonts w:ascii="Arial" w:cs="Arial" w:eastAsia="Arial" w:hAnsi="Arial"/>
                <w:sz w:val="13"/>
                <w:szCs w:val="13"/>
                <w:color w:val="auto"/>
                <w:w w:val="90"/>
              </w:rPr>
              <w:t>Board and Chief Executive Officer</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Arial" w:cs="Arial" w:eastAsia="Arial" w:hAnsi="Arial"/>
                <w:sz w:val="13"/>
                <w:szCs w:val="13"/>
                <w:color w:val="auto"/>
                <w:w w:val="96"/>
              </w:rPr>
              <w:t>/s/G</w:t>
            </w:r>
            <w:r>
              <w:rPr>
                <w:rFonts w:ascii="Arial" w:cs="Arial" w:eastAsia="Arial" w:hAnsi="Arial"/>
                <w:sz w:val="8"/>
                <w:szCs w:val="8"/>
                <w:color w:val="auto"/>
                <w:w w:val="96"/>
              </w:rPr>
              <w:t>EORGE</w:t>
            </w:r>
            <w:r>
              <w:rPr>
                <w:rFonts w:ascii="Arial" w:cs="Arial" w:eastAsia="Arial" w:hAnsi="Arial"/>
                <w:sz w:val="13"/>
                <w:szCs w:val="13"/>
                <w:color w:val="auto"/>
                <w:w w:val="96"/>
              </w:rPr>
              <w:t xml:space="preserve"> L. K</w:t>
            </w:r>
            <w:r>
              <w:rPr>
                <w:rFonts w:ascii="Arial" w:cs="Arial" w:eastAsia="Arial" w:hAnsi="Arial"/>
                <w:sz w:val="8"/>
                <w:szCs w:val="8"/>
                <w:color w:val="auto"/>
                <w:w w:val="96"/>
              </w:rPr>
              <w:t>IRKLAND</w:t>
            </w:r>
          </w:p>
        </w:tc>
        <w:tc>
          <w:tcPr>
            <w:tcW w:w="11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9"/>
          </w:tcPr>
          <w:p>
            <w:pPr>
              <w:jc w:val="center"/>
              <w:ind w:right="2640"/>
              <w:spacing w:after="0"/>
              <w:rPr>
                <w:sz w:val="20"/>
                <w:szCs w:val="20"/>
                <w:color w:val="auto"/>
              </w:rPr>
            </w:pPr>
            <w:r>
              <w:rPr>
                <w:rFonts w:ascii="Arial" w:cs="Arial" w:eastAsia="Arial" w:hAnsi="Arial"/>
                <w:sz w:val="13"/>
                <w:szCs w:val="13"/>
                <w:color w:val="auto"/>
                <w:w w:val="82"/>
              </w:rPr>
              <w:t>R</w:t>
            </w:r>
            <w:r>
              <w:rPr>
                <w:rFonts w:ascii="Arial" w:cs="Arial" w:eastAsia="Arial" w:hAnsi="Arial"/>
                <w:sz w:val="8"/>
                <w:szCs w:val="8"/>
                <w:color w:val="auto"/>
                <w:w w:val="82"/>
              </w:rPr>
              <w:t>OBERT</w:t>
            </w:r>
            <w:r>
              <w:rPr>
                <w:rFonts w:ascii="Arial" w:cs="Arial" w:eastAsia="Arial" w:hAnsi="Arial"/>
                <w:sz w:val="13"/>
                <w:szCs w:val="13"/>
                <w:color w:val="auto"/>
                <w:w w:val="82"/>
              </w:rPr>
              <w:t xml:space="preserve"> E. D</w:t>
            </w:r>
            <w:r>
              <w:rPr>
                <w:rFonts w:ascii="Arial" w:cs="Arial" w:eastAsia="Arial" w:hAnsi="Arial"/>
                <w:sz w:val="8"/>
                <w:szCs w:val="8"/>
                <w:color w:val="auto"/>
                <w:w w:val="82"/>
              </w:rPr>
              <w:t>ENHAM</w:t>
            </w: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20" w:type="dxa"/>
            <w:vAlign w:val="bottom"/>
            <w:gridSpan w:val="8"/>
          </w:tcPr>
          <w:p>
            <w:pPr>
              <w:jc w:val="center"/>
              <w:ind w:left="1236"/>
              <w:spacing w:after="0"/>
              <w:rPr>
                <w:sz w:val="20"/>
                <w:szCs w:val="20"/>
                <w:color w:val="auto"/>
              </w:rPr>
            </w:pPr>
            <w:r>
              <w:rPr>
                <w:rFonts w:ascii="Arial" w:cs="Arial" w:eastAsia="Arial" w:hAnsi="Arial"/>
                <w:sz w:val="13"/>
                <w:szCs w:val="13"/>
                <w:color w:val="auto"/>
                <w:w w:val="91"/>
              </w:rPr>
              <w:t>George L. Kirkland, Vice Chairman</w:t>
            </w: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60" w:type="dxa"/>
            <w:vAlign w:val="bottom"/>
            <w:gridSpan w:val="9"/>
          </w:tcPr>
          <w:p>
            <w:pPr>
              <w:jc w:val="center"/>
              <w:ind w:right="2660"/>
              <w:spacing w:after="0"/>
              <w:rPr>
                <w:sz w:val="20"/>
                <w:szCs w:val="20"/>
                <w:color w:val="auto"/>
              </w:rPr>
            </w:pPr>
            <w:r>
              <w:rPr>
                <w:rFonts w:ascii="Arial" w:cs="Arial" w:eastAsia="Arial" w:hAnsi="Arial"/>
                <w:sz w:val="13"/>
                <w:szCs w:val="13"/>
                <w:color w:val="auto"/>
                <w:w w:val="74"/>
              </w:rPr>
              <w:t>Robert E. Denham</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ind w:right="1260"/>
              <w:spacing w:after="0"/>
              <w:rPr>
                <w:sz w:val="20"/>
                <w:szCs w:val="20"/>
                <w:color w:val="auto"/>
              </w:rPr>
            </w:pPr>
            <w:r>
              <w:rPr>
                <w:rFonts w:ascii="Arial" w:cs="Arial" w:eastAsia="Arial" w:hAnsi="Arial"/>
                <w:sz w:val="13"/>
                <w:szCs w:val="13"/>
                <w:color w:val="auto"/>
                <w:w w:val="90"/>
              </w:rPr>
              <w:t>of the Board</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9"/>
          </w:tcPr>
          <w:p>
            <w:pPr>
              <w:jc w:val="center"/>
              <w:ind w:right="2700"/>
              <w:spacing w:after="0"/>
              <w:rPr>
                <w:sz w:val="20"/>
                <w:szCs w:val="20"/>
                <w:color w:val="auto"/>
              </w:rPr>
            </w:pPr>
            <w:r>
              <w:rPr>
                <w:rFonts w:ascii="Arial" w:cs="Arial" w:eastAsia="Arial" w:hAnsi="Arial"/>
                <w:sz w:val="13"/>
                <w:szCs w:val="13"/>
                <w:color w:val="auto"/>
                <w:w w:val="84"/>
              </w:rPr>
              <w:t>R</w:t>
            </w:r>
            <w:r>
              <w:rPr>
                <w:rFonts w:ascii="Arial" w:cs="Arial" w:eastAsia="Arial" w:hAnsi="Arial"/>
                <w:sz w:val="8"/>
                <w:szCs w:val="8"/>
                <w:color w:val="auto"/>
                <w:w w:val="84"/>
              </w:rPr>
              <w:t>OBERT</w:t>
            </w:r>
            <w:r>
              <w:rPr>
                <w:rFonts w:ascii="Arial" w:cs="Arial" w:eastAsia="Arial" w:hAnsi="Arial"/>
                <w:sz w:val="13"/>
                <w:szCs w:val="13"/>
                <w:color w:val="auto"/>
                <w:w w:val="84"/>
              </w:rPr>
              <w:t xml:space="preserve"> J. E</w:t>
            </w:r>
            <w:r>
              <w:rPr>
                <w:rFonts w:ascii="Arial" w:cs="Arial" w:eastAsia="Arial" w:hAnsi="Arial"/>
                <w:sz w:val="8"/>
                <w:szCs w:val="8"/>
                <w:color w:val="auto"/>
                <w:w w:val="84"/>
              </w:rPr>
              <w:t>ATON</w:t>
            </w:r>
            <w:r>
              <w:rPr>
                <w:rFonts w:ascii="Arial" w:cs="Arial" w:eastAsia="Arial" w:hAnsi="Arial"/>
                <w:sz w:val="13"/>
                <w:szCs w:val="13"/>
                <w:color w:val="auto"/>
                <w:w w:val="84"/>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3"/>
                <w:szCs w:val="13"/>
                <w:color w:val="auto"/>
                <w:w w:val="79"/>
              </w:rPr>
              <w:t>Robert J. Eaton</w:t>
            </w:r>
          </w:p>
        </w:tc>
        <w:tc>
          <w:tcPr>
            <w:tcW w:w="26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7"/>
              </w:rPr>
              <w:t>C</w:t>
            </w:r>
            <w:r>
              <w:rPr>
                <w:rFonts w:ascii="Arial" w:cs="Arial" w:eastAsia="Arial" w:hAnsi="Arial"/>
                <w:sz w:val="8"/>
                <w:szCs w:val="8"/>
                <w:color w:val="auto"/>
                <w:w w:val="97"/>
              </w:rPr>
              <w:t>HUCK</w:t>
            </w:r>
            <w:r>
              <w:rPr>
                <w:rFonts w:ascii="Arial" w:cs="Arial" w:eastAsia="Arial" w:hAnsi="Arial"/>
                <w:sz w:val="13"/>
                <w:szCs w:val="13"/>
                <w:color w:val="auto"/>
                <w:w w:val="97"/>
              </w:rPr>
              <w:t xml:space="preserve"> H</w:t>
            </w:r>
            <w:r>
              <w:rPr>
                <w:rFonts w:ascii="Arial" w:cs="Arial" w:eastAsia="Arial" w:hAnsi="Arial"/>
                <w:sz w:val="8"/>
                <w:szCs w:val="8"/>
                <w:color w:val="auto"/>
                <w:w w:val="97"/>
              </w:rPr>
              <w:t>AGEL</w:t>
            </w:r>
            <w:r>
              <w:rPr>
                <w:rFonts w:ascii="Arial" w:cs="Arial" w:eastAsia="Arial" w:hAnsi="Arial"/>
                <w:sz w:val="13"/>
                <w:szCs w:val="13"/>
                <w:color w:val="auto"/>
                <w:w w:val="97"/>
              </w:rPr>
              <w:t>*</w:t>
            </w:r>
          </w:p>
        </w:tc>
        <w:tc>
          <w:tcPr>
            <w:tcW w:w="27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9"/>
          </w:tcPr>
          <w:p>
            <w:pPr>
              <w:jc w:val="center"/>
              <w:ind w:right="2800"/>
              <w:spacing w:after="0"/>
              <w:rPr>
                <w:sz w:val="20"/>
                <w:szCs w:val="20"/>
                <w:color w:val="auto"/>
              </w:rPr>
            </w:pPr>
            <w:r>
              <w:rPr>
                <w:rFonts w:ascii="Arial" w:cs="Arial" w:eastAsia="Arial" w:hAnsi="Arial"/>
                <w:sz w:val="13"/>
                <w:szCs w:val="13"/>
                <w:color w:val="auto"/>
                <w:w w:val="88"/>
              </w:rPr>
              <w:t>Chuck Hagel</w:t>
            </w:r>
          </w:p>
        </w:tc>
        <w:tc>
          <w:tcPr>
            <w:tcW w:w="0" w:type="dxa"/>
            <w:vAlign w:val="bottom"/>
          </w:tcPr>
          <w:p>
            <w:pPr>
              <w:spacing w:after="0"/>
              <w:rPr>
                <w:sz w:val="1"/>
                <w:szCs w:val="1"/>
                <w:color w:val="auto"/>
              </w:rPr>
            </w:pPr>
          </w:p>
        </w:tc>
      </w:tr>
      <w:tr>
        <w:trPr>
          <w:trHeight w:val="250"/>
        </w:trPr>
        <w:tc>
          <w:tcPr>
            <w:tcW w:w="4820" w:type="dxa"/>
            <w:vAlign w:val="bottom"/>
            <w:gridSpan w:val="8"/>
          </w:tcPr>
          <w:p>
            <w:pPr>
              <w:jc w:val="center"/>
              <w:ind w:left="1256"/>
              <w:spacing w:after="0"/>
              <w:rPr>
                <w:sz w:val="20"/>
                <w:szCs w:val="20"/>
                <w:color w:val="auto"/>
              </w:rPr>
            </w:pPr>
            <w:r>
              <w:rPr>
                <w:rFonts w:ascii="Arial" w:cs="Arial" w:eastAsia="Arial" w:hAnsi="Arial"/>
                <w:sz w:val="13"/>
                <w:szCs w:val="13"/>
                <w:b w:val="1"/>
                <w:bCs w:val="1"/>
                <w:color w:val="auto"/>
                <w:w w:val="90"/>
              </w:rPr>
              <w:t>Principal Financial Officer</w:t>
            </w:r>
          </w:p>
        </w:tc>
        <w:tc>
          <w:tcPr>
            <w:tcW w:w="2880" w:type="dxa"/>
            <w:vAlign w:val="bottom"/>
          </w:tcPr>
          <w:p>
            <w:pPr>
              <w:spacing w:after="0"/>
              <w:rPr>
                <w:sz w:val="21"/>
                <w:szCs w:val="21"/>
                <w:color w:val="auto"/>
              </w:rPr>
            </w:pPr>
          </w:p>
        </w:tc>
        <w:tc>
          <w:tcPr>
            <w:tcW w:w="3780" w:type="dxa"/>
            <w:vAlign w:val="bottom"/>
            <w:gridSpan w:val="11"/>
          </w:tcPr>
          <w:p>
            <w:pPr>
              <w:jc w:val="center"/>
              <w:ind w:right="250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NRIQUE</w:t>
            </w:r>
            <w:r>
              <w:rPr>
                <w:rFonts w:ascii="Arial" w:cs="Arial" w:eastAsia="Arial" w:hAnsi="Arial"/>
                <w:sz w:val="13"/>
                <w:szCs w:val="13"/>
                <w:color w:val="auto"/>
              </w:rPr>
              <w:t xml:space="preserve"> H</w:t>
            </w:r>
            <w:r>
              <w:rPr>
                <w:rFonts w:ascii="Arial" w:cs="Arial" w:eastAsia="Arial" w:hAnsi="Arial"/>
                <w:sz w:val="8"/>
                <w:szCs w:val="8"/>
                <w:color w:val="auto"/>
              </w:rPr>
              <w:t>ERNANDEZ</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400" w:type="dxa"/>
            <w:vAlign w:val="bottom"/>
            <w:gridSpan w:val="7"/>
            <w:vMerge w:val="restart"/>
          </w:tcPr>
          <w:p>
            <w:pPr>
              <w:jc w:val="center"/>
              <w:ind w:right="1100"/>
              <w:spacing w:after="0"/>
              <w:rPr>
                <w:sz w:val="20"/>
                <w:szCs w:val="20"/>
                <w:color w:val="auto"/>
              </w:rPr>
            </w:pPr>
            <w:r>
              <w:rPr>
                <w:rFonts w:ascii="Arial" w:cs="Arial" w:eastAsia="Arial" w:hAnsi="Arial"/>
                <w:sz w:val="13"/>
                <w:szCs w:val="13"/>
                <w:color w:val="auto"/>
                <w:w w:val="99"/>
              </w:rPr>
              <w:t>/s/P</w:t>
            </w:r>
            <w:r>
              <w:rPr>
                <w:rFonts w:ascii="Arial" w:cs="Arial" w:eastAsia="Arial" w:hAnsi="Arial"/>
                <w:sz w:val="8"/>
                <w:szCs w:val="8"/>
                <w:color w:val="auto"/>
                <w:w w:val="99"/>
              </w:rPr>
              <w:t>ATRICIA</w:t>
            </w:r>
            <w:r>
              <w:rPr>
                <w:rFonts w:ascii="Arial" w:cs="Arial" w:eastAsia="Arial" w:hAnsi="Arial"/>
                <w:sz w:val="13"/>
                <w:szCs w:val="13"/>
                <w:color w:val="auto"/>
                <w:w w:val="99"/>
              </w:rPr>
              <w:t xml:space="preserve"> E. Y</w:t>
            </w:r>
            <w:r>
              <w:rPr>
                <w:rFonts w:ascii="Arial" w:cs="Arial" w:eastAsia="Arial" w:hAnsi="Arial"/>
                <w:sz w:val="8"/>
                <w:szCs w:val="8"/>
                <w:color w:val="auto"/>
                <w:w w:val="99"/>
              </w:rPr>
              <w:t>ARRINGTON</w:t>
            </w:r>
          </w:p>
        </w:tc>
        <w:tc>
          <w:tcPr>
            <w:tcW w:w="2880" w:type="dxa"/>
            <w:vAlign w:val="bottom"/>
          </w:tcPr>
          <w:p>
            <w:pPr>
              <w:spacing w:after="0"/>
              <w:rPr>
                <w:sz w:val="14"/>
                <w:szCs w:val="14"/>
                <w:color w:val="auto"/>
              </w:rPr>
            </w:pPr>
          </w:p>
        </w:tc>
        <w:tc>
          <w:tcPr>
            <w:tcW w:w="1260" w:type="dxa"/>
            <w:vAlign w:val="bottom"/>
            <w:tcBorders>
              <w:top w:val="single" w:sz="8" w:color="auto"/>
            </w:tcBorders>
            <w:gridSpan w:val="10"/>
          </w:tcPr>
          <w:p>
            <w:pPr>
              <w:jc w:val="center"/>
              <w:spacing w:after="0"/>
              <w:rPr>
                <w:sz w:val="20"/>
                <w:szCs w:val="20"/>
                <w:color w:val="auto"/>
              </w:rPr>
            </w:pPr>
            <w:r>
              <w:rPr>
                <w:rFonts w:ascii="Arial" w:cs="Arial" w:eastAsia="Arial" w:hAnsi="Arial"/>
                <w:sz w:val="13"/>
                <w:szCs w:val="13"/>
                <w:color w:val="auto"/>
                <w:w w:val="86"/>
              </w:rPr>
              <w:t>Enrique Hernandez, Jr.</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2400" w:type="dxa"/>
            <w:vAlign w:val="bottom"/>
            <w:gridSpan w:val="7"/>
            <w:vMerge w:val="continue"/>
          </w:tcPr>
          <w:p>
            <w:pPr>
              <w:spacing w:after="0"/>
              <w:rPr>
                <w:sz w:val="10"/>
                <w:szCs w:val="10"/>
                <w:color w:val="auto"/>
              </w:rPr>
            </w:pPr>
          </w:p>
        </w:tc>
        <w:tc>
          <w:tcPr>
            <w:tcW w:w="2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left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20" w:type="dxa"/>
            <w:vAlign w:val="bottom"/>
            <w:gridSpan w:val="8"/>
          </w:tcPr>
          <w:p>
            <w:pPr>
              <w:jc w:val="center"/>
              <w:ind w:left="1276"/>
              <w:spacing w:after="0" w:line="134" w:lineRule="exact"/>
              <w:rPr>
                <w:sz w:val="20"/>
                <w:szCs w:val="20"/>
                <w:color w:val="auto"/>
              </w:rPr>
            </w:pPr>
            <w:r>
              <w:rPr>
                <w:rFonts w:ascii="Arial" w:cs="Arial" w:eastAsia="Arial" w:hAnsi="Arial"/>
                <w:sz w:val="13"/>
                <w:szCs w:val="13"/>
                <w:color w:val="auto"/>
                <w:w w:val="89"/>
              </w:rPr>
              <w:t>Patricia E. Yarrington, Vice President</w:t>
            </w:r>
          </w:p>
        </w:tc>
        <w:tc>
          <w:tcPr>
            <w:tcW w:w="2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bottom w:val="single" w:sz="8" w:color="auto"/>
            </w:tcBorders>
            <w:gridSpan w:val="4"/>
          </w:tcPr>
          <w:p>
            <w:pPr>
              <w:jc w:val="center"/>
              <w:spacing w:after="0" w:line="134" w:lineRule="exact"/>
              <w:rPr>
                <w:sz w:val="20"/>
                <w:szCs w:val="20"/>
                <w:color w:val="auto"/>
              </w:rPr>
            </w:pPr>
            <w:r>
              <w:rPr>
                <w:rFonts w:ascii="Arial" w:cs="Arial" w:eastAsia="Arial" w:hAnsi="Arial"/>
                <w:sz w:val="13"/>
                <w:szCs w:val="13"/>
                <w:color w:val="auto"/>
                <w:w w:val="90"/>
              </w:rPr>
              <w:t>D</w:t>
            </w:r>
            <w:r>
              <w:rPr>
                <w:rFonts w:ascii="Arial" w:cs="Arial" w:eastAsia="Arial" w:hAnsi="Arial"/>
                <w:sz w:val="8"/>
                <w:szCs w:val="8"/>
                <w:color w:val="auto"/>
                <w:w w:val="90"/>
              </w:rPr>
              <w:t>ONALD</w:t>
            </w:r>
            <w:r>
              <w:rPr>
                <w:rFonts w:ascii="Arial" w:cs="Arial" w:eastAsia="Arial" w:hAnsi="Arial"/>
                <w:sz w:val="13"/>
                <w:szCs w:val="13"/>
                <w:color w:val="auto"/>
                <w:w w:val="90"/>
              </w:rPr>
              <w:t xml:space="preserve"> B. R</w:t>
            </w:r>
            <w:r>
              <w:rPr>
                <w:rFonts w:ascii="Arial" w:cs="Arial" w:eastAsia="Arial" w:hAnsi="Arial"/>
                <w:sz w:val="8"/>
                <w:szCs w:val="8"/>
                <w:color w:val="auto"/>
                <w:w w:val="90"/>
              </w:rPr>
              <w:t>ICE</w:t>
            </w:r>
            <w:r>
              <w:rPr>
                <w:rFonts w:ascii="Arial" w:cs="Arial" w:eastAsia="Arial" w:hAnsi="Arial"/>
                <w:sz w:val="13"/>
                <w:szCs w:val="13"/>
                <w:color w:val="auto"/>
                <w:w w:val="90"/>
              </w:rPr>
              <w:t>*</w:t>
            </w:r>
          </w:p>
        </w:tc>
        <w:tc>
          <w:tcPr>
            <w:tcW w:w="27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gridSpan w:val="8"/>
          </w:tcPr>
          <w:p>
            <w:pPr>
              <w:jc w:val="center"/>
              <w:ind w:left="1256"/>
              <w:spacing w:after="0"/>
              <w:rPr>
                <w:sz w:val="20"/>
                <w:szCs w:val="20"/>
                <w:color w:val="auto"/>
              </w:rPr>
            </w:pPr>
            <w:r>
              <w:rPr>
                <w:rFonts w:ascii="Arial" w:cs="Arial" w:eastAsia="Arial" w:hAnsi="Arial"/>
                <w:sz w:val="13"/>
                <w:szCs w:val="13"/>
                <w:color w:val="auto"/>
                <w:w w:val="92"/>
              </w:rPr>
              <w:t>and Chief Financial Officer</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9"/>
          </w:tcPr>
          <w:p>
            <w:pPr>
              <w:jc w:val="center"/>
              <w:ind w:right="2740"/>
              <w:spacing w:after="0"/>
              <w:rPr>
                <w:sz w:val="20"/>
                <w:szCs w:val="20"/>
                <w:color w:val="auto"/>
              </w:rPr>
            </w:pPr>
            <w:r>
              <w:rPr>
                <w:rFonts w:ascii="Arial" w:cs="Arial" w:eastAsia="Arial" w:hAnsi="Arial"/>
                <w:sz w:val="13"/>
                <w:szCs w:val="13"/>
                <w:color w:val="auto"/>
                <w:w w:val="82"/>
              </w:rPr>
              <w:t>Donald B. Rice</w:t>
            </w:r>
          </w:p>
        </w:tc>
        <w:tc>
          <w:tcPr>
            <w:tcW w:w="0" w:type="dxa"/>
            <w:vAlign w:val="bottom"/>
          </w:tcPr>
          <w:p>
            <w:pPr>
              <w:spacing w:after="0"/>
              <w:rPr>
                <w:sz w:val="1"/>
                <w:szCs w:val="1"/>
                <w:color w:val="auto"/>
              </w:rPr>
            </w:pPr>
          </w:p>
        </w:tc>
      </w:tr>
      <w:tr>
        <w:trPr>
          <w:trHeight w:val="279"/>
        </w:trPr>
        <w:tc>
          <w:tcPr>
            <w:tcW w:w="4820" w:type="dxa"/>
            <w:vAlign w:val="bottom"/>
            <w:gridSpan w:val="8"/>
          </w:tcPr>
          <w:p>
            <w:pPr>
              <w:jc w:val="center"/>
              <w:ind w:left="1256"/>
              <w:spacing w:after="0"/>
              <w:rPr>
                <w:sz w:val="20"/>
                <w:szCs w:val="20"/>
                <w:color w:val="auto"/>
              </w:rPr>
            </w:pPr>
            <w:r>
              <w:rPr>
                <w:rFonts w:ascii="Arial" w:cs="Arial" w:eastAsia="Arial" w:hAnsi="Arial"/>
                <w:sz w:val="13"/>
                <w:szCs w:val="13"/>
                <w:b w:val="1"/>
                <w:bCs w:val="1"/>
                <w:color w:val="auto"/>
                <w:w w:val="89"/>
              </w:rPr>
              <w:t>Principal Accounting Officer</w:t>
            </w: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9"/>
          </w:tcPr>
          <w:p>
            <w:pPr>
              <w:jc w:val="center"/>
              <w:ind w:right="2680"/>
              <w:spacing w:after="0"/>
              <w:rPr>
                <w:sz w:val="20"/>
                <w:szCs w:val="20"/>
                <w:color w:val="auto"/>
              </w:rPr>
            </w:pPr>
            <w:r>
              <w:rPr>
                <w:rFonts w:ascii="Arial" w:cs="Arial" w:eastAsia="Arial" w:hAnsi="Arial"/>
                <w:sz w:val="13"/>
                <w:szCs w:val="13"/>
                <w:color w:val="auto"/>
                <w:w w:val="84"/>
              </w:rPr>
              <w:t>K</w:t>
            </w:r>
            <w:r>
              <w:rPr>
                <w:rFonts w:ascii="Arial" w:cs="Arial" w:eastAsia="Arial" w:hAnsi="Arial"/>
                <w:sz w:val="8"/>
                <w:szCs w:val="8"/>
                <w:color w:val="auto"/>
                <w:w w:val="84"/>
              </w:rPr>
              <w:t>EVIN</w:t>
            </w:r>
            <w:r>
              <w:rPr>
                <w:rFonts w:ascii="Arial" w:cs="Arial" w:eastAsia="Arial" w:hAnsi="Arial"/>
                <w:sz w:val="13"/>
                <w:szCs w:val="13"/>
                <w:color w:val="auto"/>
                <w:w w:val="84"/>
              </w:rPr>
              <w:t xml:space="preserve"> W. S</w:t>
            </w:r>
            <w:r>
              <w:rPr>
                <w:rFonts w:ascii="Arial" w:cs="Arial" w:eastAsia="Arial" w:hAnsi="Arial"/>
                <w:sz w:val="8"/>
                <w:szCs w:val="8"/>
                <w:color w:val="auto"/>
                <w:w w:val="84"/>
              </w:rPr>
              <w:t>HARER</w:t>
            </w:r>
            <w:r>
              <w:rPr>
                <w:rFonts w:ascii="Arial" w:cs="Arial" w:eastAsia="Arial" w:hAnsi="Arial"/>
                <w:sz w:val="13"/>
                <w:szCs w:val="13"/>
                <w:color w:val="auto"/>
                <w:w w:val="84"/>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3"/>
                <w:szCs w:val="13"/>
                <w:color w:val="auto"/>
                <w:w w:val="97"/>
              </w:rPr>
              <w:t>/s/M</w:t>
            </w:r>
            <w:r>
              <w:rPr>
                <w:rFonts w:ascii="Arial" w:cs="Arial" w:eastAsia="Arial" w:hAnsi="Arial"/>
                <w:sz w:val="8"/>
                <w:szCs w:val="8"/>
                <w:color w:val="auto"/>
                <w:w w:val="97"/>
              </w:rPr>
              <w:t>ATTHEW</w:t>
            </w:r>
            <w:r>
              <w:rPr>
                <w:rFonts w:ascii="Arial" w:cs="Arial" w:eastAsia="Arial" w:hAnsi="Arial"/>
                <w:sz w:val="13"/>
                <w:szCs w:val="13"/>
                <w:color w:val="auto"/>
                <w:w w:val="97"/>
              </w:rPr>
              <w:t xml:space="preserve"> J. F</w:t>
            </w:r>
            <w:r>
              <w:rPr>
                <w:rFonts w:ascii="Arial" w:cs="Arial" w:eastAsia="Arial" w:hAnsi="Arial"/>
                <w:sz w:val="8"/>
                <w:szCs w:val="8"/>
                <w:color w:val="auto"/>
                <w:w w:val="97"/>
              </w:rPr>
              <w:t>OEHR</w:t>
            </w:r>
          </w:p>
        </w:tc>
        <w:tc>
          <w:tcPr>
            <w:tcW w:w="1220" w:type="dxa"/>
            <w:vAlign w:val="bottom"/>
            <w:gridSpan w:val="2"/>
            <w:vMerge w:val="restart"/>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3"/>
                <w:szCs w:val="13"/>
                <w:color w:val="auto"/>
                <w:w w:val="78"/>
              </w:rPr>
              <w:t>Kevin W. Sharer</w:t>
            </w:r>
          </w:p>
        </w:tc>
        <w:tc>
          <w:tcPr>
            <w:tcW w:w="26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bottom w:val="single" w:sz="8" w:color="auto"/>
            </w:tcBorders>
            <w:gridSpan w:val="4"/>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820" w:type="dxa"/>
            <w:vAlign w:val="bottom"/>
            <w:gridSpan w:val="8"/>
          </w:tcPr>
          <w:p>
            <w:pPr>
              <w:jc w:val="center"/>
              <w:ind w:left="1256"/>
              <w:spacing w:after="0" w:line="134" w:lineRule="exact"/>
              <w:rPr>
                <w:sz w:val="20"/>
                <w:szCs w:val="20"/>
                <w:color w:val="auto"/>
              </w:rPr>
            </w:pPr>
            <w:r>
              <w:rPr>
                <w:rFonts w:ascii="Arial" w:cs="Arial" w:eastAsia="Arial" w:hAnsi="Arial"/>
                <w:sz w:val="13"/>
                <w:szCs w:val="13"/>
                <w:color w:val="auto"/>
                <w:w w:val="88"/>
              </w:rPr>
              <w:t>Matthew J. Foehr, Vice President</w:t>
            </w:r>
          </w:p>
        </w:tc>
        <w:tc>
          <w:tcPr>
            <w:tcW w:w="2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Borders>
              <w:bottom w:val="single" w:sz="8" w:color="auto"/>
            </w:tcBorders>
            <w:gridSpan w:val="8"/>
          </w:tcPr>
          <w:p>
            <w:pPr>
              <w:jc w:val="center"/>
              <w:spacing w:after="0" w:line="134" w:lineRule="exact"/>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HARLES</w:t>
            </w:r>
            <w:r>
              <w:rPr>
                <w:rFonts w:ascii="Arial" w:cs="Arial" w:eastAsia="Arial" w:hAnsi="Arial"/>
                <w:sz w:val="13"/>
                <w:szCs w:val="13"/>
                <w:color w:val="auto"/>
              </w:rPr>
              <w:t xml:space="preserve"> R. S</w:t>
            </w:r>
            <w:r>
              <w:rPr>
                <w:rFonts w:ascii="Arial" w:cs="Arial" w:eastAsia="Arial" w:hAnsi="Arial"/>
                <w:sz w:val="8"/>
                <w:szCs w:val="8"/>
                <w:color w:val="auto"/>
              </w:rPr>
              <w:t>HOEMATE</w:t>
            </w:r>
            <w:r>
              <w:rPr>
                <w:rFonts w:ascii="Arial" w:cs="Arial" w:eastAsia="Arial" w:hAnsi="Arial"/>
                <w:sz w:val="13"/>
                <w:szCs w:val="13"/>
                <w:color w:val="auto"/>
              </w:rPr>
              <w:t>*</w:t>
            </w:r>
          </w:p>
        </w:tc>
        <w:tc>
          <w:tcPr>
            <w:tcW w:w="25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ind w:right="1260"/>
              <w:spacing w:after="0"/>
              <w:rPr>
                <w:sz w:val="20"/>
                <w:szCs w:val="20"/>
                <w:color w:val="auto"/>
              </w:rPr>
            </w:pPr>
            <w:r>
              <w:rPr>
                <w:rFonts w:ascii="Arial" w:cs="Arial" w:eastAsia="Arial" w:hAnsi="Arial"/>
                <w:sz w:val="13"/>
                <w:szCs w:val="13"/>
                <w:color w:val="auto"/>
                <w:w w:val="90"/>
              </w:rPr>
              <w:t>and Comptroller</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gridSpan w:val="10"/>
          </w:tcPr>
          <w:p>
            <w:pPr>
              <w:jc w:val="center"/>
              <w:ind w:right="2560"/>
              <w:spacing w:after="0"/>
              <w:rPr>
                <w:sz w:val="20"/>
                <w:szCs w:val="20"/>
                <w:color w:val="auto"/>
              </w:rPr>
            </w:pPr>
            <w:r>
              <w:rPr>
                <w:rFonts w:ascii="Arial" w:cs="Arial" w:eastAsia="Arial" w:hAnsi="Arial"/>
                <w:sz w:val="13"/>
                <w:szCs w:val="13"/>
                <w:color w:val="auto"/>
                <w:w w:val="86"/>
              </w:rPr>
              <w:t>Charles R. Shoemate</w:t>
            </w:r>
          </w:p>
        </w:tc>
        <w:tc>
          <w:tcPr>
            <w:tcW w:w="0" w:type="dxa"/>
            <w:vAlign w:val="bottom"/>
          </w:tcPr>
          <w:p>
            <w:pPr>
              <w:spacing w:after="0"/>
              <w:rPr>
                <w:sz w:val="1"/>
                <w:szCs w:val="1"/>
                <w:color w:val="auto"/>
              </w:rPr>
            </w:pPr>
          </w:p>
        </w:tc>
      </w:tr>
      <w:tr>
        <w:trPr>
          <w:trHeight w:val="279"/>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9"/>
          </w:tcPr>
          <w:p>
            <w:pPr>
              <w:jc w:val="center"/>
              <w:ind w:right="2720"/>
              <w:spacing w:after="0"/>
              <w:rPr>
                <w:sz w:val="20"/>
                <w:szCs w:val="20"/>
                <w:color w:val="auto"/>
              </w:rPr>
            </w:pPr>
            <w:r>
              <w:rPr>
                <w:rFonts w:ascii="Arial" w:cs="Arial" w:eastAsia="Arial" w:hAnsi="Arial"/>
                <w:sz w:val="13"/>
                <w:szCs w:val="13"/>
                <w:color w:val="auto"/>
                <w:w w:val="85"/>
              </w:rPr>
              <w:t>J</w:t>
            </w:r>
            <w:r>
              <w:rPr>
                <w:rFonts w:ascii="Arial" w:cs="Arial" w:eastAsia="Arial" w:hAnsi="Arial"/>
                <w:sz w:val="8"/>
                <w:szCs w:val="8"/>
                <w:color w:val="auto"/>
                <w:w w:val="85"/>
              </w:rPr>
              <w:t>OHN</w:t>
            </w:r>
            <w:r>
              <w:rPr>
                <w:rFonts w:ascii="Arial" w:cs="Arial" w:eastAsia="Arial" w:hAnsi="Arial"/>
                <w:sz w:val="13"/>
                <w:szCs w:val="13"/>
                <w:color w:val="auto"/>
                <w:w w:val="85"/>
              </w:rPr>
              <w:t xml:space="preserve"> G. S</w:t>
            </w:r>
            <w:r>
              <w:rPr>
                <w:rFonts w:ascii="Arial" w:cs="Arial" w:eastAsia="Arial" w:hAnsi="Arial"/>
                <w:sz w:val="8"/>
                <w:szCs w:val="8"/>
                <w:color w:val="auto"/>
                <w:w w:val="85"/>
              </w:rPr>
              <w:t>TUMPF</w:t>
            </w:r>
            <w:r>
              <w:rPr>
                <w:rFonts w:ascii="Arial" w:cs="Arial" w:eastAsia="Arial" w:hAnsi="Arial"/>
                <w:sz w:val="13"/>
                <w:szCs w:val="13"/>
                <w:color w:val="auto"/>
                <w:w w:val="85"/>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79"/>
              </w:rPr>
              <w:t>John G. Stumpf</w:t>
            </w:r>
          </w:p>
        </w:tc>
        <w:tc>
          <w:tcPr>
            <w:tcW w:w="27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6"/>
          </w:tcPr>
          <w:p>
            <w:pPr>
              <w:jc w:val="center"/>
              <w:ind w:right="1180"/>
              <w:spacing w:after="0"/>
              <w:rPr>
                <w:sz w:val="20"/>
                <w:szCs w:val="20"/>
                <w:color w:val="auto"/>
              </w:rPr>
            </w:pPr>
            <w:r>
              <w:rPr>
                <w:rFonts w:ascii="Arial" w:cs="Arial" w:eastAsia="Arial" w:hAnsi="Arial"/>
                <w:sz w:val="13"/>
                <w:szCs w:val="13"/>
                <w:color w:val="auto"/>
                <w:w w:val="96"/>
              </w:rPr>
              <w:t>*By: /s/L</w:t>
            </w:r>
            <w:r>
              <w:rPr>
                <w:rFonts w:ascii="Arial" w:cs="Arial" w:eastAsia="Arial" w:hAnsi="Arial"/>
                <w:sz w:val="8"/>
                <w:szCs w:val="8"/>
                <w:color w:val="auto"/>
                <w:w w:val="96"/>
              </w:rPr>
              <w:t>YDIA</w:t>
            </w:r>
            <w:r>
              <w:rPr>
                <w:rFonts w:ascii="Arial" w:cs="Arial" w:eastAsia="Arial" w:hAnsi="Arial"/>
                <w:sz w:val="13"/>
                <w:szCs w:val="13"/>
                <w:color w:val="auto"/>
                <w:w w:val="96"/>
              </w:rPr>
              <w:t xml:space="preserve"> I. B</w:t>
            </w:r>
            <w:r>
              <w:rPr>
                <w:rFonts w:ascii="Arial" w:cs="Arial" w:eastAsia="Arial" w:hAnsi="Arial"/>
                <w:sz w:val="8"/>
                <w:szCs w:val="8"/>
                <w:color w:val="auto"/>
                <w:w w:val="96"/>
              </w:rPr>
              <w:t>EEBE</w:t>
            </w:r>
          </w:p>
        </w:tc>
        <w:tc>
          <w:tcPr>
            <w:tcW w:w="2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60" w:type="dxa"/>
            <w:vAlign w:val="bottom"/>
            <w:gridSpan w:val="9"/>
          </w:tcPr>
          <w:p>
            <w:pPr>
              <w:jc w:val="center"/>
              <w:ind w:right="2660"/>
              <w:spacing w:after="0"/>
              <w:rPr>
                <w:sz w:val="20"/>
                <w:szCs w:val="20"/>
                <w:color w:val="auto"/>
              </w:rPr>
            </w:pPr>
            <w:r>
              <w:rPr>
                <w:rFonts w:ascii="Arial" w:cs="Arial" w:eastAsia="Arial" w:hAnsi="Arial"/>
                <w:sz w:val="13"/>
                <w:szCs w:val="13"/>
                <w:color w:val="auto"/>
                <w:w w:val="85"/>
              </w:rPr>
              <w:t>R</w:t>
            </w:r>
            <w:r>
              <w:rPr>
                <w:rFonts w:ascii="Arial" w:cs="Arial" w:eastAsia="Arial" w:hAnsi="Arial"/>
                <w:sz w:val="8"/>
                <w:szCs w:val="8"/>
                <w:color w:val="auto"/>
                <w:w w:val="85"/>
              </w:rPr>
              <w:t>ONALD</w:t>
            </w:r>
            <w:r>
              <w:rPr>
                <w:rFonts w:ascii="Arial" w:cs="Arial" w:eastAsia="Arial" w:hAnsi="Arial"/>
                <w:sz w:val="13"/>
                <w:szCs w:val="13"/>
                <w:color w:val="auto"/>
                <w:w w:val="85"/>
              </w:rPr>
              <w:t xml:space="preserve"> D. S</w:t>
            </w:r>
            <w:r>
              <w:rPr>
                <w:rFonts w:ascii="Arial" w:cs="Arial" w:eastAsia="Arial" w:hAnsi="Arial"/>
                <w:sz w:val="8"/>
                <w:szCs w:val="8"/>
                <w:color w:val="auto"/>
                <w:w w:val="85"/>
              </w:rPr>
              <w:t>UGAR</w:t>
            </w:r>
            <w:r>
              <w:rPr>
                <w:rFonts w:ascii="Arial" w:cs="Arial" w:eastAsia="Arial" w:hAnsi="Arial"/>
                <w:sz w:val="13"/>
                <w:szCs w:val="13"/>
                <w:color w:val="auto"/>
                <w:w w:val="85"/>
              </w:rPr>
              <w:t>*</w:t>
            </w: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color w:val="auto"/>
                <w:w w:val="89"/>
              </w:rPr>
              <w:t>Lydia I. Beebe,</w:t>
            </w:r>
          </w:p>
        </w:tc>
        <w:tc>
          <w:tcPr>
            <w:tcW w:w="11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gridSpan w:val="6"/>
          </w:tcPr>
          <w:p>
            <w:pPr>
              <w:jc w:val="center"/>
              <w:ind w:right="80"/>
              <w:spacing w:after="0"/>
              <w:rPr>
                <w:sz w:val="20"/>
                <w:szCs w:val="20"/>
                <w:color w:val="auto"/>
              </w:rPr>
            </w:pPr>
            <w:r>
              <w:rPr>
                <w:rFonts w:ascii="Arial" w:cs="Arial" w:eastAsia="Arial" w:hAnsi="Arial"/>
                <w:sz w:val="13"/>
                <w:szCs w:val="13"/>
                <w:color w:val="auto"/>
                <w:w w:val="76"/>
              </w:rPr>
              <w:t>Ronald D. Sugar</w:t>
            </w:r>
          </w:p>
        </w:tc>
        <w:tc>
          <w:tcPr>
            <w:tcW w:w="26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5"/>
          </w:tcPr>
          <w:p>
            <w:pPr>
              <w:jc w:val="center"/>
              <w:ind w:right="1000"/>
              <w:spacing w:after="0"/>
              <w:rPr>
                <w:sz w:val="20"/>
                <w:szCs w:val="20"/>
                <w:color w:val="auto"/>
              </w:rPr>
            </w:pPr>
            <w:r>
              <w:rPr>
                <w:rFonts w:ascii="Arial" w:cs="Arial" w:eastAsia="Arial" w:hAnsi="Arial"/>
                <w:sz w:val="13"/>
                <w:szCs w:val="13"/>
                <w:color w:val="auto"/>
                <w:w w:val="92"/>
              </w:rPr>
              <w:t>Attorney-in-Fact</w:t>
            </w: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9"/>
            <w:vMerge w:val="restart"/>
          </w:tcPr>
          <w:p>
            <w:pPr>
              <w:jc w:val="center"/>
              <w:ind w:right="282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ARL</w:t>
            </w:r>
            <w:r>
              <w:rPr>
                <w:rFonts w:ascii="Arial" w:cs="Arial" w:eastAsia="Arial" w:hAnsi="Arial"/>
                <w:sz w:val="13"/>
                <w:szCs w:val="13"/>
                <w:color w:val="auto"/>
              </w:rPr>
              <w:t xml:space="preserve"> W</w:t>
            </w:r>
            <w:r>
              <w:rPr>
                <w:rFonts w:ascii="Arial" w:cs="Arial" w:eastAsia="Arial" w:hAnsi="Arial"/>
                <w:sz w:val="8"/>
                <w:szCs w:val="8"/>
                <w:color w:val="auto"/>
              </w:rPr>
              <w:t>ARE</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Carl Ware</w:t>
            </w:r>
          </w:p>
        </w:tc>
        <w:tc>
          <w:tcPr>
            <w:tcW w:w="28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80" w:type="dxa"/>
            <w:vAlign w:val="bottom"/>
          </w:tcPr>
          <w:p>
            <w:pPr>
              <w:jc w:val="right"/>
              <w:ind w:right="1896"/>
              <w:spacing w:after="0"/>
              <w:rPr>
                <w:sz w:val="20"/>
                <w:szCs w:val="20"/>
                <w:color w:val="auto"/>
              </w:rPr>
            </w:pPr>
            <w:r>
              <w:rPr>
                <w:rFonts w:ascii="Arial" w:cs="Arial" w:eastAsia="Arial" w:hAnsi="Arial"/>
                <w:sz w:val="13"/>
                <w:szCs w:val="13"/>
                <w:color w:val="auto"/>
              </w:rPr>
              <w:t>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c>
          <w:tcPr>
            <w:tcW w:w="28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5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Financial Table of Contents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0077C0"/>
        </w:rPr>
        <w:t>FS-2</w:t>
      </w:r>
    </w:p>
    <w:p>
      <w:pPr>
        <w:spacing w:after="0" w:line="47" w:lineRule="exact"/>
        <w:rPr>
          <w:sz w:val="20"/>
          <w:szCs w:val="20"/>
          <w:color w:val="auto"/>
        </w:rPr>
      </w:pPr>
    </w:p>
    <w:p>
      <w:pPr>
        <w:spacing w:after="0"/>
        <w:rPr>
          <w:rFonts w:ascii="Arial" w:cs="Arial" w:eastAsia="Arial" w:hAnsi="Arial"/>
          <w:sz w:val="9"/>
          <w:szCs w:val="9"/>
          <w:b w:val="1"/>
          <w:bCs w:val="1"/>
          <w:u w:val="single" w:color="auto"/>
          <w:color w:val="0077C0"/>
        </w:rPr>
      </w:pPr>
      <w:hyperlink w:anchor="page43">
        <w:r>
          <w:rPr>
            <w:rFonts w:ascii="Arial" w:cs="Arial" w:eastAsia="Arial" w:hAnsi="Arial"/>
            <w:sz w:val="9"/>
            <w:szCs w:val="9"/>
            <w:b w:val="1"/>
            <w:bCs w:val="1"/>
            <w:u w:val="single" w:color="auto"/>
            <w:color w:val="0077C0"/>
          </w:rPr>
          <w:t>Management’s Discussion and Analysis of</w:t>
        </w:r>
      </w:hyperlink>
    </w:p>
    <w:p>
      <w:pPr>
        <w:spacing w:after="0" w:line="228" w:lineRule="auto"/>
        <w:rPr>
          <w:rFonts w:ascii="Arial" w:cs="Arial" w:eastAsia="Arial" w:hAnsi="Arial"/>
          <w:sz w:val="9"/>
          <w:szCs w:val="9"/>
          <w:b w:val="1"/>
          <w:bCs w:val="1"/>
          <w:u w:val="single" w:color="auto"/>
          <w:color w:val="0077C0"/>
        </w:rPr>
      </w:pPr>
      <w:hyperlink w:anchor="page43">
        <w:r>
          <w:rPr>
            <w:rFonts w:ascii="Arial" w:cs="Arial" w:eastAsia="Arial" w:hAnsi="Arial"/>
            <w:sz w:val="9"/>
            <w:szCs w:val="9"/>
            <w:b w:val="1"/>
            <w:bCs w:val="1"/>
            <w:u w:val="single" w:color="auto"/>
            <w:color w:val="0077C0"/>
          </w:rPr>
          <w:t>Financial Condition and Results of Operations</w:t>
        </w:r>
      </w:hyperlink>
    </w:p>
    <w:p>
      <w:pPr>
        <w:spacing w:after="0" w:line="223" w:lineRule="auto"/>
        <w:rPr>
          <w:rFonts w:ascii="Arial" w:cs="Arial" w:eastAsia="Arial" w:hAnsi="Arial"/>
          <w:sz w:val="9"/>
          <w:szCs w:val="9"/>
          <w:u w:val="single" w:color="auto"/>
          <w:color w:val="0000EE"/>
        </w:rPr>
      </w:pPr>
      <w:hyperlink w:anchor="page43">
        <w:r>
          <w:rPr>
            <w:rFonts w:ascii="Arial" w:cs="Arial" w:eastAsia="Arial" w:hAnsi="Arial"/>
            <w:sz w:val="9"/>
            <w:szCs w:val="9"/>
            <w:u w:val="single" w:color="auto"/>
            <w:color w:val="0000EE"/>
          </w:rPr>
          <w:t xml:space="preserve">Key Financial Results </w:t>
        </w:r>
        <w:r>
          <w:rPr>
            <w:rFonts w:ascii="Arial" w:cs="Arial" w:eastAsia="Arial" w:hAnsi="Arial"/>
            <w:sz w:val="9"/>
            <w:szCs w:val="9"/>
            <w:b w:val="1"/>
            <w:bCs w:val="1"/>
            <w:u w:val="single" w:color="auto"/>
            <w:color w:val="0000EE"/>
          </w:rPr>
          <w:t>FS-2</w:t>
        </w:r>
      </w:hyperlink>
    </w:p>
    <w:p>
      <w:pPr>
        <w:spacing w:after="0" w:line="223" w:lineRule="auto"/>
        <w:rPr>
          <w:rFonts w:ascii="Arial" w:cs="Arial" w:eastAsia="Arial" w:hAnsi="Arial"/>
          <w:sz w:val="9"/>
          <w:szCs w:val="9"/>
          <w:u w:val="single" w:color="auto"/>
          <w:color w:val="0000EE"/>
        </w:rPr>
      </w:pPr>
      <w:hyperlink w:anchor="page43">
        <w:r>
          <w:rPr>
            <w:rFonts w:ascii="Arial" w:cs="Arial" w:eastAsia="Arial" w:hAnsi="Arial"/>
            <w:sz w:val="9"/>
            <w:szCs w:val="9"/>
            <w:u w:val="single" w:color="auto"/>
            <w:color w:val="0000EE"/>
          </w:rPr>
          <w:t xml:space="preserve">Earnings by Major Operating Area </w:t>
        </w:r>
        <w:r>
          <w:rPr>
            <w:rFonts w:ascii="Arial" w:cs="Arial" w:eastAsia="Arial" w:hAnsi="Arial"/>
            <w:sz w:val="9"/>
            <w:szCs w:val="9"/>
            <w:b w:val="1"/>
            <w:bCs w:val="1"/>
            <w:u w:val="single" w:color="auto"/>
            <w:color w:val="0000EE"/>
          </w:rPr>
          <w:t>FS-2</w:t>
        </w:r>
      </w:hyperlink>
    </w:p>
    <w:p>
      <w:pPr>
        <w:spacing w:after="0" w:line="223" w:lineRule="auto"/>
        <w:rPr>
          <w:rFonts w:ascii="Arial" w:cs="Arial" w:eastAsia="Arial" w:hAnsi="Arial"/>
          <w:sz w:val="9"/>
          <w:szCs w:val="9"/>
          <w:u w:val="single" w:color="auto"/>
          <w:color w:val="0000EE"/>
        </w:rPr>
      </w:pPr>
      <w:hyperlink w:anchor="page43">
        <w:r>
          <w:rPr>
            <w:rFonts w:ascii="Arial" w:cs="Arial" w:eastAsia="Arial" w:hAnsi="Arial"/>
            <w:sz w:val="9"/>
            <w:szCs w:val="9"/>
            <w:u w:val="single" w:color="auto"/>
            <w:color w:val="0000EE"/>
          </w:rPr>
          <w:t xml:space="preserve">Business Environment and Outlook </w:t>
        </w:r>
        <w:r>
          <w:rPr>
            <w:rFonts w:ascii="Arial" w:cs="Arial" w:eastAsia="Arial" w:hAnsi="Arial"/>
            <w:sz w:val="9"/>
            <w:szCs w:val="9"/>
            <w:b w:val="1"/>
            <w:bCs w:val="1"/>
            <w:u w:val="single" w:color="auto"/>
            <w:color w:val="0000EE"/>
          </w:rPr>
          <w:t>FS-2</w:t>
        </w:r>
      </w:hyperlink>
    </w:p>
    <w:p>
      <w:pPr>
        <w:spacing w:after="0" w:line="223" w:lineRule="auto"/>
        <w:rPr>
          <w:rFonts w:ascii="Arial" w:cs="Arial" w:eastAsia="Arial" w:hAnsi="Arial"/>
          <w:sz w:val="9"/>
          <w:szCs w:val="9"/>
          <w:u w:val="single" w:color="auto"/>
          <w:color w:val="0000EE"/>
        </w:rPr>
      </w:pPr>
      <w:hyperlink w:anchor="page46">
        <w:r>
          <w:rPr>
            <w:rFonts w:ascii="Arial" w:cs="Arial" w:eastAsia="Arial" w:hAnsi="Arial"/>
            <w:sz w:val="9"/>
            <w:szCs w:val="9"/>
            <w:u w:val="single" w:color="auto"/>
            <w:color w:val="0000EE"/>
          </w:rPr>
          <w:t xml:space="preserve">Operating Developments </w:t>
        </w:r>
        <w:r>
          <w:rPr>
            <w:rFonts w:ascii="Arial" w:cs="Arial" w:eastAsia="Arial" w:hAnsi="Arial"/>
            <w:sz w:val="9"/>
            <w:szCs w:val="9"/>
            <w:b w:val="1"/>
            <w:bCs w:val="1"/>
            <w:u w:val="single" w:color="auto"/>
            <w:color w:val="0000EE"/>
          </w:rPr>
          <w:t>FS-5</w:t>
        </w:r>
      </w:hyperlink>
    </w:p>
    <w:p>
      <w:pPr>
        <w:spacing w:after="0" w:line="223" w:lineRule="auto"/>
        <w:rPr>
          <w:rFonts w:ascii="Arial" w:cs="Arial" w:eastAsia="Arial" w:hAnsi="Arial"/>
          <w:sz w:val="9"/>
          <w:szCs w:val="9"/>
          <w:u w:val="single" w:color="auto"/>
          <w:color w:val="0000EE"/>
        </w:rPr>
      </w:pPr>
      <w:hyperlink w:anchor="page47">
        <w:r>
          <w:rPr>
            <w:rFonts w:ascii="Arial" w:cs="Arial" w:eastAsia="Arial" w:hAnsi="Arial"/>
            <w:sz w:val="9"/>
            <w:szCs w:val="9"/>
            <w:u w:val="single" w:color="auto"/>
            <w:color w:val="0000EE"/>
          </w:rPr>
          <w:t xml:space="preserve">Results of Operations </w:t>
        </w:r>
        <w:r>
          <w:rPr>
            <w:rFonts w:ascii="Arial" w:cs="Arial" w:eastAsia="Arial" w:hAnsi="Arial"/>
            <w:sz w:val="9"/>
            <w:szCs w:val="9"/>
            <w:b w:val="1"/>
            <w:bCs w:val="1"/>
            <w:u w:val="single" w:color="auto"/>
            <w:color w:val="0000EE"/>
          </w:rPr>
          <w:t>FS-6</w:t>
        </w:r>
      </w:hyperlink>
    </w:p>
    <w:p>
      <w:pPr>
        <w:spacing w:after="0" w:line="223" w:lineRule="auto"/>
        <w:rPr>
          <w:rFonts w:ascii="Arial" w:cs="Arial" w:eastAsia="Arial" w:hAnsi="Arial"/>
          <w:sz w:val="9"/>
          <w:szCs w:val="9"/>
          <w:u w:val="single" w:color="auto"/>
          <w:color w:val="0000EE"/>
        </w:rPr>
      </w:pPr>
      <w:hyperlink w:anchor="page49">
        <w:r>
          <w:rPr>
            <w:rFonts w:ascii="Arial" w:cs="Arial" w:eastAsia="Arial" w:hAnsi="Arial"/>
            <w:sz w:val="9"/>
            <w:szCs w:val="9"/>
            <w:u w:val="single" w:color="auto"/>
            <w:color w:val="0000EE"/>
          </w:rPr>
          <w:t xml:space="preserve">Consolidated Statement of Income </w:t>
        </w:r>
        <w:r>
          <w:rPr>
            <w:rFonts w:ascii="Arial" w:cs="Arial" w:eastAsia="Arial" w:hAnsi="Arial"/>
            <w:sz w:val="9"/>
            <w:szCs w:val="9"/>
            <w:b w:val="1"/>
            <w:bCs w:val="1"/>
            <w:u w:val="single" w:color="auto"/>
            <w:color w:val="0000EE"/>
          </w:rPr>
          <w:t>FS-8</w:t>
        </w:r>
      </w:hyperlink>
    </w:p>
    <w:p>
      <w:pPr>
        <w:spacing w:after="0" w:line="223" w:lineRule="auto"/>
        <w:rPr>
          <w:rFonts w:ascii="Arial" w:cs="Arial" w:eastAsia="Arial" w:hAnsi="Arial"/>
          <w:sz w:val="9"/>
          <w:szCs w:val="9"/>
          <w:u w:val="single" w:color="auto"/>
          <w:color w:val="0000EE"/>
        </w:rPr>
      </w:pPr>
      <w:hyperlink w:anchor="page51">
        <w:r>
          <w:rPr>
            <w:rFonts w:ascii="Arial" w:cs="Arial" w:eastAsia="Arial" w:hAnsi="Arial"/>
            <w:sz w:val="9"/>
            <w:szCs w:val="9"/>
            <w:u w:val="single" w:color="auto"/>
            <w:color w:val="0000EE"/>
          </w:rPr>
          <w:t xml:space="preserve">Selected Operating Data </w:t>
        </w:r>
        <w:r>
          <w:rPr>
            <w:rFonts w:ascii="Arial" w:cs="Arial" w:eastAsia="Arial" w:hAnsi="Arial"/>
            <w:sz w:val="9"/>
            <w:szCs w:val="9"/>
            <w:b w:val="1"/>
            <w:bCs w:val="1"/>
            <w:u w:val="single" w:color="auto"/>
            <w:color w:val="0000EE"/>
          </w:rPr>
          <w:t>FS-10</w:t>
        </w:r>
      </w:hyperlink>
    </w:p>
    <w:p>
      <w:pPr>
        <w:spacing w:after="0" w:line="222" w:lineRule="auto"/>
        <w:rPr>
          <w:rFonts w:ascii="Arial" w:cs="Arial" w:eastAsia="Arial" w:hAnsi="Arial"/>
          <w:sz w:val="9"/>
          <w:szCs w:val="9"/>
          <w:u w:val="single" w:color="auto"/>
          <w:color w:val="0000EE"/>
        </w:rPr>
      </w:pPr>
      <w:hyperlink w:anchor="page51">
        <w:r>
          <w:rPr>
            <w:rFonts w:ascii="Arial" w:cs="Arial" w:eastAsia="Arial" w:hAnsi="Arial"/>
            <w:sz w:val="9"/>
            <w:szCs w:val="9"/>
            <w:u w:val="single" w:color="auto"/>
            <w:color w:val="0000EE"/>
          </w:rPr>
          <w:t xml:space="preserve">Liquidity and Capital Resources </w:t>
        </w:r>
        <w:r>
          <w:rPr>
            <w:rFonts w:ascii="Arial" w:cs="Arial" w:eastAsia="Arial" w:hAnsi="Arial"/>
            <w:sz w:val="9"/>
            <w:szCs w:val="9"/>
            <w:b w:val="1"/>
            <w:bCs w:val="1"/>
            <w:u w:val="single" w:color="auto"/>
            <w:color w:val="0000EE"/>
          </w:rPr>
          <w:t>FS-10</w:t>
        </w:r>
      </w:hyperlink>
    </w:p>
    <w:p>
      <w:pPr>
        <w:spacing w:after="0" w:line="223" w:lineRule="auto"/>
        <w:rPr>
          <w:rFonts w:ascii="Arial" w:cs="Arial" w:eastAsia="Arial" w:hAnsi="Arial"/>
          <w:sz w:val="9"/>
          <w:szCs w:val="9"/>
          <w:u w:val="single" w:color="auto"/>
          <w:color w:val="0000EE"/>
        </w:rPr>
      </w:pPr>
      <w:hyperlink w:anchor="page53">
        <w:r>
          <w:rPr>
            <w:rFonts w:ascii="Arial" w:cs="Arial" w:eastAsia="Arial" w:hAnsi="Arial"/>
            <w:sz w:val="9"/>
            <w:szCs w:val="9"/>
            <w:u w:val="single" w:color="auto"/>
            <w:color w:val="0000EE"/>
          </w:rPr>
          <w:t xml:space="preserve">Financial Ratios </w:t>
        </w:r>
        <w:r>
          <w:rPr>
            <w:rFonts w:ascii="Arial" w:cs="Arial" w:eastAsia="Arial" w:hAnsi="Arial"/>
            <w:sz w:val="9"/>
            <w:szCs w:val="9"/>
            <w:b w:val="1"/>
            <w:bCs w:val="1"/>
            <w:u w:val="single" w:color="auto"/>
            <w:color w:val="0000EE"/>
          </w:rPr>
          <w:t>FS-12</w:t>
        </w:r>
      </w:hyperlink>
    </w:p>
    <w:p>
      <w:pPr>
        <w:spacing w:after="0" w:line="223" w:lineRule="auto"/>
        <w:rPr>
          <w:rFonts w:ascii="Arial" w:cs="Arial" w:eastAsia="Arial" w:hAnsi="Arial"/>
          <w:sz w:val="9"/>
          <w:szCs w:val="9"/>
          <w:u w:val="single" w:color="auto"/>
          <w:color w:val="0000EE"/>
        </w:rPr>
      </w:pPr>
      <w:hyperlink w:anchor="page53">
        <w:r>
          <w:rPr>
            <w:rFonts w:ascii="Arial" w:cs="Arial" w:eastAsia="Arial" w:hAnsi="Arial"/>
            <w:sz w:val="9"/>
            <w:szCs w:val="9"/>
            <w:u w:val="single" w:color="auto"/>
            <w:color w:val="0000EE"/>
          </w:rPr>
          <w:t>Guarantees, Off-Balance-Sheet Arrangements and Contractual</w:t>
        </w:r>
      </w:hyperlink>
    </w:p>
    <w:p>
      <w:pPr>
        <w:ind w:left="240"/>
        <w:spacing w:after="0" w:line="223" w:lineRule="auto"/>
        <w:rPr>
          <w:rFonts w:ascii="Arial" w:cs="Arial" w:eastAsia="Arial" w:hAnsi="Arial"/>
          <w:sz w:val="9"/>
          <w:szCs w:val="9"/>
          <w:u w:val="single" w:color="auto"/>
          <w:color w:val="0000EE"/>
        </w:rPr>
      </w:pPr>
      <w:hyperlink w:anchor="page53">
        <w:r>
          <w:rPr>
            <w:rFonts w:ascii="Arial" w:cs="Arial" w:eastAsia="Arial" w:hAnsi="Arial"/>
            <w:sz w:val="9"/>
            <w:szCs w:val="9"/>
            <w:u w:val="single" w:color="auto"/>
            <w:color w:val="0000EE"/>
          </w:rPr>
          <w:t xml:space="preserve">Obligations, and Other Contingencies </w:t>
        </w:r>
        <w:r>
          <w:rPr>
            <w:rFonts w:ascii="Arial" w:cs="Arial" w:eastAsia="Arial" w:hAnsi="Arial"/>
            <w:sz w:val="9"/>
            <w:szCs w:val="9"/>
            <w:b w:val="1"/>
            <w:bCs w:val="1"/>
            <w:u w:val="single" w:color="auto"/>
            <w:color w:val="0000EE"/>
          </w:rPr>
          <w:t>FS-12</w:t>
        </w:r>
      </w:hyperlink>
    </w:p>
    <w:p>
      <w:pPr>
        <w:spacing w:after="0" w:line="223" w:lineRule="auto"/>
        <w:rPr>
          <w:rFonts w:ascii="Arial" w:cs="Arial" w:eastAsia="Arial" w:hAnsi="Arial"/>
          <w:sz w:val="9"/>
          <w:szCs w:val="9"/>
          <w:u w:val="single" w:color="auto"/>
          <w:color w:val="0000EE"/>
        </w:rPr>
      </w:pPr>
      <w:hyperlink w:anchor="page54">
        <w:r>
          <w:rPr>
            <w:rFonts w:ascii="Arial" w:cs="Arial" w:eastAsia="Arial" w:hAnsi="Arial"/>
            <w:sz w:val="9"/>
            <w:szCs w:val="9"/>
            <w:u w:val="single" w:color="auto"/>
            <w:color w:val="0000EE"/>
          </w:rPr>
          <w:t xml:space="preserve">Financial and Derivative Instruments </w:t>
        </w:r>
        <w:r>
          <w:rPr>
            <w:rFonts w:ascii="Arial" w:cs="Arial" w:eastAsia="Arial" w:hAnsi="Arial"/>
            <w:sz w:val="9"/>
            <w:szCs w:val="9"/>
            <w:b w:val="1"/>
            <w:bCs w:val="1"/>
            <w:u w:val="single" w:color="auto"/>
            <w:color w:val="0000EE"/>
          </w:rPr>
          <w:t>FS-13</w:t>
        </w:r>
      </w:hyperlink>
    </w:p>
    <w:p>
      <w:pPr>
        <w:spacing w:after="0" w:line="223" w:lineRule="auto"/>
        <w:rPr>
          <w:rFonts w:ascii="Arial" w:cs="Arial" w:eastAsia="Arial" w:hAnsi="Arial"/>
          <w:sz w:val="9"/>
          <w:szCs w:val="9"/>
          <w:u w:val="single" w:color="auto"/>
          <w:color w:val="0000EE"/>
        </w:rPr>
      </w:pPr>
      <w:hyperlink w:anchor="page55">
        <w:r>
          <w:rPr>
            <w:rFonts w:ascii="Arial" w:cs="Arial" w:eastAsia="Arial" w:hAnsi="Arial"/>
            <w:sz w:val="9"/>
            <w:szCs w:val="9"/>
            <w:u w:val="single" w:color="auto"/>
            <w:color w:val="0000EE"/>
          </w:rPr>
          <w:t xml:space="preserve">Transactions With Related Parties </w:t>
        </w:r>
        <w:r>
          <w:rPr>
            <w:rFonts w:ascii="Arial" w:cs="Arial" w:eastAsia="Arial" w:hAnsi="Arial"/>
            <w:sz w:val="9"/>
            <w:szCs w:val="9"/>
            <w:b w:val="1"/>
            <w:bCs w:val="1"/>
            <w:u w:val="single" w:color="auto"/>
            <w:color w:val="0000EE"/>
          </w:rPr>
          <w:t>FS-14</w:t>
        </w:r>
      </w:hyperlink>
    </w:p>
    <w:p>
      <w:pPr>
        <w:spacing w:after="0" w:line="223" w:lineRule="auto"/>
        <w:rPr>
          <w:rFonts w:ascii="Arial" w:cs="Arial" w:eastAsia="Arial" w:hAnsi="Arial"/>
          <w:sz w:val="9"/>
          <w:szCs w:val="9"/>
          <w:u w:val="single" w:color="auto"/>
          <w:color w:val="0000EE"/>
        </w:rPr>
      </w:pPr>
      <w:hyperlink w:anchor="page55">
        <w:r>
          <w:rPr>
            <w:rFonts w:ascii="Arial" w:cs="Arial" w:eastAsia="Arial" w:hAnsi="Arial"/>
            <w:sz w:val="9"/>
            <w:szCs w:val="9"/>
            <w:u w:val="single" w:color="auto"/>
            <w:color w:val="0000EE"/>
          </w:rPr>
          <w:t xml:space="preserve">Litigation and Other Contingencies </w:t>
        </w:r>
        <w:r>
          <w:rPr>
            <w:rFonts w:ascii="Arial" w:cs="Arial" w:eastAsia="Arial" w:hAnsi="Arial"/>
            <w:sz w:val="9"/>
            <w:szCs w:val="9"/>
            <w:b w:val="1"/>
            <w:bCs w:val="1"/>
            <w:u w:val="single" w:color="auto"/>
            <w:color w:val="0000EE"/>
          </w:rPr>
          <w:t>FS-14</w:t>
        </w:r>
      </w:hyperlink>
    </w:p>
    <w:p>
      <w:pPr>
        <w:spacing w:after="0" w:line="222" w:lineRule="auto"/>
        <w:rPr>
          <w:rFonts w:ascii="Arial" w:cs="Arial" w:eastAsia="Arial" w:hAnsi="Arial"/>
          <w:sz w:val="9"/>
          <w:szCs w:val="9"/>
          <w:u w:val="single" w:color="auto"/>
          <w:color w:val="0000EE"/>
        </w:rPr>
      </w:pPr>
      <w:hyperlink w:anchor="page56">
        <w:r>
          <w:rPr>
            <w:rFonts w:ascii="Arial" w:cs="Arial" w:eastAsia="Arial" w:hAnsi="Arial"/>
            <w:sz w:val="9"/>
            <w:szCs w:val="9"/>
            <w:u w:val="single" w:color="auto"/>
            <w:color w:val="0000EE"/>
          </w:rPr>
          <w:t xml:space="preserve">Environmental Matters </w:t>
        </w:r>
        <w:r>
          <w:rPr>
            <w:rFonts w:ascii="Arial" w:cs="Arial" w:eastAsia="Arial" w:hAnsi="Arial"/>
            <w:sz w:val="9"/>
            <w:szCs w:val="9"/>
            <w:b w:val="1"/>
            <w:bCs w:val="1"/>
            <w:u w:val="single" w:color="auto"/>
            <w:color w:val="0000EE"/>
          </w:rPr>
          <w:t>FS-15</w:t>
        </w:r>
      </w:hyperlink>
    </w:p>
    <w:p>
      <w:pPr>
        <w:spacing w:after="0" w:line="223" w:lineRule="auto"/>
        <w:rPr>
          <w:rFonts w:ascii="Arial" w:cs="Arial" w:eastAsia="Arial" w:hAnsi="Arial"/>
          <w:sz w:val="9"/>
          <w:szCs w:val="9"/>
          <w:u w:val="single" w:color="auto"/>
          <w:color w:val="0000EE"/>
        </w:rPr>
      </w:pPr>
      <w:hyperlink w:anchor="page57">
        <w:r>
          <w:rPr>
            <w:rFonts w:ascii="Arial" w:cs="Arial" w:eastAsia="Arial" w:hAnsi="Arial"/>
            <w:sz w:val="9"/>
            <w:szCs w:val="9"/>
            <w:u w:val="single" w:color="auto"/>
            <w:color w:val="0000EE"/>
          </w:rPr>
          <w:t xml:space="preserve">Critical Accounting Estimates and Assumptions </w:t>
        </w:r>
        <w:r>
          <w:rPr>
            <w:rFonts w:ascii="Arial" w:cs="Arial" w:eastAsia="Arial" w:hAnsi="Arial"/>
            <w:sz w:val="9"/>
            <w:szCs w:val="9"/>
            <w:b w:val="1"/>
            <w:bCs w:val="1"/>
            <w:u w:val="single" w:color="auto"/>
            <w:color w:val="0000EE"/>
          </w:rPr>
          <w:t>FS-16</w:t>
        </w:r>
      </w:hyperlink>
    </w:p>
    <w:p>
      <w:pPr>
        <w:spacing w:after="0" w:line="223" w:lineRule="auto"/>
        <w:rPr>
          <w:rFonts w:ascii="Arial" w:cs="Arial" w:eastAsia="Arial" w:hAnsi="Arial"/>
          <w:sz w:val="9"/>
          <w:szCs w:val="9"/>
          <w:u w:val="single" w:color="auto"/>
          <w:color w:val="0000EE"/>
        </w:rPr>
      </w:pPr>
      <w:hyperlink w:anchor="page60">
        <w:r>
          <w:rPr>
            <w:rFonts w:ascii="Arial" w:cs="Arial" w:eastAsia="Arial" w:hAnsi="Arial"/>
            <w:sz w:val="9"/>
            <w:szCs w:val="9"/>
            <w:u w:val="single" w:color="auto"/>
            <w:color w:val="0000EE"/>
          </w:rPr>
          <w:t xml:space="preserve">New Accounting Standards </w:t>
        </w:r>
        <w:r>
          <w:rPr>
            <w:rFonts w:ascii="Arial" w:cs="Arial" w:eastAsia="Arial" w:hAnsi="Arial"/>
            <w:sz w:val="9"/>
            <w:szCs w:val="9"/>
            <w:b w:val="1"/>
            <w:bCs w:val="1"/>
            <w:u w:val="single" w:color="auto"/>
            <w:color w:val="0000EE"/>
          </w:rPr>
          <w:t>FS-19</w:t>
        </w:r>
      </w:hyperlink>
    </w:p>
    <w:p>
      <w:pPr>
        <w:spacing w:after="0"/>
        <w:rPr>
          <w:rFonts w:ascii="Arial" w:cs="Arial" w:eastAsia="Arial" w:hAnsi="Arial"/>
          <w:sz w:val="9"/>
          <w:szCs w:val="9"/>
          <w:u w:val="single" w:color="auto"/>
          <w:color w:val="0000EE"/>
        </w:rPr>
      </w:pPr>
      <w:hyperlink w:anchor="page61">
        <w:r>
          <w:rPr>
            <w:rFonts w:ascii="Arial" w:cs="Arial" w:eastAsia="Arial" w:hAnsi="Arial"/>
            <w:sz w:val="9"/>
            <w:szCs w:val="9"/>
            <w:u w:val="single" w:color="auto"/>
            <w:color w:val="0000EE"/>
          </w:rPr>
          <w:t xml:space="preserve">Quarterly Results and Stock Market Data </w:t>
        </w:r>
        <w:r>
          <w:rPr>
            <w:rFonts w:ascii="Arial" w:cs="Arial" w:eastAsia="Arial" w:hAnsi="Arial"/>
            <w:sz w:val="9"/>
            <w:szCs w:val="9"/>
            <w:b w:val="1"/>
            <w:bCs w:val="1"/>
            <w:u w:val="single" w:color="auto"/>
            <w:color w:val="0000EE"/>
          </w:rPr>
          <w:t>FS-20</w:t>
        </w:r>
      </w:hyperlink>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0077C0"/>
        </w:rPr>
        <w:t>FS-22</w:t>
      </w:r>
    </w:p>
    <w:p>
      <w:pPr>
        <w:spacing w:after="0" w:line="47" w:lineRule="exact"/>
        <w:rPr>
          <w:sz w:val="20"/>
          <w:szCs w:val="20"/>
          <w:color w:val="auto"/>
        </w:rPr>
      </w:pPr>
    </w:p>
    <w:p>
      <w:pPr>
        <w:spacing w:after="0"/>
        <w:rPr>
          <w:sz w:val="20"/>
          <w:szCs w:val="20"/>
          <w:color w:val="auto"/>
        </w:rPr>
      </w:pPr>
      <w:r>
        <w:rPr>
          <w:rFonts w:ascii="Arial" w:cs="Arial" w:eastAsia="Arial" w:hAnsi="Arial"/>
          <w:sz w:val="9"/>
          <w:szCs w:val="9"/>
          <w:b w:val="1"/>
          <w:bCs w:val="1"/>
          <w:color w:val="0077C0"/>
        </w:rPr>
        <w:t>Consolidated Financial Statements</w:t>
      </w:r>
    </w:p>
    <w:p>
      <w:pPr>
        <w:spacing w:after="0" w:line="228" w:lineRule="auto"/>
        <w:rPr>
          <w:rFonts w:ascii="Arial" w:cs="Arial" w:eastAsia="Arial" w:hAnsi="Arial"/>
          <w:sz w:val="9"/>
          <w:szCs w:val="9"/>
          <w:u w:val="single" w:color="auto"/>
          <w:color w:val="0000EE"/>
        </w:rPr>
      </w:pPr>
      <w:hyperlink w:anchor="page62">
        <w:r>
          <w:rPr>
            <w:rFonts w:ascii="Arial" w:cs="Arial" w:eastAsia="Arial" w:hAnsi="Arial"/>
            <w:sz w:val="9"/>
            <w:szCs w:val="9"/>
            <w:u w:val="single" w:color="auto"/>
            <w:color w:val="0000EE"/>
          </w:rPr>
          <w:t xml:space="preserve">Report of Management </w:t>
        </w:r>
        <w:r>
          <w:rPr>
            <w:rFonts w:ascii="Arial" w:cs="Arial" w:eastAsia="Arial" w:hAnsi="Arial"/>
            <w:sz w:val="9"/>
            <w:szCs w:val="9"/>
            <w:b w:val="1"/>
            <w:bCs w:val="1"/>
            <w:u w:val="single" w:color="auto"/>
            <w:color w:val="0000EE"/>
          </w:rPr>
          <w:t>FS-21</w:t>
        </w:r>
      </w:hyperlink>
    </w:p>
    <w:p>
      <w:pPr>
        <w:spacing w:after="0"/>
        <w:rPr>
          <w:rFonts w:ascii="Arial" w:cs="Arial" w:eastAsia="Arial" w:hAnsi="Arial"/>
          <w:sz w:val="8"/>
          <w:szCs w:val="8"/>
          <w:u w:val="single" w:color="auto"/>
          <w:color w:val="0000EE"/>
        </w:rPr>
      </w:pPr>
      <w:hyperlink w:anchor="page63">
        <w:r>
          <w:rPr>
            <w:rFonts w:ascii="Arial" w:cs="Arial" w:eastAsia="Arial" w:hAnsi="Arial"/>
            <w:sz w:val="8"/>
            <w:szCs w:val="8"/>
            <w:u w:val="single" w:color="auto"/>
            <w:color w:val="0000EE"/>
          </w:rPr>
          <w:t xml:space="preserve">Report of Independent Registered Public Accounting Firm </w:t>
        </w:r>
        <w:r>
          <w:rPr>
            <w:rFonts w:ascii="Arial" w:cs="Arial" w:eastAsia="Arial" w:hAnsi="Arial"/>
            <w:sz w:val="8"/>
            <w:szCs w:val="8"/>
            <w:b w:val="1"/>
            <w:bCs w:val="1"/>
            <w:u w:val="single" w:color="auto"/>
            <w:color w:val="0000EE"/>
          </w:rPr>
          <w:t>FS-22</w:t>
        </w:r>
      </w:hyperlink>
    </w:p>
    <w:p>
      <w:pPr>
        <w:spacing w:after="0" w:line="232" w:lineRule="auto"/>
        <w:rPr>
          <w:rFonts w:ascii="Arial" w:cs="Arial" w:eastAsia="Arial" w:hAnsi="Arial"/>
          <w:sz w:val="9"/>
          <w:szCs w:val="9"/>
          <w:u w:val="single" w:color="auto"/>
          <w:color w:val="0000EE"/>
        </w:rPr>
      </w:pPr>
      <w:hyperlink w:anchor="page64">
        <w:r>
          <w:rPr>
            <w:rFonts w:ascii="Arial" w:cs="Arial" w:eastAsia="Arial" w:hAnsi="Arial"/>
            <w:sz w:val="9"/>
            <w:szCs w:val="9"/>
            <w:u w:val="single" w:color="auto"/>
            <w:color w:val="0000EE"/>
          </w:rPr>
          <w:t xml:space="preserve">Consolidated Statement of Income </w:t>
        </w:r>
        <w:r>
          <w:rPr>
            <w:rFonts w:ascii="Arial" w:cs="Arial" w:eastAsia="Arial" w:hAnsi="Arial"/>
            <w:sz w:val="9"/>
            <w:szCs w:val="9"/>
            <w:b w:val="1"/>
            <w:bCs w:val="1"/>
            <w:u w:val="single" w:color="auto"/>
            <w:color w:val="0000EE"/>
          </w:rPr>
          <w:t>FS-23</w:t>
        </w:r>
      </w:hyperlink>
    </w:p>
    <w:p>
      <w:pPr>
        <w:spacing w:after="0" w:line="223" w:lineRule="auto"/>
        <w:rPr>
          <w:rFonts w:ascii="Arial" w:cs="Arial" w:eastAsia="Arial" w:hAnsi="Arial"/>
          <w:sz w:val="9"/>
          <w:szCs w:val="9"/>
          <w:u w:val="single" w:color="auto"/>
          <w:color w:val="0000EE"/>
        </w:rPr>
      </w:pPr>
      <w:hyperlink w:anchor="page65">
        <w:r>
          <w:rPr>
            <w:rFonts w:ascii="Arial" w:cs="Arial" w:eastAsia="Arial" w:hAnsi="Arial"/>
            <w:sz w:val="9"/>
            <w:szCs w:val="9"/>
            <w:u w:val="single" w:color="auto"/>
            <w:color w:val="0000EE"/>
          </w:rPr>
          <w:t xml:space="preserve">Consolidated Statement of Comprehensive Income </w:t>
        </w:r>
        <w:r>
          <w:rPr>
            <w:rFonts w:ascii="Arial" w:cs="Arial" w:eastAsia="Arial" w:hAnsi="Arial"/>
            <w:sz w:val="9"/>
            <w:szCs w:val="9"/>
            <w:b w:val="1"/>
            <w:bCs w:val="1"/>
            <w:u w:val="single" w:color="auto"/>
            <w:color w:val="0000EE"/>
          </w:rPr>
          <w:t>FS-24</w:t>
        </w:r>
      </w:hyperlink>
    </w:p>
    <w:p>
      <w:pPr>
        <w:spacing w:after="0" w:line="223" w:lineRule="auto"/>
        <w:rPr>
          <w:rFonts w:ascii="Arial" w:cs="Arial" w:eastAsia="Arial" w:hAnsi="Arial"/>
          <w:sz w:val="9"/>
          <w:szCs w:val="9"/>
          <w:u w:val="single" w:color="auto"/>
          <w:color w:val="0000EE"/>
        </w:rPr>
      </w:pPr>
      <w:hyperlink w:anchor="page66">
        <w:r>
          <w:rPr>
            <w:rFonts w:ascii="Arial" w:cs="Arial" w:eastAsia="Arial" w:hAnsi="Arial"/>
            <w:sz w:val="9"/>
            <w:szCs w:val="9"/>
            <w:u w:val="single" w:color="auto"/>
            <w:color w:val="0000EE"/>
          </w:rPr>
          <w:t xml:space="preserve">Consolidated Balance Sheet </w:t>
        </w:r>
        <w:r>
          <w:rPr>
            <w:rFonts w:ascii="Arial" w:cs="Arial" w:eastAsia="Arial" w:hAnsi="Arial"/>
            <w:sz w:val="9"/>
            <w:szCs w:val="9"/>
            <w:b w:val="1"/>
            <w:bCs w:val="1"/>
            <w:u w:val="single" w:color="auto"/>
            <w:color w:val="0000EE"/>
          </w:rPr>
          <w:t>FS-25</w:t>
        </w:r>
      </w:hyperlink>
    </w:p>
    <w:p>
      <w:pPr>
        <w:spacing w:after="0" w:line="222" w:lineRule="auto"/>
        <w:rPr>
          <w:rFonts w:ascii="Arial" w:cs="Arial" w:eastAsia="Arial" w:hAnsi="Arial"/>
          <w:sz w:val="9"/>
          <w:szCs w:val="9"/>
          <w:u w:val="single" w:color="auto"/>
          <w:color w:val="0000EE"/>
        </w:rPr>
      </w:pPr>
      <w:hyperlink w:anchor="page67">
        <w:r>
          <w:rPr>
            <w:rFonts w:ascii="Arial" w:cs="Arial" w:eastAsia="Arial" w:hAnsi="Arial"/>
            <w:sz w:val="9"/>
            <w:szCs w:val="9"/>
            <w:u w:val="single" w:color="auto"/>
            <w:color w:val="0000EE"/>
          </w:rPr>
          <w:t xml:space="preserve">Consolidated Statement of Cash Flows </w:t>
        </w:r>
        <w:r>
          <w:rPr>
            <w:rFonts w:ascii="Arial" w:cs="Arial" w:eastAsia="Arial" w:hAnsi="Arial"/>
            <w:sz w:val="9"/>
            <w:szCs w:val="9"/>
            <w:b w:val="1"/>
            <w:bCs w:val="1"/>
            <w:u w:val="single" w:color="auto"/>
            <w:color w:val="0000EE"/>
          </w:rPr>
          <w:t>FS-26</w:t>
        </w:r>
      </w:hyperlink>
    </w:p>
    <w:p>
      <w:pPr>
        <w:spacing w:after="0"/>
        <w:rPr>
          <w:rFonts w:ascii="Arial" w:cs="Arial" w:eastAsia="Arial" w:hAnsi="Arial"/>
          <w:sz w:val="9"/>
          <w:szCs w:val="9"/>
          <w:u w:val="single" w:color="auto"/>
          <w:color w:val="0000EE"/>
        </w:rPr>
      </w:pPr>
      <w:hyperlink w:anchor="page68">
        <w:r>
          <w:rPr>
            <w:rFonts w:ascii="Arial" w:cs="Arial" w:eastAsia="Arial" w:hAnsi="Arial"/>
            <w:sz w:val="9"/>
            <w:szCs w:val="9"/>
            <w:u w:val="single" w:color="auto"/>
            <w:color w:val="0000EE"/>
          </w:rPr>
          <w:t xml:space="preserve">Consolidated Statement of Equity </w:t>
        </w:r>
        <w:r>
          <w:rPr>
            <w:rFonts w:ascii="Arial" w:cs="Arial" w:eastAsia="Arial" w:hAnsi="Arial"/>
            <w:sz w:val="9"/>
            <w:szCs w:val="9"/>
            <w:b w:val="1"/>
            <w:bCs w:val="1"/>
            <w:u w:val="single" w:color="auto"/>
            <w:color w:val="0000EE"/>
          </w:rPr>
          <w:t>FS-27</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20"/>
          <w:szCs w:val="20"/>
          <w:color w:val="0077C0"/>
        </w:rPr>
        <w:t>FS-29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-772160</wp:posOffset>
            </wp:positionV>
            <wp:extent cx="7329805" cy="3820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805" cy="3820160"/>
                    </a:xfrm>
                    <a:prstGeom prst="rect">
                      <a:avLst/>
                    </a:prstGeom>
                    <a:noFill/>
                  </pic:spPr>
                </pic:pic>
              </a:graphicData>
            </a:graphic>
          </wp:anchor>
        </w:drawing>
      </w:r>
    </w:p>
    <w:p>
      <w:pPr>
        <w:spacing w:after="0" w:line="24" w:lineRule="exact"/>
        <w:rPr>
          <w:sz w:val="20"/>
          <w:szCs w:val="20"/>
          <w:color w:val="auto"/>
        </w:rPr>
      </w:pPr>
    </w:p>
    <w:p>
      <w:pPr>
        <w:ind w:left="120"/>
        <w:spacing w:after="0"/>
        <w:rPr>
          <w:rFonts w:ascii="Arial" w:cs="Arial" w:eastAsia="Arial" w:hAnsi="Arial"/>
          <w:sz w:val="9"/>
          <w:szCs w:val="9"/>
          <w:b w:val="1"/>
          <w:bCs w:val="1"/>
          <w:color w:val="0077C0"/>
        </w:rPr>
      </w:pPr>
      <w:hyperlink w:anchor="page69">
        <w:r>
          <w:rPr>
            <w:rFonts w:ascii="Arial" w:cs="Arial" w:eastAsia="Arial" w:hAnsi="Arial"/>
            <w:sz w:val="9"/>
            <w:szCs w:val="9"/>
            <w:b w:val="1"/>
            <w:bCs w:val="1"/>
            <w:color w:val="0077C0"/>
          </w:rPr>
          <w:t>Notes to the Consolidated Financial Statements</w:t>
        </w:r>
      </w:hyperlink>
    </w:p>
    <w:tbl>
      <w:tblPr>
        <w:tblLayout w:type="fixed"/>
        <w:tblInd w:w="120" w:type="dxa"/>
        <w:tblCellMar>
          <w:top w:w="0" w:type="dxa"/>
          <w:left w:w="0" w:type="dxa"/>
          <w:bottom w:w="0" w:type="dxa"/>
          <w:right w:w="0" w:type="dxa"/>
        </w:tblCellMar>
      </w:tblPr>
      <w:tr>
        <w:trPr>
          <w:trHeight w:val="76"/>
        </w:trPr>
        <w:tc>
          <w:tcPr>
            <w:tcW w:w="300" w:type="dxa"/>
            <w:vAlign w:val="bottom"/>
            <w:tcBorders>
              <w:top w:val="single" w:sz="8" w:color="0077C0"/>
            </w:tcBorders>
            <w:gridSpan w:val="4"/>
          </w:tcPr>
          <w:p>
            <w:pPr>
              <w:spacing w:after="0" w:line="76" w:lineRule="exact"/>
              <w:rPr>
                <w:rFonts w:ascii="Arial" w:cs="Arial" w:eastAsia="Arial" w:hAnsi="Arial"/>
                <w:sz w:val="8"/>
                <w:szCs w:val="8"/>
                <w:color w:val="0000EE"/>
              </w:rPr>
            </w:pPr>
            <w:hyperlink w:anchor="page69">
              <w:r>
                <w:rPr>
                  <w:rFonts w:ascii="Arial" w:cs="Arial" w:eastAsia="Arial" w:hAnsi="Arial"/>
                  <w:sz w:val="8"/>
                  <w:szCs w:val="8"/>
                  <w:color w:val="0000EE"/>
                </w:rPr>
                <w:t>Note 1</w:t>
              </w:r>
            </w:hyperlink>
          </w:p>
        </w:tc>
        <w:tc>
          <w:tcPr>
            <w:tcW w:w="1720" w:type="dxa"/>
            <w:vAlign w:val="bottom"/>
            <w:tcBorders>
              <w:top w:val="single" w:sz="8" w:color="0077C0"/>
            </w:tcBorders>
            <w:gridSpan w:val="13"/>
          </w:tcPr>
          <w:p>
            <w:pPr>
              <w:ind w:left="400"/>
              <w:spacing w:after="0" w:line="76" w:lineRule="exact"/>
              <w:rPr>
                <w:rFonts w:ascii="Arial" w:cs="Arial" w:eastAsia="Arial" w:hAnsi="Arial"/>
                <w:sz w:val="8"/>
                <w:szCs w:val="8"/>
                <w:color w:val="0000EE"/>
              </w:rPr>
            </w:pPr>
            <w:hyperlink w:anchor="page69">
              <w:r>
                <w:rPr>
                  <w:rFonts w:ascii="Arial" w:cs="Arial" w:eastAsia="Arial" w:hAnsi="Arial"/>
                  <w:sz w:val="8"/>
                  <w:szCs w:val="8"/>
                  <w:color w:val="0000EE"/>
                </w:rPr>
                <w:t>Summary of Significant Accounting</w:t>
              </w:r>
            </w:hyperlink>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16"/>
          </w:tcPr>
          <w:p>
            <w:pPr>
              <w:jc w:val="center"/>
              <w:ind w:right="380"/>
              <w:spacing w:after="0" w:line="76" w:lineRule="exact"/>
              <w:rPr>
                <w:rFonts w:ascii="Arial" w:cs="Arial" w:eastAsia="Arial" w:hAnsi="Arial"/>
                <w:sz w:val="8"/>
                <w:szCs w:val="8"/>
                <w:color w:val="0000EE"/>
              </w:rPr>
            </w:pPr>
            <w:hyperlink w:anchor="page69">
              <w:r>
                <w:rPr>
                  <w:rFonts w:ascii="Arial" w:cs="Arial" w:eastAsia="Arial" w:hAnsi="Arial"/>
                  <w:sz w:val="8"/>
                  <w:szCs w:val="8"/>
                  <w:color w:val="0000EE"/>
                </w:rPr>
                <w:t xml:space="preserve">Policies </w:t>
              </w:r>
              <w:r>
                <w:rPr>
                  <w:rFonts w:ascii="Arial" w:cs="Arial" w:eastAsia="Arial" w:hAnsi="Arial"/>
                  <w:sz w:val="8"/>
                  <w:szCs w:val="8"/>
                  <w:b w:val="1"/>
                  <w:bCs w:val="1"/>
                  <w:color w:val="0000EE"/>
                </w:rPr>
                <w:t>FS-28</w:t>
              </w:r>
            </w:hyperlink>
          </w:p>
        </w:tc>
        <w:tc>
          <w:tcPr>
            <w:tcW w:w="0" w:type="dxa"/>
            <w:vAlign w:val="bottom"/>
          </w:tcPr>
          <w:p>
            <w:pPr>
              <w:spacing w:after="0"/>
              <w:rPr>
                <w:sz w:val="1"/>
                <w:szCs w:val="1"/>
                <w:color w:val="auto"/>
              </w:rPr>
            </w:pPr>
          </w:p>
        </w:tc>
      </w:tr>
      <w:tr>
        <w:trPr>
          <w:trHeight w:val="76"/>
        </w:trPr>
        <w:tc>
          <w:tcPr>
            <w:tcW w:w="280" w:type="dxa"/>
            <w:vAlign w:val="bottom"/>
            <w:tcBorders>
              <w:top w:val="single" w:sz="8" w:color="0000EE"/>
            </w:tcBorders>
            <w:gridSpan w:val="3"/>
          </w:tcPr>
          <w:p>
            <w:pPr>
              <w:spacing w:after="0" w:line="76" w:lineRule="exact"/>
              <w:rPr>
                <w:rFonts w:ascii="Arial" w:cs="Arial" w:eastAsia="Arial" w:hAnsi="Arial"/>
                <w:sz w:val="8"/>
                <w:szCs w:val="8"/>
                <w:color w:val="0000EE"/>
              </w:rPr>
            </w:pPr>
            <w:hyperlink w:anchor="page71">
              <w:r>
                <w:rPr>
                  <w:rFonts w:ascii="Arial" w:cs="Arial" w:eastAsia="Arial" w:hAnsi="Arial"/>
                  <w:sz w:val="8"/>
                  <w:szCs w:val="8"/>
                  <w:color w:val="0000EE"/>
                </w:rPr>
                <w:t>Note 2</w:t>
              </w:r>
            </w:hyperlink>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0" w:type="dxa"/>
            <w:vAlign w:val="bottom"/>
            <w:tcBorders>
              <w:top w:val="single" w:sz="8" w:color="0000EE"/>
            </w:tcBorders>
            <w:gridSpan w:val="25"/>
          </w:tcPr>
          <w:p>
            <w:pPr>
              <w:spacing w:after="0" w:line="76" w:lineRule="exact"/>
              <w:rPr>
                <w:rFonts w:ascii="Arial" w:cs="Arial" w:eastAsia="Arial" w:hAnsi="Arial"/>
                <w:sz w:val="8"/>
                <w:szCs w:val="8"/>
                <w:color w:val="0000EE"/>
              </w:rPr>
            </w:pPr>
            <w:hyperlink w:anchor="page71">
              <w:r>
                <w:rPr>
                  <w:rFonts w:ascii="Arial" w:cs="Arial" w:eastAsia="Arial" w:hAnsi="Arial"/>
                  <w:sz w:val="8"/>
                  <w:szCs w:val="8"/>
                  <w:color w:val="0000EE"/>
                </w:rPr>
                <w:t xml:space="preserve">Acquisition of Atlas Energy, Inc. </w:t>
              </w:r>
              <w:r>
                <w:rPr>
                  <w:rFonts w:ascii="Arial" w:cs="Arial" w:eastAsia="Arial" w:hAnsi="Arial"/>
                  <w:sz w:val="8"/>
                  <w:szCs w:val="8"/>
                  <w:b w:val="1"/>
                  <w:bCs w:val="1"/>
                  <w:color w:val="0000EE"/>
                </w:rPr>
                <w:t>FS-30</w:t>
              </w:r>
            </w:hyperlink>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80" w:type="dxa"/>
            <w:vAlign w:val="bottom"/>
            <w:tcBorders>
              <w:top w:val="single" w:sz="8" w:color="0000EE"/>
              <w:bottom w:val="single" w:sz="8" w:color="0000EE"/>
            </w:tcBorders>
            <w:gridSpan w:val="3"/>
          </w:tcPr>
          <w:p>
            <w:pPr>
              <w:spacing w:after="0" w:line="76" w:lineRule="exact"/>
              <w:rPr>
                <w:rFonts w:ascii="Arial" w:cs="Arial" w:eastAsia="Arial" w:hAnsi="Arial"/>
                <w:sz w:val="8"/>
                <w:szCs w:val="8"/>
                <w:color w:val="0000EE"/>
              </w:rPr>
            </w:pPr>
            <w:hyperlink w:anchor="page72">
              <w:r>
                <w:rPr>
                  <w:rFonts w:ascii="Arial" w:cs="Arial" w:eastAsia="Arial" w:hAnsi="Arial"/>
                  <w:sz w:val="8"/>
                  <w:szCs w:val="8"/>
                  <w:color w:val="0000EE"/>
                </w:rPr>
                <w:t>Note 3</w:t>
              </w:r>
            </w:hyperlink>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Borders>
              <w:top w:val="single" w:sz="8" w:color="0000EE"/>
              <w:bottom w:val="single" w:sz="8" w:color="0000EE"/>
            </w:tcBorders>
            <w:gridSpan w:val="10"/>
          </w:tcPr>
          <w:p>
            <w:pPr>
              <w:spacing w:after="0" w:line="76" w:lineRule="exact"/>
              <w:rPr>
                <w:rFonts w:ascii="Arial" w:cs="Arial" w:eastAsia="Arial" w:hAnsi="Arial"/>
                <w:sz w:val="8"/>
                <w:szCs w:val="8"/>
                <w:color w:val="0000EE"/>
              </w:rPr>
            </w:pPr>
            <w:hyperlink w:anchor="page72">
              <w:r>
                <w:rPr>
                  <w:rFonts w:ascii="Arial" w:cs="Arial" w:eastAsia="Arial" w:hAnsi="Arial"/>
                  <w:sz w:val="8"/>
                  <w:szCs w:val="8"/>
                  <w:color w:val="0000EE"/>
                </w:rPr>
                <w:t xml:space="preserve">Noncontrolling Interests </w:t>
              </w:r>
              <w:r>
                <w:rPr>
                  <w:rFonts w:ascii="Arial" w:cs="Arial" w:eastAsia="Arial" w:hAnsi="Arial"/>
                  <w:sz w:val="8"/>
                  <w:szCs w:val="8"/>
                  <w:b w:val="1"/>
                  <w:bCs w:val="1"/>
                  <w:color w:val="0000EE"/>
                </w:rPr>
                <w:t>FS-31</w:t>
              </w:r>
            </w:hyperlink>
          </w:p>
        </w:tc>
        <w:tc>
          <w:tcPr>
            <w:tcW w:w="320" w:type="dxa"/>
            <w:vAlign w:val="bottom"/>
            <w:tcBorders>
              <w:top w:val="single" w:sz="8" w:color="0000EE"/>
            </w:tcBorders>
            <w:gridSpan w:val="7"/>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80" w:type="dxa"/>
            <w:vAlign w:val="bottom"/>
            <w:gridSpan w:val="3"/>
          </w:tcPr>
          <w:p>
            <w:pPr>
              <w:spacing w:after="0" w:line="76" w:lineRule="exact"/>
              <w:rPr>
                <w:rFonts w:ascii="Arial" w:cs="Arial" w:eastAsia="Arial" w:hAnsi="Arial"/>
                <w:sz w:val="8"/>
                <w:szCs w:val="8"/>
                <w:color w:val="0000EE"/>
              </w:rPr>
            </w:pPr>
            <w:hyperlink w:anchor="page72">
              <w:r>
                <w:rPr>
                  <w:rFonts w:ascii="Arial" w:cs="Arial" w:eastAsia="Arial" w:hAnsi="Arial"/>
                  <w:sz w:val="8"/>
                  <w:szCs w:val="8"/>
                  <w:color w:val="0000EE"/>
                </w:rPr>
                <w:t>Note 4</w:t>
              </w:r>
            </w:hyperlink>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20" w:type="dxa"/>
            <w:vAlign w:val="bottom"/>
            <w:gridSpan w:val="30"/>
          </w:tcPr>
          <w:p>
            <w:pPr>
              <w:spacing w:after="0" w:line="76" w:lineRule="exact"/>
              <w:rPr>
                <w:rFonts w:ascii="Arial" w:cs="Arial" w:eastAsia="Arial" w:hAnsi="Arial"/>
                <w:sz w:val="8"/>
                <w:szCs w:val="8"/>
                <w:color w:val="0000EE"/>
              </w:rPr>
            </w:pPr>
            <w:hyperlink w:anchor="page72">
              <w:r>
                <w:rPr>
                  <w:rFonts w:ascii="Arial" w:cs="Arial" w:eastAsia="Arial" w:hAnsi="Arial"/>
                  <w:sz w:val="8"/>
                  <w:szCs w:val="8"/>
                  <w:color w:val="0000EE"/>
                </w:rPr>
                <w:t>Information Relating to the Consolidated</w:t>
              </w:r>
            </w:hyperlink>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80" w:type="dxa"/>
            <w:vAlign w:val="bottom"/>
            <w:tcBorders>
              <w:top w:val="single" w:sz="8" w:color="0000EE"/>
              <w:bottom w:val="single" w:sz="8" w:color="0000EE"/>
            </w:tcBorders>
            <w:gridSpan w:val="15"/>
          </w:tcPr>
          <w:p>
            <w:pPr>
              <w:spacing w:after="0" w:line="76" w:lineRule="exact"/>
              <w:rPr>
                <w:rFonts w:ascii="Arial" w:cs="Arial" w:eastAsia="Arial" w:hAnsi="Arial"/>
                <w:sz w:val="8"/>
                <w:szCs w:val="8"/>
                <w:color w:val="0000EE"/>
              </w:rPr>
            </w:pPr>
            <w:hyperlink w:anchor="page72">
              <w:r>
                <w:rPr>
                  <w:rFonts w:ascii="Arial" w:cs="Arial" w:eastAsia="Arial" w:hAnsi="Arial"/>
                  <w:sz w:val="8"/>
                  <w:szCs w:val="8"/>
                  <w:color w:val="0000EE"/>
                </w:rPr>
                <w:t xml:space="preserve">Statement of Cash Flows </w:t>
              </w:r>
              <w:r>
                <w:rPr>
                  <w:rFonts w:ascii="Arial" w:cs="Arial" w:eastAsia="Arial" w:hAnsi="Arial"/>
                  <w:sz w:val="8"/>
                  <w:szCs w:val="8"/>
                  <w:b w:val="1"/>
                  <w:bCs w:val="1"/>
                  <w:color w:val="0000EE"/>
                </w:rPr>
                <w:t>FS-31</w:t>
              </w:r>
            </w:hyperlink>
          </w:p>
        </w:tc>
        <w:tc>
          <w:tcPr>
            <w:tcW w:w="80" w:type="dxa"/>
            <w:vAlign w:val="bottom"/>
            <w:tcBorders>
              <w:top w:val="single" w:sz="8" w:color="0000EE"/>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gridSpan w:val="4"/>
          </w:tcPr>
          <w:p>
            <w:pPr>
              <w:spacing w:after="0" w:line="76" w:lineRule="exact"/>
              <w:rPr>
                <w:rFonts w:ascii="Arial" w:cs="Arial" w:eastAsia="Arial" w:hAnsi="Arial"/>
                <w:sz w:val="8"/>
                <w:szCs w:val="8"/>
                <w:color w:val="0000EE"/>
              </w:rPr>
            </w:pPr>
            <w:hyperlink w:anchor="page73">
              <w:r>
                <w:rPr>
                  <w:rFonts w:ascii="Arial" w:cs="Arial" w:eastAsia="Arial" w:hAnsi="Arial"/>
                  <w:sz w:val="8"/>
                  <w:szCs w:val="8"/>
                  <w:color w:val="0000EE"/>
                </w:rPr>
                <w:t>Note 5</w:t>
              </w:r>
            </w:hyperlink>
          </w:p>
        </w:tc>
        <w:tc>
          <w:tcPr>
            <w:tcW w:w="1920" w:type="dxa"/>
            <w:vAlign w:val="bottom"/>
            <w:gridSpan w:val="17"/>
          </w:tcPr>
          <w:p>
            <w:pPr>
              <w:ind w:left="400"/>
              <w:spacing w:after="0" w:line="76" w:lineRule="exact"/>
              <w:rPr>
                <w:rFonts w:ascii="Arial" w:cs="Arial" w:eastAsia="Arial" w:hAnsi="Arial"/>
                <w:sz w:val="8"/>
                <w:szCs w:val="8"/>
                <w:color w:val="0000EE"/>
              </w:rPr>
            </w:pPr>
            <w:hyperlink w:anchor="page73">
              <w:r>
                <w:rPr>
                  <w:rFonts w:ascii="Arial" w:cs="Arial" w:eastAsia="Arial" w:hAnsi="Arial"/>
                  <w:sz w:val="8"/>
                  <w:szCs w:val="8"/>
                  <w:color w:val="0000EE"/>
                </w:rPr>
                <w:t>Summarized Financial Data – Chevron</w:t>
              </w:r>
            </w:hyperlink>
          </w:p>
        </w:tc>
        <w:tc>
          <w:tcPr>
            <w:tcW w:w="40" w:type="dxa"/>
            <w:vAlign w:val="bottom"/>
            <w:gridSpan w:val="2"/>
          </w:tcPr>
          <w:p>
            <w:pPr>
              <w:spacing w:after="0"/>
              <w:rPr>
                <w:sz w:val="6"/>
                <w:szCs w:val="6"/>
                <w:color w:val="auto"/>
              </w:rPr>
            </w:pPr>
          </w:p>
        </w:tc>
        <w:tc>
          <w:tcPr>
            <w:tcW w:w="860" w:type="dxa"/>
            <w:vAlign w:val="bottom"/>
            <w:gridSpan w:val="12"/>
          </w:tcPr>
          <w:p>
            <w:pPr>
              <w:ind w:left="20"/>
              <w:spacing w:after="0" w:line="76" w:lineRule="exact"/>
              <w:rPr>
                <w:rFonts w:ascii="Arial" w:cs="Arial" w:eastAsia="Arial" w:hAnsi="Arial"/>
                <w:sz w:val="8"/>
                <w:szCs w:val="8"/>
                <w:color w:val="0000EE"/>
              </w:rPr>
            </w:pPr>
            <w:hyperlink w:anchor="page73">
              <w:r>
                <w:rPr>
                  <w:rFonts w:ascii="Arial" w:cs="Arial" w:eastAsia="Arial" w:hAnsi="Arial"/>
                  <w:sz w:val="8"/>
                  <w:szCs w:val="8"/>
                  <w:color w:val="0000EE"/>
                </w:rPr>
                <w:t xml:space="preserve">U.S.A. Inc. </w:t>
              </w:r>
              <w:r>
                <w:rPr>
                  <w:rFonts w:ascii="Arial" w:cs="Arial" w:eastAsia="Arial" w:hAnsi="Arial"/>
                  <w:sz w:val="8"/>
                  <w:szCs w:val="8"/>
                  <w:b w:val="1"/>
                  <w:bCs w:val="1"/>
                  <w:color w:val="0000EE"/>
                </w:rPr>
                <w:t>FS-32</w:t>
              </w:r>
            </w:hyperlink>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 w:type="dxa"/>
            <w:vAlign w:val="bottom"/>
            <w:tcBorders>
              <w:top w:val="single" w:sz="8" w:color="0000EE"/>
              <w:bottom w:val="single" w:sz="8" w:color="0000EE"/>
            </w:tcBorders>
          </w:tcPr>
          <w:p>
            <w:pPr>
              <w:spacing w:after="0" w:line="76" w:lineRule="exact"/>
              <w:rPr>
                <w:rFonts w:ascii="Arial" w:cs="Arial" w:eastAsia="Arial" w:hAnsi="Arial"/>
                <w:sz w:val="8"/>
                <w:szCs w:val="8"/>
                <w:color w:val="0000EE"/>
                <w:w w:val="93"/>
              </w:rPr>
            </w:pPr>
            <w:hyperlink w:anchor="page74">
              <w:r>
                <w:rPr>
                  <w:rFonts w:ascii="Arial" w:cs="Arial" w:eastAsia="Arial" w:hAnsi="Arial"/>
                  <w:sz w:val="8"/>
                  <w:szCs w:val="8"/>
                  <w:color w:val="0000EE"/>
                  <w:w w:val="93"/>
                </w:rPr>
                <w:t>Note 6</w:t>
              </w:r>
            </w:hyperlink>
          </w:p>
        </w:tc>
        <w:tc>
          <w:tcPr>
            <w:tcW w:w="40" w:type="dxa"/>
            <w:vAlign w:val="bottom"/>
            <w:gridSpan w:val="2"/>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Borders>
              <w:top w:val="single" w:sz="8" w:color="0000EE"/>
              <w:bottom w:val="single" w:sz="8" w:color="0000EE"/>
            </w:tcBorders>
            <w:gridSpan w:val="9"/>
          </w:tcPr>
          <w:p>
            <w:pPr>
              <w:spacing w:after="0" w:line="76" w:lineRule="exact"/>
              <w:rPr>
                <w:rFonts w:ascii="Arial" w:cs="Arial" w:eastAsia="Arial" w:hAnsi="Arial"/>
                <w:sz w:val="8"/>
                <w:szCs w:val="8"/>
                <w:color w:val="0000EE"/>
              </w:rPr>
            </w:pPr>
            <w:hyperlink w:anchor="page74">
              <w:r>
                <w:rPr>
                  <w:rFonts w:ascii="Arial" w:cs="Arial" w:eastAsia="Arial" w:hAnsi="Arial"/>
                  <w:sz w:val="8"/>
                  <w:szCs w:val="8"/>
                  <w:color w:val="0000EE"/>
                </w:rPr>
                <w:t>Summarized Financial Data –</w:t>
              </w:r>
            </w:hyperlink>
          </w:p>
        </w:tc>
        <w:tc>
          <w:tcPr>
            <w:tcW w:w="1060" w:type="dxa"/>
            <w:vAlign w:val="bottom"/>
            <w:tcBorders>
              <w:top w:val="single" w:sz="8" w:color="0000EE"/>
            </w:tcBorders>
            <w:gridSpan w:val="19"/>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180" w:type="dxa"/>
            <w:vAlign w:val="bottom"/>
            <w:gridSpan w:val="29"/>
          </w:tcPr>
          <w:p>
            <w:pPr>
              <w:spacing w:after="0" w:line="76" w:lineRule="exact"/>
              <w:rPr>
                <w:rFonts w:ascii="Arial" w:cs="Arial" w:eastAsia="Arial" w:hAnsi="Arial"/>
                <w:sz w:val="8"/>
                <w:szCs w:val="8"/>
                <w:color w:val="0000EE"/>
              </w:rPr>
            </w:pPr>
            <w:hyperlink w:anchor="page74">
              <w:r>
                <w:rPr>
                  <w:rFonts w:ascii="Arial" w:cs="Arial" w:eastAsia="Arial" w:hAnsi="Arial"/>
                  <w:sz w:val="8"/>
                  <w:szCs w:val="8"/>
                  <w:color w:val="0000EE"/>
                </w:rPr>
                <w:t xml:space="preserve">Chevron Transport Corporation Ltd. </w:t>
              </w:r>
              <w:r>
                <w:rPr>
                  <w:rFonts w:ascii="Arial" w:cs="Arial" w:eastAsia="Arial" w:hAnsi="Arial"/>
                  <w:sz w:val="8"/>
                  <w:szCs w:val="8"/>
                  <w:b w:val="1"/>
                  <w:bCs w:val="1"/>
                  <w:color w:val="0000EE"/>
                </w:rPr>
                <w:t>FS-33</w:t>
              </w:r>
            </w:hyperlink>
          </w:p>
        </w:tc>
        <w:tc>
          <w:tcPr>
            <w:tcW w:w="0" w:type="dxa"/>
            <w:vAlign w:val="bottom"/>
          </w:tcPr>
          <w:p>
            <w:pPr>
              <w:spacing w:after="0"/>
              <w:rPr>
                <w:sz w:val="1"/>
                <w:szCs w:val="1"/>
                <w:color w:val="auto"/>
              </w:rPr>
            </w:pPr>
          </w:p>
        </w:tc>
      </w:tr>
      <w:tr>
        <w:trPr>
          <w:trHeight w:val="20"/>
        </w:trPr>
        <w:tc>
          <w:tcPr>
            <w:tcW w:w="300" w:type="dxa"/>
            <w:vAlign w:val="bottom"/>
            <w:gridSpan w:val="4"/>
            <w:vMerge w:val="restart"/>
          </w:tcPr>
          <w:p>
            <w:pPr>
              <w:spacing w:after="0" w:line="96" w:lineRule="exact"/>
              <w:rPr>
                <w:rFonts w:ascii="Arial" w:cs="Arial" w:eastAsia="Arial" w:hAnsi="Arial"/>
                <w:sz w:val="9"/>
                <w:szCs w:val="9"/>
                <w:color w:val="0000EE"/>
              </w:rPr>
            </w:pPr>
            <w:hyperlink w:anchor="page74">
              <w:r>
                <w:rPr>
                  <w:rFonts w:ascii="Arial" w:cs="Arial" w:eastAsia="Arial" w:hAnsi="Arial"/>
                  <w:sz w:val="9"/>
                  <w:szCs w:val="9"/>
                  <w:color w:val="0000EE"/>
                </w:rPr>
                <w:t>Note 7</w:t>
              </w:r>
            </w:hyperlink>
          </w:p>
        </w:tc>
        <w:tc>
          <w:tcPr>
            <w:tcW w:w="6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gridSpan w:val="6"/>
            <w:vMerge w:val="restart"/>
          </w:tcPr>
          <w:p>
            <w:pPr>
              <w:spacing w:after="0" w:line="96" w:lineRule="exact"/>
              <w:rPr>
                <w:rFonts w:ascii="Arial" w:cs="Arial" w:eastAsia="Arial" w:hAnsi="Arial"/>
                <w:sz w:val="9"/>
                <w:szCs w:val="9"/>
                <w:b w:val="1"/>
                <w:bCs w:val="1"/>
                <w:color w:val="0000EE"/>
              </w:rPr>
            </w:pPr>
            <w:hyperlink w:anchor="page74">
              <w:r>
                <w:rPr>
                  <w:rFonts w:ascii="Arial" w:cs="Arial" w:eastAsia="Arial" w:hAnsi="Arial"/>
                  <w:sz w:val="9"/>
                  <w:szCs w:val="9"/>
                  <w:b w:val="1"/>
                  <w:bCs w:val="1"/>
                  <w:color w:val="0000EE"/>
                </w:rPr>
                <w:t>FS-33</w:t>
              </w:r>
            </w:hyperlink>
          </w:p>
        </w:tc>
        <w:tc>
          <w:tcPr>
            <w:tcW w:w="0" w:type="dxa"/>
            <w:vAlign w:val="bottom"/>
          </w:tcPr>
          <w:p>
            <w:pPr>
              <w:spacing w:after="0" w:line="20" w:lineRule="exact"/>
              <w:rPr>
                <w:sz w:val="1"/>
                <w:szCs w:val="1"/>
                <w:color w:val="auto"/>
              </w:rPr>
            </w:pPr>
          </w:p>
        </w:tc>
      </w:tr>
      <w:tr>
        <w:trPr>
          <w:trHeight w:val="96"/>
        </w:trPr>
        <w:tc>
          <w:tcPr>
            <w:tcW w:w="300" w:type="dxa"/>
            <w:vAlign w:val="bottom"/>
            <w:gridSpan w:val="4"/>
            <w:vMerge w:val="continue"/>
          </w:tcPr>
          <w:p>
            <w:pPr>
              <w:spacing w:after="0"/>
              <w:rPr>
                <w:sz w:val="8"/>
                <w:szCs w:val="8"/>
                <w:color w:val="auto"/>
              </w:rPr>
            </w:pPr>
          </w:p>
        </w:tc>
        <w:tc>
          <w:tcPr>
            <w:tcW w:w="2320" w:type="dxa"/>
            <w:vAlign w:val="bottom"/>
            <w:gridSpan w:val="24"/>
          </w:tcPr>
          <w:p>
            <w:pPr>
              <w:ind w:left="400"/>
              <w:spacing w:after="0" w:line="76" w:lineRule="exact"/>
              <w:rPr>
                <w:rFonts w:ascii="Arial" w:cs="Arial" w:eastAsia="Arial" w:hAnsi="Arial"/>
                <w:sz w:val="8"/>
                <w:szCs w:val="8"/>
                <w:color w:val="0000EE"/>
              </w:rPr>
            </w:pPr>
            <w:hyperlink w:anchor="page74">
              <w:r>
                <w:rPr>
                  <w:rFonts w:ascii="Arial" w:cs="Arial" w:eastAsia="Arial" w:hAnsi="Arial"/>
                  <w:sz w:val="8"/>
                  <w:szCs w:val="8"/>
                  <w:color w:val="0000EE"/>
                </w:rPr>
                <w:t>Summarized Financial Data – Tengizchevroil LLP</w:t>
              </w:r>
            </w:hyperlink>
          </w:p>
        </w:tc>
        <w:tc>
          <w:tcPr>
            <w:tcW w:w="60" w:type="dxa"/>
            <w:vAlign w:val="bottom"/>
            <w:vMerge w:val="continue"/>
          </w:tcPr>
          <w:p>
            <w:pPr>
              <w:spacing w:after="0"/>
              <w:rPr>
                <w:sz w:val="8"/>
                <w:szCs w:val="8"/>
                <w:color w:val="auto"/>
              </w:rPr>
            </w:pPr>
          </w:p>
        </w:tc>
        <w:tc>
          <w:tcPr>
            <w:tcW w:w="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0000EE"/>
            </w:tcBorders>
          </w:tcPr>
          <w:p>
            <w:pPr>
              <w:spacing w:after="0"/>
              <w:rPr>
                <w:sz w:val="4"/>
                <w:szCs w:val="4"/>
                <w:color w:val="auto"/>
              </w:rPr>
            </w:pPr>
          </w:p>
        </w:tc>
        <w:tc>
          <w:tcPr>
            <w:tcW w:w="240" w:type="dxa"/>
            <w:vAlign w:val="bottom"/>
            <w:tcBorders>
              <w:top w:val="single" w:sz="8" w:color="0000EE"/>
              <w:bottom w:val="single" w:sz="8" w:color="0000EE"/>
            </w:tcBorders>
          </w:tcPr>
          <w:p>
            <w:pPr>
              <w:spacing w:after="0" w:line="57" w:lineRule="exact"/>
              <w:rPr>
                <w:rFonts w:ascii="Arial" w:cs="Arial" w:eastAsia="Arial" w:hAnsi="Arial"/>
                <w:sz w:val="6"/>
                <w:szCs w:val="6"/>
                <w:color w:val="0000EE"/>
              </w:rPr>
            </w:pPr>
            <w:hyperlink w:anchor="page74">
              <w:r>
                <w:rPr>
                  <w:rFonts w:ascii="Arial" w:cs="Arial" w:eastAsia="Arial" w:hAnsi="Arial"/>
                  <w:sz w:val="6"/>
                  <w:szCs w:val="6"/>
                  <w:color w:val="0000EE"/>
                </w:rPr>
                <w:t>Note 8</w:t>
              </w:r>
            </w:hyperlink>
          </w:p>
        </w:tc>
        <w:tc>
          <w:tcPr>
            <w:tcW w:w="2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Borders>
              <w:top w:val="single" w:sz="8" w:color="0000EE"/>
              <w:bottom w:val="single" w:sz="8" w:color="0000EE"/>
            </w:tcBorders>
            <w:gridSpan w:val="8"/>
          </w:tcPr>
          <w:p>
            <w:pPr>
              <w:spacing w:after="0" w:line="57" w:lineRule="exact"/>
              <w:rPr>
                <w:rFonts w:ascii="Arial" w:cs="Arial" w:eastAsia="Arial" w:hAnsi="Arial"/>
                <w:sz w:val="6"/>
                <w:szCs w:val="6"/>
                <w:color w:val="0000EE"/>
              </w:rPr>
            </w:pPr>
            <w:hyperlink w:anchor="page74">
              <w:r>
                <w:rPr>
                  <w:rFonts w:ascii="Arial" w:cs="Arial" w:eastAsia="Arial" w:hAnsi="Arial"/>
                  <w:sz w:val="6"/>
                  <w:szCs w:val="6"/>
                  <w:color w:val="0000EE"/>
                </w:rPr>
                <w:t xml:space="preserve">Lease Commitments </w:t>
              </w:r>
              <w:r>
                <w:rPr>
                  <w:rFonts w:ascii="Arial" w:cs="Arial" w:eastAsia="Arial" w:hAnsi="Arial"/>
                  <w:sz w:val="6"/>
                  <w:szCs w:val="6"/>
                  <w:b w:val="1"/>
                  <w:bCs w:val="1"/>
                  <w:color w:val="0000EE"/>
                </w:rPr>
                <w:t>FS-33</w:t>
              </w:r>
            </w:hyperlink>
          </w:p>
        </w:tc>
        <w:tc>
          <w:tcPr>
            <w:tcW w:w="1120" w:type="dxa"/>
            <w:vAlign w:val="bottom"/>
            <w:tcBorders>
              <w:top w:val="single" w:sz="8" w:color="0000EE"/>
            </w:tcBorders>
            <w:gridSpan w:val="19"/>
          </w:tcPr>
          <w:p>
            <w:pPr>
              <w:spacing w:after="0"/>
              <w:rPr>
                <w:sz w:val="4"/>
                <w:szCs w:val="4"/>
                <w:color w:val="auto"/>
              </w:rPr>
            </w:pPr>
          </w:p>
        </w:tc>
        <w:tc>
          <w:tcPr>
            <w:tcW w:w="1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80" w:type="dxa"/>
            <w:vAlign w:val="bottom"/>
            <w:tcBorders>
              <w:bottom w:val="single" w:sz="8" w:color="0000EE"/>
            </w:tcBorders>
            <w:gridSpan w:val="3"/>
          </w:tcPr>
          <w:p>
            <w:pPr>
              <w:spacing w:after="0" w:line="76" w:lineRule="exact"/>
              <w:rPr>
                <w:rFonts w:ascii="Arial" w:cs="Arial" w:eastAsia="Arial" w:hAnsi="Arial"/>
                <w:sz w:val="8"/>
                <w:szCs w:val="8"/>
                <w:color w:val="0000EE"/>
              </w:rPr>
            </w:pPr>
            <w:hyperlink w:anchor="page75">
              <w:r>
                <w:rPr>
                  <w:rFonts w:ascii="Arial" w:cs="Arial" w:eastAsia="Arial" w:hAnsi="Arial"/>
                  <w:sz w:val="8"/>
                  <w:szCs w:val="8"/>
                  <w:color w:val="0000EE"/>
                </w:rPr>
                <w:t>Note 9</w:t>
              </w:r>
            </w:hyperlink>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Borders>
              <w:bottom w:val="single" w:sz="8" w:color="0000EE"/>
            </w:tcBorders>
            <w:gridSpan w:val="11"/>
          </w:tcPr>
          <w:p>
            <w:pPr>
              <w:spacing w:after="0" w:line="76" w:lineRule="exact"/>
              <w:rPr>
                <w:rFonts w:ascii="Arial" w:cs="Arial" w:eastAsia="Arial" w:hAnsi="Arial"/>
                <w:sz w:val="8"/>
                <w:szCs w:val="8"/>
                <w:color w:val="0000EE"/>
              </w:rPr>
            </w:pPr>
            <w:hyperlink w:anchor="page75">
              <w:r>
                <w:rPr>
                  <w:rFonts w:ascii="Arial" w:cs="Arial" w:eastAsia="Arial" w:hAnsi="Arial"/>
                  <w:sz w:val="8"/>
                  <w:szCs w:val="8"/>
                  <w:color w:val="0000EE"/>
                </w:rPr>
                <w:t xml:space="preserve">Fair Value Measurements </w:t>
              </w:r>
              <w:r>
                <w:rPr>
                  <w:rFonts w:ascii="Arial" w:cs="Arial" w:eastAsia="Arial" w:hAnsi="Arial"/>
                  <w:sz w:val="8"/>
                  <w:szCs w:val="8"/>
                  <w:b w:val="1"/>
                  <w:bCs w:val="1"/>
                  <w:color w:val="0000EE"/>
                </w:rPr>
                <w:t>FS-34</w:t>
              </w:r>
            </w:hyperlink>
          </w:p>
        </w:tc>
        <w:tc>
          <w:tcPr>
            <w:tcW w:w="1120" w:type="dxa"/>
            <w:vAlign w:val="bottom"/>
            <w:gridSpan w:val="19"/>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gridSpan w:val="4"/>
          </w:tcPr>
          <w:p>
            <w:pPr>
              <w:spacing w:after="0" w:line="76" w:lineRule="exact"/>
              <w:rPr>
                <w:rFonts w:ascii="Arial" w:cs="Arial" w:eastAsia="Arial" w:hAnsi="Arial"/>
                <w:sz w:val="8"/>
                <w:szCs w:val="8"/>
                <w:color w:val="0000EE"/>
                <w:w w:val="99"/>
              </w:rPr>
            </w:pPr>
            <w:hyperlink w:anchor="page77">
              <w:r>
                <w:rPr>
                  <w:rFonts w:ascii="Arial" w:cs="Arial" w:eastAsia="Arial" w:hAnsi="Arial"/>
                  <w:sz w:val="8"/>
                  <w:szCs w:val="8"/>
                  <w:color w:val="0000EE"/>
                  <w:w w:val="99"/>
                </w:rPr>
                <w:t>Note 10</w:t>
              </w:r>
            </w:hyperlink>
          </w:p>
        </w:tc>
        <w:tc>
          <w:tcPr>
            <w:tcW w:w="400" w:type="dxa"/>
            <w:vAlign w:val="bottom"/>
          </w:tcPr>
          <w:p>
            <w:pPr>
              <w:spacing w:after="0"/>
              <w:rPr>
                <w:sz w:val="6"/>
                <w:szCs w:val="6"/>
                <w:color w:val="auto"/>
              </w:rPr>
            </w:pPr>
          </w:p>
        </w:tc>
        <w:tc>
          <w:tcPr>
            <w:tcW w:w="2420" w:type="dxa"/>
            <w:vAlign w:val="bottom"/>
            <w:gridSpan w:val="30"/>
          </w:tcPr>
          <w:p>
            <w:pPr>
              <w:spacing w:after="0" w:line="76" w:lineRule="exact"/>
              <w:rPr>
                <w:rFonts w:ascii="Arial" w:cs="Arial" w:eastAsia="Arial" w:hAnsi="Arial"/>
                <w:sz w:val="8"/>
                <w:szCs w:val="8"/>
                <w:color w:val="0000EE"/>
              </w:rPr>
            </w:pPr>
            <w:hyperlink w:anchor="page77">
              <w:r>
                <w:rPr>
                  <w:rFonts w:ascii="Arial" w:cs="Arial" w:eastAsia="Arial" w:hAnsi="Arial"/>
                  <w:sz w:val="8"/>
                  <w:szCs w:val="8"/>
                  <w:color w:val="0000EE"/>
                </w:rPr>
                <w:t xml:space="preserve">Financial and Derivative Instruments </w:t>
              </w:r>
              <w:r>
                <w:rPr>
                  <w:rFonts w:ascii="Arial" w:cs="Arial" w:eastAsia="Arial" w:hAnsi="Arial"/>
                  <w:sz w:val="8"/>
                  <w:szCs w:val="8"/>
                  <w:b w:val="1"/>
                  <w:bCs w:val="1"/>
                  <w:color w:val="0000EE"/>
                </w:rPr>
                <w:t>FS-36</w:t>
              </w:r>
            </w:hyperlink>
          </w:p>
        </w:tc>
        <w:tc>
          <w:tcPr>
            <w:tcW w:w="0" w:type="dxa"/>
            <w:vAlign w:val="bottom"/>
          </w:tcPr>
          <w:p>
            <w:pPr>
              <w:spacing w:after="0"/>
              <w:rPr>
                <w:sz w:val="1"/>
                <w:szCs w:val="1"/>
                <w:color w:val="auto"/>
              </w:rPr>
            </w:pPr>
          </w:p>
        </w:tc>
      </w:tr>
      <w:tr>
        <w:trPr>
          <w:trHeight w:val="9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78">
              <w:r>
                <w:rPr>
                  <w:rFonts w:ascii="Arial" w:cs="Arial" w:eastAsia="Arial" w:hAnsi="Arial"/>
                  <w:sz w:val="8"/>
                  <w:szCs w:val="8"/>
                  <w:color w:val="0000EE"/>
                  <w:w w:val="99"/>
                </w:rPr>
                <w:t>Note 11</w:t>
              </w:r>
            </w:hyperlink>
          </w:p>
        </w:tc>
        <w:tc>
          <w:tcPr>
            <w:tcW w:w="400" w:type="dxa"/>
            <w:vAlign w:val="bottom"/>
          </w:tcPr>
          <w:p>
            <w:pPr>
              <w:spacing w:after="0"/>
              <w:rPr>
                <w:sz w:val="8"/>
                <w:szCs w:val="8"/>
                <w:color w:val="auto"/>
              </w:rPr>
            </w:pPr>
          </w:p>
        </w:tc>
        <w:tc>
          <w:tcPr>
            <w:tcW w:w="1720" w:type="dxa"/>
            <w:vAlign w:val="bottom"/>
            <w:tcBorders>
              <w:top w:val="single" w:sz="8" w:color="0000EE"/>
            </w:tcBorders>
            <w:gridSpan w:val="21"/>
          </w:tcPr>
          <w:p>
            <w:pPr>
              <w:spacing w:after="0" w:line="76" w:lineRule="exact"/>
              <w:rPr>
                <w:rFonts w:ascii="Arial" w:cs="Arial" w:eastAsia="Arial" w:hAnsi="Arial"/>
                <w:sz w:val="8"/>
                <w:szCs w:val="8"/>
                <w:color w:val="0000EE"/>
              </w:rPr>
            </w:pPr>
            <w:hyperlink w:anchor="page78">
              <w:r>
                <w:rPr>
                  <w:rFonts w:ascii="Arial" w:cs="Arial" w:eastAsia="Arial" w:hAnsi="Arial"/>
                  <w:sz w:val="8"/>
                  <w:szCs w:val="8"/>
                  <w:color w:val="0000EE"/>
                </w:rPr>
                <w:t>Operating Segments and Geographic Data</w:t>
              </w:r>
            </w:hyperlink>
          </w:p>
        </w:tc>
        <w:tc>
          <w:tcPr>
            <w:tcW w:w="700" w:type="dxa"/>
            <w:vAlign w:val="bottom"/>
            <w:gridSpan w:val="9"/>
          </w:tcPr>
          <w:p>
            <w:pPr>
              <w:spacing w:after="0" w:line="76" w:lineRule="exact"/>
              <w:rPr>
                <w:rFonts w:ascii="Arial" w:cs="Arial" w:eastAsia="Arial" w:hAnsi="Arial"/>
                <w:sz w:val="8"/>
                <w:szCs w:val="8"/>
                <w:b w:val="1"/>
                <w:bCs w:val="1"/>
                <w:color w:val="0000EE"/>
              </w:rPr>
            </w:pPr>
            <w:hyperlink w:anchor="page78">
              <w:r>
                <w:rPr>
                  <w:rFonts w:ascii="Arial" w:cs="Arial" w:eastAsia="Arial" w:hAnsi="Arial"/>
                  <w:sz w:val="8"/>
                  <w:szCs w:val="8"/>
                  <w:b w:val="1"/>
                  <w:bCs w:val="1"/>
                  <w:color w:val="0000EE"/>
                </w:rPr>
                <w:t>FS-37</w:t>
              </w:r>
            </w:hyperlink>
          </w:p>
        </w:tc>
        <w:tc>
          <w:tcPr>
            <w:tcW w:w="0" w:type="dxa"/>
            <w:vAlign w:val="bottom"/>
          </w:tcPr>
          <w:p>
            <w:pPr>
              <w:spacing w:after="0"/>
              <w:rPr>
                <w:sz w:val="1"/>
                <w:szCs w:val="1"/>
                <w:color w:val="auto"/>
              </w:rPr>
            </w:pPr>
          </w:p>
        </w:tc>
      </w:tr>
      <w:tr>
        <w:trPr>
          <w:trHeight w:val="56"/>
        </w:trPr>
        <w:tc>
          <w:tcPr>
            <w:tcW w:w="300" w:type="dxa"/>
            <w:vAlign w:val="bottom"/>
            <w:tcBorders>
              <w:top w:val="single" w:sz="8" w:color="0000EE"/>
              <w:bottom w:val="single" w:sz="8" w:color="0000EE"/>
            </w:tcBorders>
            <w:gridSpan w:val="4"/>
          </w:tcPr>
          <w:p>
            <w:pPr>
              <w:spacing w:after="0" w:line="57" w:lineRule="exact"/>
              <w:rPr>
                <w:rFonts w:ascii="Arial" w:cs="Arial" w:eastAsia="Arial" w:hAnsi="Arial"/>
                <w:sz w:val="6"/>
                <w:szCs w:val="6"/>
                <w:color w:val="0000EE"/>
              </w:rPr>
            </w:pPr>
            <w:hyperlink w:anchor="page80">
              <w:r>
                <w:rPr>
                  <w:rFonts w:ascii="Arial" w:cs="Arial" w:eastAsia="Arial" w:hAnsi="Arial"/>
                  <w:sz w:val="6"/>
                  <w:szCs w:val="6"/>
                  <w:color w:val="0000EE"/>
                </w:rPr>
                <w:t>Note 12</w:t>
              </w:r>
            </w:hyperlink>
          </w:p>
        </w:tc>
        <w:tc>
          <w:tcPr>
            <w:tcW w:w="400" w:type="dxa"/>
            <w:vAlign w:val="bottom"/>
          </w:tcPr>
          <w:p>
            <w:pPr>
              <w:spacing w:after="0"/>
              <w:rPr>
                <w:sz w:val="4"/>
                <w:szCs w:val="4"/>
                <w:color w:val="auto"/>
              </w:rPr>
            </w:pPr>
          </w:p>
        </w:tc>
        <w:tc>
          <w:tcPr>
            <w:tcW w:w="1360" w:type="dxa"/>
            <w:vAlign w:val="bottom"/>
            <w:tcBorders>
              <w:top w:val="single" w:sz="8" w:color="0000EE"/>
              <w:bottom w:val="single" w:sz="8" w:color="0000EE"/>
            </w:tcBorders>
            <w:gridSpan w:val="13"/>
          </w:tcPr>
          <w:p>
            <w:pPr>
              <w:spacing w:after="0" w:line="57" w:lineRule="exact"/>
              <w:rPr>
                <w:rFonts w:ascii="Arial" w:cs="Arial" w:eastAsia="Arial" w:hAnsi="Arial"/>
                <w:sz w:val="6"/>
                <w:szCs w:val="6"/>
                <w:color w:val="0000EE"/>
              </w:rPr>
            </w:pPr>
            <w:hyperlink w:anchor="page80">
              <w:r>
                <w:rPr>
                  <w:rFonts w:ascii="Arial" w:cs="Arial" w:eastAsia="Arial" w:hAnsi="Arial"/>
                  <w:sz w:val="6"/>
                  <w:szCs w:val="6"/>
                  <w:color w:val="0000EE"/>
                </w:rPr>
                <w:t xml:space="preserve">Investments and Advances </w:t>
              </w:r>
              <w:r>
                <w:rPr>
                  <w:rFonts w:ascii="Arial" w:cs="Arial" w:eastAsia="Arial" w:hAnsi="Arial"/>
                  <w:sz w:val="6"/>
                  <w:szCs w:val="6"/>
                  <w:b w:val="1"/>
                  <w:bCs w:val="1"/>
                  <w:color w:val="0000EE"/>
                </w:rPr>
                <w:t>FS-39</w:t>
              </w:r>
            </w:hyperlink>
          </w:p>
        </w:tc>
        <w:tc>
          <w:tcPr>
            <w:tcW w:w="620" w:type="dxa"/>
            <w:vAlign w:val="bottom"/>
            <w:tcBorders>
              <w:top w:val="single" w:sz="8" w:color="0000EE"/>
            </w:tcBorders>
            <w:gridSpan w:val="11"/>
          </w:tcPr>
          <w:p>
            <w:pPr>
              <w:spacing w:after="0"/>
              <w:rPr>
                <w:sz w:val="4"/>
                <w:szCs w:val="4"/>
                <w:color w:val="auto"/>
              </w:rPr>
            </w:pPr>
          </w:p>
        </w:tc>
        <w:tc>
          <w:tcPr>
            <w:tcW w:w="60" w:type="dxa"/>
            <w:vAlign w:val="bottom"/>
            <w:gridSpan w:val="2"/>
          </w:tcPr>
          <w:p>
            <w:pPr>
              <w:spacing w:after="0"/>
              <w:rPr>
                <w:sz w:val="4"/>
                <w:szCs w:val="4"/>
                <w:color w:val="auto"/>
              </w:rPr>
            </w:pPr>
          </w:p>
        </w:tc>
        <w:tc>
          <w:tcPr>
            <w:tcW w:w="36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00" w:type="dxa"/>
            <w:vAlign w:val="bottom"/>
            <w:gridSpan w:val="4"/>
          </w:tcPr>
          <w:p>
            <w:pPr>
              <w:spacing w:after="0" w:line="76" w:lineRule="exact"/>
              <w:rPr>
                <w:rFonts w:ascii="Arial" w:cs="Arial" w:eastAsia="Arial" w:hAnsi="Arial"/>
                <w:sz w:val="8"/>
                <w:szCs w:val="8"/>
                <w:color w:val="0000EE"/>
                <w:w w:val="99"/>
              </w:rPr>
            </w:pPr>
            <w:hyperlink w:anchor="page82">
              <w:r>
                <w:rPr>
                  <w:rFonts w:ascii="Arial" w:cs="Arial" w:eastAsia="Arial" w:hAnsi="Arial"/>
                  <w:sz w:val="8"/>
                  <w:szCs w:val="8"/>
                  <w:color w:val="0000EE"/>
                  <w:w w:val="99"/>
                </w:rPr>
                <w:t>Note 13</w:t>
              </w:r>
            </w:hyperlink>
          </w:p>
        </w:tc>
        <w:tc>
          <w:tcPr>
            <w:tcW w:w="400" w:type="dxa"/>
            <w:vAlign w:val="bottom"/>
          </w:tcPr>
          <w:p>
            <w:pPr>
              <w:spacing w:after="0"/>
              <w:rPr>
                <w:sz w:val="6"/>
                <w:szCs w:val="6"/>
                <w:color w:val="auto"/>
              </w:rPr>
            </w:pPr>
          </w:p>
        </w:tc>
        <w:tc>
          <w:tcPr>
            <w:tcW w:w="2420" w:type="dxa"/>
            <w:vAlign w:val="bottom"/>
            <w:gridSpan w:val="30"/>
          </w:tcPr>
          <w:p>
            <w:pPr>
              <w:spacing w:after="0" w:line="76" w:lineRule="exact"/>
              <w:rPr>
                <w:rFonts w:ascii="Arial" w:cs="Arial" w:eastAsia="Arial" w:hAnsi="Arial"/>
                <w:sz w:val="8"/>
                <w:szCs w:val="8"/>
                <w:color w:val="0000EE"/>
              </w:rPr>
            </w:pPr>
            <w:hyperlink w:anchor="page82">
              <w:r>
                <w:rPr>
                  <w:rFonts w:ascii="Arial" w:cs="Arial" w:eastAsia="Arial" w:hAnsi="Arial"/>
                  <w:sz w:val="8"/>
                  <w:szCs w:val="8"/>
                  <w:color w:val="0000EE"/>
                </w:rPr>
                <w:t xml:space="preserve">Properties, Plant and Equipment </w:t>
              </w:r>
              <w:r>
                <w:rPr>
                  <w:rFonts w:ascii="Arial" w:cs="Arial" w:eastAsia="Arial" w:hAnsi="Arial"/>
                  <w:sz w:val="8"/>
                  <w:szCs w:val="8"/>
                  <w:b w:val="1"/>
                  <w:bCs w:val="1"/>
                  <w:color w:val="0000EE"/>
                </w:rPr>
                <w:t>FS-41</w:t>
              </w:r>
            </w:hyperlink>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82">
              <w:r>
                <w:rPr>
                  <w:rFonts w:ascii="Arial" w:cs="Arial" w:eastAsia="Arial" w:hAnsi="Arial"/>
                  <w:sz w:val="8"/>
                  <w:szCs w:val="8"/>
                  <w:color w:val="0000EE"/>
                  <w:w w:val="99"/>
                </w:rPr>
                <w:t>Note 14</w:t>
              </w:r>
            </w:hyperlink>
          </w:p>
        </w:tc>
        <w:tc>
          <w:tcPr>
            <w:tcW w:w="400" w:type="dxa"/>
            <w:vAlign w:val="bottom"/>
          </w:tcPr>
          <w:p>
            <w:pPr>
              <w:spacing w:after="0"/>
              <w:rPr>
                <w:sz w:val="6"/>
                <w:szCs w:val="6"/>
                <w:color w:val="auto"/>
              </w:rPr>
            </w:pPr>
          </w:p>
        </w:tc>
        <w:tc>
          <w:tcPr>
            <w:tcW w:w="1560" w:type="dxa"/>
            <w:vAlign w:val="bottom"/>
            <w:tcBorders>
              <w:top w:val="single" w:sz="8" w:color="0000EE"/>
            </w:tcBorders>
            <w:gridSpan w:val="18"/>
          </w:tcPr>
          <w:p>
            <w:pPr>
              <w:spacing w:after="0" w:line="76" w:lineRule="exact"/>
              <w:rPr>
                <w:rFonts w:ascii="Arial" w:cs="Arial" w:eastAsia="Arial" w:hAnsi="Arial"/>
                <w:sz w:val="8"/>
                <w:szCs w:val="8"/>
                <w:color w:val="0000EE"/>
              </w:rPr>
            </w:pPr>
            <w:hyperlink w:anchor="page82">
              <w:r>
                <w:rPr>
                  <w:rFonts w:ascii="Arial" w:cs="Arial" w:eastAsia="Arial" w:hAnsi="Arial"/>
                  <w:sz w:val="8"/>
                  <w:szCs w:val="8"/>
                  <w:color w:val="0000EE"/>
                </w:rPr>
                <w:t xml:space="preserve">Litigation </w:t>
              </w:r>
              <w:r>
                <w:rPr>
                  <w:rFonts w:ascii="Arial" w:cs="Arial" w:eastAsia="Arial" w:hAnsi="Arial"/>
                  <w:sz w:val="8"/>
                  <w:szCs w:val="8"/>
                  <w:b w:val="1"/>
                  <w:bCs w:val="1"/>
                  <w:color w:val="0000EE"/>
                </w:rPr>
                <w:t>FS-41</w:t>
              </w:r>
            </w:hyperlink>
          </w:p>
        </w:tc>
        <w:tc>
          <w:tcPr>
            <w:tcW w:w="60" w:type="dxa"/>
            <w:vAlign w:val="bottom"/>
            <w:gridSpan w:val="2"/>
          </w:tcPr>
          <w:p>
            <w:pPr>
              <w:spacing w:after="0"/>
              <w:rPr>
                <w:sz w:val="6"/>
                <w:szCs w:val="6"/>
                <w:color w:val="auto"/>
              </w:rPr>
            </w:pPr>
          </w:p>
        </w:tc>
        <w:tc>
          <w:tcPr>
            <w:tcW w:w="220" w:type="dxa"/>
            <w:vAlign w:val="bottom"/>
            <w:gridSpan w:val="2"/>
          </w:tcPr>
          <w:p>
            <w:pPr>
              <w:spacing w:after="0"/>
              <w:rPr>
                <w:sz w:val="6"/>
                <w:szCs w:val="6"/>
                <w:color w:val="auto"/>
              </w:rPr>
            </w:pPr>
          </w:p>
        </w:tc>
        <w:tc>
          <w:tcPr>
            <w:tcW w:w="200" w:type="dxa"/>
            <w:vAlign w:val="bottom"/>
            <w:gridSpan w:val="4"/>
          </w:tcPr>
          <w:p>
            <w:pPr>
              <w:spacing w:after="0"/>
              <w:rPr>
                <w:sz w:val="6"/>
                <w:szCs w:val="6"/>
                <w:color w:val="auto"/>
              </w:rPr>
            </w:pPr>
          </w:p>
        </w:tc>
        <w:tc>
          <w:tcPr>
            <w:tcW w:w="3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84">
              <w:r>
                <w:rPr>
                  <w:rFonts w:ascii="Arial" w:cs="Arial" w:eastAsia="Arial" w:hAnsi="Arial"/>
                  <w:sz w:val="8"/>
                  <w:szCs w:val="8"/>
                  <w:color w:val="0000EE"/>
                  <w:w w:val="99"/>
                </w:rPr>
                <w:t>Note 15</w:t>
              </w:r>
            </w:hyperlink>
          </w:p>
        </w:tc>
        <w:tc>
          <w:tcPr>
            <w:tcW w:w="400" w:type="dxa"/>
            <w:vAlign w:val="bottom"/>
          </w:tcPr>
          <w:p>
            <w:pPr>
              <w:spacing w:after="0"/>
              <w:rPr>
                <w:sz w:val="6"/>
                <w:szCs w:val="6"/>
                <w:color w:val="auto"/>
              </w:rPr>
            </w:pPr>
          </w:p>
        </w:tc>
        <w:tc>
          <w:tcPr>
            <w:tcW w:w="640" w:type="dxa"/>
            <w:vAlign w:val="bottom"/>
            <w:tcBorders>
              <w:top w:val="single" w:sz="8" w:color="0000EE"/>
            </w:tcBorders>
            <w:gridSpan w:val="4"/>
          </w:tcPr>
          <w:p>
            <w:pPr>
              <w:spacing w:after="0" w:line="76" w:lineRule="exact"/>
              <w:rPr>
                <w:rFonts w:ascii="Arial" w:cs="Arial" w:eastAsia="Arial" w:hAnsi="Arial"/>
                <w:sz w:val="8"/>
                <w:szCs w:val="8"/>
                <w:color w:val="0000EE"/>
              </w:rPr>
            </w:pPr>
            <w:hyperlink w:anchor="page84">
              <w:r>
                <w:rPr>
                  <w:rFonts w:ascii="Arial" w:cs="Arial" w:eastAsia="Arial" w:hAnsi="Arial"/>
                  <w:sz w:val="8"/>
                  <w:szCs w:val="8"/>
                  <w:color w:val="0000EE"/>
                </w:rPr>
                <w:t xml:space="preserve">Taxes </w:t>
              </w:r>
              <w:r>
                <w:rPr>
                  <w:rFonts w:ascii="Arial" w:cs="Arial" w:eastAsia="Arial" w:hAnsi="Arial"/>
                  <w:sz w:val="8"/>
                  <w:szCs w:val="8"/>
                  <w:b w:val="1"/>
                  <w:bCs w:val="1"/>
                  <w:color w:val="0000EE"/>
                </w:rPr>
                <w:t>FS-43</w:t>
              </w:r>
            </w:hyperlink>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gridSpan w:val="3"/>
          </w:tcPr>
          <w:p>
            <w:pPr>
              <w:spacing w:after="0"/>
              <w:rPr>
                <w:sz w:val="6"/>
                <w:szCs w:val="6"/>
                <w:color w:val="auto"/>
              </w:rPr>
            </w:pPr>
          </w:p>
        </w:tc>
        <w:tc>
          <w:tcPr>
            <w:tcW w:w="14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5"/>
          </w:tcPr>
          <w:p>
            <w:pPr>
              <w:spacing w:after="0"/>
              <w:rPr>
                <w:sz w:val="6"/>
                <w:szCs w:val="6"/>
                <w:color w:val="auto"/>
              </w:rPr>
            </w:pPr>
          </w:p>
        </w:tc>
        <w:tc>
          <w:tcPr>
            <w:tcW w:w="220" w:type="dxa"/>
            <w:vAlign w:val="bottom"/>
            <w:gridSpan w:val="2"/>
          </w:tcPr>
          <w:p>
            <w:pPr>
              <w:spacing w:after="0"/>
              <w:rPr>
                <w:sz w:val="6"/>
                <w:szCs w:val="6"/>
                <w:color w:val="auto"/>
              </w:rPr>
            </w:pPr>
          </w:p>
        </w:tc>
        <w:tc>
          <w:tcPr>
            <w:tcW w:w="200" w:type="dxa"/>
            <w:vAlign w:val="bottom"/>
            <w:gridSpan w:val="4"/>
          </w:tcPr>
          <w:p>
            <w:pPr>
              <w:spacing w:after="0"/>
              <w:rPr>
                <w:sz w:val="6"/>
                <w:szCs w:val="6"/>
                <w:color w:val="auto"/>
              </w:rPr>
            </w:pPr>
          </w:p>
        </w:tc>
        <w:tc>
          <w:tcPr>
            <w:tcW w:w="3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87">
              <w:r>
                <w:rPr>
                  <w:rFonts w:ascii="Arial" w:cs="Arial" w:eastAsia="Arial" w:hAnsi="Arial"/>
                  <w:sz w:val="8"/>
                  <w:szCs w:val="8"/>
                  <w:color w:val="0000EE"/>
                  <w:w w:val="99"/>
                </w:rPr>
                <w:t>Note 16</w:t>
              </w:r>
            </w:hyperlink>
          </w:p>
        </w:tc>
        <w:tc>
          <w:tcPr>
            <w:tcW w:w="400" w:type="dxa"/>
            <w:vAlign w:val="bottom"/>
          </w:tcPr>
          <w:p>
            <w:pPr>
              <w:spacing w:after="0"/>
              <w:rPr>
                <w:sz w:val="6"/>
                <w:szCs w:val="6"/>
                <w:color w:val="auto"/>
              </w:rPr>
            </w:pPr>
          </w:p>
        </w:tc>
        <w:tc>
          <w:tcPr>
            <w:tcW w:w="500" w:type="dxa"/>
            <w:vAlign w:val="bottom"/>
            <w:tcBorders>
              <w:top w:val="single" w:sz="8" w:color="0000EE"/>
            </w:tcBorders>
            <w:gridSpan w:val="2"/>
          </w:tcPr>
          <w:p>
            <w:pPr>
              <w:spacing w:after="0" w:line="76" w:lineRule="exact"/>
              <w:rPr>
                <w:rFonts w:ascii="Arial" w:cs="Arial" w:eastAsia="Arial" w:hAnsi="Arial"/>
                <w:sz w:val="8"/>
                <w:szCs w:val="8"/>
                <w:color w:val="0000EE"/>
              </w:rPr>
            </w:pPr>
            <w:hyperlink w:anchor="page87">
              <w:r>
                <w:rPr>
                  <w:rFonts w:ascii="Arial" w:cs="Arial" w:eastAsia="Arial" w:hAnsi="Arial"/>
                  <w:sz w:val="8"/>
                  <w:szCs w:val="8"/>
                  <w:color w:val="0000EE"/>
                </w:rPr>
                <w:t>Short-Term</w:t>
              </w:r>
            </w:hyperlink>
          </w:p>
        </w:tc>
        <w:tc>
          <w:tcPr>
            <w:tcW w:w="1920" w:type="dxa"/>
            <w:vAlign w:val="bottom"/>
            <w:gridSpan w:val="28"/>
          </w:tcPr>
          <w:p>
            <w:pPr>
              <w:spacing w:after="0" w:line="76" w:lineRule="exact"/>
              <w:rPr>
                <w:rFonts w:ascii="Arial" w:cs="Arial" w:eastAsia="Arial" w:hAnsi="Arial"/>
                <w:sz w:val="8"/>
                <w:szCs w:val="8"/>
                <w:color w:val="0000EE"/>
              </w:rPr>
            </w:pPr>
            <w:hyperlink w:anchor="page87">
              <w:r>
                <w:rPr>
                  <w:rFonts w:ascii="Arial" w:cs="Arial" w:eastAsia="Arial" w:hAnsi="Arial"/>
                  <w:sz w:val="8"/>
                  <w:szCs w:val="8"/>
                  <w:color w:val="0000EE"/>
                </w:rPr>
                <w:t xml:space="preserve">Debt </w:t>
              </w:r>
              <w:r>
                <w:rPr>
                  <w:rFonts w:ascii="Arial" w:cs="Arial" w:eastAsia="Arial" w:hAnsi="Arial"/>
                  <w:sz w:val="8"/>
                  <w:szCs w:val="8"/>
                  <w:b w:val="1"/>
                  <w:bCs w:val="1"/>
                  <w:color w:val="0000EE"/>
                </w:rPr>
                <w:t>FS-46</w:t>
              </w:r>
            </w:hyperlink>
          </w:p>
        </w:tc>
        <w:tc>
          <w:tcPr>
            <w:tcW w:w="0" w:type="dxa"/>
            <w:vAlign w:val="bottom"/>
          </w:tcPr>
          <w:p>
            <w:pPr>
              <w:spacing w:after="0"/>
              <w:rPr>
                <w:sz w:val="1"/>
                <w:szCs w:val="1"/>
                <w:color w:val="auto"/>
              </w:rPr>
            </w:pPr>
          </w:p>
        </w:tc>
      </w:tr>
      <w:tr>
        <w:trPr>
          <w:trHeight w:val="76"/>
        </w:trPr>
        <w:tc>
          <w:tcPr>
            <w:tcW w:w="300" w:type="dxa"/>
            <w:vAlign w:val="bottom"/>
            <w:tcBorders>
              <w:top w:val="single" w:sz="8" w:color="0000EE"/>
              <w:bottom w:val="single" w:sz="8" w:color="0000EE"/>
            </w:tcBorders>
            <w:gridSpan w:val="4"/>
          </w:tcPr>
          <w:p>
            <w:pPr>
              <w:spacing w:after="0" w:line="76" w:lineRule="exact"/>
              <w:rPr>
                <w:rFonts w:ascii="Arial" w:cs="Arial" w:eastAsia="Arial" w:hAnsi="Arial"/>
                <w:sz w:val="8"/>
                <w:szCs w:val="8"/>
                <w:color w:val="0000EE"/>
                <w:w w:val="99"/>
              </w:rPr>
            </w:pPr>
            <w:hyperlink w:anchor="page87">
              <w:r>
                <w:rPr>
                  <w:rFonts w:ascii="Arial" w:cs="Arial" w:eastAsia="Arial" w:hAnsi="Arial"/>
                  <w:sz w:val="8"/>
                  <w:szCs w:val="8"/>
                  <w:color w:val="0000EE"/>
                  <w:w w:val="99"/>
                </w:rPr>
                <w:t>Note 17</w:t>
              </w:r>
            </w:hyperlink>
          </w:p>
        </w:tc>
        <w:tc>
          <w:tcPr>
            <w:tcW w:w="400" w:type="dxa"/>
            <w:vAlign w:val="bottom"/>
          </w:tcPr>
          <w:p>
            <w:pPr>
              <w:spacing w:after="0"/>
              <w:rPr>
                <w:sz w:val="6"/>
                <w:szCs w:val="6"/>
                <w:color w:val="auto"/>
              </w:rPr>
            </w:pPr>
          </w:p>
        </w:tc>
        <w:tc>
          <w:tcPr>
            <w:tcW w:w="920" w:type="dxa"/>
            <w:vAlign w:val="bottom"/>
            <w:tcBorders>
              <w:top w:val="single" w:sz="8" w:color="0000EE"/>
              <w:bottom w:val="single" w:sz="8" w:color="0000EE"/>
            </w:tcBorders>
            <w:gridSpan w:val="5"/>
          </w:tcPr>
          <w:p>
            <w:pPr>
              <w:spacing w:after="0" w:line="76" w:lineRule="exact"/>
              <w:rPr>
                <w:rFonts w:ascii="Arial" w:cs="Arial" w:eastAsia="Arial" w:hAnsi="Arial"/>
                <w:sz w:val="8"/>
                <w:szCs w:val="8"/>
                <w:color w:val="0000EE"/>
              </w:rPr>
            </w:pPr>
            <w:hyperlink w:anchor="page87">
              <w:r>
                <w:rPr>
                  <w:rFonts w:ascii="Arial" w:cs="Arial" w:eastAsia="Arial" w:hAnsi="Arial"/>
                  <w:sz w:val="8"/>
                  <w:szCs w:val="8"/>
                  <w:color w:val="0000EE"/>
                </w:rPr>
                <w:t xml:space="preserve">Long-Term Debt </w:t>
              </w:r>
              <w:r>
                <w:rPr>
                  <w:rFonts w:ascii="Arial" w:cs="Arial" w:eastAsia="Arial" w:hAnsi="Arial"/>
                  <w:sz w:val="8"/>
                  <w:szCs w:val="8"/>
                  <w:b w:val="1"/>
                  <w:bCs w:val="1"/>
                  <w:color w:val="0000EE"/>
                </w:rPr>
                <w:t>FS-46</w:t>
              </w:r>
            </w:hyperlink>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gridSpan w:val="3"/>
          </w:tcPr>
          <w:p>
            <w:pPr>
              <w:spacing w:after="0"/>
              <w:rPr>
                <w:sz w:val="6"/>
                <w:szCs w:val="6"/>
                <w:color w:val="auto"/>
              </w:rPr>
            </w:pPr>
          </w:p>
        </w:tc>
        <w:tc>
          <w:tcPr>
            <w:tcW w:w="14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5"/>
          </w:tcPr>
          <w:p>
            <w:pPr>
              <w:spacing w:after="0"/>
              <w:rPr>
                <w:sz w:val="6"/>
                <w:szCs w:val="6"/>
                <w:color w:val="auto"/>
              </w:rPr>
            </w:pPr>
          </w:p>
        </w:tc>
        <w:tc>
          <w:tcPr>
            <w:tcW w:w="220" w:type="dxa"/>
            <w:vAlign w:val="bottom"/>
            <w:gridSpan w:val="2"/>
          </w:tcPr>
          <w:p>
            <w:pPr>
              <w:spacing w:after="0"/>
              <w:rPr>
                <w:sz w:val="6"/>
                <w:szCs w:val="6"/>
                <w:color w:val="auto"/>
              </w:rPr>
            </w:pPr>
          </w:p>
        </w:tc>
        <w:tc>
          <w:tcPr>
            <w:tcW w:w="200" w:type="dxa"/>
            <w:vAlign w:val="bottom"/>
            <w:gridSpan w:val="4"/>
          </w:tcPr>
          <w:p>
            <w:pPr>
              <w:spacing w:after="0"/>
              <w:rPr>
                <w:sz w:val="6"/>
                <w:szCs w:val="6"/>
                <w:color w:val="auto"/>
              </w:rPr>
            </w:pPr>
          </w:p>
        </w:tc>
        <w:tc>
          <w:tcPr>
            <w:tcW w:w="360" w:type="dxa"/>
            <w:vAlign w:val="bottom"/>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tcBorders>
              <w:bottom w:val="single" w:sz="8" w:color="0000EE"/>
            </w:tcBorders>
            <w:gridSpan w:val="4"/>
          </w:tcPr>
          <w:p>
            <w:pPr>
              <w:spacing w:after="0" w:line="76" w:lineRule="exact"/>
              <w:rPr>
                <w:rFonts w:ascii="Arial" w:cs="Arial" w:eastAsia="Arial" w:hAnsi="Arial"/>
                <w:sz w:val="8"/>
                <w:szCs w:val="8"/>
                <w:color w:val="0000EE"/>
                <w:w w:val="99"/>
              </w:rPr>
            </w:pPr>
            <w:hyperlink w:anchor="page88">
              <w:r>
                <w:rPr>
                  <w:rFonts w:ascii="Arial" w:cs="Arial" w:eastAsia="Arial" w:hAnsi="Arial"/>
                  <w:sz w:val="8"/>
                  <w:szCs w:val="8"/>
                  <w:color w:val="0000EE"/>
                  <w:w w:val="99"/>
                </w:rPr>
                <w:t>Note 18</w:t>
              </w:r>
            </w:hyperlink>
          </w:p>
        </w:tc>
        <w:tc>
          <w:tcPr>
            <w:tcW w:w="400" w:type="dxa"/>
            <w:vAlign w:val="bottom"/>
          </w:tcPr>
          <w:p>
            <w:pPr>
              <w:spacing w:after="0"/>
              <w:rPr>
                <w:sz w:val="6"/>
                <w:szCs w:val="6"/>
                <w:color w:val="auto"/>
              </w:rPr>
            </w:pPr>
          </w:p>
        </w:tc>
        <w:tc>
          <w:tcPr>
            <w:tcW w:w="1380" w:type="dxa"/>
            <w:vAlign w:val="bottom"/>
            <w:tcBorders>
              <w:bottom w:val="single" w:sz="8" w:color="0000EE"/>
            </w:tcBorders>
            <w:gridSpan w:val="14"/>
          </w:tcPr>
          <w:p>
            <w:pPr>
              <w:spacing w:after="0" w:line="76" w:lineRule="exact"/>
              <w:rPr>
                <w:rFonts w:ascii="Arial" w:cs="Arial" w:eastAsia="Arial" w:hAnsi="Arial"/>
                <w:sz w:val="8"/>
                <w:szCs w:val="8"/>
                <w:color w:val="0000EE"/>
              </w:rPr>
            </w:pPr>
            <w:hyperlink w:anchor="page88">
              <w:r>
                <w:rPr>
                  <w:rFonts w:ascii="Arial" w:cs="Arial" w:eastAsia="Arial" w:hAnsi="Arial"/>
                  <w:sz w:val="8"/>
                  <w:szCs w:val="8"/>
                  <w:color w:val="0000EE"/>
                </w:rPr>
                <w:t xml:space="preserve">New Accounting Standards </w:t>
              </w:r>
              <w:r>
                <w:rPr>
                  <w:rFonts w:ascii="Arial" w:cs="Arial" w:eastAsia="Arial" w:hAnsi="Arial"/>
                  <w:sz w:val="8"/>
                  <w:szCs w:val="8"/>
                  <w:b w:val="1"/>
                  <w:bCs w:val="1"/>
                  <w:color w:val="0000EE"/>
                </w:rPr>
                <w:t>FS-47</w:t>
              </w:r>
            </w:hyperlink>
          </w:p>
        </w:tc>
        <w:tc>
          <w:tcPr>
            <w:tcW w:w="1040" w:type="dxa"/>
            <w:vAlign w:val="bottom"/>
            <w:gridSpan w:val="16"/>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gridSpan w:val="4"/>
          </w:tcPr>
          <w:p>
            <w:pPr>
              <w:spacing w:after="0" w:line="76" w:lineRule="exact"/>
              <w:rPr>
                <w:rFonts w:ascii="Arial" w:cs="Arial" w:eastAsia="Arial" w:hAnsi="Arial"/>
                <w:sz w:val="8"/>
                <w:szCs w:val="8"/>
                <w:color w:val="0000EE"/>
                <w:w w:val="99"/>
              </w:rPr>
            </w:pPr>
            <w:hyperlink w:anchor="page88">
              <w:r>
                <w:rPr>
                  <w:rFonts w:ascii="Arial" w:cs="Arial" w:eastAsia="Arial" w:hAnsi="Arial"/>
                  <w:sz w:val="8"/>
                  <w:szCs w:val="8"/>
                  <w:color w:val="0000EE"/>
                  <w:w w:val="99"/>
                </w:rPr>
                <w:t>Note 19</w:t>
              </w:r>
            </w:hyperlink>
          </w:p>
        </w:tc>
        <w:tc>
          <w:tcPr>
            <w:tcW w:w="400" w:type="dxa"/>
            <w:vAlign w:val="bottom"/>
          </w:tcPr>
          <w:p>
            <w:pPr>
              <w:spacing w:after="0"/>
              <w:rPr>
                <w:sz w:val="6"/>
                <w:szCs w:val="6"/>
                <w:color w:val="auto"/>
              </w:rPr>
            </w:pPr>
          </w:p>
        </w:tc>
        <w:tc>
          <w:tcPr>
            <w:tcW w:w="2420" w:type="dxa"/>
            <w:vAlign w:val="bottom"/>
            <w:gridSpan w:val="30"/>
          </w:tcPr>
          <w:p>
            <w:pPr>
              <w:spacing w:after="0" w:line="76" w:lineRule="exact"/>
              <w:rPr>
                <w:rFonts w:ascii="Arial" w:cs="Arial" w:eastAsia="Arial" w:hAnsi="Arial"/>
                <w:sz w:val="8"/>
                <w:szCs w:val="8"/>
                <w:color w:val="0000EE"/>
              </w:rPr>
            </w:pPr>
            <w:hyperlink w:anchor="page88">
              <w:r>
                <w:rPr>
                  <w:rFonts w:ascii="Arial" w:cs="Arial" w:eastAsia="Arial" w:hAnsi="Arial"/>
                  <w:sz w:val="8"/>
                  <w:szCs w:val="8"/>
                  <w:color w:val="0000EE"/>
                </w:rPr>
                <w:t xml:space="preserve">Accounting for Suspended Exploratory Wells </w:t>
              </w:r>
              <w:r>
                <w:rPr>
                  <w:rFonts w:ascii="Arial" w:cs="Arial" w:eastAsia="Arial" w:hAnsi="Arial"/>
                  <w:sz w:val="8"/>
                  <w:szCs w:val="8"/>
                  <w:b w:val="1"/>
                  <w:bCs w:val="1"/>
                  <w:color w:val="0000EE"/>
                </w:rPr>
                <w:t>FS-47</w:t>
              </w:r>
            </w:hyperlink>
          </w:p>
        </w:tc>
        <w:tc>
          <w:tcPr>
            <w:tcW w:w="0" w:type="dxa"/>
            <w:vAlign w:val="bottom"/>
          </w:tcPr>
          <w:p>
            <w:pPr>
              <w:spacing w:after="0"/>
              <w:rPr>
                <w:sz w:val="1"/>
                <w:szCs w:val="1"/>
                <w:color w:val="auto"/>
              </w:rPr>
            </w:pPr>
          </w:p>
        </w:tc>
      </w:tr>
      <w:tr>
        <w:trPr>
          <w:trHeight w:val="9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89">
              <w:r>
                <w:rPr>
                  <w:rFonts w:ascii="Arial" w:cs="Arial" w:eastAsia="Arial" w:hAnsi="Arial"/>
                  <w:sz w:val="8"/>
                  <w:szCs w:val="8"/>
                  <w:color w:val="0000EE"/>
                  <w:w w:val="99"/>
                </w:rPr>
                <w:t>Note 20</w:t>
              </w:r>
            </w:hyperlink>
          </w:p>
        </w:tc>
        <w:tc>
          <w:tcPr>
            <w:tcW w:w="400" w:type="dxa"/>
            <w:vAlign w:val="bottom"/>
          </w:tcPr>
          <w:p>
            <w:pPr>
              <w:spacing w:after="0"/>
              <w:rPr>
                <w:sz w:val="8"/>
                <w:szCs w:val="8"/>
                <w:color w:val="auto"/>
              </w:rPr>
            </w:pPr>
          </w:p>
        </w:tc>
        <w:tc>
          <w:tcPr>
            <w:tcW w:w="2040" w:type="dxa"/>
            <w:vAlign w:val="bottom"/>
            <w:tcBorders>
              <w:top w:val="single" w:sz="8" w:color="0000EE"/>
            </w:tcBorders>
            <w:gridSpan w:val="26"/>
          </w:tcPr>
          <w:p>
            <w:pPr>
              <w:spacing w:after="0" w:line="76" w:lineRule="exact"/>
              <w:rPr>
                <w:rFonts w:ascii="Arial" w:cs="Arial" w:eastAsia="Arial" w:hAnsi="Arial"/>
                <w:sz w:val="8"/>
                <w:szCs w:val="8"/>
                <w:color w:val="0000EE"/>
              </w:rPr>
            </w:pPr>
            <w:hyperlink w:anchor="page89">
              <w:r>
                <w:rPr>
                  <w:rFonts w:ascii="Arial" w:cs="Arial" w:eastAsia="Arial" w:hAnsi="Arial"/>
                  <w:sz w:val="8"/>
                  <w:szCs w:val="8"/>
                  <w:color w:val="0000EE"/>
                </w:rPr>
                <w:t>Stock Options and Other Share-Based Compensation</w:t>
              </w:r>
            </w:hyperlink>
          </w:p>
        </w:tc>
        <w:tc>
          <w:tcPr>
            <w:tcW w:w="380" w:type="dxa"/>
            <w:vAlign w:val="bottom"/>
            <w:gridSpan w:val="4"/>
          </w:tcPr>
          <w:p>
            <w:pPr>
              <w:ind w:left="120"/>
              <w:spacing w:after="0" w:line="76" w:lineRule="exact"/>
              <w:rPr>
                <w:rFonts w:ascii="Arial" w:cs="Arial" w:eastAsia="Arial" w:hAnsi="Arial"/>
                <w:sz w:val="8"/>
                <w:szCs w:val="8"/>
                <w:b w:val="1"/>
                <w:bCs w:val="1"/>
                <w:color w:val="0000EE"/>
              </w:rPr>
            </w:pPr>
            <w:hyperlink w:anchor="page89">
              <w:r>
                <w:rPr>
                  <w:rFonts w:ascii="Arial" w:cs="Arial" w:eastAsia="Arial" w:hAnsi="Arial"/>
                  <w:sz w:val="8"/>
                  <w:szCs w:val="8"/>
                  <w:b w:val="1"/>
                  <w:bCs w:val="1"/>
                  <w:color w:val="0000EE"/>
                </w:rPr>
                <w:t>FS-48</w:t>
              </w:r>
            </w:hyperlink>
          </w:p>
        </w:tc>
        <w:tc>
          <w:tcPr>
            <w:tcW w:w="0" w:type="dxa"/>
            <w:vAlign w:val="bottom"/>
          </w:tcPr>
          <w:p>
            <w:pPr>
              <w:spacing w:after="0"/>
              <w:rPr>
                <w:sz w:val="1"/>
                <w:szCs w:val="1"/>
                <w:color w:val="auto"/>
              </w:rPr>
            </w:pPr>
          </w:p>
        </w:tc>
      </w:tr>
      <w:tr>
        <w:trPr>
          <w:trHeight w:val="56"/>
        </w:trPr>
        <w:tc>
          <w:tcPr>
            <w:tcW w:w="300" w:type="dxa"/>
            <w:vAlign w:val="bottom"/>
            <w:tcBorders>
              <w:top w:val="single" w:sz="8" w:color="0000EE"/>
            </w:tcBorders>
            <w:gridSpan w:val="4"/>
          </w:tcPr>
          <w:p>
            <w:pPr>
              <w:spacing w:after="0" w:line="57" w:lineRule="exact"/>
              <w:rPr>
                <w:rFonts w:ascii="Arial" w:cs="Arial" w:eastAsia="Arial" w:hAnsi="Arial"/>
                <w:sz w:val="6"/>
                <w:szCs w:val="6"/>
                <w:color w:val="0000EE"/>
              </w:rPr>
            </w:pPr>
            <w:hyperlink w:anchor="page90">
              <w:r>
                <w:rPr>
                  <w:rFonts w:ascii="Arial" w:cs="Arial" w:eastAsia="Arial" w:hAnsi="Arial"/>
                  <w:sz w:val="6"/>
                  <w:szCs w:val="6"/>
                  <w:color w:val="0000EE"/>
                </w:rPr>
                <w:t>Note 21</w:t>
              </w:r>
            </w:hyperlink>
          </w:p>
        </w:tc>
        <w:tc>
          <w:tcPr>
            <w:tcW w:w="400" w:type="dxa"/>
            <w:vAlign w:val="bottom"/>
          </w:tcPr>
          <w:p>
            <w:pPr>
              <w:spacing w:after="0"/>
              <w:rPr>
                <w:sz w:val="4"/>
                <w:szCs w:val="4"/>
                <w:color w:val="auto"/>
              </w:rPr>
            </w:pPr>
          </w:p>
        </w:tc>
        <w:tc>
          <w:tcPr>
            <w:tcW w:w="2400" w:type="dxa"/>
            <w:vAlign w:val="bottom"/>
            <w:tcBorders>
              <w:top w:val="single" w:sz="8" w:color="0000EE"/>
            </w:tcBorders>
            <w:gridSpan w:val="29"/>
          </w:tcPr>
          <w:p>
            <w:pPr>
              <w:spacing w:after="0" w:line="57" w:lineRule="exact"/>
              <w:rPr>
                <w:rFonts w:ascii="Arial" w:cs="Arial" w:eastAsia="Arial" w:hAnsi="Arial"/>
                <w:sz w:val="6"/>
                <w:szCs w:val="6"/>
                <w:color w:val="0000EE"/>
              </w:rPr>
            </w:pPr>
            <w:hyperlink w:anchor="page90">
              <w:r>
                <w:rPr>
                  <w:rFonts w:ascii="Arial" w:cs="Arial" w:eastAsia="Arial" w:hAnsi="Arial"/>
                  <w:sz w:val="6"/>
                  <w:szCs w:val="6"/>
                  <w:color w:val="0000EE"/>
                </w:rPr>
                <w:t xml:space="preserve">Employee Benefit Plans </w:t>
              </w:r>
              <w:r>
                <w:rPr>
                  <w:rFonts w:ascii="Arial" w:cs="Arial" w:eastAsia="Arial" w:hAnsi="Arial"/>
                  <w:sz w:val="6"/>
                  <w:szCs w:val="6"/>
                  <w:b w:val="1"/>
                  <w:bCs w:val="1"/>
                  <w:color w:val="0000EE"/>
                </w:rPr>
                <w:t>FS-49</w:t>
              </w:r>
            </w:hyperlink>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96">
              <w:r>
                <w:rPr>
                  <w:rFonts w:ascii="Arial" w:cs="Arial" w:eastAsia="Arial" w:hAnsi="Arial"/>
                  <w:sz w:val="8"/>
                  <w:szCs w:val="8"/>
                  <w:color w:val="0000EE"/>
                  <w:w w:val="99"/>
                </w:rPr>
                <w:t>Note 22</w:t>
              </w:r>
            </w:hyperlink>
          </w:p>
        </w:tc>
        <w:tc>
          <w:tcPr>
            <w:tcW w:w="400" w:type="dxa"/>
            <w:vAlign w:val="bottom"/>
          </w:tcPr>
          <w:p>
            <w:pPr>
              <w:spacing w:after="0"/>
              <w:rPr>
                <w:sz w:val="6"/>
                <w:szCs w:val="6"/>
                <w:color w:val="auto"/>
              </w:rPr>
            </w:pPr>
          </w:p>
        </w:tc>
        <w:tc>
          <w:tcPr>
            <w:tcW w:w="1220" w:type="dxa"/>
            <w:vAlign w:val="bottom"/>
            <w:tcBorders>
              <w:top w:val="single" w:sz="8" w:color="0000EE"/>
            </w:tcBorders>
            <w:gridSpan w:val="10"/>
          </w:tcPr>
          <w:p>
            <w:pPr>
              <w:spacing w:after="0" w:line="76" w:lineRule="exact"/>
              <w:rPr>
                <w:rFonts w:ascii="Arial" w:cs="Arial" w:eastAsia="Arial" w:hAnsi="Arial"/>
                <w:sz w:val="8"/>
                <w:szCs w:val="8"/>
                <w:color w:val="0000EE"/>
              </w:rPr>
            </w:pPr>
            <w:hyperlink w:anchor="page96">
              <w:r>
                <w:rPr>
                  <w:rFonts w:ascii="Arial" w:cs="Arial" w:eastAsia="Arial" w:hAnsi="Arial"/>
                  <w:sz w:val="8"/>
                  <w:szCs w:val="8"/>
                  <w:color w:val="0000EE"/>
                </w:rPr>
                <w:t xml:space="preserve">Equity </w:t>
              </w:r>
              <w:r>
                <w:rPr>
                  <w:rFonts w:ascii="Arial" w:cs="Arial" w:eastAsia="Arial" w:hAnsi="Arial"/>
                  <w:sz w:val="8"/>
                  <w:szCs w:val="8"/>
                  <w:b w:val="1"/>
                  <w:bCs w:val="1"/>
                  <w:color w:val="0000EE"/>
                </w:rPr>
                <w:t>FS-55</w:t>
              </w:r>
            </w:hyperlink>
          </w:p>
        </w:tc>
        <w:tc>
          <w:tcPr>
            <w:tcW w:w="140" w:type="dxa"/>
            <w:vAlign w:val="bottom"/>
            <w:gridSpan w:val="3"/>
          </w:tcPr>
          <w:p>
            <w:pPr>
              <w:spacing w:after="0"/>
              <w:rPr>
                <w:sz w:val="6"/>
                <w:szCs w:val="6"/>
                <w:color w:val="auto"/>
              </w:rPr>
            </w:pPr>
          </w:p>
        </w:tc>
        <w:tc>
          <w:tcPr>
            <w:tcW w:w="80" w:type="dxa"/>
            <w:vAlign w:val="bottom"/>
            <w:gridSpan w:val="2"/>
          </w:tcPr>
          <w:p>
            <w:pPr>
              <w:spacing w:after="0"/>
              <w:rPr>
                <w:sz w:val="6"/>
                <w:szCs w:val="6"/>
                <w:color w:val="auto"/>
              </w:rPr>
            </w:pPr>
          </w:p>
        </w:tc>
        <w:tc>
          <w:tcPr>
            <w:tcW w:w="180" w:type="dxa"/>
            <w:vAlign w:val="bottom"/>
            <w:gridSpan w:val="5"/>
          </w:tcPr>
          <w:p>
            <w:pPr>
              <w:spacing w:after="0"/>
              <w:rPr>
                <w:sz w:val="6"/>
                <w:szCs w:val="6"/>
                <w:color w:val="auto"/>
              </w:rPr>
            </w:pPr>
          </w:p>
        </w:tc>
        <w:tc>
          <w:tcPr>
            <w:tcW w:w="220" w:type="dxa"/>
            <w:vAlign w:val="bottom"/>
            <w:gridSpan w:val="2"/>
          </w:tcPr>
          <w:p>
            <w:pPr>
              <w:spacing w:after="0"/>
              <w:rPr>
                <w:sz w:val="6"/>
                <w:szCs w:val="6"/>
                <w:color w:val="auto"/>
              </w:rPr>
            </w:pPr>
          </w:p>
        </w:tc>
        <w:tc>
          <w:tcPr>
            <w:tcW w:w="580" w:type="dxa"/>
            <w:vAlign w:val="bottom"/>
            <w:gridSpan w:val="8"/>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96">
              <w:r>
                <w:rPr>
                  <w:rFonts w:ascii="Arial" w:cs="Arial" w:eastAsia="Arial" w:hAnsi="Arial"/>
                  <w:sz w:val="8"/>
                  <w:szCs w:val="8"/>
                  <w:color w:val="0000EE"/>
                  <w:w w:val="99"/>
                </w:rPr>
                <w:t>Note 23</w:t>
              </w:r>
            </w:hyperlink>
          </w:p>
        </w:tc>
        <w:tc>
          <w:tcPr>
            <w:tcW w:w="400" w:type="dxa"/>
            <w:vAlign w:val="bottom"/>
          </w:tcPr>
          <w:p>
            <w:pPr>
              <w:spacing w:after="0"/>
              <w:rPr>
                <w:sz w:val="6"/>
                <w:szCs w:val="6"/>
                <w:color w:val="auto"/>
              </w:rPr>
            </w:pPr>
          </w:p>
        </w:tc>
        <w:tc>
          <w:tcPr>
            <w:tcW w:w="520" w:type="dxa"/>
            <w:vAlign w:val="bottom"/>
            <w:tcBorders>
              <w:top w:val="single" w:sz="8" w:color="0000EE"/>
            </w:tcBorders>
            <w:gridSpan w:val="3"/>
          </w:tcPr>
          <w:p>
            <w:pPr>
              <w:spacing w:after="0" w:line="76" w:lineRule="exact"/>
              <w:rPr>
                <w:rFonts w:ascii="Arial" w:cs="Arial" w:eastAsia="Arial" w:hAnsi="Arial"/>
                <w:sz w:val="8"/>
                <w:szCs w:val="8"/>
                <w:color w:val="0000EE"/>
              </w:rPr>
            </w:pPr>
            <w:hyperlink w:anchor="page96">
              <w:r>
                <w:rPr>
                  <w:rFonts w:ascii="Arial" w:cs="Arial" w:eastAsia="Arial" w:hAnsi="Arial"/>
                  <w:sz w:val="8"/>
                  <w:szCs w:val="8"/>
                  <w:color w:val="0000EE"/>
                </w:rPr>
                <w:t>Restructuring</w:t>
              </w:r>
            </w:hyperlink>
          </w:p>
        </w:tc>
        <w:tc>
          <w:tcPr>
            <w:tcW w:w="1900" w:type="dxa"/>
            <w:vAlign w:val="bottom"/>
            <w:gridSpan w:val="27"/>
          </w:tcPr>
          <w:p>
            <w:pPr>
              <w:ind w:left="40"/>
              <w:spacing w:after="0" w:line="76" w:lineRule="exact"/>
              <w:rPr>
                <w:rFonts w:ascii="Arial" w:cs="Arial" w:eastAsia="Arial" w:hAnsi="Arial"/>
                <w:sz w:val="8"/>
                <w:szCs w:val="8"/>
                <w:color w:val="0000EE"/>
              </w:rPr>
            </w:pPr>
            <w:hyperlink w:anchor="page96">
              <w:r>
                <w:rPr>
                  <w:rFonts w:ascii="Arial" w:cs="Arial" w:eastAsia="Arial" w:hAnsi="Arial"/>
                  <w:sz w:val="8"/>
                  <w:szCs w:val="8"/>
                  <w:color w:val="0000EE"/>
                </w:rPr>
                <w:t xml:space="preserve">and Reorganization </w:t>
              </w:r>
              <w:r>
                <w:rPr>
                  <w:rFonts w:ascii="Arial" w:cs="Arial" w:eastAsia="Arial" w:hAnsi="Arial"/>
                  <w:sz w:val="8"/>
                  <w:szCs w:val="8"/>
                  <w:b w:val="1"/>
                  <w:bCs w:val="1"/>
                  <w:color w:val="0000EE"/>
                </w:rPr>
                <w:t>FS-55</w:t>
              </w:r>
            </w:hyperlink>
          </w:p>
        </w:tc>
        <w:tc>
          <w:tcPr>
            <w:tcW w:w="0" w:type="dxa"/>
            <w:vAlign w:val="bottom"/>
          </w:tcPr>
          <w:p>
            <w:pPr>
              <w:spacing w:after="0"/>
              <w:rPr>
                <w:sz w:val="1"/>
                <w:szCs w:val="1"/>
                <w:color w:val="auto"/>
              </w:rPr>
            </w:pPr>
          </w:p>
        </w:tc>
      </w:tr>
      <w:tr>
        <w:trPr>
          <w:trHeight w:val="7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97">
              <w:r>
                <w:rPr>
                  <w:rFonts w:ascii="Arial" w:cs="Arial" w:eastAsia="Arial" w:hAnsi="Arial"/>
                  <w:sz w:val="8"/>
                  <w:szCs w:val="8"/>
                  <w:color w:val="0000EE"/>
                  <w:w w:val="99"/>
                </w:rPr>
                <w:t>Note 24</w:t>
              </w:r>
            </w:hyperlink>
          </w:p>
        </w:tc>
        <w:tc>
          <w:tcPr>
            <w:tcW w:w="400" w:type="dxa"/>
            <w:vAlign w:val="bottom"/>
          </w:tcPr>
          <w:p>
            <w:pPr>
              <w:spacing w:after="0"/>
              <w:rPr>
                <w:sz w:val="6"/>
                <w:szCs w:val="6"/>
                <w:color w:val="auto"/>
              </w:rPr>
            </w:pPr>
          </w:p>
        </w:tc>
        <w:tc>
          <w:tcPr>
            <w:tcW w:w="1620" w:type="dxa"/>
            <w:vAlign w:val="bottom"/>
            <w:tcBorders>
              <w:top w:val="single" w:sz="8" w:color="0000EE"/>
            </w:tcBorders>
            <w:gridSpan w:val="20"/>
          </w:tcPr>
          <w:p>
            <w:pPr>
              <w:spacing w:after="0" w:line="76" w:lineRule="exact"/>
              <w:rPr>
                <w:rFonts w:ascii="Arial" w:cs="Arial" w:eastAsia="Arial" w:hAnsi="Arial"/>
                <w:sz w:val="8"/>
                <w:szCs w:val="8"/>
                <w:color w:val="0000EE"/>
              </w:rPr>
            </w:pPr>
            <w:hyperlink w:anchor="page97">
              <w:r>
                <w:rPr>
                  <w:rFonts w:ascii="Arial" w:cs="Arial" w:eastAsia="Arial" w:hAnsi="Arial"/>
                  <w:sz w:val="8"/>
                  <w:szCs w:val="8"/>
                  <w:color w:val="0000EE"/>
                </w:rPr>
                <w:t>Other Contingencies and Commitments</w:t>
              </w:r>
            </w:hyperlink>
          </w:p>
        </w:tc>
        <w:tc>
          <w:tcPr>
            <w:tcW w:w="800" w:type="dxa"/>
            <w:vAlign w:val="bottom"/>
            <w:gridSpan w:val="10"/>
          </w:tcPr>
          <w:p>
            <w:pPr>
              <w:jc w:val="center"/>
              <w:ind w:right="580"/>
              <w:spacing w:after="0" w:line="76" w:lineRule="exact"/>
              <w:rPr>
                <w:rFonts w:ascii="Arial" w:cs="Arial" w:eastAsia="Arial" w:hAnsi="Arial"/>
                <w:sz w:val="8"/>
                <w:szCs w:val="8"/>
                <w:b w:val="1"/>
                <w:bCs w:val="1"/>
                <w:color w:val="0000EE"/>
              </w:rPr>
            </w:pPr>
            <w:hyperlink w:anchor="page97">
              <w:r>
                <w:rPr>
                  <w:rFonts w:ascii="Arial" w:cs="Arial" w:eastAsia="Arial" w:hAnsi="Arial"/>
                  <w:sz w:val="8"/>
                  <w:szCs w:val="8"/>
                  <w:b w:val="1"/>
                  <w:bCs w:val="1"/>
                  <w:color w:val="0000EE"/>
                </w:rPr>
                <w:t>FS-56</w:t>
              </w:r>
            </w:hyperlink>
          </w:p>
        </w:tc>
        <w:tc>
          <w:tcPr>
            <w:tcW w:w="0" w:type="dxa"/>
            <w:vAlign w:val="bottom"/>
          </w:tcPr>
          <w:p>
            <w:pPr>
              <w:spacing w:after="0"/>
              <w:rPr>
                <w:sz w:val="1"/>
                <w:szCs w:val="1"/>
                <w:color w:val="auto"/>
              </w:rPr>
            </w:pPr>
          </w:p>
        </w:tc>
      </w:tr>
      <w:tr>
        <w:trPr>
          <w:trHeight w:val="96"/>
        </w:trPr>
        <w:tc>
          <w:tcPr>
            <w:tcW w:w="300" w:type="dxa"/>
            <w:vAlign w:val="bottom"/>
            <w:tcBorders>
              <w:top w:val="single" w:sz="8" w:color="0000EE"/>
            </w:tcBorders>
            <w:gridSpan w:val="4"/>
          </w:tcPr>
          <w:p>
            <w:pPr>
              <w:spacing w:after="0" w:line="76" w:lineRule="exact"/>
              <w:rPr>
                <w:rFonts w:ascii="Arial" w:cs="Arial" w:eastAsia="Arial" w:hAnsi="Arial"/>
                <w:sz w:val="8"/>
                <w:szCs w:val="8"/>
                <w:color w:val="0000EE"/>
                <w:w w:val="99"/>
              </w:rPr>
            </w:pPr>
            <w:hyperlink w:anchor="page99">
              <w:r>
                <w:rPr>
                  <w:rFonts w:ascii="Arial" w:cs="Arial" w:eastAsia="Arial" w:hAnsi="Arial"/>
                  <w:sz w:val="8"/>
                  <w:szCs w:val="8"/>
                  <w:color w:val="0000EE"/>
                  <w:w w:val="99"/>
                </w:rPr>
                <w:t>Note 25</w:t>
              </w:r>
            </w:hyperlink>
          </w:p>
        </w:tc>
        <w:tc>
          <w:tcPr>
            <w:tcW w:w="400" w:type="dxa"/>
            <w:vAlign w:val="bottom"/>
          </w:tcPr>
          <w:p>
            <w:pPr>
              <w:spacing w:after="0"/>
              <w:rPr>
                <w:sz w:val="8"/>
                <w:szCs w:val="8"/>
                <w:color w:val="auto"/>
              </w:rPr>
            </w:pPr>
          </w:p>
        </w:tc>
        <w:tc>
          <w:tcPr>
            <w:tcW w:w="1840" w:type="dxa"/>
            <w:vAlign w:val="bottom"/>
            <w:tcBorders>
              <w:top w:val="single" w:sz="8" w:color="0000EE"/>
            </w:tcBorders>
            <w:gridSpan w:val="22"/>
          </w:tcPr>
          <w:p>
            <w:pPr>
              <w:spacing w:after="0" w:line="76" w:lineRule="exact"/>
              <w:rPr>
                <w:rFonts w:ascii="Arial" w:cs="Arial" w:eastAsia="Arial" w:hAnsi="Arial"/>
                <w:sz w:val="8"/>
                <w:szCs w:val="8"/>
                <w:color w:val="0000EE"/>
              </w:rPr>
            </w:pPr>
            <w:hyperlink w:anchor="page99">
              <w:r>
                <w:rPr>
                  <w:rFonts w:ascii="Arial" w:cs="Arial" w:eastAsia="Arial" w:hAnsi="Arial"/>
                  <w:sz w:val="8"/>
                  <w:szCs w:val="8"/>
                  <w:color w:val="0000EE"/>
                </w:rPr>
                <w:t xml:space="preserve">Asset Retirement Obligations </w:t>
              </w:r>
              <w:r>
                <w:rPr>
                  <w:rFonts w:ascii="Arial" w:cs="Arial" w:eastAsia="Arial" w:hAnsi="Arial"/>
                  <w:sz w:val="8"/>
                  <w:szCs w:val="8"/>
                  <w:b w:val="1"/>
                  <w:bCs w:val="1"/>
                  <w:color w:val="0000EE"/>
                </w:rPr>
                <w:t>FS-58</w:t>
              </w:r>
            </w:hyperlink>
          </w:p>
        </w:tc>
        <w:tc>
          <w:tcPr>
            <w:tcW w:w="58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00" w:type="dxa"/>
            <w:vAlign w:val="bottom"/>
            <w:tcBorders>
              <w:top w:val="single" w:sz="8" w:color="0000EE"/>
            </w:tcBorders>
            <w:gridSpan w:val="4"/>
          </w:tcPr>
          <w:p>
            <w:pPr>
              <w:spacing w:after="0" w:line="57" w:lineRule="exact"/>
              <w:rPr>
                <w:rFonts w:ascii="Arial" w:cs="Arial" w:eastAsia="Arial" w:hAnsi="Arial"/>
                <w:sz w:val="6"/>
                <w:szCs w:val="6"/>
                <w:color w:val="0000EE"/>
              </w:rPr>
            </w:pPr>
            <w:hyperlink w:anchor="page99">
              <w:r>
                <w:rPr>
                  <w:rFonts w:ascii="Arial" w:cs="Arial" w:eastAsia="Arial" w:hAnsi="Arial"/>
                  <w:sz w:val="6"/>
                  <w:szCs w:val="6"/>
                  <w:color w:val="0000EE"/>
                </w:rPr>
                <w:t>Note 26</w:t>
              </w:r>
            </w:hyperlink>
          </w:p>
        </w:tc>
        <w:tc>
          <w:tcPr>
            <w:tcW w:w="400" w:type="dxa"/>
            <w:vAlign w:val="bottom"/>
          </w:tcPr>
          <w:p>
            <w:pPr>
              <w:spacing w:after="0"/>
              <w:rPr>
                <w:sz w:val="4"/>
                <w:szCs w:val="4"/>
                <w:color w:val="auto"/>
              </w:rPr>
            </w:pPr>
          </w:p>
        </w:tc>
        <w:tc>
          <w:tcPr>
            <w:tcW w:w="1440" w:type="dxa"/>
            <w:vAlign w:val="bottom"/>
            <w:tcBorders>
              <w:top w:val="single" w:sz="8" w:color="0000EE"/>
            </w:tcBorders>
            <w:gridSpan w:val="15"/>
          </w:tcPr>
          <w:p>
            <w:pPr>
              <w:spacing w:after="0" w:line="57" w:lineRule="exact"/>
              <w:rPr>
                <w:rFonts w:ascii="Arial" w:cs="Arial" w:eastAsia="Arial" w:hAnsi="Arial"/>
                <w:sz w:val="6"/>
                <w:szCs w:val="6"/>
                <w:color w:val="0000EE"/>
              </w:rPr>
            </w:pPr>
            <w:hyperlink w:anchor="page99">
              <w:r>
                <w:rPr>
                  <w:rFonts w:ascii="Arial" w:cs="Arial" w:eastAsia="Arial" w:hAnsi="Arial"/>
                  <w:sz w:val="6"/>
                  <w:szCs w:val="6"/>
                  <w:color w:val="0000EE"/>
                </w:rPr>
                <w:t xml:space="preserve">Other Financial Information </w:t>
              </w:r>
              <w:r>
                <w:rPr>
                  <w:rFonts w:ascii="Arial" w:cs="Arial" w:eastAsia="Arial" w:hAnsi="Arial"/>
                  <w:sz w:val="6"/>
                  <w:szCs w:val="6"/>
                  <w:b w:val="1"/>
                  <w:bCs w:val="1"/>
                  <w:color w:val="0000EE"/>
                </w:rPr>
                <w:t>FS-58</w:t>
              </w:r>
            </w:hyperlink>
          </w:p>
        </w:tc>
        <w:tc>
          <w:tcPr>
            <w:tcW w:w="980" w:type="dxa"/>
            <w:vAlign w:val="bottom"/>
            <w:gridSpan w:val="15"/>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00" w:type="dxa"/>
            <w:vAlign w:val="bottom"/>
            <w:tcBorders>
              <w:top w:val="single" w:sz="8" w:color="0000EE"/>
              <w:bottom w:val="single" w:sz="8" w:color="0000EE"/>
            </w:tcBorders>
            <w:gridSpan w:val="4"/>
          </w:tcPr>
          <w:p>
            <w:pPr>
              <w:spacing w:after="0" w:line="76" w:lineRule="exact"/>
              <w:rPr>
                <w:rFonts w:ascii="Arial" w:cs="Arial" w:eastAsia="Arial" w:hAnsi="Arial"/>
                <w:sz w:val="8"/>
                <w:szCs w:val="8"/>
                <w:color w:val="0000EE"/>
                <w:w w:val="99"/>
              </w:rPr>
            </w:pPr>
            <w:hyperlink w:anchor="page100">
              <w:r>
                <w:rPr>
                  <w:rFonts w:ascii="Arial" w:cs="Arial" w:eastAsia="Arial" w:hAnsi="Arial"/>
                  <w:sz w:val="8"/>
                  <w:szCs w:val="8"/>
                  <w:color w:val="0000EE"/>
                  <w:w w:val="99"/>
                </w:rPr>
                <w:t>Note 27</w:t>
              </w:r>
            </w:hyperlink>
          </w:p>
        </w:tc>
        <w:tc>
          <w:tcPr>
            <w:tcW w:w="400" w:type="dxa"/>
            <w:vAlign w:val="bottom"/>
          </w:tcPr>
          <w:p>
            <w:pPr>
              <w:spacing w:after="0"/>
              <w:rPr>
                <w:sz w:val="6"/>
                <w:szCs w:val="6"/>
                <w:color w:val="auto"/>
              </w:rPr>
            </w:pPr>
          </w:p>
        </w:tc>
        <w:tc>
          <w:tcPr>
            <w:tcW w:w="1060" w:type="dxa"/>
            <w:vAlign w:val="bottom"/>
            <w:tcBorders>
              <w:top w:val="single" w:sz="8" w:color="0000EE"/>
              <w:bottom w:val="single" w:sz="8" w:color="0000EE"/>
            </w:tcBorders>
            <w:gridSpan w:val="7"/>
          </w:tcPr>
          <w:p>
            <w:pPr>
              <w:spacing w:after="0" w:line="76" w:lineRule="exact"/>
              <w:rPr>
                <w:rFonts w:ascii="Arial" w:cs="Arial" w:eastAsia="Arial" w:hAnsi="Arial"/>
                <w:sz w:val="8"/>
                <w:szCs w:val="8"/>
                <w:color w:val="0000EE"/>
              </w:rPr>
            </w:pPr>
            <w:hyperlink w:anchor="page100">
              <w:r>
                <w:rPr>
                  <w:rFonts w:ascii="Arial" w:cs="Arial" w:eastAsia="Arial" w:hAnsi="Arial"/>
                  <w:sz w:val="8"/>
                  <w:szCs w:val="8"/>
                  <w:color w:val="0000EE"/>
                </w:rPr>
                <w:t xml:space="preserve">Earnings Per Share </w:t>
              </w:r>
              <w:r>
                <w:rPr>
                  <w:rFonts w:ascii="Arial" w:cs="Arial" w:eastAsia="Arial" w:hAnsi="Arial"/>
                  <w:sz w:val="8"/>
                  <w:szCs w:val="8"/>
                  <w:b w:val="1"/>
                  <w:bCs w:val="1"/>
                  <w:color w:val="0000EE"/>
                </w:rPr>
                <w:t>FS-59</w:t>
              </w:r>
            </w:hyperlink>
          </w:p>
        </w:tc>
        <w:tc>
          <w:tcPr>
            <w:tcW w:w="300" w:type="dxa"/>
            <w:vAlign w:val="bottom"/>
            <w:tcBorders>
              <w:top w:val="single" w:sz="8" w:color="0000EE"/>
            </w:tcBorders>
            <w:gridSpan w:val="6"/>
          </w:tcPr>
          <w:p>
            <w:pPr>
              <w:spacing w:after="0"/>
              <w:rPr>
                <w:sz w:val="6"/>
                <w:szCs w:val="6"/>
                <w:color w:val="auto"/>
              </w:rPr>
            </w:pPr>
          </w:p>
        </w:tc>
        <w:tc>
          <w:tcPr>
            <w:tcW w:w="1060" w:type="dxa"/>
            <w:vAlign w:val="bottom"/>
            <w:gridSpan w:val="17"/>
          </w:tcPr>
          <w:p>
            <w:pPr>
              <w:spacing w:after="0"/>
              <w:rPr>
                <w:sz w:val="6"/>
                <w:szCs w:val="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spacing w:after="0"/>
        <w:rPr>
          <w:rFonts w:ascii="Arial" w:cs="Arial" w:eastAsia="Arial" w:hAnsi="Arial"/>
          <w:sz w:val="9"/>
          <w:szCs w:val="9"/>
          <w:u w:val="single" w:color="auto"/>
          <w:color w:val="0000EE"/>
        </w:rPr>
      </w:pPr>
      <w:hyperlink w:anchor="page102">
        <w:r>
          <w:rPr>
            <w:rFonts w:ascii="Arial" w:cs="Arial" w:eastAsia="Arial" w:hAnsi="Arial"/>
            <w:sz w:val="9"/>
            <w:szCs w:val="9"/>
            <w:u w:val="single" w:color="auto"/>
            <w:color w:val="0000EE"/>
          </w:rPr>
          <w:t xml:space="preserve">Five-Year Financial Summary </w:t>
        </w:r>
        <w:r>
          <w:rPr>
            <w:rFonts w:ascii="Arial" w:cs="Arial" w:eastAsia="Arial" w:hAnsi="Arial"/>
            <w:sz w:val="9"/>
            <w:szCs w:val="9"/>
            <w:b w:val="1"/>
            <w:bCs w:val="1"/>
            <w:u w:val="single" w:color="auto"/>
            <w:color w:val="0000EE"/>
          </w:rPr>
          <w:t>FS-61</w:t>
        </w:r>
      </w:hyperlink>
    </w:p>
    <w:p>
      <w:pPr>
        <w:spacing w:after="0" w:line="3" w:lineRule="exact"/>
        <w:rPr>
          <w:sz w:val="20"/>
          <w:szCs w:val="20"/>
          <w:color w:val="auto"/>
        </w:rPr>
      </w:pPr>
    </w:p>
    <w:p>
      <w:pPr>
        <w:ind w:left="120"/>
        <w:spacing w:after="0"/>
        <w:rPr>
          <w:rFonts w:ascii="Arial" w:cs="Arial" w:eastAsia="Arial" w:hAnsi="Arial"/>
          <w:sz w:val="9"/>
          <w:szCs w:val="9"/>
          <w:u w:val="single" w:color="auto"/>
          <w:color w:val="0000EE"/>
        </w:rPr>
      </w:pPr>
      <w:hyperlink w:anchor="page103">
        <w:r>
          <w:rPr>
            <w:rFonts w:ascii="Arial" w:cs="Arial" w:eastAsia="Arial" w:hAnsi="Arial"/>
            <w:sz w:val="9"/>
            <w:szCs w:val="9"/>
            <w:u w:val="single" w:color="auto"/>
            <w:color w:val="0000EE"/>
          </w:rPr>
          <w:t xml:space="preserve">Supplemental Information on Oil and Gas Producing Activities </w:t>
        </w:r>
        <w:r>
          <w:rPr>
            <w:rFonts w:ascii="Arial" w:cs="Arial" w:eastAsia="Arial" w:hAnsi="Arial"/>
            <w:sz w:val="9"/>
            <w:szCs w:val="9"/>
            <w:b w:val="1"/>
            <w:bCs w:val="1"/>
            <w:u w:val="single" w:color="auto"/>
            <w:color w:val="0000EE"/>
          </w:rPr>
          <w:t>FS-62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220345</wp:posOffset>
            </wp:positionV>
            <wp:extent cx="729297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4900" w:space="720"/>
            <w:col w:w="4139"/>
          </w:cols>
          <w:pgMar w:left="700" w:top="1136" w:right="1440" w:bottom="1440" w:gutter="0" w:footer="0" w:header="0"/>
        </w:sectPr>
      </w:pPr>
    </w:p>
    <w:bookmarkStart w:id="42" w:name="page43"/>
    <w:bookmarkEnd w:id="42"/>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285990" cy="628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43"/>
        <w:spacing w:after="0"/>
        <w:rPr>
          <w:sz w:val="20"/>
          <w:szCs w:val="20"/>
          <w:color w:val="auto"/>
        </w:rPr>
      </w:pPr>
      <w:r>
        <w:rPr>
          <w:rFonts w:ascii="Arial" w:cs="Arial" w:eastAsia="Arial" w:hAnsi="Arial"/>
          <w:sz w:val="12"/>
          <w:szCs w:val="12"/>
          <w:color w:val="auto"/>
        </w:rPr>
        <w:t>Management’s Discussion and Analysis of</w:t>
      </w:r>
    </w:p>
    <w:p>
      <w:pPr>
        <w:ind w:left="143"/>
        <w:spacing w:after="0"/>
        <w:rPr>
          <w:sz w:val="20"/>
          <w:szCs w:val="20"/>
          <w:color w:val="auto"/>
        </w:rPr>
      </w:pPr>
      <w:r>
        <w:rPr>
          <w:rFonts w:ascii="Arial" w:cs="Arial" w:eastAsia="Arial" w:hAnsi="Arial"/>
          <w:sz w:val="10"/>
          <w:szCs w:val="10"/>
          <w:color w:val="auto"/>
        </w:rPr>
        <w:t>Financial Condition and Results of Operations</w:t>
      </w:r>
    </w:p>
    <w:p>
      <w:pPr>
        <w:sectPr>
          <w:pgSz w:w="11900" w:h="16838" w:orient="portrait"/>
          <w:cols w:equalWidth="0" w:num="1">
            <w:col w:w="11463"/>
          </w:cols>
          <w:pgMar w:left="217"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0077C0"/>
        </w:rPr>
        <w:t>Key Financial Results</w:t>
      </w:r>
    </w:p>
    <w:p>
      <w:pPr>
        <w:spacing w:after="0" w:line="102" w:lineRule="exact"/>
        <w:rPr>
          <w:sz w:val="20"/>
          <w:szCs w:val="20"/>
          <w:color w:val="auto"/>
        </w:rPr>
      </w:pPr>
    </w:p>
    <w:tbl>
      <w:tblPr>
        <w:tblLayout w:type="fixed"/>
        <w:tblInd w:w="3" w:type="dxa"/>
        <w:tblCellMar>
          <w:top w:w="0" w:type="dxa"/>
          <w:left w:w="0" w:type="dxa"/>
          <w:bottom w:w="0" w:type="dxa"/>
          <w:right w:w="0" w:type="dxa"/>
        </w:tblCellMar>
      </w:tblPr>
      <w:tr>
        <w:trPr>
          <w:trHeight w:val="109"/>
        </w:trPr>
        <w:tc>
          <w:tcPr>
            <w:tcW w:w="2120" w:type="dxa"/>
            <w:vAlign w:val="bottom"/>
          </w:tcPr>
          <w:p>
            <w:pPr>
              <w:spacing w:after="0"/>
              <w:rPr>
                <w:sz w:val="20"/>
                <w:szCs w:val="20"/>
                <w:color w:val="auto"/>
              </w:rPr>
            </w:pPr>
            <w:r>
              <w:rPr>
                <w:rFonts w:ascii="Arial" w:cs="Arial" w:eastAsia="Arial" w:hAnsi="Arial"/>
                <w:sz w:val="9"/>
                <w:szCs w:val="9"/>
                <w:i w:val="1"/>
                <w:iCs w:val="1"/>
                <w:color w:val="auto"/>
              </w:rPr>
              <w:t>Millions of dollars, except per-share amounts</w:t>
            </w:r>
          </w:p>
        </w:tc>
        <w:tc>
          <w:tcPr>
            <w:tcW w:w="600" w:type="dxa"/>
            <w:vAlign w:val="bottom"/>
          </w:tcPr>
          <w:p>
            <w:pPr>
              <w:spacing w:after="0"/>
              <w:rPr>
                <w:sz w:val="9"/>
                <w:szCs w:val="9"/>
                <w:color w:val="auto"/>
              </w:rPr>
            </w:pPr>
          </w:p>
        </w:tc>
        <w:tc>
          <w:tcPr>
            <w:tcW w:w="680" w:type="dxa"/>
            <w:vAlign w:val="bottom"/>
          </w:tcPr>
          <w:p>
            <w:pPr>
              <w:jc w:val="right"/>
              <w:ind w:right="230"/>
              <w:spacing w:after="0"/>
              <w:rPr>
                <w:sz w:val="20"/>
                <w:szCs w:val="20"/>
                <w:color w:val="auto"/>
              </w:rPr>
            </w:pPr>
            <w:r>
              <w:rPr>
                <w:rFonts w:ascii="Arial" w:cs="Arial" w:eastAsia="Arial" w:hAnsi="Arial"/>
                <w:sz w:val="9"/>
                <w:szCs w:val="9"/>
                <w:b w:val="1"/>
                <w:bCs w:val="1"/>
                <w:color w:val="auto"/>
              </w:rPr>
              <w:t>2011</w:t>
            </w:r>
          </w:p>
        </w:tc>
        <w:tc>
          <w:tcPr>
            <w:tcW w:w="280" w:type="dxa"/>
            <w:vAlign w:val="bottom"/>
          </w:tcPr>
          <w:p>
            <w:pPr>
              <w:spacing w:after="0"/>
              <w:rPr>
                <w:sz w:val="9"/>
                <w:szCs w:val="9"/>
                <w:color w:val="auto"/>
              </w:rPr>
            </w:pPr>
          </w:p>
        </w:tc>
        <w:tc>
          <w:tcPr>
            <w:tcW w:w="800" w:type="dxa"/>
            <w:vAlign w:val="bottom"/>
          </w:tcPr>
          <w:p>
            <w:pPr>
              <w:jc w:val="right"/>
              <w:ind w:right="350"/>
              <w:spacing w:after="0"/>
              <w:rPr>
                <w:sz w:val="20"/>
                <w:szCs w:val="20"/>
                <w:color w:val="auto"/>
              </w:rPr>
            </w:pPr>
            <w:r>
              <w:rPr>
                <w:rFonts w:ascii="Arial" w:cs="Arial" w:eastAsia="Arial" w:hAnsi="Arial"/>
                <w:sz w:val="9"/>
                <w:szCs w:val="9"/>
                <w:color w:val="auto"/>
              </w:rPr>
              <w:t>2010</w:t>
            </w:r>
          </w:p>
        </w:tc>
        <w:tc>
          <w:tcPr>
            <w:tcW w:w="4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92"/>
        </w:trPr>
        <w:tc>
          <w:tcPr>
            <w:tcW w:w="21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Net Income Attributable to</w:t>
            </w:r>
          </w:p>
        </w:tc>
        <w:tc>
          <w:tcPr>
            <w:tcW w:w="600" w:type="dxa"/>
            <w:vAlign w:val="bottom"/>
            <w:tcBorders>
              <w:top w:val="single" w:sz="8" w:color="0077C0"/>
            </w:tcBorders>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right w:val="single" w:sz="8" w:color="0077C0"/>
            </w:tcBorders>
            <w:vMerge w:val="restart"/>
          </w:tcPr>
          <w:p>
            <w:pPr>
              <w:jc w:val="right"/>
              <w:ind w:right="230"/>
              <w:spacing w:after="0"/>
              <w:rPr>
                <w:sz w:val="20"/>
                <w:szCs w:val="20"/>
                <w:color w:val="auto"/>
              </w:rPr>
            </w:pPr>
            <w:r>
              <w:rPr>
                <w:rFonts w:ascii="Arial" w:cs="Arial" w:eastAsia="Arial" w:hAnsi="Arial"/>
                <w:sz w:val="10"/>
                <w:szCs w:val="10"/>
                <w:b w:val="1"/>
                <w:bCs w:val="1"/>
                <w:color w:val="auto"/>
              </w:rPr>
              <w:t>26,895</w:t>
            </w:r>
          </w:p>
        </w:tc>
        <w:tc>
          <w:tcPr>
            <w:tcW w:w="28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140"/>
              <w:spacing w:after="0" w:line="106" w:lineRule="exact"/>
              <w:rPr>
                <w:sz w:val="20"/>
                <w:szCs w:val="20"/>
                <w:color w:val="auto"/>
              </w:rPr>
            </w:pPr>
            <w:r>
              <w:rPr>
                <w:rFonts w:ascii="Arial" w:cs="Arial" w:eastAsia="Arial" w:hAnsi="Arial"/>
                <w:sz w:val="10"/>
                <w:szCs w:val="10"/>
                <w:color w:val="auto"/>
              </w:rPr>
              <w:t>Chevron Corporation</w:t>
            </w:r>
          </w:p>
        </w:tc>
        <w:tc>
          <w:tcPr>
            <w:tcW w:w="600" w:type="dxa"/>
            <w:vAlign w:val="bottom"/>
            <w:vMerge w:val="continue"/>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2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50"/>
              <w:spacing w:after="0" w:line="106" w:lineRule="exact"/>
              <w:rPr>
                <w:sz w:val="20"/>
                <w:szCs w:val="20"/>
                <w:color w:val="auto"/>
              </w:rPr>
            </w:pPr>
            <w:r>
              <w:rPr>
                <w:rFonts w:ascii="Arial" w:cs="Arial" w:eastAsia="Arial" w:hAnsi="Arial"/>
                <w:sz w:val="10"/>
                <w:szCs w:val="10"/>
                <w:color w:val="auto"/>
              </w:rPr>
              <w:t>19,024</w:t>
            </w:r>
          </w:p>
        </w:tc>
        <w:tc>
          <w:tcPr>
            <w:tcW w:w="4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10,483</w:t>
            </w:r>
          </w:p>
        </w:tc>
        <w:tc>
          <w:tcPr>
            <w:tcW w:w="0" w:type="dxa"/>
            <w:vAlign w:val="bottom"/>
          </w:tcPr>
          <w:p>
            <w:pPr>
              <w:spacing w:after="0"/>
              <w:rPr>
                <w:sz w:val="1"/>
                <w:szCs w:val="1"/>
                <w:color w:val="auto"/>
              </w:rPr>
            </w:pPr>
          </w:p>
        </w:tc>
      </w:tr>
      <w:tr>
        <w:trPr>
          <w:trHeight w:val="106"/>
        </w:trPr>
        <w:tc>
          <w:tcPr>
            <w:tcW w:w="2120" w:type="dxa"/>
            <w:vAlign w:val="bottom"/>
          </w:tcPr>
          <w:p>
            <w:pPr>
              <w:spacing w:after="0" w:line="106" w:lineRule="exact"/>
              <w:rPr>
                <w:sz w:val="20"/>
                <w:szCs w:val="20"/>
                <w:color w:val="auto"/>
              </w:rPr>
            </w:pPr>
            <w:r>
              <w:rPr>
                <w:rFonts w:ascii="Arial" w:cs="Arial" w:eastAsia="Arial" w:hAnsi="Arial"/>
                <w:sz w:val="10"/>
                <w:szCs w:val="10"/>
                <w:color w:val="auto"/>
              </w:rPr>
              <w:t>Per Share Amounts:</w:t>
            </w:r>
          </w:p>
        </w:tc>
        <w:tc>
          <w:tcPr>
            <w:tcW w:w="600" w:type="dxa"/>
            <w:vAlign w:val="bottom"/>
          </w:tcPr>
          <w:p>
            <w:pPr>
              <w:spacing w:after="0"/>
              <w:rPr>
                <w:sz w:val="9"/>
                <w:szCs w:val="9"/>
                <w:color w:val="auto"/>
              </w:rPr>
            </w:pPr>
          </w:p>
        </w:tc>
        <w:tc>
          <w:tcPr>
            <w:tcW w:w="680" w:type="dxa"/>
            <w:vAlign w:val="bottom"/>
            <w:tcBorders>
              <w:right w:val="single" w:sz="8" w:color="0077C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140"/>
              <w:spacing w:after="0" w:line="106" w:lineRule="exact"/>
              <w:rPr>
                <w:sz w:val="20"/>
                <w:szCs w:val="20"/>
                <w:color w:val="auto"/>
              </w:rPr>
            </w:pPr>
            <w:r>
              <w:rPr>
                <w:rFonts w:ascii="Arial" w:cs="Arial" w:eastAsia="Arial" w:hAnsi="Arial"/>
                <w:sz w:val="10"/>
                <w:szCs w:val="10"/>
                <w:color w:val="auto"/>
              </w:rPr>
              <w:t>Net Income Attributable to</w:t>
            </w:r>
          </w:p>
        </w:tc>
        <w:tc>
          <w:tcPr>
            <w:tcW w:w="600" w:type="dxa"/>
            <w:vAlign w:val="bottom"/>
          </w:tcPr>
          <w:p>
            <w:pPr>
              <w:spacing w:after="0"/>
              <w:rPr>
                <w:sz w:val="9"/>
                <w:szCs w:val="9"/>
                <w:color w:val="auto"/>
              </w:rPr>
            </w:pPr>
          </w:p>
        </w:tc>
        <w:tc>
          <w:tcPr>
            <w:tcW w:w="680" w:type="dxa"/>
            <w:vAlign w:val="bottom"/>
            <w:tcBorders>
              <w:right w:val="single" w:sz="8" w:color="0077C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280"/>
              <w:spacing w:after="0" w:line="106" w:lineRule="exact"/>
              <w:rPr>
                <w:sz w:val="20"/>
                <w:szCs w:val="20"/>
                <w:color w:val="auto"/>
              </w:rPr>
            </w:pPr>
            <w:r>
              <w:rPr>
                <w:rFonts w:ascii="Arial" w:cs="Arial" w:eastAsia="Arial" w:hAnsi="Arial"/>
                <w:sz w:val="10"/>
                <w:szCs w:val="10"/>
                <w:color w:val="auto"/>
              </w:rPr>
              <w:t>Chevron Corporation</w:t>
            </w:r>
          </w:p>
        </w:tc>
        <w:tc>
          <w:tcPr>
            <w:tcW w:w="60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80" w:type="dxa"/>
            <w:vAlign w:val="bottom"/>
            <w:tcBorders>
              <w:right w:val="single" w:sz="8" w:color="0077C0"/>
            </w:tcBorders>
            <w:vMerge w:val="restart"/>
          </w:tcPr>
          <w:p>
            <w:pPr>
              <w:jc w:val="right"/>
              <w:ind w:right="230"/>
              <w:spacing w:after="0"/>
              <w:rPr>
                <w:sz w:val="20"/>
                <w:szCs w:val="20"/>
                <w:color w:val="auto"/>
              </w:rPr>
            </w:pPr>
            <w:r>
              <w:rPr>
                <w:rFonts w:ascii="Arial" w:cs="Arial" w:eastAsia="Arial" w:hAnsi="Arial"/>
                <w:sz w:val="10"/>
                <w:szCs w:val="10"/>
                <w:b w:val="1"/>
                <w:bCs w:val="1"/>
                <w:color w:val="auto"/>
              </w:rPr>
              <w:t>13.54</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ind w:left="420"/>
              <w:spacing w:after="0" w:line="104" w:lineRule="exact"/>
              <w:rPr>
                <w:sz w:val="20"/>
                <w:szCs w:val="20"/>
                <w:color w:val="auto"/>
              </w:rPr>
            </w:pPr>
            <w:r>
              <w:rPr>
                <w:rFonts w:ascii="Arial" w:cs="Arial" w:eastAsia="Arial" w:hAnsi="Arial"/>
                <w:sz w:val="10"/>
                <w:szCs w:val="10"/>
                <w:color w:val="auto"/>
              </w:rPr>
              <w:t>– Basic</w:t>
            </w:r>
          </w:p>
        </w:tc>
        <w:tc>
          <w:tcPr>
            <w:tcW w:w="600" w:type="dxa"/>
            <w:vAlign w:val="bottom"/>
            <w:vMerge w:val="continue"/>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280" w:type="dxa"/>
            <w:vAlign w:val="bottom"/>
          </w:tcPr>
          <w:p>
            <w:pPr>
              <w:jc w:val="right"/>
              <w:ind w:right="29"/>
              <w:spacing w:after="0" w:line="10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50"/>
              <w:spacing w:after="0" w:line="104" w:lineRule="exact"/>
              <w:rPr>
                <w:sz w:val="20"/>
                <w:szCs w:val="20"/>
                <w:color w:val="auto"/>
              </w:rPr>
            </w:pPr>
            <w:r>
              <w:rPr>
                <w:rFonts w:ascii="Arial" w:cs="Arial" w:eastAsia="Arial" w:hAnsi="Arial"/>
                <w:sz w:val="10"/>
                <w:szCs w:val="10"/>
                <w:color w:val="auto"/>
              </w:rPr>
              <w:t>9.53</w:t>
            </w:r>
          </w:p>
        </w:tc>
        <w:tc>
          <w:tcPr>
            <w:tcW w:w="480" w:type="dxa"/>
            <w:vAlign w:val="bottom"/>
          </w:tcPr>
          <w:p>
            <w:pPr>
              <w:jc w:val="right"/>
              <w:ind w:right="49"/>
              <w:spacing w:after="0" w:line="104"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4" w:lineRule="exact"/>
              <w:rPr>
                <w:sz w:val="20"/>
                <w:szCs w:val="20"/>
                <w:color w:val="auto"/>
              </w:rPr>
            </w:pPr>
            <w:r>
              <w:rPr>
                <w:rFonts w:ascii="Arial" w:cs="Arial" w:eastAsia="Arial" w:hAnsi="Arial"/>
                <w:sz w:val="10"/>
                <w:szCs w:val="10"/>
                <w:color w:val="auto"/>
              </w:rPr>
              <w:t>5.26</w:t>
            </w:r>
          </w:p>
        </w:tc>
        <w:tc>
          <w:tcPr>
            <w:tcW w:w="0" w:type="dxa"/>
            <w:vAlign w:val="bottom"/>
          </w:tcPr>
          <w:p>
            <w:pPr>
              <w:spacing w:after="0"/>
              <w:rPr>
                <w:sz w:val="1"/>
                <w:szCs w:val="1"/>
                <w:color w:val="auto"/>
              </w:rPr>
            </w:pPr>
          </w:p>
        </w:tc>
      </w:tr>
      <w:tr>
        <w:trPr>
          <w:trHeight w:val="106"/>
        </w:trPr>
        <w:tc>
          <w:tcPr>
            <w:tcW w:w="2120" w:type="dxa"/>
            <w:vAlign w:val="bottom"/>
          </w:tcPr>
          <w:p>
            <w:pPr>
              <w:ind w:left="420"/>
              <w:spacing w:after="0" w:line="106" w:lineRule="exact"/>
              <w:rPr>
                <w:sz w:val="20"/>
                <w:szCs w:val="20"/>
                <w:color w:val="auto"/>
              </w:rPr>
            </w:pPr>
            <w:r>
              <w:rPr>
                <w:rFonts w:ascii="Arial" w:cs="Arial" w:eastAsia="Arial" w:hAnsi="Arial"/>
                <w:sz w:val="10"/>
                <w:szCs w:val="10"/>
                <w:color w:val="auto"/>
              </w:rPr>
              <w:t>– Diluted</w:t>
            </w:r>
          </w:p>
        </w:tc>
        <w:tc>
          <w:tcPr>
            <w:tcW w:w="600" w:type="dxa"/>
            <w:vAlign w:val="bottom"/>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Borders>
              <w:right w:val="single" w:sz="8" w:color="0077C0"/>
            </w:tcBorders>
          </w:tcPr>
          <w:p>
            <w:pPr>
              <w:jc w:val="right"/>
              <w:ind w:right="230"/>
              <w:spacing w:after="0" w:line="106" w:lineRule="exact"/>
              <w:rPr>
                <w:sz w:val="20"/>
                <w:szCs w:val="20"/>
                <w:color w:val="auto"/>
              </w:rPr>
            </w:pPr>
            <w:r>
              <w:rPr>
                <w:rFonts w:ascii="Arial" w:cs="Arial" w:eastAsia="Arial" w:hAnsi="Arial"/>
                <w:sz w:val="10"/>
                <w:szCs w:val="10"/>
                <w:b w:val="1"/>
                <w:bCs w:val="1"/>
                <w:color w:val="auto"/>
              </w:rPr>
              <w:t>13.44</w:t>
            </w:r>
          </w:p>
        </w:tc>
        <w:tc>
          <w:tcPr>
            <w:tcW w:w="2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50"/>
              <w:spacing w:after="0" w:line="106" w:lineRule="exact"/>
              <w:rPr>
                <w:sz w:val="20"/>
                <w:szCs w:val="20"/>
                <w:color w:val="auto"/>
              </w:rPr>
            </w:pPr>
            <w:r>
              <w:rPr>
                <w:rFonts w:ascii="Arial" w:cs="Arial" w:eastAsia="Arial" w:hAnsi="Arial"/>
                <w:sz w:val="10"/>
                <w:szCs w:val="10"/>
                <w:color w:val="auto"/>
              </w:rPr>
              <w:t>9.48</w:t>
            </w:r>
          </w:p>
        </w:tc>
        <w:tc>
          <w:tcPr>
            <w:tcW w:w="4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5.24</w:t>
            </w:r>
          </w:p>
        </w:tc>
        <w:tc>
          <w:tcPr>
            <w:tcW w:w="0" w:type="dxa"/>
            <w:vAlign w:val="bottom"/>
          </w:tcPr>
          <w:p>
            <w:pPr>
              <w:spacing w:after="0"/>
              <w:rPr>
                <w:sz w:val="1"/>
                <w:szCs w:val="1"/>
                <w:color w:val="auto"/>
              </w:rPr>
            </w:pPr>
          </w:p>
        </w:tc>
      </w:tr>
      <w:tr>
        <w:trPr>
          <w:trHeight w:val="108"/>
        </w:trPr>
        <w:tc>
          <w:tcPr>
            <w:tcW w:w="2120" w:type="dxa"/>
            <w:vAlign w:val="bottom"/>
          </w:tcPr>
          <w:p>
            <w:pPr>
              <w:ind w:left="140"/>
              <w:spacing w:after="0" w:line="108" w:lineRule="exact"/>
              <w:rPr>
                <w:sz w:val="20"/>
                <w:szCs w:val="20"/>
                <w:color w:val="auto"/>
              </w:rPr>
            </w:pPr>
            <w:r>
              <w:rPr>
                <w:rFonts w:ascii="Arial" w:cs="Arial" w:eastAsia="Arial" w:hAnsi="Arial"/>
                <w:sz w:val="10"/>
                <w:szCs w:val="10"/>
                <w:color w:val="auto"/>
              </w:rPr>
              <w:t>Dividends</w:t>
            </w:r>
          </w:p>
        </w:tc>
        <w:tc>
          <w:tcPr>
            <w:tcW w:w="600" w:type="dxa"/>
            <w:vAlign w:val="bottom"/>
          </w:tcPr>
          <w:p>
            <w:pPr>
              <w:jc w:val="right"/>
              <w:ind w:right="29"/>
              <w:spacing w:after="0" w:line="108" w:lineRule="exact"/>
              <w:rPr>
                <w:sz w:val="20"/>
                <w:szCs w:val="20"/>
                <w:color w:val="auto"/>
              </w:rPr>
            </w:pPr>
            <w:r>
              <w:rPr>
                <w:rFonts w:ascii="Arial" w:cs="Arial" w:eastAsia="Arial" w:hAnsi="Arial"/>
                <w:sz w:val="10"/>
                <w:szCs w:val="10"/>
                <w:b w:val="1"/>
                <w:bCs w:val="1"/>
                <w:color w:val="auto"/>
              </w:rPr>
              <w:t>$</w:t>
            </w:r>
          </w:p>
        </w:tc>
        <w:tc>
          <w:tcPr>
            <w:tcW w:w="680" w:type="dxa"/>
            <w:vAlign w:val="bottom"/>
            <w:tcBorders>
              <w:right w:val="single" w:sz="8" w:color="0077C0"/>
            </w:tcBorders>
          </w:tcPr>
          <w:p>
            <w:pPr>
              <w:jc w:val="right"/>
              <w:ind w:right="230"/>
              <w:spacing w:after="0" w:line="108" w:lineRule="exact"/>
              <w:rPr>
                <w:sz w:val="20"/>
                <w:szCs w:val="20"/>
                <w:color w:val="auto"/>
              </w:rPr>
            </w:pPr>
            <w:r>
              <w:rPr>
                <w:rFonts w:ascii="Arial" w:cs="Arial" w:eastAsia="Arial" w:hAnsi="Arial"/>
                <w:sz w:val="10"/>
                <w:szCs w:val="10"/>
                <w:b w:val="1"/>
                <w:bCs w:val="1"/>
                <w:color w:val="auto"/>
              </w:rPr>
              <w:t>3.09</w:t>
            </w:r>
          </w:p>
        </w:tc>
        <w:tc>
          <w:tcPr>
            <w:tcW w:w="280" w:type="dxa"/>
            <w:vAlign w:val="bottom"/>
          </w:tcPr>
          <w:p>
            <w:pPr>
              <w:jc w:val="right"/>
              <w:ind w:right="29"/>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50"/>
              <w:spacing w:after="0" w:line="108" w:lineRule="exact"/>
              <w:rPr>
                <w:sz w:val="20"/>
                <w:szCs w:val="20"/>
                <w:color w:val="auto"/>
              </w:rPr>
            </w:pPr>
            <w:r>
              <w:rPr>
                <w:rFonts w:ascii="Arial" w:cs="Arial" w:eastAsia="Arial" w:hAnsi="Arial"/>
                <w:sz w:val="10"/>
                <w:szCs w:val="10"/>
                <w:color w:val="auto"/>
              </w:rPr>
              <w:t>2.84</w:t>
            </w:r>
          </w:p>
        </w:tc>
        <w:tc>
          <w:tcPr>
            <w:tcW w:w="480" w:type="dxa"/>
            <w:vAlign w:val="bottom"/>
          </w:tcPr>
          <w:p>
            <w:pPr>
              <w:jc w:val="right"/>
              <w:ind w:right="49"/>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2.66</w:t>
            </w:r>
          </w:p>
        </w:tc>
        <w:tc>
          <w:tcPr>
            <w:tcW w:w="0" w:type="dxa"/>
            <w:vAlign w:val="bottom"/>
          </w:tcPr>
          <w:p>
            <w:pPr>
              <w:spacing w:after="0"/>
              <w:rPr>
                <w:sz w:val="1"/>
                <w:szCs w:val="1"/>
                <w:color w:val="auto"/>
              </w:rPr>
            </w:pPr>
          </w:p>
        </w:tc>
      </w:tr>
      <w:tr>
        <w:trPr>
          <w:trHeight w:val="106"/>
        </w:trPr>
        <w:tc>
          <w:tcPr>
            <w:tcW w:w="2120" w:type="dxa"/>
            <w:vAlign w:val="bottom"/>
          </w:tcPr>
          <w:p>
            <w:pPr>
              <w:spacing w:after="0" w:line="106" w:lineRule="exact"/>
              <w:rPr>
                <w:sz w:val="20"/>
                <w:szCs w:val="20"/>
                <w:color w:val="auto"/>
              </w:rPr>
            </w:pPr>
            <w:r>
              <w:rPr>
                <w:rFonts w:ascii="Arial" w:cs="Arial" w:eastAsia="Arial" w:hAnsi="Arial"/>
                <w:sz w:val="10"/>
                <w:szCs w:val="10"/>
                <w:color w:val="auto"/>
              </w:rPr>
              <w:t>Sales and Other</w:t>
            </w:r>
          </w:p>
        </w:tc>
        <w:tc>
          <w:tcPr>
            <w:tcW w:w="60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80" w:type="dxa"/>
            <w:vAlign w:val="bottom"/>
            <w:tcBorders>
              <w:right w:val="single" w:sz="8" w:color="0077C0"/>
            </w:tcBorders>
            <w:vMerge w:val="restart"/>
          </w:tcPr>
          <w:p>
            <w:pPr>
              <w:jc w:val="right"/>
              <w:ind w:right="230"/>
              <w:spacing w:after="0"/>
              <w:rPr>
                <w:sz w:val="20"/>
                <w:szCs w:val="20"/>
                <w:color w:val="auto"/>
              </w:rPr>
            </w:pPr>
            <w:r>
              <w:rPr>
                <w:rFonts w:ascii="Arial" w:cs="Arial" w:eastAsia="Arial" w:hAnsi="Arial"/>
                <w:sz w:val="10"/>
                <w:szCs w:val="10"/>
                <w:b w:val="1"/>
                <w:bCs w:val="1"/>
                <w:color w:val="auto"/>
              </w:rPr>
              <w:t>244,371</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20" w:type="dxa"/>
            <w:vAlign w:val="bottom"/>
          </w:tcPr>
          <w:p>
            <w:pPr>
              <w:ind w:left="140"/>
              <w:spacing w:after="0" w:line="106" w:lineRule="exact"/>
              <w:rPr>
                <w:sz w:val="20"/>
                <w:szCs w:val="20"/>
                <w:color w:val="auto"/>
              </w:rPr>
            </w:pPr>
            <w:r>
              <w:rPr>
                <w:rFonts w:ascii="Arial" w:cs="Arial" w:eastAsia="Arial" w:hAnsi="Arial"/>
                <w:sz w:val="10"/>
                <w:szCs w:val="10"/>
                <w:color w:val="auto"/>
              </w:rPr>
              <w:t>Operating Revenues</w:t>
            </w:r>
          </w:p>
        </w:tc>
        <w:tc>
          <w:tcPr>
            <w:tcW w:w="600" w:type="dxa"/>
            <w:vAlign w:val="bottom"/>
            <w:vMerge w:val="continue"/>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2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50"/>
              <w:spacing w:after="0" w:line="106" w:lineRule="exact"/>
              <w:rPr>
                <w:sz w:val="20"/>
                <w:szCs w:val="20"/>
                <w:color w:val="auto"/>
              </w:rPr>
            </w:pPr>
            <w:r>
              <w:rPr>
                <w:rFonts w:ascii="Arial" w:cs="Arial" w:eastAsia="Arial" w:hAnsi="Arial"/>
                <w:sz w:val="10"/>
                <w:szCs w:val="10"/>
                <w:color w:val="auto"/>
              </w:rPr>
              <w:t>198,198</w:t>
            </w:r>
          </w:p>
        </w:tc>
        <w:tc>
          <w:tcPr>
            <w:tcW w:w="4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167,402</w:t>
            </w:r>
          </w:p>
        </w:tc>
        <w:tc>
          <w:tcPr>
            <w:tcW w:w="0" w:type="dxa"/>
            <w:vAlign w:val="bottom"/>
          </w:tcPr>
          <w:p>
            <w:pPr>
              <w:spacing w:after="0"/>
              <w:rPr>
                <w:sz w:val="1"/>
                <w:szCs w:val="1"/>
                <w:color w:val="auto"/>
              </w:rPr>
            </w:pPr>
          </w:p>
        </w:tc>
      </w:tr>
      <w:tr>
        <w:trPr>
          <w:trHeight w:val="106"/>
        </w:trPr>
        <w:tc>
          <w:tcPr>
            <w:tcW w:w="2120" w:type="dxa"/>
            <w:vAlign w:val="bottom"/>
          </w:tcPr>
          <w:p>
            <w:pPr>
              <w:spacing w:after="0" w:line="106" w:lineRule="exact"/>
              <w:rPr>
                <w:sz w:val="20"/>
                <w:szCs w:val="20"/>
                <w:color w:val="auto"/>
              </w:rPr>
            </w:pPr>
            <w:r>
              <w:rPr>
                <w:rFonts w:ascii="Arial" w:cs="Arial" w:eastAsia="Arial" w:hAnsi="Arial"/>
                <w:sz w:val="10"/>
                <w:szCs w:val="10"/>
                <w:color w:val="auto"/>
              </w:rPr>
              <w:t>Return on:</w:t>
            </w:r>
          </w:p>
        </w:tc>
        <w:tc>
          <w:tcPr>
            <w:tcW w:w="600" w:type="dxa"/>
            <w:vAlign w:val="bottom"/>
          </w:tcPr>
          <w:p>
            <w:pPr>
              <w:spacing w:after="0"/>
              <w:rPr>
                <w:sz w:val="9"/>
                <w:szCs w:val="9"/>
                <w:color w:val="auto"/>
              </w:rPr>
            </w:pPr>
          </w:p>
        </w:tc>
        <w:tc>
          <w:tcPr>
            <w:tcW w:w="68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21.6%</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ind w:left="140"/>
              <w:spacing w:after="0" w:line="104" w:lineRule="exact"/>
              <w:rPr>
                <w:sz w:val="20"/>
                <w:szCs w:val="20"/>
                <w:color w:val="auto"/>
              </w:rPr>
            </w:pPr>
            <w:r>
              <w:rPr>
                <w:rFonts w:ascii="Arial" w:cs="Arial" w:eastAsia="Arial" w:hAnsi="Arial"/>
                <w:sz w:val="10"/>
                <w:szCs w:val="10"/>
                <w:color w:val="auto"/>
              </w:rPr>
              <w:t>Capital Employed</w:t>
            </w:r>
          </w:p>
        </w:tc>
        <w:tc>
          <w:tcPr>
            <w:tcW w:w="600" w:type="dxa"/>
            <w:vAlign w:val="bottom"/>
          </w:tcPr>
          <w:p>
            <w:pPr>
              <w:spacing w:after="0"/>
              <w:rPr>
                <w:sz w:val="9"/>
                <w:szCs w:val="9"/>
                <w:color w:val="auto"/>
              </w:rPr>
            </w:pPr>
          </w:p>
        </w:tc>
        <w:tc>
          <w:tcPr>
            <w:tcW w:w="680" w:type="dxa"/>
            <w:vAlign w:val="bottom"/>
            <w:tcBorders>
              <w:right w:val="single" w:sz="8" w:color="0077C0"/>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right"/>
              <w:ind w:right="270"/>
              <w:spacing w:after="0" w:line="104" w:lineRule="exact"/>
              <w:rPr>
                <w:sz w:val="20"/>
                <w:szCs w:val="20"/>
                <w:color w:val="auto"/>
              </w:rPr>
            </w:pPr>
            <w:r>
              <w:rPr>
                <w:rFonts w:ascii="Arial" w:cs="Arial" w:eastAsia="Arial" w:hAnsi="Arial"/>
                <w:sz w:val="10"/>
                <w:szCs w:val="10"/>
                <w:color w:val="auto"/>
              </w:rPr>
              <w:t>17.4%</w:t>
            </w:r>
          </w:p>
        </w:tc>
        <w:tc>
          <w:tcPr>
            <w:tcW w:w="480" w:type="dxa"/>
            <w:vAlign w:val="bottom"/>
          </w:tcPr>
          <w:p>
            <w:pPr>
              <w:spacing w:after="0"/>
              <w:rPr>
                <w:sz w:val="9"/>
                <w:szCs w:val="9"/>
                <w:color w:val="auto"/>
              </w:rPr>
            </w:pPr>
          </w:p>
        </w:tc>
        <w:tc>
          <w:tcPr>
            <w:tcW w:w="52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20"/>
        </w:trPr>
        <w:tc>
          <w:tcPr>
            <w:tcW w:w="2120" w:type="dxa"/>
            <w:vAlign w:val="bottom"/>
          </w:tcPr>
          <w:p>
            <w:pPr>
              <w:ind w:left="140"/>
              <w:spacing w:after="0"/>
              <w:rPr>
                <w:sz w:val="20"/>
                <w:szCs w:val="20"/>
                <w:color w:val="auto"/>
              </w:rPr>
            </w:pPr>
            <w:r>
              <w:rPr>
                <w:rFonts w:ascii="Arial" w:cs="Arial" w:eastAsia="Arial" w:hAnsi="Arial"/>
                <w:sz w:val="10"/>
                <w:szCs w:val="10"/>
                <w:color w:val="auto"/>
              </w:rPr>
              <w:t>Stockholders’ Equity</w:t>
            </w:r>
          </w:p>
        </w:tc>
        <w:tc>
          <w:tcPr>
            <w:tcW w:w="600" w:type="dxa"/>
            <w:vAlign w:val="bottom"/>
          </w:tcPr>
          <w:p>
            <w:pPr>
              <w:spacing w:after="0"/>
              <w:rPr>
                <w:sz w:val="10"/>
                <w:szCs w:val="10"/>
                <w:color w:val="auto"/>
              </w:rPr>
            </w:pPr>
          </w:p>
        </w:tc>
        <w:tc>
          <w:tcPr>
            <w:tcW w:w="680" w:type="dxa"/>
            <w:vAlign w:val="bottom"/>
            <w:tcBorders>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23.8%</w:t>
            </w:r>
          </w:p>
        </w:tc>
        <w:tc>
          <w:tcPr>
            <w:tcW w:w="280" w:type="dxa"/>
            <w:vAlign w:val="bottom"/>
          </w:tcPr>
          <w:p>
            <w:pPr>
              <w:spacing w:after="0"/>
              <w:rPr>
                <w:sz w:val="10"/>
                <w:szCs w:val="10"/>
                <w:color w:val="auto"/>
              </w:rPr>
            </w:pPr>
          </w:p>
        </w:tc>
        <w:tc>
          <w:tcPr>
            <w:tcW w:w="800" w:type="dxa"/>
            <w:vAlign w:val="bottom"/>
          </w:tcPr>
          <w:p>
            <w:pPr>
              <w:jc w:val="right"/>
              <w:ind w:right="270"/>
              <w:spacing w:after="0"/>
              <w:rPr>
                <w:sz w:val="20"/>
                <w:szCs w:val="20"/>
                <w:color w:val="auto"/>
              </w:rPr>
            </w:pPr>
            <w:r>
              <w:rPr>
                <w:rFonts w:ascii="Arial" w:cs="Arial" w:eastAsia="Arial" w:hAnsi="Arial"/>
                <w:sz w:val="10"/>
                <w:szCs w:val="10"/>
                <w:color w:val="auto"/>
              </w:rPr>
              <w:t>19.3%</w:t>
            </w:r>
          </w:p>
        </w:tc>
        <w:tc>
          <w:tcPr>
            <w:tcW w:w="4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29"/>
        </w:trPr>
        <w:tc>
          <w:tcPr>
            <w:tcW w:w="2120" w:type="dxa"/>
            <w:vAlign w:val="bottom"/>
            <w:shd w:val="clear" w:color="auto" w:fill="0077C0"/>
          </w:tcPr>
          <w:p>
            <w:pPr>
              <w:spacing w:after="0"/>
              <w:rPr>
                <w:sz w:val="2"/>
                <w:szCs w:val="2"/>
                <w:color w:val="auto"/>
              </w:rPr>
            </w:pPr>
          </w:p>
        </w:tc>
        <w:tc>
          <w:tcPr>
            <w:tcW w:w="600" w:type="dxa"/>
            <w:vAlign w:val="bottom"/>
            <w:shd w:val="clear" w:color="auto" w:fill="0077C0"/>
          </w:tcPr>
          <w:p>
            <w:pPr>
              <w:spacing w:after="0"/>
              <w:rPr>
                <w:sz w:val="2"/>
                <w:szCs w:val="2"/>
                <w:color w:val="auto"/>
              </w:rPr>
            </w:pPr>
          </w:p>
        </w:tc>
        <w:tc>
          <w:tcPr>
            <w:tcW w:w="680" w:type="dxa"/>
            <w:vAlign w:val="bottom"/>
            <w:tcBorders>
              <w:right w:val="single" w:sz="8" w:color="0077C0"/>
            </w:tcBorders>
            <w:shd w:val="clear" w:color="auto" w:fill="0077C0"/>
          </w:tcPr>
          <w:p>
            <w:pPr>
              <w:spacing w:after="0"/>
              <w:rPr>
                <w:sz w:val="2"/>
                <w:szCs w:val="2"/>
                <w:color w:val="auto"/>
              </w:rPr>
            </w:pPr>
          </w:p>
        </w:tc>
        <w:tc>
          <w:tcPr>
            <w:tcW w:w="28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420" w:type="dxa"/>
            <w:vAlign w:val="bottom"/>
            <w:shd w:val="clear" w:color="auto" w:fill="0077C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0077C0"/>
        </w:rPr>
        <w:t>Earnings by Major Operating Area</w:t>
      </w:r>
    </w:p>
    <w:p>
      <w:pPr>
        <w:spacing w:after="0" w:line="102" w:lineRule="exact"/>
        <w:rPr>
          <w:sz w:val="20"/>
          <w:szCs w:val="20"/>
          <w:color w:val="auto"/>
        </w:rPr>
      </w:pPr>
    </w:p>
    <w:tbl>
      <w:tblPr>
        <w:tblLayout w:type="fixed"/>
        <w:tblInd w:w="3" w:type="dxa"/>
        <w:tblCellMar>
          <w:top w:w="0" w:type="dxa"/>
          <w:left w:w="0" w:type="dxa"/>
          <w:bottom w:w="0" w:type="dxa"/>
          <w:right w:w="0" w:type="dxa"/>
        </w:tblCellMar>
      </w:tblPr>
      <w:tr>
        <w:trPr>
          <w:trHeight w:val="109"/>
        </w:trPr>
        <w:tc>
          <w:tcPr>
            <w:tcW w:w="20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72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229"/>
              <w:spacing w:after="0"/>
              <w:rPr>
                <w:sz w:val="20"/>
                <w:szCs w:val="20"/>
                <w:color w:val="auto"/>
              </w:rPr>
            </w:pPr>
            <w:r>
              <w:rPr>
                <w:rFonts w:ascii="Arial" w:cs="Arial" w:eastAsia="Arial" w:hAnsi="Arial"/>
                <w:sz w:val="9"/>
                <w:szCs w:val="9"/>
                <w:b w:val="1"/>
                <w:bCs w:val="1"/>
                <w:color w:val="auto"/>
              </w:rPr>
              <w:t>2011</w:t>
            </w:r>
          </w:p>
        </w:tc>
        <w:tc>
          <w:tcPr>
            <w:tcW w:w="300" w:type="dxa"/>
            <w:vAlign w:val="bottom"/>
            <w:tcBorders>
              <w:bottom w:val="single" w:sz="8" w:color="0077C0"/>
            </w:tcBorders>
          </w:tcPr>
          <w:p>
            <w:pPr>
              <w:spacing w:after="0"/>
              <w:rPr>
                <w:sz w:val="9"/>
                <w:szCs w:val="9"/>
                <w:color w:val="auto"/>
              </w:rPr>
            </w:pPr>
          </w:p>
        </w:tc>
        <w:tc>
          <w:tcPr>
            <w:tcW w:w="760" w:type="dxa"/>
            <w:vAlign w:val="bottom"/>
            <w:tcBorders>
              <w:bottom w:val="single" w:sz="8" w:color="0077C0"/>
            </w:tcBorders>
          </w:tcPr>
          <w:p>
            <w:pPr>
              <w:jc w:val="right"/>
              <w:ind w:right="329"/>
              <w:spacing w:after="0"/>
              <w:rPr>
                <w:sz w:val="20"/>
                <w:szCs w:val="20"/>
                <w:color w:val="auto"/>
              </w:rPr>
            </w:pPr>
            <w:r>
              <w:rPr>
                <w:rFonts w:ascii="Arial" w:cs="Arial" w:eastAsia="Arial" w:hAnsi="Arial"/>
                <w:sz w:val="9"/>
                <w:szCs w:val="9"/>
                <w:color w:val="auto"/>
              </w:rPr>
              <w:t>2010</w:t>
            </w:r>
          </w:p>
        </w:tc>
        <w:tc>
          <w:tcPr>
            <w:tcW w:w="5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tcPr>
          <w:p>
            <w:pPr>
              <w:spacing w:after="0" w:line="92" w:lineRule="exact"/>
              <w:rPr>
                <w:sz w:val="20"/>
                <w:szCs w:val="20"/>
                <w:color w:val="auto"/>
              </w:rPr>
            </w:pPr>
            <w:r>
              <w:rPr>
                <w:rFonts w:ascii="Arial" w:cs="Arial" w:eastAsia="Arial" w:hAnsi="Arial"/>
                <w:sz w:val="10"/>
                <w:szCs w:val="10"/>
                <w:color w:val="auto"/>
              </w:rPr>
              <w:t>Upstream</w:t>
            </w:r>
            <w:r>
              <w:rPr>
                <w:rFonts w:ascii="Arial" w:cs="Arial" w:eastAsia="Arial" w:hAnsi="Arial"/>
                <w:sz w:val="8"/>
                <w:szCs w:val="8"/>
                <w:color w:val="auto"/>
              </w:rPr>
              <w:t>1</w:t>
            </w:r>
          </w:p>
        </w:tc>
        <w:tc>
          <w:tcPr>
            <w:tcW w:w="72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vMerge w:val="restart"/>
          </w:tcPr>
          <w:p>
            <w:pPr>
              <w:jc w:val="right"/>
              <w:ind w:right="229"/>
              <w:spacing w:after="0"/>
              <w:rPr>
                <w:sz w:val="20"/>
                <w:szCs w:val="20"/>
                <w:color w:val="auto"/>
              </w:rPr>
            </w:pPr>
            <w:r>
              <w:rPr>
                <w:rFonts w:ascii="Arial" w:cs="Arial" w:eastAsia="Arial" w:hAnsi="Arial"/>
                <w:sz w:val="10"/>
                <w:szCs w:val="10"/>
                <w:b w:val="1"/>
                <w:bCs w:val="1"/>
                <w:color w:val="auto"/>
              </w:rPr>
              <w:t>6,512</w:t>
            </w: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2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720" w:type="dxa"/>
            <w:vAlign w:val="bottom"/>
            <w:vMerge w:val="continue"/>
          </w:tcPr>
          <w:p>
            <w:pPr>
              <w:spacing w:after="0"/>
              <w:rPr>
                <w:sz w:val="9"/>
                <w:szCs w:val="9"/>
                <w:color w:val="auto"/>
              </w:rPr>
            </w:pPr>
          </w:p>
        </w:tc>
        <w:tc>
          <w:tcPr>
            <w:tcW w:w="660" w:type="dxa"/>
            <w:vAlign w:val="bottom"/>
            <w:tcBorders>
              <w:right w:val="single" w:sz="8" w:color="0077C0"/>
            </w:tcBorders>
            <w:vMerge w:val="continue"/>
          </w:tcPr>
          <w:p>
            <w:pPr>
              <w:spacing w:after="0"/>
              <w:rPr>
                <w:sz w:val="9"/>
                <w:szCs w:val="9"/>
                <w:color w:val="auto"/>
              </w:rPr>
            </w:pPr>
          </w:p>
        </w:tc>
        <w:tc>
          <w:tcPr>
            <w:tcW w:w="300" w:type="dxa"/>
            <w:vAlign w:val="bottom"/>
          </w:tcPr>
          <w:p>
            <w:pPr>
              <w:jc w:val="right"/>
              <w:ind w:right="49"/>
              <w:spacing w:after="0" w:line="104" w:lineRule="exact"/>
              <w:rPr>
                <w:sz w:val="20"/>
                <w:szCs w:val="20"/>
                <w:color w:val="auto"/>
              </w:rPr>
            </w:pPr>
            <w:r>
              <w:rPr>
                <w:rFonts w:ascii="Arial" w:cs="Arial" w:eastAsia="Arial" w:hAnsi="Arial"/>
                <w:sz w:val="10"/>
                <w:szCs w:val="10"/>
                <w:color w:val="auto"/>
              </w:rPr>
              <w:t>$</w:t>
            </w:r>
          </w:p>
        </w:tc>
        <w:tc>
          <w:tcPr>
            <w:tcW w:w="76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4,122</w:t>
            </w:r>
          </w:p>
        </w:tc>
        <w:tc>
          <w:tcPr>
            <w:tcW w:w="520" w:type="dxa"/>
            <w:vAlign w:val="bottom"/>
          </w:tcPr>
          <w:p>
            <w:pPr>
              <w:jc w:val="right"/>
              <w:ind w:right="69"/>
              <w:spacing w:after="0" w:line="104"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04" w:lineRule="exact"/>
              <w:rPr>
                <w:sz w:val="20"/>
                <w:szCs w:val="20"/>
                <w:color w:val="auto"/>
              </w:rPr>
            </w:pPr>
            <w:r>
              <w:rPr>
                <w:rFonts w:ascii="Arial" w:cs="Arial" w:eastAsia="Arial" w:hAnsi="Arial"/>
                <w:sz w:val="10"/>
                <w:szCs w:val="10"/>
                <w:color w:val="auto"/>
              </w:rPr>
              <w:t>2,262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72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right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18,274</w:t>
            </w:r>
          </w:p>
        </w:tc>
        <w:tc>
          <w:tcPr>
            <w:tcW w:w="300" w:type="dxa"/>
            <w:vAlign w:val="bottom"/>
            <w:tcBorders>
              <w:bottom w:val="single" w:sz="8" w:color="0077C0"/>
            </w:tcBorders>
          </w:tcPr>
          <w:p>
            <w:pPr>
              <w:spacing w:after="0"/>
              <w:rPr>
                <w:sz w:val="10"/>
                <w:szCs w:val="10"/>
                <w:color w:val="auto"/>
              </w:rPr>
            </w:pPr>
          </w:p>
        </w:tc>
        <w:tc>
          <w:tcPr>
            <w:tcW w:w="7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13,555</w:t>
            </w:r>
          </w:p>
        </w:tc>
        <w:tc>
          <w:tcPr>
            <w:tcW w:w="5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8,670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Upstream</w:t>
            </w:r>
          </w:p>
        </w:tc>
        <w:tc>
          <w:tcPr>
            <w:tcW w:w="720" w:type="dxa"/>
            <w:vAlign w:val="bottom"/>
            <w:tcBorders>
              <w:bottom w:val="single" w:sz="8" w:color="0077C0"/>
            </w:tcBorders>
          </w:tcPr>
          <w:p>
            <w:pPr>
              <w:spacing w:after="0"/>
              <w:rPr>
                <w:sz w:val="9"/>
                <w:szCs w:val="9"/>
                <w:color w:val="auto"/>
              </w:rPr>
            </w:pPr>
          </w:p>
        </w:tc>
        <w:tc>
          <w:tcPr>
            <w:tcW w:w="660" w:type="dxa"/>
            <w:vAlign w:val="bottom"/>
            <w:tcBorders>
              <w:bottom w:val="single" w:sz="8" w:color="0077C0"/>
              <w:right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24,786</w:t>
            </w:r>
          </w:p>
        </w:tc>
        <w:tc>
          <w:tcPr>
            <w:tcW w:w="300" w:type="dxa"/>
            <w:vAlign w:val="bottom"/>
            <w:tcBorders>
              <w:bottom w:val="single" w:sz="8" w:color="0077C0"/>
            </w:tcBorders>
          </w:tcPr>
          <w:p>
            <w:pPr>
              <w:spacing w:after="0"/>
              <w:rPr>
                <w:sz w:val="9"/>
                <w:szCs w:val="9"/>
                <w:color w:val="auto"/>
              </w:rPr>
            </w:pPr>
          </w:p>
        </w:tc>
        <w:tc>
          <w:tcPr>
            <w:tcW w:w="76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17,677</w:t>
            </w:r>
          </w:p>
        </w:tc>
        <w:tc>
          <w:tcPr>
            <w:tcW w:w="5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10,932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tcPr>
          <w:p>
            <w:pPr>
              <w:spacing w:after="0" w:line="92" w:lineRule="exact"/>
              <w:rPr>
                <w:sz w:val="20"/>
                <w:szCs w:val="20"/>
                <w:color w:val="auto"/>
              </w:rPr>
            </w:pPr>
            <w:r>
              <w:rPr>
                <w:rFonts w:ascii="Arial" w:cs="Arial" w:eastAsia="Arial" w:hAnsi="Arial"/>
                <w:sz w:val="10"/>
                <w:szCs w:val="10"/>
                <w:color w:val="auto"/>
              </w:rPr>
              <w:t>Downstream</w:t>
            </w:r>
            <w:r>
              <w:rPr>
                <w:rFonts w:ascii="Arial" w:cs="Arial" w:eastAsia="Arial" w:hAnsi="Arial"/>
                <w:sz w:val="8"/>
                <w:szCs w:val="8"/>
                <w:color w:val="auto"/>
              </w:rPr>
              <w:t>1</w:t>
            </w:r>
          </w:p>
        </w:tc>
        <w:tc>
          <w:tcPr>
            <w:tcW w:w="720" w:type="dxa"/>
            <w:vAlign w:val="bottom"/>
          </w:tcPr>
          <w:p>
            <w:pPr>
              <w:spacing w:after="0"/>
              <w:rPr>
                <w:sz w:val="8"/>
                <w:szCs w:val="8"/>
                <w:color w:val="auto"/>
              </w:rPr>
            </w:pPr>
          </w:p>
        </w:tc>
        <w:tc>
          <w:tcPr>
            <w:tcW w:w="660" w:type="dxa"/>
            <w:vAlign w:val="bottom"/>
            <w:tcBorders>
              <w:right w:val="single" w:sz="8" w:color="0077C0"/>
            </w:tcBorders>
            <w:vMerge w:val="restart"/>
          </w:tcPr>
          <w:p>
            <w:pPr>
              <w:jc w:val="right"/>
              <w:ind w:right="229"/>
              <w:spacing w:after="0"/>
              <w:rPr>
                <w:sz w:val="20"/>
                <w:szCs w:val="20"/>
                <w:color w:val="auto"/>
              </w:rPr>
            </w:pPr>
            <w:r>
              <w:rPr>
                <w:rFonts w:ascii="Arial" w:cs="Arial" w:eastAsia="Arial" w:hAnsi="Arial"/>
                <w:sz w:val="10"/>
                <w:szCs w:val="10"/>
                <w:b w:val="1"/>
                <w:bCs w:val="1"/>
                <w:color w:val="auto"/>
              </w:rPr>
              <w:t>1,506</w:t>
            </w: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2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720" w:type="dxa"/>
            <w:vAlign w:val="bottom"/>
          </w:tcPr>
          <w:p>
            <w:pPr>
              <w:spacing w:after="0"/>
              <w:rPr>
                <w:sz w:val="9"/>
                <w:szCs w:val="9"/>
                <w:color w:val="auto"/>
              </w:rPr>
            </w:pPr>
          </w:p>
        </w:tc>
        <w:tc>
          <w:tcPr>
            <w:tcW w:w="660" w:type="dxa"/>
            <w:vAlign w:val="bottom"/>
            <w:tcBorders>
              <w:right w:val="single" w:sz="8" w:color="0077C0"/>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1,339</w:t>
            </w:r>
          </w:p>
        </w:tc>
        <w:tc>
          <w:tcPr>
            <w:tcW w:w="520" w:type="dxa"/>
            <w:vAlign w:val="bottom"/>
          </w:tcPr>
          <w:p>
            <w:pPr>
              <w:spacing w:after="0"/>
              <w:rPr>
                <w:sz w:val="9"/>
                <w:szCs w:val="9"/>
                <w:color w:val="auto"/>
              </w:rPr>
            </w:pPr>
          </w:p>
        </w:tc>
        <w:tc>
          <w:tcPr>
            <w:tcW w:w="44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20"/>
        </w:trPr>
        <w:tc>
          <w:tcPr>
            <w:tcW w:w="20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72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right w:val="single" w:sz="8" w:color="0077C0"/>
            </w:tcBorders>
          </w:tcPr>
          <w:p>
            <w:pPr>
              <w:jc w:val="right"/>
              <w:ind w:right="229"/>
              <w:spacing w:after="0"/>
              <w:rPr>
                <w:sz w:val="20"/>
                <w:szCs w:val="20"/>
                <w:color w:val="auto"/>
              </w:rPr>
            </w:pPr>
            <w:r>
              <w:rPr>
                <w:rFonts w:ascii="Arial" w:cs="Arial" w:eastAsia="Arial" w:hAnsi="Arial"/>
                <w:sz w:val="10"/>
                <w:szCs w:val="10"/>
                <w:b w:val="1"/>
                <w:bCs w:val="1"/>
                <w:color w:val="auto"/>
              </w:rPr>
              <w:t>2,085</w:t>
            </w:r>
          </w:p>
        </w:tc>
        <w:tc>
          <w:tcPr>
            <w:tcW w:w="300" w:type="dxa"/>
            <w:vAlign w:val="bottom"/>
            <w:tcBorders>
              <w:bottom w:val="single" w:sz="8" w:color="0077C0"/>
            </w:tcBorders>
          </w:tcPr>
          <w:p>
            <w:pPr>
              <w:spacing w:after="0"/>
              <w:rPr>
                <w:sz w:val="10"/>
                <w:szCs w:val="10"/>
                <w:color w:val="auto"/>
              </w:rPr>
            </w:pPr>
          </w:p>
        </w:tc>
        <w:tc>
          <w:tcPr>
            <w:tcW w:w="7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1,139</w:t>
            </w:r>
          </w:p>
        </w:tc>
        <w:tc>
          <w:tcPr>
            <w:tcW w:w="52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Downstream</w:t>
            </w:r>
          </w:p>
        </w:tc>
        <w:tc>
          <w:tcPr>
            <w:tcW w:w="720" w:type="dxa"/>
            <w:vAlign w:val="bottom"/>
            <w:tcBorders>
              <w:bottom w:val="single" w:sz="8" w:color="0077C0"/>
            </w:tcBorders>
          </w:tcPr>
          <w:p>
            <w:pPr>
              <w:spacing w:after="0"/>
              <w:rPr>
                <w:sz w:val="9"/>
                <w:szCs w:val="9"/>
                <w:color w:val="auto"/>
              </w:rPr>
            </w:pPr>
          </w:p>
        </w:tc>
        <w:tc>
          <w:tcPr>
            <w:tcW w:w="660" w:type="dxa"/>
            <w:vAlign w:val="bottom"/>
            <w:tcBorders>
              <w:bottom w:val="single" w:sz="8" w:color="0077C0"/>
              <w:right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3,591</w:t>
            </w:r>
          </w:p>
        </w:tc>
        <w:tc>
          <w:tcPr>
            <w:tcW w:w="300" w:type="dxa"/>
            <w:vAlign w:val="bottom"/>
            <w:tcBorders>
              <w:bottom w:val="single" w:sz="8" w:color="0077C0"/>
            </w:tcBorders>
          </w:tcPr>
          <w:p>
            <w:pPr>
              <w:spacing w:after="0"/>
              <w:rPr>
                <w:sz w:val="9"/>
                <w:szCs w:val="9"/>
                <w:color w:val="auto"/>
              </w:rPr>
            </w:pPr>
          </w:p>
        </w:tc>
        <w:tc>
          <w:tcPr>
            <w:tcW w:w="76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2,478</w:t>
            </w:r>
          </w:p>
        </w:tc>
        <w:tc>
          <w:tcPr>
            <w:tcW w:w="5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All Other</w:t>
            </w:r>
          </w:p>
        </w:tc>
        <w:tc>
          <w:tcPr>
            <w:tcW w:w="720" w:type="dxa"/>
            <w:vAlign w:val="bottom"/>
            <w:tcBorders>
              <w:bottom w:val="single" w:sz="8" w:color="0077C0"/>
            </w:tcBorders>
          </w:tcPr>
          <w:p>
            <w:pPr>
              <w:spacing w:after="0"/>
              <w:rPr>
                <w:sz w:val="9"/>
                <w:szCs w:val="9"/>
                <w:color w:val="auto"/>
              </w:rPr>
            </w:pPr>
          </w:p>
        </w:tc>
        <w:tc>
          <w:tcPr>
            <w:tcW w:w="660" w:type="dxa"/>
            <w:vAlign w:val="bottom"/>
            <w:tcBorders>
              <w:bottom w:val="single" w:sz="8" w:color="0077C0"/>
              <w:right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(1,482)</w:t>
            </w:r>
          </w:p>
        </w:tc>
        <w:tc>
          <w:tcPr>
            <w:tcW w:w="300" w:type="dxa"/>
            <w:vAlign w:val="bottom"/>
            <w:tcBorders>
              <w:bottom w:val="single" w:sz="8" w:color="0077C0"/>
            </w:tcBorders>
          </w:tcPr>
          <w:p>
            <w:pPr>
              <w:spacing w:after="0"/>
              <w:rPr>
                <w:sz w:val="9"/>
                <w:szCs w:val="9"/>
                <w:color w:val="auto"/>
              </w:rPr>
            </w:pPr>
          </w:p>
        </w:tc>
        <w:tc>
          <w:tcPr>
            <w:tcW w:w="76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(1,131)</w:t>
            </w:r>
          </w:p>
        </w:tc>
        <w:tc>
          <w:tcPr>
            <w:tcW w:w="5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20" w:type="dxa"/>
            <w:vAlign w:val="bottom"/>
          </w:tcPr>
          <w:p>
            <w:pPr>
              <w:spacing w:after="0" w:line="92" w:lineRule="exact"/>
              <w:rPr>
                <w:sz w:val="20"/>
                <w:szCs w:val="20"/>
                <w:color w:val="auto"/>
              </w:rPr>
            </w:pPr>
            <w:r>
              <w:rPr>
                <w:rFonts w:ascii="Arial" w:cs="Arial" w:eastAsia="Arial" w:hAnsi="Arial"/>
                <w:sz w:val="10"/>
                <w:szCs w:val="10"/>
                <w:color w:val="auto"/>
              </w:rPr>
              <w:t>Net Income Attributable to</w:t>
            </w:r>
          </w:p>
        </w:tc>
        <w:tc>
          <w:tcPr>
            <w:tcW w:w="72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tcBorders>
              <w:right w:val="single" w:sz="8" w:color="0077C0"/>
            </w:tcBorders>
            <w:vMerge w:val="restart"/>
          </w:tcPr>
          <w:p>
            <w:pPr>
              <w:jc w:val="right"/>
              <w:ind w:right="229"/>
              <w:spacing w:after="0"/>
              <w:rPr>
                <w:sz w:val="20"/>
                <w:szCs w:val="20"/>
                <w:color w:val="auto"/>
              </w:rPr>
            </w:pPr>
            <w:r>
              <w:rPr>
                <w:rFonts w:ascii="Arial" w:cs="Arial" w:eastAsia="Arial" w:hAnsi="Arial"/>
                <w:sz w:val="10"/>
                <w:szCs w:val="10"/>
                <w:b w:val="1"/>
                <w:bCs w:val="1"/>
                <w:color w:val="auto"/>
              </w:rPr>
              <w:t>26,895</w:t>
            </w: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Chevron Corporation</w:t>
            </w:r>
            <w:r>
              <w:rPr>
                <w:rFonts w:ascii="Arial" w:cs="Arial" w:eastAsia="Arial" w:hAnsi="Arial"/>
                <w:sz w:val="8"/>
                <w:szCs w:val="8"/>
                <w:color w:val="auto"/>
              </w:rPr>
              <w:t>2,3</w:t>
            </w:r>
          </w:p>
        </w:tc>
        <w:tc>
          <w:tcPr>
            <w:tcW w:w="720" w:type="dxa"/>
            <w:vAlign w:val="bottom"/>
            <w:tcBorders>
              <w:bottom w:val="single" w:sz="8" w:color="0077C0"/>
            </w:tcBorders>
            <w:vMerge w:val="continue"/>
          </w:tcPr>
          <w:p>
            <w:pPr>
              <w:spacing w:after="0"/>
              <w:rPr>
                <w:sz w:val="11"/>
                <w:szCs w:val="11"/>
                <w:color w:val="auto"/>
              </w:rPr>
            </w:pPr>
          </w:p>
        </w:tc>
        <w:tc>
          <w:tcPr>
            <w:tcW w:w="660" w:type="dxa"/>
            <w:vAlign w:val="bottom"/>
            <w:tcBorders>
              <w:bottom w:val="single" w:sz="8" w:color="0077C0"/>
              <w:right w:val="single" w:sz="8" w:color="0077C0"/>
            </w:tcBorders>
            <w:vMerge w:val="continue"/>
          </w:tcPr>
          <w:p>
            <w:pPr>
              <w:spacing w:after="0"/>
              <w:rPr>
                <w:sz w:val="11"/>
                <w:szCs w:val="11"/>
                <w:color w:val="auto"/>
              </w:rPr>
            </w:pPr>
          </w:p>
        </w:tc>
        <w:tc>
          <w:tcPr>
            <w:tcW w:w="30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19,024</w:t>
            </w:r>
          </w:p>
        </w:tc>
        <w:tc>
          <w:tcPr>
            <w:tcW w:w="52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10,483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gridSpan w:val="3"/>
          </w:tcPr>
          <w:p>
            <w:pPr>
              <w:spacing w:after="0"/>
              <w:rPr>
                <w:sz w:val="20"/>
                <w:szCs w:val="20"/>
                <w:color w:val="auto"/>
              </w:rPr>
            </w:pPr>
            <w:r>
              <w:rPr>
                <w:rFonts w:ascii="Arial" w:cs="Arial" w:eastAsia="Arial" w:hAnsi="Arial"/>
                <w:sz w:val="8"/>
                <w:szCs w:val="8"/>
                <w:color w:val="auto"/>
                <w:w w:val="99"/>
              </w:rPr>
              <w:t>1 2009 information has been revised to conform with the 2011 and 2010 segment presentation.</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2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0"/>
                <w:szCs w:val="10"/>
                <w:color w:val="auto"/>
              </w:rPr>
              <w:t>Includes foreign currency effects:</w:t>
            </w:r>
          </w:p>
        </w:tc>
        <w:tc>
          <w:tcPr>
            <w:tcW w:w="720" w:type="dxa"/>
            <w:vAlign w:val="bottom"/>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229"/>
              <w:spacing w:after="0"/>
              <w:rPr>
                <w:sz w:val="20"/>
                <w:szCs w:val="20"/>
                <w:color w:val="auto"/>
              </w:rPr>
            </w:pPr>
            <w:r>
              <w:rPr>
                <w:rFonts w:ascii="Arial" w:cs="Arial" w:eastAsia="Arial" w:hAnsi="Arial"/>
                <w:sz w:val="10"/>
                <w:szCs w:val="10"/>
                <w:b w:val="1"/>
                <w:bCs w:val="1"/>
                <w:color w:val="auto"/>
              </w:rPr>
              <w:t>121</w:t>
            </w:r>
          </w:p>
        </w:tc>
        <w:tc>
          <w:tcPr>
            <w:tcW w:w="30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89"/>
              <w:spacing w:after="0"/>
              <w:rPr>
                <w:sz w:val="20"/>
                <w:szCs w:val="20"/>
                <w:color w:val="auto"/>
              </w:rPr>
            </w:pPr>
            <w:r>
              <w:rPr>
                <w:rFonts w:ascii="Arial" w:cs="Arial" w:eastAsia="Arial" w:hAnsi="Arial"/>
                <w:sz w:val="10"/>
                <w:szCs w:val="10"/>
                <w:color w:val="auto"/>
              </w:rPr>
              <w:t>(423)</w:t>
            </w: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(744)</w:t>
            </w:r>
          </w:p>
        </w:tc>
        <w:tc>
          <w:tcPr>
            <w:tcW w:w="0" w:type="dxa"/>
            <w:vAlign w:val="bottom"/>
          </w:tcPr>
          <w:p>
            <w:pPr>
              <w:spacing w:after="0"/>
              <w:rPr>
                <w:sz w:val="1"/>
                <w:szCs w:val="1"/>
                <w:color w:val="auto"/>
              </w:rPr>
            </w:pPr>
          </w:p>
        </w:tc>
      </w:tr>
    </w:tbl>
    <w:p>
      <w:pPr>
        <w:ind w:left="63" w:hanging="63"/>
        <w:spacing w:after="0"/>
        <w:tabs>
          <w:tab w:leader="none" w:pos="63" w:val="left"/>
        </w:tabs>
        <w:numPr>
          <w:ilvl w:val="0"/>
          <w:numId w:val="24"/>
        </w:numPr>
        <w:rPr>
          <w:rFonts w:ascii="Arial" w:cs="Arial" w:eastAsia="Arial" w:hAnsi="Arial"/>
          <w:sz w:val="9"/>
          <w:szCs w:val="9"/>
          <w:color w:val="auto"/>
        </w:rPr>
      </w:pPr>
      <w:r>
        <w:rPr>
          <w:rFonts w:ascii="Arial" w:cs="Arial" w:eastAsia="Arial" w:hAnsi="Arial"/>
          <w:sz w:val="10"/>
          <w:szCs w:val="10"/>
          <w:color w:val="auto"/>
        </w:rPr>
        <w:t>Also referred to as “earnings” in the discussions that follow.</w:t>
      </w:r>
    </w:p>
    <w:p>
      <w:pPr>
        <w:spacing w:after="0" w:line="64" w:lineRule="exact"/>
        <w:rPr>
          <w:sz w:val="20"/>
          <w:szCs w:val="20"/>
          <w:color w:val="auto"/>
        </w:rPr>
      </w:pPr>
    </w:p>
    <w:p>
      <w:pPr>
        <w:ind w:left="3" w:firstLine="160"/>
        <w:spacing w:after="0" w:line="267" w:lineRule="auto"/>
        <w:rPr>
          <w:sz w:val="20"/>
          <w:szCs w:val="20"/>
          <w:color w:val="auto"/>
        </w:rPr>
      </w:pPr>
      <w:r>
        <w:rPr>
          <w:rFonts w:ascii="Arial" w:cs="Arial" w:eastAsia="Arial" w:hAnsi="Arial"/>
          <w:sz w:val="13"/>
          <w:szCs w:val="13"/>
          <w:color w:val="auto"/>
        </w:rPr>
        <w:t>Refer to the “Results of Operations” section beginning on page FS-6 for a discussion of financial results by major operating area for the three years ended December 31, 2011.</w:t>
      </w:r>
    </w:p>
    <w:p>
      <w:pPr>
        <w:spacing w:after="0" w:line="12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0077C0"/>
        </w:rPr>
        <w:t>Business Environment and Outlook</w:t>
      </w:r>
    </w:p>
    <w:p>
      <w:pPr>
        <w:spacing w:after="0" w:line="10" w:lineRule="exact"/>
        <w:rPr>
          <w:sz w:val="20"/>
          <w:szCs w:val="20"/>
          <w:color w:val="auto"/>
        </w:rPr>
      </w:pPr>
    </w:p>
    <w:p>
      <w:pPr>
        <w:ind w:left="3"/>
        <w:spacing w:after="0" w:line="266" w:lineRule="auto"/>
        <w:rPr>
          <w:sz w:val="20"/>
          <w:szCs w:val="20"/>
          <w:color w:val="auto"/>
        </w:rPr>
      </w:pPr>
      <w:r>
        <w:rPr>
          <w:rFonts w:ascii="Arial" w:cs="Arial" w:eastAsia="Arial" w:hAnsi="Arial"/>
          <w:sz w:val="12"/>
          <w:szCs w:val="12"/>
          <w:color w:val="auto"/>
        </w:rPr>
        <w:t>Chevron is a global energy company with substantial business activities in the following countries: Angola, Argentina, Australia, Azerbaijan, Bangladesh, Brazil, Cambodia, Canada, Chad, China, Colombia, Democratic Republic of the Congo, Denmark, Indonesia, Kazakhstan, Myanmar, the Netherlands, Nigeria, Norway, the Partitioned Zone between Saudi Arabia and Kuwait, the Philippines, Republic of the Congo, Singapore, South Africa, South Korea, Thailand, Trinidad and Tobago, the United Kingdom, the United States, Venezuela and Vietnam.</w:t>
      </w:r>
    </w:p>
    <w:p>
      <w:pPr>
        <w:spacing w:after="0" w:line="3" w:lineRule="exact"/>
        <w:rPr>
          <w:sz w:val="20"/>
          <w:szCs w:val="20"/>
          <w:color w:val="auto"/>
        </w:rPr>
      </w:pPr>
    </w:p>
    <w:p>
      <w:pPr>
        <w:jc w:val="both"/>
        <w:ind w:left="3" w:right="140" w:firstLine="160"/>
        <w:spacing w:after="0" w:line="317" w:lineRule="auto"/>
        <w:rPr>
          <w:sz w:val="20"/>
          <w:szCs w:val="20"/>
          <w:color w:val="auto"/>
        </w:rPr>
      </w:pPr>
      <w:r>
        <w:rPr>
          <w:rFonts w:ascii="Arial" w:cs="Arial" w:eastAsia="Arial" w:hAnsi="Arial"/>
          <w:sz w:val="11"/>
          <w:szCs w:val="11"/>
          <w:color w:val="auto"/>
        </w:rPr>
        <w:t>Earnings of the company depend mostly on the profitability of its upstream and downstream business segments. The single biggest factor that affects the results of operations for the company is movement in the price of crude oil. In the downstream business, crude oil is the largest cost 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53" w:lineRule="auto"/>
        <w:rPr>
          <w:sz w:val="20"/>
          <w:szCs w:val="20"/>
          <w:color w:val="auto"/>
        </w:rPr>
      </w:pPr>
      <w:r>
        <w:rPr>
          <w:rFonts w:ascii="Arial" w:cs="Arial" w:eastAsia="Arial" w:hAnsi="Arial"/>
          <w:sz w:val="13"/>
          <w:szCs w:val="13"/>
          <w:color w:val="auto"/>
        </w:rPr>
        <w:t>of refined products. Seasonality is not a primary driver of changes in the company’s quarterly earnings during the year.</w:t>
      </w:r>
    </w:p>
    <w:p>
      <w:pPr>
        <w:spacing w:after="0" w:line="1" w:lineRule="exact"/>
        <w:rPr>
          <w:sz w:val="20"/>
          <w:szCs w:val="20"/>
          <w:color w:val="auto"/>
        </w:rPr>
      </w:pPr>
    </w:p>
    <w:p>
      <w:pPr>
        <w:ind w:firstLine="158"/>
        <w:spacing w:after="0" w:line="246" w:lineRule="auto"/>
        <w:rPr>
          <w:sz w:val="20"/>
          <w:szCs w:val="20"/>
          <w:color w:val="auto"/>
        </w:rPr>
      </w:pPr>
      <w:r>
        <w:rPr>
          <w:rFonts w:ascii="Arial" w:cs="Arial" w:eastAsia="Arial" w:hAnsi="Arial"/>
          <w:sz w:val="13"/>
          <w:szCs w:val="13"/>
          <w:color w:val="auto"/>
        </w:rPr>
        <w:t>To sustain its long-term competitive position in the upstream business, the company must develop and replenish an inventory of projects that offer attractive financial returns for the investment required. Identifying promising areas for exploration, acquiring the necessary rights to explore for and to produce crude oil and natural gas, drilling successfully, and handling the many technical and operational details in a safe and cost-effective manner are all important factors in this effort. Projects often require long lead times and large capital commitments.</w:t>
      </w:r>
    </w:p>
    <w:p>
      <w:pPr>
        <w:spacing w:after="0" w:line="3" w:lineRule="exact"/>
        <w:rPr>
          <w:sz w:val="20"/>
          <w:szCs w:val="20"/>
          <w:color w:val="auto"/>
        </w:rPr>
      </w:pPr>
    </w:p>
    <w:p>
      <w:pPr>
        <w:ind w:right="60" w:firstLine="158"/>
        <w:spacing w:after="0" w:line="267" w:lineRule="auto"/>
        <w:rPr>
          <w:sz w:val="20"/>
          <w:szCs w:val="20"/>
          <w:color w:val="auto"/>
        </w:rPr>
      </w:pPr>
      <w:r>
        <w:rPr>
          <w:rFonts w:ascii="Arial" w:cs="Arial" w:eastAsia="Arial" w:hAnsi="Arial"/>
          <w:sz w:val="12"/>
          <w:szCs w:val="12"/>
          <w:color w:val="auto"/>
        </w:rPr>
        <w:t>The company’s operations, especially upstream, can also be affected by changing economic, regulatory and political environments in the various countries in which it operates, including the United States. From time to time, certain governments have sought to renegotiate contracts or impose additional costs on the company. Governments may attempt to do so in the future. Civil unrest, acts of violence or strained relations between a government and the company or other governments may impact the company’s operations or investments. Those developments have at times significantly affected the company’s operations and results and are carefully considered by management when evaluating the level of current and future activity in such countries.</w:t>
      </w:r>
    </w:p>
    <w:p>
      <w:pPr>
        <w:spacing w:after="0" w:line="2" w:lineRule="exact"/>
        <w:rPr>
          <w:sz w:val="20"/>
          <w:szCs w:val="20"/>
          <w:color w:val="auto"/>
        </w:rPr>
      </w:pPr>
    </w:p>
    <w:p>
      <w:pPr>
        <w:ind w:firstLine="158"/>
        <w:spacing w:after="0" w:line="291" w:lineRule="auto"/>
        <w:rPr>
          <w:sz w:val="20"/>
          <w:szCs w:val="20"/>
          <w:color w:val="auto"/>
        </w:rPr>
      </w:pPr>
      <w:r>
        <w:rPr>
          <w:rFonts w:ascii="Arial" w:cs="Arial" w:eastAsia="Arial" w:hAnsi="Arial"/>
          <w:sz w:val="11"/>
          <w:szCs w:val="11"/>
          <w:color w:val="auto"/>
        </w:rPr>
        <w:t>The company also continually evaluates opportunities to dispose of assets that are not expected to provide sufficient long-term value or to acquire assets or operations complementary to its asset base to help augment the company’s financial performance and growth. Refer to the “Results of Operations” section beginning on page FS-6 for discussions of net gains on asset sales during 2011. Asset dispositions and restructurings may also occur in future periods and could result in significant gains or losses.</w:t>
      </w:r>
    </w:p>
    <w:p>
      <w:pPr>
        <w:spacing w:after="0" w:line="2" w:lineRule="exact"/>
        <w:rPr>
          <w:sz w:val="20"/>
          <w:szCs w:val="20"/>
          <w:color w:val="auto"/>
        </w:rPr>
      </w:pPr>
    </w:p>
    <w:p>
      <w:pPr>
        <w:ind w:right="20" w:firstLine="158"/>
        <w:spacing w:after="0" w:line="246" w:lineRule="auto"/>
        <w:rPr>
          <w:sz w:val="20"/>
          <w:szCs w:val="20"/>
          <w:color w:val="auto"/>
        </w:rPr>
      </w:pPr>
      <w:r>
        <w:rPr>
          <w:rFonts w:ascii="Arial" w:cs="Arial" w:eastAsia="Arial" w:hAnsi="Arial"/>
          <w:sz w:val="13"/>
          <w:szCs w:val="13"/>
          <w:color w:val="auto"/>
        </w:rPr>
        <w:t>The company closely monitors developments in the financial and credit markets, the level of worldwide economic activity, and the implications for the company of movements in prices for crude oil and natural gas. Management takes these developments into account in the conduct of daily operations and for business planning.</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Comments related to earnings trends for the company’s major business areas are as follows:</w:t>
      </w:r>
    </w:p>
    <w:p>
      <w:pPr>
        <w:spacing w:after="0" w:line="73"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i w:val="1"/>
          <w:iCs w:val="1"/>
          <w:color w:val="E51837"/>
        </w:rPr>
        <w:t xml:space="preserve">Upstream </w:t>
      </w:r>
      <w:r>
        <w:rPr>
          <w:rFonts w:ascii="Arial" w:cs="Arial" w:eastAsia="Arial" w:hAnsi="Arial"/>
          <w:sz w:val="13"/>
          <w:szCs w:val="13"/>
          <w:color w:val="000000"/>
        </w:rPr>
        <w:t>Earnings for the upstream segment are closely aligned with industry price levels for crude oil</w:t>
      </w:r>
      <w:r>
        <w:rPr>
          <w:rFonts w:ascii="Arial" w:cs="Arial" w:eastAsia="Arial" w:hAnsi="Arial"/>
          <w:sz w:val="13"/>
          <w:szCs w:val="13"/>
          <w:i w:val="1"/>
          <w:iCs w:val="1"/>
          <w:color w:val="E51837"/>
        </w:rPr>
        <w:t xml:space="preserve"> </w:t>
      </w:r>
      <w:r>
        <w:rPr>
          <w:rFonts w:ascii="Arial" w:cs="Arial" w:eastAsia="Arial" w:hAnsi="Arial"/>
          <w:sz w:val="13"/>
          <w:szCs w:val="13"/>
          <w:color w:val="000000"/>
        </w:rPr>
        <w:t>and natural gas. Crude oil and natural gas prices are subject to external factors over which the company has no control, including product demand connected with global economic conditions, industry inventory levels, production quotas imposed by the Organization of Petroleum Exporting Countries (OPEC), weather-related damage and disruptions, competing fuel prices, and regional supply interruptions or fears thereof that</w:t>
      </w:r>
    </w:p>
    <w:p>
      <w:pPr>
        <w:spacing w:after="0" w:line="1235" w:lineRule="exact"/>
        <w:rPr>
          <w:sz w:val="20"/>
          <w:szCs w:val="20"/>
          <w:color w:val="auto"/>
        </w:rPr>
      </w:pPr>
    </w:p>
    <w:p>
      <w:pPr>
        <w:sectPr>
          <w:pgSz w:w="11900" w:h="16838" w:orient="portrait"/>
          <w:cols w:equalWidth="0" w:num="2">
            <w:col w:w="5503" w:space="460"/>
            <w:col w:w="5500"/>
          </w:cols>
          <w:pgMar w:left="217" w:top="338" w:right="219" w:bottom="1440" w:gutter="0" w:footer="0" w:header="0"/>
          <w:type w:val="continuous"/>
        </w:sectPr>
      </w:pPr>
    </w:p>
    <w:p>
      <w:pPr>
        <w:spacing w:after="0" w:line="43" w:lineRule="exact"/>
        <w:rPr>
          <w:sz w:val="20"/>
          <w:szCs w:val="20"/>
          <w:color w:val="auto"/>
        </w:rPr>
      </w:pPr>
    </w:p>
    <w:p>
      <w:pPr>
        <w:jc w:val="center"/>
        <w:ind w:right="-2"/>
        <w:spacing w:after="0"/>
        <w:rPr>
          <w:sz w:val="20"/>
          <w:szCs w:val="20"/>
          <w:color w:val="auto"/>
        </w:rPr>
      </w:pPr>
      <w:r>
        <w:rPr>
          <w:rFonts w:ascii="Arial" w:cs="Arial" w:eastAsia="Arial" w:hAnsi="Arial"/>
          <w:sz w:val="10"/>
          <w:szCs w:val="10"/>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9297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6" w:lineRule="exact"/>
        <w:rPr>
          <w:sz w:val="20"/>
          <w:szCs w:val="20"/>
          <w:color w:val="auto"/>
        </w:rPr>
      </w:pPr>
    </w:p>
    <w:p>
      <w:pPr>
        <w:ind w:right="60"/>
        <w:spacing w:after="0" w:line="294" w:lineRule="auto"/>
        <w:rPr>
          <w:sz w:val="20"/>
          <w:szCs w:val="20"/>
          <w:color w:val="auto"/>
        </w:rPr>
      </w:pPr>
      <w:r>
        <w:rPr>
          <w:rFonts w:ascii="Arial" w:cs="Arial" w:eastAsia="Arial" w:hAnsi="Arial"/>
          <w:sz w:val="11"/>
          <w:szCs w:val="11"/>
          <w:color w:val="auto"/>
        </w:rPr>
        <w:t>may be caused by military conflicts, civil unrest or political uncertainty. Any of these factors could also inhibit the company’s production capacity in an affected region. The company monitors developments closely in the countries in which it operates and holds investments, and seeks to manage risks in operating its facilities and businesses. The longer-term trend in earnings for the upstream segment is also a function of other factors, including the company’s ability to find or acquire and efficiently produce crude oil and natural gas, changes in fiscal terms of contracts, and changes in tax laws and regulations.</w:t>
      </w:r>
    </w:p>
    <w:p>
      <w:pPr>
        <w:spacing w:after="0" w:line="1" w:lineRule="exact"/>
        <w:rPr>
          <w:sz w:val="20"/>
          <w:szCs w:val="20"/>
          <w:color w:val="auto"/>
        </w:rPr>
      </w:pPr>
    </w:p>
    <w:p>
      <w:pPr>
        <w:ind w:right="80" w:firstLine="158"/>
        <w:spacing w:after="0" w:line="271" w:lineRule="auto"/>
        <w:rPr>
          <w:sz w:val="20"/>
          <w:szCs w:val="20"/>
          <w:color w:val="auto"/>
        </w:rPr>
      </w:pPr>
      <w:r>
        <w:rPr>
          <w:rFonts w:ascii="Arial" w:cs="Arial" w:eastAsia="Arial" w:hAnsi="Arial"/>
          <w:sz w:val="12"/>
          <w:szCs w:val="12"/>
          <w:color w:val="auto"/>
        </w:rPr>
        <w:t>The company continues to actively manage its schedule of work, contracting, procurement and supply-chain activities to effectively manage costs. However, price levels for capital and exploratory costs and operating expenses associated with the production of crude oil and natural gas can be subject to external factors beyond the company’s control. External factors include not only the general level of inflation, but also commodity prices and prices charged by the industry’s material and service providers, which can be affected by the volatility of the industry’s own supply-and-demand conditions for such materials and services. Capital and exploratory expenditures and operating expenses can also be affected by damage to production facilities caused by severe weather or civil unrest.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1952625" cy="1592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52625" cy="159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158"/>
        <w:spacing w:after="0" w:line="269" w:lineRule="auto"/>
        <w:rPr>
          <w:sz w:val="20"/>
          <w:szCs w:val="20"/>
          <w:color w:val="auto"/>
        </w:rPr>
      </w:pPr>
      <w:r>
        <w:rPr>
          <w:rFonts w:ascii="Arial" w:cs="Arial" w:eastAsia="Arial" w:hAnsi="Arial"/>
          <w:sz w:val="12"/>
          <w:szCs w:val="12"/>
          <w:color w:val="auto"/>
        </w:rPr>
        <w:t>The chart above shows the trend in benchmark prices for West Texas Intermediate (WTI) crude oil, Brent crude oil and U.S. Henry Hub natural gas. The WTI price averaged $95 per barrel for the full-year 2011, compared to $79 in 2010. As of mid-February 2012, the WTI price was about $99 per barrel. The Brent price averaged $111 per barrel for the full-year 2011, compared to $80 in 2010. As of mid-February 2012, the Brent price was about $118 per barrel. The majority of the company’s equity crude production is priced based on the Brent benchmark. WTI traded at a discount to Brent throughout 2011 due to excess crude supply in the U.S. Midcontinent market. The discount narrowed in fourth quarter 2011 as crude inventories declined.</w:t>
      </w:r>
    </w:p>
    <w:p>
      <w:pPr>
        <w:spacing w:after="0" w:line="1" w:lineRule="exact"/>
        <w:rPr>
          <w:sz w:val="20"/>
          <w:szCs w:val="20"/>
          <w:color w:val="auto"/>
        </w:rPr>
      </w:pPr>
    </w:p>
    <w:p>
      <w:pPr>
        <w:ind w:right="60" w:firstLine="153"/>
        <w:spacing w:after="0" w:line="253" w:lineRule="auto"/>
        <w:rPr>
          <w:sz w:val="20"/>
          <w:szCs w:val="20"/>
          <w:color w:val="auto"/>
        </w:rPr>
      </w:pPr>
      <w:r>
        <w:rPr>
          <w:rFonts w:ascii="Arial" w:cs="Arial" w:eastAsia="Arial" w:hAnsi="Arial"/>
          <w:sz w:val="13"/>
          <w:szCs w:val="13"/>
          <w:color w:val="auto"/>
        </w:rPr>
        <w:t>A differential in crude oil prices exists between high quality (high-gravity, low-sulfur) crudes and those of lower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quality (low-gravity, high-sulfur). The amount of the differential in any period is associated with the supply of heavy crude available versus the demand, which is a function of the capacity of refineries that are able to process this lower quality feedstock into light products (motor gasoline, jet fuel, aviation gasoline and diesel fuel). The differential widened during 2011 primarily due to rising diesel prices and lower availability of light, sweet crude oil due to supply disruptions in Libya.</w:t>
      </w:r>
    </w:p>
    <w:p>
      <w:pPr>
        <w:spacing w:after="0" w:line="1" w:lineRule="exact"/>
        <w:rPr>
          <w:sz w:val="20"/>
          <w:szCs w:val="20"/>
          <w:color w:val="auto"/>
        </w:rPr>
      </w:pPr>
    </w:p>
    <w:p>
      <w:pPr>
        <w:ind w:right="100" w:firstLine="160"/>
        <w:spacing w:after="0" w:line="246" w:lineRule="auto"/>
        <w:rPr>
          <w:sz w:val="20"/>
          <w:szCs w:val="20"/>
          <w:color w:val="auto"/>
        </w:rPr>
      </w:pPr>
      <w:r>
        <w:rPr>
          <w:rFonts w:ascii="Arial" w:cs="Arial" w:eastAsia="Arial" w:hAnsi="Arial"/>
          <w:sz w:val="13"/>
          <w:szCs w:val="13"/>
          <w:color w:val="auto"/>
        </w:rPr>
        <w:t>Chevron produces or shares in the production of heavy crude oil in California, Chad, Indonesia, the Partitioned Zone between Saudi Arabia and Kuwait, Venezuela and in certain fields in Angola, China and the United Kingdom sector of the North Sea. (See page FS-10 for the company’s average U.S. and international crude oil realizations.)</w:t>
      </w:r>
    </w:p>
    <w:p>
      <w:pPr>
        <w:spacing w:after="0" w:line="2" w:lineRule="exact"/>
        <w:rPr>
          <w:sz w:val="20"/>
          <w:szCs w:val="20"/>
          <w:color w:val="auto"/>
        </w:rPr>
      </w:pPr>
    </w:p>
    <w:p>
      <w:pPr>
        <w:ind w:right="40" w:firstLine="160"/>
        <w:spacing w:after="0" w:line="267" w:lineRule="auto"/>
        <w:rPr>
          <w:sz w:val="20"/>
          <w:szCs w:val="20"/>
          <w:color w:val="auto"/>
        </w:rPr>
      </w:pPr>
      <w:r>
        <w:rPr>
          <w:rFonts w:ascii="Arial" w:cs="Arial" w:eastAsia="Arial" w:hAnsi="Arial"/>
          <w:sz w:val="12"/>
          <w:szCs w:val="12"/>
          <w:color w:val="auto"/>
        </w:rPr>
        <w:t>In contrast to price movements in the global market for crude oil, price changes for natural gas in many regional markets are more closely aligned with supply-and-demand conditions in those markets. In the United States, prices at Henry Hub averaged about $4.00 per thousand cubic feet (MCF) during 2011, compared with about $4.50 during 2010. As of mid-February 2012, the Henry Hub spot price was about $2.50 per MCF. Fluctuations in the price for natural gas in the United States are closely associated with customer demand relative to the volumes produced in North America.</w:t>
      </w:r>
    </w:p>
    <w:p>
      <w:pPr>
        <w:spacing w:after="0" w:line="1" w:lineRule="exact"/>
        <w:rPr>
          <w:sz w:val="20"/>
          <w:szCs w:val="20"/>
          <w:color w:val="auto"/>
        </w:rPr>
      </w:pPr>
    </w:p>
    <w:p>
      <w:pPr>
        <w:ind w:right="60" w:firstLine="160"/>
        <w:spacing w:after="0" w:line="248" w:lineRule="auto"/>
        <w:rPr>
          <w:sz w:val="20"/>
          <w:szCs w:val="20"/>
          <w:color w:val="auto"/>
        </w:rPr>
      </w:pPr>
      <w:r>
        <w:rPr>
          <w:rFonts w:ascii="Arial" w:cs="Arial" w:eastAsia="Arial" w:hAnsi="Arial"/>
          <w:sz w:val="13"/>
          <w:szCs w:val="13"/>
          <w:color w:val="auto"/>
        </w:rPr>
        <w:t>Outside the United States, price changes for natural gas depend on a wide range of supply, demand and regulatory circumstances. In some locations, Chevron is investing in long-term projects to install infrastructure to produce and liquefy natural gas for transport by tanker to other markets. International natural gas realizations averaged about $5.40 per MCF during 2011, compared with about $4.60 per MCF during 2010. (See page FS-10 for the company’s average natural gas realizations for the U.S. and international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2361565" cy="2172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61565" cy="2172335"/>
                    </a:xfrm>
                    <a:prstGeom prst="rect">
                      <a:avLst/>
                    </a:prstGeom>
                    <a:noFill/>
                  </pic:spPr>
                </pic:pic>
              </a:graphicData>
            </a:graphic>
          </wp:anchor>
        </w:drawing>
      </w:r>
    </w:p>
    <w:p>
      <w:pPr>
        <w:spacing w:after="0" w:line="3326"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6286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158"/>
        <w:spacing w:after="0" w:line="270" w:lineRule="auto"/>
        <w:rPr>
          <w:sz w:val="20"/>
          <w:szCs w:val="20"/>
          <w:color w:val="auto"/>
        </w:rPr>
      </w:pPr>
      <w:r>
        <w:rPr>
          <w:rFonts w:ascii="Arial" w:cs="Arial" w:eastAsia="Arial" w:hAnsi="Arial"/>
          <w:sz w:val="12"/>
          <w:szCs w:val="12"/>
          <w:color w:val="auto"/>
        </w:rPr>
        <w:t>The company’s worldwide net oil-equivalent production in 2011 averaged 2.673 million barrels per day. About one-fifth of the company’s net oil-equivalent production in 2011 occurred in the OPEC-member countries of Angola, Nigeria, Venezuela and the Partitioned Zone between Saudi Arabia and Kuwait. OPEC quotas had no effect on the company’s net crude oil production in 2011 or 2010. At their December 2011 meeting, members of OPEC supported maintaining the current production level of</w:t>
      </w:r>
    </w:p>
    <w:p>
      <w:pPr>
        <w:spacing w:after="0" w:line="1" w:lineRule="exact"/>
        <w:rPr>
          <w:sz w:val="20"/>
          <w:szCs w:val="20"/>
          <w:color w:val="auto"/>
        </w:rPr>
      </w:pPr>
    </w:p>
    <w:p>
      <w:pPr>
        <w:ind w:left="160" w:hanging="157"/>
        <w:spacing w:after="0" w:line="291" w:lineRule="auto"/>
        <w:rPr>
          <w:sz w:val="20"/>
          <w:szCs w:val="20"/>
          <w:color w:val="auto"/>
        </w:rPr>
      </w:pPr>
      <w:r>
        <w:rPr>
          <w:rFonts w:ascii="Arial" w:cs="Arial" w:eastAsia="Arial" w:hAnsi="Arial"/>
          <w:sz w:val="11"/>
          <w:szCs w:val="11"/>
          <w:color w:val="auto"/>
        </w:rPr>
        <w:t>30 million barrels per day and made no change to the production quotas in effect since December 2008. The company estimates that oil-equivalent production in 2012 will average approximately 2.680 million</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2"/>
          <w:szCs w:val="12"/>
          <w:color w:val="auto"/>
        </w:rPr>
        <w:t>barrels per day based on the average Brent price of $111 per barrel for the full-year 2011. This estimate is subject to many factors and uncertainties, including quotas that may be imposed by OPEC, price effects on entitlement volumes, changes in fiscal terms or restrictions on the scope of company operations, delays in project startups, fluctuations in demand for natural gas in various markets, weather conditions that may shut in production, civil unrest, changing geopolitics, delays in completion of maintenance turnarounds, greater-than-expected declines in production from mature fields, or other disruptions to operations. The outlook for future production levels is also affected by the size and number of economic investment opportunities and, for new large-scale projects, the time lag between initial exploration and the beginning of production. Investments in upstream projects generally begin well in advance of the start of the associated crude oil and natural gas production. A significant majority of Chevron’s upstream investment is made outside the United States.</w:t>
      </w:r>
    </w:p>
    <w:p>
      <w:pPr>
        <w:spacing w:after="0" w:line="3" w:lineRule="exact"/>
        <w:rPr>
          <w:sz w:val="20"/>
          <w:szCs w:val="20"/>
          <w:color w:val="auto"/>
        </w:rPr>
      </w:pPr>
    </w:p>
    <w:p>
      <w:pPr>
        <w:ind w:right="180" w:firstLine="160"/>
        <w:spacing w:after="0" w:line="246" w:lineRule="auto"/>
        <w:rPr>
          <w:sz w:val="20"/>
          <w:szCs w:val="20"/>
          <w:color w:val="auto"/>
        </w:rPr>
      </w:pPr>
      <w:r>
        <w:rPr>
          <w:rFonts w:ascii="Arial" w:cs="Arial" w:eastAsia="Arial" w:hAnsi="Arial"/>
          <w:sz w:val="13"/>
          <w:szCs w:val="13"/>
          <w:color w:val="auto"/>
        </w:rPr>
        <w:t>Refer to the “Results of Operations” section on pages FS-6 through FS-7 for additional discussion of the company’s upstream business.</w:t>
      </w:r>
    </w:p>
    <w:p>
      <w:pPr>
        <w:spacing w:after="0" w:line="1"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color w:val="auto"/>
        </w:rPr>
        <w:t>Refer to Table V beginning on page FS-67 for a tabulation of the company’s proved net oil and gas reserves by geographic area, at the beginning of 2009 and each year-end from 2009 through 2011, and an accompanying discussion of major changes to proved reserves by geographic area for the three-year period ending December 31, 2011.</w:t>
      </w:r>
    </w:p>
    <w:p>
      <w:pPr>
        <w:spacing w:after="0" w:line="2" w:lineRule="exact"/>
        <w:rPr>
          <w:sz w:val="20"/>
          <w:szCs w:val="20"/>
          <w:color w:val="auto"/>
        </w:rPr>
      </w:pPr>
    </w:p>
    <w:p>
      <w:pPr>
        <w:ind w:right="40" w:firstLine="160"/>
        <w:spacing w:after="0" w:line="302" w:lineRule="auto"/>
        <w:rPr>
          <w:sz w:val="20"/>
          <w:szCs w:val="20"/>
          <w:color w:val="auto"/>
        </w:rPr>
      </w:pPr>
      <w:r>
        <w:rPr>
          <w:rFonts w:ascii="Arial" w:cs="Arial" w:eastAsia="Arial" w:hAnsi="Arial"/>
          <w:sz w:val="11"/>
          <w:szCs w:val="11"/>
          <w:color w:val="auto"/>
        </w:rPr>
        <w:t>In early November 2011, while drilling a development well in the deepwater Frade Field in Brazil, an unanticipated pressure spike caused oil to migrate from the well bore through a series of fissures to the sea floor, emitting approximately 2,400 barrels of oil. The resulting surface sheen has since dissipated and there have been no coastal or wildlife impacts. Upon detection, the company immediately took steps to stop the release. Chevron’s emergency plan, approved by the Brazilian environment and natural resources regulatory agency IBAMA, was implemented according to the law and industry standards.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source of the seep was contained within four days. As of December 31, 2011 the financial impact of the incident was not material to the company’s annual net income. However, the company’s ultimate exposure related to fines and penalties is not currently determinable, and could be significant to net income in any one period.</w:t>
      </w:r>
    </w:p>
    <w:p>
      <w:pPr>
        <w:spacing w:after="0" w:line="62" w:lineRule="exact"/>
        <w:rPr>
          <w:sz w:val="20"/>
          <w:szCs w:val="20"/>
          <w:color w:val="auto"/>
        </w:rPr>
      </w:pPr>
    </w:p>
    <w:p>
      <w:pPr>
        <w:ind w:firstLine="160"/>
        <w:spacing w:after="0" w:line="293" w:lineRule="auto"/>
        <w:rPr>
          <w:sz w:val="20"/>
          <w:szCs w:val="20"/>
          <w:color w:val="auto"/>
        </w:rPr>
      </w:pPr>
      <w:r>
        <w:rPr>
          <w:rFonts w:ascii="Arial" w:cs="Arial" w:eastAsia="Arial" w:hAnsi="Arial"/>
          <w:sz w:val="11"/>
          <w:szCs w:val="11"/>
          <w:i w:val="1"/>
          <w:iCs w:val="1"/>
          <w:color w:val="E51837"/>
        </w:rPr>
        <w:t xml:space="preserve">Downstream </w:t>
      </w:r>
      <w:r>
        <w:rPr>
          <w:rFonts w:ascii="Arial" w:cs="Arial" w:eastAsia="Arial" w:hAnsi="Arial"/>
          <w:sz w:val="11"/>
          <w:szCs w:val="11"/>
          <w:color w:val="000000"/>
        </w:rPr>
        <w:t>Earnings for the downstream segment are closely tied to margins on the refining,</w:t>
      </w:r>
      <w:r>
        <w:rPr>
          <w:rFonts w:ascii="Arial" w:cs="Arial" w:eastAsia="Arial" w:hAnsi="Arial"/>
          <w:sz w:val="11"/>
          <w:szCs w:val="11"/>
          <w:i w:val="1"/>
          <w:iCs w:val="1"/>
          <w:color w:val="E51837"/>
        </w:rPr>
        <w:t xml:space="preserve"> </w:t>
      </w:r>
      <w:r>
        <w:rPr>
          <w:rFonts w:ascii="Arial" w:cs="Arial" w:eastAsia="Arial" w:hAnsi="Arial"/>
          <w:sz w:val="11"/>
          <w:szCs w:val="11"/>
          <w:color w:val="000000"/>
        </w:rPr>
        <w:t>manufacturing and marketing of products that include gasoline, diesel, jet fuel, lubricants, fuel oil, fuel and lubricant additives, and petrochemicals. Industry margins are sometimes volatile and can be affected by the global and regional supply-and-demand balance for refined products and petrochemicals and by changes in the price of crude oil, other refinery and petrochemical feedstocks, and natural gas. Industry margins can also be influenced by inventory levels, geopolitical events, costs of materials and services, refinery or chemical plant capacity utilization, maintenance programs, and disruptions at refineries or chemical plants resulting from unplanned outages due to severe weather, fires or other operational events.</w:t>
      </w:r>
    </w:p>
    <w:p>
      <w:pPr>
        <w:spacing w:after="0" w:line="3"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Other factors affecting profitability for downstream operations include the reliability and efficiency of the company’s refining, marketing and petrochemical assets, the effectiveness of its crude oil and product supply functions, and the volatility of tanker-charter rates for the company’s shipping operations, which are driven by the industry’s demand for crude oil and product tankers. Other factors beyond the company’s control include the general level of inflation and energy costs to operate the company’s refining, marketing and petrochemical assets.</w:t>
      </w:r>
    </w:p>
    <w:p>
      <w:pPr>
        <w:spacing w:after="0" w:line="1" w:lineRule="exact"/>
        <w:rPr>
          <w:sz w:val="20"/>
          <w:szCs w:val="20"/>
          <w:color w:val="auto"/>
        </w:rPr>
      </w:pPr>
    </w:p>
    <w:p>
      <w:pPr>
        <w:ind w:right="140" w:firstLine="158"/>
        <w:spacing w:after="0" w:line="269" w:lineRule="auto"/>
        <w:rPr>
          <w:sz w:val="20"/>
          <w:szCs w:val="20"/>
          <w:color w:val="auto"/>
        </w:rPr>
      </w:pPr>
      <w:r>
        <w:rPr>
          <w:rFonts w:ascii="Arial" w:cs="Arial" w:eastAsia="Arial" w:hAnsi="Arial"/>
          <w:sz w:val="12"/>
          <w:szCs w:val="12"/>
          <w:color w:val="auto"/>
        </w:rPr>
        <w:t>The company’s most significant marketing areas are the West Coast of North America, the U.S. Gulf Coast, Asia, and southern Africa. Chevron operates or has significant ownership interests in refineries in each of these areas. In 2011, the company’s margins improved over 2010, supported by higher global product demand and tighter global refined product supplies. The company made further progress during 2011 implementing the previously-announced restructuring of its downstream businesses, including the employee-reduction programs for the United States and international operations. Approximately 2,300 employees in the downstream operations are currently expected to be released under these programs. About 2,100 employees have been released through December 31, 2011, with the programs being substantially completed. Substantially all of the remaining employees designated for release under the programs are expected to leave in 2012. About 900 of the affected employees were located in the United States. Refer to Note 23 of the Consolidated Financial Statements, on pages FS-55 through FS-56, for further discussion.</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45" w:name="page46"/>
    <w:bookmarkEnd w:id="45"/>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40"/>
          </w:cols>
          <w:pgMar w:left="220" w:top="339" w:right="239" w:bottom="1440" w:gutter="0" w:footer="0" w:header="0"/>
        </w:sectPr>
      </w:pPr>
    </w:p>
    <w:p>
      <w:pPr>
        <w:spacing w:after="0" w:line="319" w:lineRule="exact"/>
        <w:rPr>
          <w:sz w:val="20"/>
          <w:szCs w:val="20"/>
          <w:color w:val="auto"/>
        </w:rPr>
      </w:pPr>
    </w:p>
    <w:p>
      <w:pPr>
        <w:jc w:val="both"/>
        <w:ind w:right="420" w:firstLine="158"/>
        <w:spacing w:after="0" w:line="297" w:lineRule="auto"/>
        <w:rPr>
          <w:sz w:val="20"/>
          <w:szCs w:val="20"/>
          <w:color w:val="auto"/>
        </w:rPr>
      </w:pPr>
      <w:r>
        <w:rPr>
          <w:rFonts w:ascii="Arial" w:cs="Arial" w:eastAsia="Arial" w:hAnsi="Arial"/>
          <w:sz w:val="11"/>
          <w:szCs w:val="11"/>
          <w:color w:val="auto"/>
        </w:rPr>
        <w:t>The company progressed its ongoing effort to concentrate downstream resources and capital on strategic assets. On August 1, 2011, the company completed the sale of its 220,000-barrel-per-day Pembroke Refinery and its fuels marketing and aviation assets in the United Kingdom and Ireland.</w:t>
      </w:r>
    </w:p>
    <w:p>
      <w:pPr>
        <w:spacing w:after="0" w:line="291" w:lineRule="auto"/>
        <w:rPr>
          <w:sz w:val="20"/>
          <w:szCs w:val="20"/>
          <w:color w:val="auto"/>
        </w:rPr>
      </w:pPr>
      <w:r>
        <w:rPr>
          <w:rFonts w:ascii="Arial" w:cs="Arial" w:eastAsia="Arial" w:hAnsi="Arial"/>
          <w:sz w:val="11"/>
          <w:szCs w:val="11"/>
          <w:color w:val="auto"/>
        </w:rPr>
        <w:t>Through year-end 2011, the company had also completed the sale of 13 U.S. terminals, certain marketing businesses in Africa, LPG storage and distribution operations in China, and its fuels marketing and aviation businesses in 16 countries in the Caribbean and Latin America regions. In 2012, the company also expects to complete the sale of its fuels, finished lubricants and aviation businesses in Spain and certain fuels marketing and aviation businesses in the central Caribbean, pending customary regulatory approvals.</w:t>
      </w:r>
    </w:p>
    <w:p>
      <w:pPr>
        <w:spacing w:after="0" w:line="2" w:lineRule="exact"/>
        <w:rPr>
          <w:sz w:val="20"/>
          <w:szCs w:val="20"/>
          <w:color w:val="auto"/>
        </w:rPr>
      </w:pPr>
    </w:p>
    <w:p>
      <w:pPr>
        <w:ind w:right="20" w:firstLine="153"/>
        <w:spacing w:after="0" w:line="246" w:lineRule="auto"/>
        <w:rPr>
          <w:sz w:val="20"/>
          <w:szCs w:val="20"/>
          <w:color w:val="auto"/>
        </w:rPr>
      </w:pPr>
      <w:r>
        <w:rPr>
          <w:rFonts w:ascii="Arial" w:cs="Arial" w:eastAsia="Arial" w:hAnsi="Arial"/>
          <w:sz w:val="13"/>
          <w:szCs w:val="13"/>
          <w:color w:val="auto"/>
        </w:rPr>
        <w:t>Also in 2011, Caltex Australia Ltd. (CAL), the company’s 50 percent-owned affiliate, initiated a review of its refining operations in Australia, which is ongoing. Upon completion, should the review result in a decision to significantly alter the operational role of CAL’s refineries, Chevron may recognize a loss that could be significant to net income in any one period.</w:t>
      </w:r>
    </w:p>
    <w:p>
      <w:pPr>
        <w:spacing w:after="0" w:line="2" w:lineRule="exact"/>
        <w:rPr>
          <w:sz w:val="20"/>
          <w:szCs w:val="20"/>
          <w:color w:val="auto"/>
        </w:rPr>
      </w:pPr>
    </w:p>
    <w:p>
      <w:pPr>
        <w:ind w:right="160" w:firstLine="160"/>
        <w:spacing w:after="0" w:line="253" w:lineRule="auto"/>
        <w:rPr>
          <w:sz w:val="20"/>
          <w:szCs w:val="20"/>
          <w:color w:val="auto"/>
        </w:rPr>
      </w:pPr>
      <w:r>
        <w:rPr>
          <w:rFonts w:ascii="Arial" w:cs="Arial" w:eastAsia="Arial" w:hAnsi="Arial"/>
          <w:sz w:val="13"/>
          <w:szCs w:val="13"/>
          <w:color w:val="auto"/>
        </w:rPr>
        <w:t>Refer to the “Results of Operations” section on pages FS-7 through FS-8 for additional discussion of the company’s downstream operations.</w:t>
      </w:r>
    </w:p>
    <w:p>
      <w:pPr>
        <w:spacing w:after="0" w:line="61" w:lineRule="exact"/>
        <w:rPr>
          <w:sz w:val="20"/>
          <w:szCs w:val="20"/>
          <w:color w:val="auto"/>
        </w:rPr>
      </w:pPr>
    </w:p>
    <w:p>
      <w:pPr>
        <w:ind w:firstLine="160"/>
        <w:spacing w:after="0" w:line="275" w:lineRule="auto"/>
        <w:rPr>
          <w:sz w:val="20"/>
          <w:szCs w:val="20"/>
          <w:color w:val="auto"/>
        </w:rPr>
      </w:pPr>
      <w:r>
        <w:rPr>
          <w:rFonts w:ascii="Arial" w:cs="Arial" w:eastAsia="Arial" w:hAnsi="Arial"/>
          <w:sz w:val="12"/>
          <w:szCs w:val="12"/>
          <w:i w:val="1"/>
          <w:iCs w:val="1"/>
          <w:color w:val="E51837"/>
        </w:rPr>
        <w:t xml:space="preserve">All Other </w:t>
      </w:r>
      <w:r>
        <w:rPr>
          <w:rFonts w:ascii="Arial" w:cs="Arial" w:eastAsia="Arial" w:hAnsi="Arial"/>
          <w:sz w:val="12"/>
          <w:szCs w:val="12"/>
          <w:color w:val="000000"/>
        </w:rPr>
        <w:t>consists of mining operations, power generation businesses, worldwide cash management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debt financing activities, corporate administrative functions, insurance operations, real estate activities, energy services, alternative fuels, and technology companies. In first quarter 2010, employee-reduction programs were announced for the corporate staffs. As of 2011 year-end, 400 employees from the corporate staffs were released under the programs. Refer to Note 23 of the Consolidated Financial Statements, beginning on page FS-55,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Operating Developments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Key operating developments and other events during 2011 and early 2012 included the following:</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Upstream</w:t>
      </w:r>
    </w:p>
    <w:p>
      <w:pPr>
        <w:spacing w:after="0" w:line="10" w:lineRule="exact"/>
        <w:rPr>
          <w:sz w:val="20"/>
          <w:szCs w:val="20"/>
          <w:color w:val="auto"/>
        </w:rPr>
      </w:pPr>
    </w:p>
    <w:p>
      <w:pPr>
        <w:ind w:right="40"/>
        <w:spacing w:after="0" w:line="266" w:lineRule="auto"/>
        <w:rPr>
          <w:sz w:val="20"/>
          <w:szCs w:val="20"/>
          <w:color w:val="auto"/>
        </w:rPr>
      </w:pPr>
      <w:r>
        <w:rPr>
          <w:rFonts w:ascii="Arial" w:cs="Arial" w:eastAsia="Arial" w:hAnsi="Arial"/>
          <w:sz w:val="12"/>
          <w:szCs w:val="12"/>
          <w:i w:val="1"/>
          <w:iCs w:val="1"/>
          <w:color w:val="E51837"/>
        </w:rPr>
        <w:t xml:space="preserve">Australia </w:t>
      </w:r>
      <w:r>
        <w:rPr>
          <w:rFonts w:ascii="Arial" w:cs="Arial" w:eastAsia="Arial" w:hAnsi="Arial"/>
          <w:sz w:val="12"/>
          <w:szCs w:val="12"/>
          <w:color w:val="000000"/>
        </w:rPr>
        <w:t>Chevron and its joint-venture partners reached the final investment decision to proceed with</w:t>
      </w:r>
      <w:r>
        <w:rPr>
          <w:rFonts w:ascii="Arial" w:cs="Arial" w:eastAsia="Arial" w:hAnsi="Arial"/>
          <w:sz w:val="12"/>
          <w:szCs w:val="12"/>
          <w:i w:val="1"/>
          <w:iCs w:val="1"/>
          <w:color w:val="E51837"/>
        </w:rPr>
        <w:t xml:space="preserve"> </w:t>
      </w:r>
      <w:r>
        <w:rPr>
          <w:rFonts w:ascii="Arial" w:cs="Arial" w:eastAsia="Arial" w:hAnsi="Arial"/>
          <w:sz w:val="12"/>
          <w:szCs w:val="12"/>
          <w:color w:val="000000"/>
        </w:rPr>
        <w:t>development of the Wheatstone Project. Construction started in late 2011. Chevron holds a 72.1 percent interest in the foundation natural gas processing facilities, which are located at Ashburton North, along the northwest coast of Australia. The company plans to supply natural gas to the foundation project from the Chevron-operated and 90.2 percent-owned Wheatstone and Iago fields. The LNG facilities will also be a destination for third-party natural gas.</w:t>
      </w:r>
    </w:p>
    <w:p>
      <w:pPr>
        <w:spacing w:after="0" w:line="3" w:lineRule="exact"/>
        <w:rPr>
          <w:sz w:val="20"/>
          <w:szCs w:val="20"/>
          <w:color w:val="auto"/>
        </w:rPr>
      </w:pPr>
    </w:p>
    <w:p>
      <w:pPr>
        <w:ind w:right="80" w:firstLine="158"/>
        <w:spacing w:after="0" w:line="246" w:lineRule="auto"/>
        <w:rPr>
          <w:sz w:val="20"/>
          <w:szCs w:val="20"/>
          <w:color w:val="auto"/>
        </w:rPr>
      </w:pPr>
      <w:r>
        <w:rPr>
          <w:rFonts w:ascii="Arial" w:cs="Arial" w:eastAsia="Arial" w:hAnsi="Arial"/>
          <w:sz w:val="13"/>
          <w:szCs w:val="13"/>
          <w:color w:val="auto"/>
        </w:rPr>
        <w:t>Through the end of 2011, Chevron has signed binding Sales and Purchase Agreements with two Asian customers for the delivery of about 60 percent of Chevron’s net LNG off-take from the Wheatstone Project. Discussions continue with potential customers to increase sales to 85 to 90 percent of Chevron’s net LNG off-take and to sell down equity.</w:t>
      </w:r>
    </w:p>
    <w:p>
      <w:pPr>
        <w:spacing w:after="0" w:line="2" w:lineRule="exact"/>
        <w:rPr>
          <w:sz w:val="20"/>
          <w:szCs w:val="20"/>
          <w:color w:val="auto"/>
        </w:rPr>
      </w:pPr>
    </w:p>
    <w:p>
      <w:pPr>
        <w:ind w:right="20" w:firstLine="160"/>
        <w:spacing w:after="0" w:line="250" w:lineRule="auto"/>
        <w:rPr>
          <w:sz w:val="20"/>
          <w:szCs w:val="20"/>
          <w:color w:val="auto"/>
        </w:rPr>
      </w:pPr>
      <w:r>
        <w:rPr>
          <w:rFonts w:ascii="Arial" w:cs="Arial" w:eastAsia="Arial" w:hAnsi="Arial"/>
          <w:sz w:val="13"/>
          <w:szCs w:val="13"/>
          <w:color w:val="auto"/>
        </w:rPr>
        <w:t>During 2011, the company announced natural gas discoveries at the 50 percent-owned and operated Orthrus Deep prospect in Block WA-24-R, the 50 percent-owned and operated Vos prospect in Block WA-439-P, and the 67 percent-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1600"/>
        <w:spacing w:after="0" w:line="249" w:lineRule="auto"/>
        <w:rPr>
          <w:sz w:val="20"/>
          <w:szCs w:val="20"/>
          <w:color w:val="auto"/>
        </w:rPr>
      </w:pPr>
      <w:r>
        <w:rPr>
          <w:rFonts w:ascii="Arial" w:cs="Arial" w:eastAsia="Arial" w:hAnsi="Arial"/>
          <w:sz w:val="13"/>
          <w:szCs w:val="13"/>
          <w:color w:val="auto"/>
        </w:rPr>
        <w:t>owned and operated Acme West prospect in Block WA-205-P. In January 2012, the company also announced a natural gas discovery at the 50 percent-owned and operated Satyr-3 prospect in Block WA-374-P. These discoveries are expected to contribute to potential expansion at company-operated LNG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-473710</wp:posOffset>
            </wp:positionV>
            <wp:extent cx="951865" cy="2410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1865" cy="2410460"/>
                    </a:xfrm>
                    <a:prstGeom prst="rect">
                      <a:avLst/>
                    </a:prstGeom>
                    <a:noFill/>
                  </pic:spPr>
                </pic:pic>
              </a:graphicData>
            </a:graphic>
          </wp:anchor>
        </w:drawing>
      </w:r>
    </w:p>
    <w:p>
      <w:pPr>
        <w:ind w:right="1580" w:firstLine="160"/>
        <w:spacing w:after="0" w:line="291" w:lineRule="auto"/>
        <w:rPr>
          <w:sz w:val="20"/>
          <w:szCs w:val="20"/>
          <w:color w:val="auto"/>
        </w:rPr>
      </w:pPr>
      <w:r>
        <w:rPr>
          <w:rFonts w:ascii="Arial" w:cs="Arial" w:eastAsia="Arial" w:hAnsi="Arial"/>
          <w:sz w:val="11"/>
          <w:szCs w:val="11"/>
          <w:i w:val="1"/>
          <w:iCs w:val="1"/>
          <w:color w:val="E51837"/>
        </w:rPr>
        <w:t xml:space="preserve">Kazakhstan/Russia </w:t>
      </w:r>
      <w:r>
        <w:rPr>
          <w:rFonts w:ascii="Arial" w:cs="Arial" w:eastAsia="Arial" w:hAnsi="Arial"/>
          <w:sz w:val="11"/>
          <w:szCs w:val="11"/>
          <w:color w:val="000000"/>
        </w:rPr>
        <w:t>During 2011, the Caspian Pipeline Consortium began</w:t>
      </w:r>
      <w:r>
        <w:rPr>
          <w:rFonts w:ascii="Arial" w:cs="Arial" w:eastAsia="Arial" w:hAnsi="Arial"/>
          <w:sz w:val="11"/>
          <w:szCs w:val="11"/>
          <w:i w:val="1"/>
          <w:iCs w:val="1"/>
          <w:color w:val="E51837"/>
        </w:rPr>
        <w:t xml:space="preserve"> </w:t>
      </w:r>
      <w:r>
        <w:rPr>
          <w:rFonts w:ascii="Arial" w:cs="Arial" w:eastAsia="Arial" w:hAnsi="Arial"/>
          <w:sz w:val="11"/>
          <w:szCs w:val="11"/>
          <w:color w:val="000000"/>
        </w:rPr>
        <w:t>construction on a project to increase the pipeline design capacity by</w:t>
      </w:r>
    </w:p>
    <w:p>
      <w:pPr>
        <w:spacing w:after="0" w:line="1" w:lineRule="exact"/>
        <w:rPr>
          <w:sz w:val="20"/>
          <w:szCs w:val="20"/>
          <w:color w:val="auto"/>
        </w:rPr>
      </w:pPr>
    </w:p>
    <w:p>
      <w:pPr>
        <w:ind w:right="1620"/>
        <w:spacing w:after="0" w:line="267" w:lineRule="auto"/>
        <w:rPr>
          <w:sz w:val="20"/>
          <w:szCs w:val="20"/>
          <w:color w:val="auto"/>
        </w:rPr>
      </w:pPr>
      <w:r>
        <w:rPr>
          <w:rFonts w:ascii="Arial" w:cs="Arial" w:eastAsia="Arial" w:hAnsi="Arial"/>
          <w:sz w:val="12"/>
          <w:szCs w:val="12"/>
          <w:color w:val="auto"/>
        </w:rPr>
        <w:t>670,000 barrels per day. The project is expected to be implemented in three phases, with capacity increasing progressively until reaching maximum capacity of 1.4 million barrels per day in 2016.</w:t>
      </w:r>
    </w:p>
    <w:p>
      <w:pPr>
        <w:spacing w:after="0" w:line="1" w:lineRule="exact"/>
        <w:rPr>
          <w:sz w:val="20"/>
          <w:szCs w:val="20"/>
          <w:color w:val="auto"/>
        </w:rPr>
      </w:pPr>
    </w:p>
    <w:p>
      <w:pPr>
        <w:jc w:val="both"/>
        <w:ind w:right="1680" w:firstLine="160"/>
        <w:spacing w:after="0" w:line="246" w:lineRule="auto"/>
        <w:rPr>
          <w:sz w:val="20"/>
          <w:szCs w:val="20"/>
          <w:color w:val="auto"/>
        </w:rPr>
      </w:pPr>
      <w:r>
        <w:rPr>
          <w:rFonts w:ascii="Arial" w:cs="Arial" w:eastAsia="Arial" w:hAnsi="Arial"/>
          <w:sz w:val="13"/>
          <w:szCs w:val="13"/>
          <w:i w:val="1"/>
          <w:iCs w:val="1"/>
          <w:color w:val="E51837"/>
        </w:rPr>
        <w:t xml:space="preserve">Nigeria </w:t>
      </w:r>
      <w:r>
        <w:rPr>
          <w:rFonts w:ascii="Arial" w:cs="Arial" w:eastAsia="Arial" w:hAnsi="Arial"/>
          <w:sz w:val="13"/>
          <w:szCs w:val="13"/>
          <w:color w:val="000000"/>
        </w:rPr>
        <w:t>In December 2011, a final investment decision was reached to</w:t>
      </w:r>
      <w:r>
        <w:rPr>
          <w:rFonts w:ascii="Arial" w:cs="Arial" w:eastAsia="Arial" w:hAnsi="Arial"/>
          <w:sz w:val="13"/>
          <w:szCs w:val="13"/>
          <w:i w:val="1"/>
          <w:iCs w:val="1"/>
          <w:color w:val="E51837"/>
        </w:rPr>
        <w:t xml:space="preserve"> </w:t>
      </w:r>
      <w:r>
        <w:rPr>
          <w:rFonts w:ascii="Arial" w:cs="Arial" w:eastAsia="Arial" w:hAnsi="Arial"/>
          <w:sz w:val="13"/>
          <w:szCs w:val="13"/>
          <w:color w:val="000000"/>
        </w:rPr>
        <w:t>develop the 40 percent-owned and operated Sonam natural gas field in the Escravos area. The project is designed to deliver 215 million cubic feet of natural gas per day to the domestic market and produce 30,000 barrels of liquids per day.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E51837"/>
        </w:rPr>
        <w:t xml:space="preserve">Thailand </w:t>
      </w:r>
      <w:r>
        <w:rPr>
          <w:rFonts w:ascii="Arial" w:cs="Arial" w:eastAsia="Arial" w:hAnsi="Arial"/>
          <w:sz w:val="13"/>
          <w:szCs w:val="13"/>
          <w:color w:val="000000"/>
        </w:rPr>
        <w:t>In October 2011, the 69.9 percent-owned and operated Platong</w:t>
      </w:r>
    </w:p>
    <w:p>
      <w:pPr>
        <w:spacing w:after="0" w:line="4" w:lineRule="exact"/>
        <w:rPr>
          <w:sz w:val="20"/>
          <w:szCs w:val="20"/>
          <w:color w:val="auto"/>
        </w:rPr>
      </w:pPr>
    </w:p>
    <w:p>
      <w:pPr>
        <w:ind w:right="1700" w:firstLine="4"/>
        <w:spacing w:after="0" w:line="267" w:lineRule="auto"/>
        <w:tabs>
          <w:tab w:leader="none" w:pos="1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natural gas project commenced production. The project ramped up to total average daily production of 377 million cubic feet of natural gas and 11,000 barrels of condensate as of the end of 2011.</w:t>
      </w:r>
    </w:p>
    <w:p>
      <w:pPr>
        <w:ind w:right="1640" w:firstLine="160"/>
        <w:spacing w:after="0" w:line="246" w:lineRule="auto"/>
        <w:rPr>
          <w:rFonts w:ascii="Arial" w:cs="Arial" w:eastAsia="Arial" w:hAnsi="Arial"/>
          <w:sz w:val="12"/>
          <w:szCs w:val="12"/>
          <w:color w:val="auto"/>
        </w:rPr>
      </w:pPr>
      <w:r>
        <w:rPr>
          <w:rFonts w:ascii="Arial" w:cs="Arial" w:eastAsia="Arial" w:hAnsi="Arial"/>
          <w:sz w:val="13"/>
          <w:szCs w:val="13"/>
          <w:i w:val="1"/>
          <w:iCs w:val="1"/>
          <w:color w:val="E51837"/>
        </w:rPr>
        <w:t xml:space="preserve">United Kingdom </w:t>
      </w:r>
      <w:r>
        <w:rPr>
          <w:rFonts w:ascii="Arial" w:cs="Arial" w:eastAsia="Arial" w:hAnsi="Arial"/>
          <w:sz w:val="13"/>
          <w:szCs w:val="13"/>
          <w:color w:val="000000"/>
        </w:rPr>
        <w:t>In fourth quarter 2011, the company reached a final</w:t>
      </w:r>
      <w:r>
        <w:rPr>
          <w:rFonts w:ascii="Arial" w:cs="Arial" w:eastAsia="Arial" w:hAnsi="Arial"/>
          <w:sz w:val="13"/>
          <w:szCs w:val="13"/>
          <w:i w:val="1"/>
          <w:iCs w:val="1"/>
          <w:color w:val="E51837"/>
        </w:rPr>
        <w:t xml:space="preserve"> </w:t>
      </w:r>
      <w:r>
        <w:rPr>
          <w:rFonts w:ascii="Arial" w:cs="Arial" w:eastAsia="Arial" w:hAnsi="Arial"/>
          <w:sz w:val="13"/>
          <w:szCs w:val="13"/>
          <w:color w:val="000000"/>
        </w:rPr>
        <w:t>investment decision for the Clair Ridge Project, located west of the Shetland Islands. Chevron has a 19.4 percent nonoperated working interest in the project.</w:t>
      </w:r>
    </w:p>
    <w:p>
      <w:pPr>
        <w:spacing w:after="0" w:line="2" w:lineRule="exact"/>
        <w:rPr>
          <w:rFonts w:ascii="Arial" w:cs="Arial" w:eastAsia="Arial" w:hAnsi="Arial"/>
          <w:sz w:val="12"/>
          <w:szCs w:val="12"/>
          <w:color w:val="auto"/>
        </w:rPr>
      </w:pPr>
    </w:p>
    <w:p>
      <w:pPr>
        <w:ind w:right="1740" w:firstLine="160"/>
        <w:spacing w:after="0" w:line="246" w:lineRule="auto"/>
        <w:rPr>
          <w:rFonts w:ascii="Arial" w:cs="Arial" w:eastAsia="Arial" w:hAnsi="Arial"/>
          <w:sz w:val="12"/>
          <w:szCs w:val="12"/>
          <w:color w:val="auto"/>
        </w:rPr>
      </w:pPr>
      <w:r>
        <w:rPr>
          <w:rFonts w:ascii="Arial" w:cs="Arial" w:eastAsia="Arial" w:hAnsi="Arial"/>
          <w:sz w:val="13"/>
          <w:szCs w:val="13"/>
          <w:i w:val="1"/>
          <w:iCs w:val="1"/>
          <w:color w:val="E51837"/>
        </w:rPr>
        <w:t xml:space="preserve">United States </w:t>
      </w:r>
      <w:r>
        <w:rPr>
          <w:rFonts w:ascii="Arial" w:cs="Arial" w:eastAsia="Arial" w:hAnsi="Arial"/>
          <w:sz w:val="13"/>
          <w:szCs w:val="13"/>
          <w:color w:val="000000"/>
        </w:rPr>
        <w:t>In fourth quarter 2011, a final investment decision was</w:t>
      </w:r>
      <w:r>
        <w:rPr>
          <w:rFonts w:ascii="Arial" w:cs="Arial" w:eastAsia="Arial" w:hAnsi="Arial"/>
          <w:sz w:val="13"/>
          <w:szCs w:val="13"/>
          <w:i w:val="1"/>
          <w:iCs w:val="1"/>
          <w:color w:val="E51837"/>
        </w:rPr>
        <w:t xml:space="preserve"> </w:t>
      </w:r>
      <w:r>
        <w:rPr>
          <w:rFonts w:ascii="Arial" w:cs="Arial" w:eastAsia="Arial" w:hAnsi="Arial"/>
          <w:sz w:val="13"/>
          <w:szCs w:val="13"/>
          <w:color w:val="000000"/>
        </w:rPr>
        <w:t>made for the Tubular Bells project in the deepwater Gulf of Mexico. The development includes a 42.9 percent nonoperated working interest in the Tubular Bells unitized area.</w:t>
      </w:r>
    </w:p>
    <w:p>
      <w:pPr>
        <w:spacing w:after="0" w:line="2" w:lineRule="exact"/>
        <w:rPr>
          <w:rFonts w:ascii="Arial" w:cs="Arial" w:eastAsia="Arial" w:hAnsi="Arial"/>
          <w:sz w:val="12"/>
          <w:szCs w:val="12"/>
          <w:color w:val="auto"/>
        </w:rPr>
      </w:pPr>
    </w:p>
    <w:p>
      <w:pPr>
        <w:ind w:right="320" w:firstLine="160"/>
        <w:spacing w:after="0" w:line="267" w:lineRule="auto"/>
        <w:rPr>
          <w:rFonts w:ascii="Arial" w:cs="Arial" w:eastAsia="Arial" w:hAnsi="Arial"/>
          <w:sz w:val="12"/>
          <w:szCs w:val="12"/>
          <w:color w:val="auto"/>
        </w:rPr>
      </w:pPr>
      <w:r>
        <w:rPr>
          <w:rFonts w:ascii="Arial" w:cs="Arial" w:eastAsia="Arial" w:hAnsi="Arial"/>
          <w:sz w:val="12"/>
          <w:szCs w:val="12"/>
          <w:color w:val="auto"/>
        </w:rPr>
        <w:t>Drilling operations at the 43.8 percent-owned and operated Moccasin prospect resulted in a new discovery of crude oil. The company also drilled a successful appraisal well at the 55 percent-owned Buckskin prospect. Both prospects are in the deepwater Gulf of Mexico.</w:t>
      </w:r>
    </w:p>
    <w:p>
      <w:pPr>
        <w:ind w:firstLine="160"/>
        <w:spacing w:after="0" w:line="304" w:lineRule="auto"/>
        <w:rPr>
          <w:rFonts w:ascii="Arial" w:cs="Arial" w:eastAsia="Arial" w:hAnsi="Arial"/>
          <w:sz w:val="12"/>
          <w:szCs w:val="12"/>
          <w:color w:val="auto"/>
        </w:rPr>
      </w:pPr>
      <w:r>
        <w:rPr>
          <w:rFonts w:ascii="Arial" w:cs="Arial" w:eastAsia="Arial" w:hAnsi="Arial"/>
          <w:sz w:val="11"/>
          <w:szCs w:val="11"/>
          <w:color w:val="auto"/>
        </w:rPr>
        <w:t>In February 2011, Chevron acquired Atlas Energy, Inc. The acquisition provided a natural gas resource position in the Marcellus Shale and Utica Shale, primarily located in southwestern Pennsylvania and Ohio. The acquisition also provided a 49 percent interest in Laurel Mountain Midstream, LLC, an affiliate that owns more than 1,000 miles of natural gas gathering lines servicing the Marcellus. In addition, the acquisition provided assets in Michigan, which include Antrim Shale producing assets and approximately</w:t>
      </w:r>
    </w:p>
    <w:p>
      <w:pPr>
        <w:spacing w:after="0" w:line="673" w:lineRule="exact"/>
        <w:rPr>
          <w:sz w:val="20"/>
          <w:szCs w:val="20"/>
          <w:color w:val="auto"/>
        </w:rPr>
      </w:pPr>
    </w:p>
    <w:p>
      <w:pPr>
        <w:sectPr>
          <w:pgSz w:w="11900" w:h="16838" w:orient="portrait"/>
          <w:cols w:equalWidth="0" w:num="2">
            <w:col w:w="5480" w:space="480"/>
            <w:col w:w="5480"/>
          </w:cols>
          <w:pgMar w:left="220" w:top="339" w:right="23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9" w:right="239" w:bottom="1440" w:gutter="0" w:footer="0" w:header="0"/>
          <w:type w:val="continuous"/>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2"/>
          <w:szCs w:val="12"/>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350,000 total acres in the Antrim and Collingwood/Utica Shale formations. Additional asset acquisitions in 2011 expanded the company’s holdings in the Marcellus and Utica to approximately 700,000 and 600,000 total acres,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-906145</wp:posOffset>
            </wp:positionV>
            <wp:extent cx="7285990" cy="628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28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2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18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Earnings</w:t>
            </w:r>
          </w:p>
        </w:tc>
        <w:tc>
          <w:tcPr>
            <w:tcW w:w="128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6,512</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12"/>
              <w:spacing w:after="0" w:line="105" w:lineRule="exact"/>
              <w:rPr>
                <w:sz w:val="20"/>
                <w:szCs w:val="20"/>
                <w:color w:val="auto"/>
              </w:rPr>
            </w:pPr>
            <w:r>
              <w:rPr>
                <w:rFonts w:ascii="Arial" w:cs="Arial" w:eastAsia="Arial" w:hAnsi="Arial"/>
                <w:sz w:val="10"/>
                <w:szCs w:val="10"/>
                <w:color w:val="auto"/>
              </w:rPr>
              <w:t>4,122</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2,262</w:t>
            </w:r>
          </w:p>
        </w:tc>
      </w:tr>
    </w:tbl>
    <w:p>
      <w:pPr>
        <w:spacing w:after="0" w:line="26" w:lineRule="exact"/>
        <w:rPr>
          <w:sz w:val="20"/>
          <w:szCs w:val="20"/>
          <w:color w:val="auto"/>
        </w:rPr>
      </w:pPr>
    </w:p>
    <w:p>
      <w:pPr>
        <w:sectPr>
          <w:pgSz w:w="11900" w:h="16838" w:orient="portrait"/>
          <w:cols w:equalWidth="0" w:num="2">
            <w:col w:w="5500" w:space="460"/>
            <w:col w:w="5500"/>
          </w:cols>
          <w:pgMar w:left="220" w:top="339" w:right="219" w:bottom="1440" w:gutter="0" w:footer="0" w:header="0"/>
        </w:sectPr>
      </w:pPr>
    </w:p>
    <w:p>
      <w:pPr>
        <w:spacing w:after="0"/>
        <w:rPr>
          <w:sz w:val="20"/>
          <w:szCs w:val="20"/>
          <w:color w:val="auto"/>
        </w:rPr>
      </w:pPr>
      <w:r>
        <w:rPr>
          <w:rFonts w:ascii="Arial" w:cs="Arial" w:eastAsia="Arial" w:hAnsi="Arial"/>
          <w:sz w:val="12"/>
          <w:szCs w:val="12"/>
          <w:b w:val="1"/>
          <w:bCs w:val="1"/>
          <w:color w:val="auto"/>
        </w:rPr>
        <w:t>Downstream</w:t>
      </w:r>
    </w:p>
    <w:p>
      <w:pPr>
        <w:spacing w:after="0" w:line="10"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i w:val="1"/>
          <w:iCs w:val="1"/>
          <w:color w:val="E51837"/>
        </w:rPr>
        <w:t xml:space="preserve">Africa </w:t>
      </w:r>
      <w:r>
        <w:rPr>
          <w:rFonts w:ascii="Arial" w:cs="Arial" w:eastAsia="Arial" w:hAnsi="Arial"/>
          <w:sz w:val="13"/>
          <w:szCs w:val="13"/>
          <w:color w:val="000000"/>
        </w:rPr>
        <w:t>During 2011, the company completed the sale of certain marketing businesses in five countries in</w:t>
      </w:r>
      <w:r>
        <w:rPr>
          <w:rFonts w:ascii="Arial" w:cs="Arial" w:eastAsia="Arial" w:hAnsi="Arial"/>
          <w:sz w:val="13"/>
          <w:szCs w:val="13"/>
          <w:i w:val="1"/>
          <w:iCs w:val="1"/>
          <w:color w:val="E51837"/>
        </w:rPr>
        <w:t xml:space="preserve"> </w:t>
      </w:r>
      <w:r>
        <w:rPr>
          <w:rFonts w:ascii="Arial" w:cs="Arial" w:eastAsia="Arial" w:hAnsi="Arial"/>
          <w:sz w:val="13"/>
          <w:szCs w:val="13"/>
          <w:color w:val="000000"/>
        </w:rPr>
        <w:t>Africa.</w:t>
      </w:r>
    </w:p>
    <w:p>
      <w:pPr>
        <w:spacing w:after="0" w:line="1" w:lineRule="exact"/>
        <w:rPr>
          <w:sz w:val="20"/>
          <w:szCs w:val="20"/>
          <w:color w:val="auto"/>
        </w:rPr>
      </w:pPr>
    </w:p>
    <w:p>
      <w:pPr>
        <w:ind w:right="340" w:firstLine="160"/>
        <w:spacing w:after="0" w:line="246" w:lineRule="auto"/>
        <w:rPr>
          <w:sz w:val="20"/>
          <w:szCs w:val="20"/>
          <w:color w:val="auto"/>
        </w:rPr>
      </w:pPr>
      <w:r>
        <w:rPr>
          <w:rFonts w:ascii="Arial" w:cs="Arial" w:eastAsia="Arial" w:hAnsi="Arial"/>
          <w:sz w:val="13"/>
          <w:szCs w:val="13"/>
          <w:i w:val="1"/>
          <w:iCs w:val="1"/>
          <w:color w:val="E51837"/>
        </w:rPr>
        <w:t xml:space="preserve">Caribbean and Latin America </w:t>
      </w:r>
      <w:r>
        <w:rPr>
          <w:rFonts w:ascii="Arial" w:cs="Arial" w:eastAsia="Arial" w:hAnsi="Arial"/>
          <w:sz w:val="13"/>
          <w:szCs w:val="13"/>
          <w:color w:val="000000"/>
        </w:rPr>
        <w:t>In 2011, the company completed the sale of its fuels marketing and</w:t>
      </w:r>
      <w:r>
        <w:rPr>
          <w:rFonts w:ascii="Arial" w:cs="Arial" w:eastAsia="Arial" w:hAnsi="Arial"/>
          <w:sz w:val="13"/>
          <w:szCs w:val="13"/>
          <w:i w:val="1"/>
          <w:iCs w:val="1"/>
          <w:color w:val="E51837"/>
        </w:rPr>
        <w:t xml:space="preserve"> </w:t>
      </w:r>
      <w:r>
        <w:rPr>
          <w:rFonts w:ascii="Arial" w:cs="Arial" w:eastAsia="Arial" w:hAnsi="Arial"/>
          <w:sz w:val="13"/>
          <w:szCs w:val="13"/>
          <w:color w:val="000000"/>
        </w:rPr>
        <w:t>aviation businesses in 16 countries in the Caribbean and Latin America. In fourth quarter 2011, the company signed agreements to sell certain fuels marketing and aviation businesses in the Central Caribbean. The company expects to complete these sales in 2012 following receipt of required local regulatory and government approvals.</w:t>
      </w:r>
    </w:p>
    <w:p>
      <w:pPr>
        <w:spacing w:after="0" w:line="3" w:lineRule="exact"/>
        <w:rPr>
          <w:sz w:val="20"/>
          <w:szCs w:val="20"/>
          <w:color w:val="auto"/>
        </w:rPr>
      </w:pPr>
    </w:p>
    <w:p>
      <w:pPr>
        <w:ind w:right="300" w:firstLine="160"/>
        <w:spacing w:after="0" w:line="246" w:lineRule="auto"/>
        <w:rPr>
          <w:sz w:val="20"/>
          <w:szCs w:val="20"/>
          <w:color w:val="auto"/>
        </w:rPr>
      </w:pPr>
      <w:r>
        <w:rPr>
          <w:rFonts w:ascii="Arial" w:cs="Arial" w:eastAsia="Arial" w:hAnsi="Arial"/>
          <w:sz w:val="13"/>
          <w:szCs w:val="13"/>
          <w:i w:val="1"/>
          <w:iCs w:val="1"/>
          <w:color w:val="E51837"/>
        </w:rPr>
        <w:t xml:space="preserve">Europe </w:t>
      </w:r>
      <w:r>
        <w:rPr>
          <w:rFonts w:ascii="Arial" w:cs="Arial" w:eastAsia="Arial" w:hAnsi="Arial"/>
          <w:sz w:val="13"/>
          <w:szCs w:val="13"/>
          <w:color w:val="000000"/>
        </w:rPr>
        <w:t>In August 2011, the company completed the sale of its refining and marketing assets in the</w:t>
      </w:r>
      <w:r>
        <w:rPr>
          <w:rFonts w:ascii="Arial" w:cs="Arial" w:eastAsia="Arial" w:hAnsi="Arial"/>
          <w:sz w:val="13"/>
          <w:szCs w:val="13"/>
          <w:i w:val="1"/>
          <w:iCs w:val="1"/>
          <w:color w:val="E51837"/>
        </w:rPr>
        <w:t xml:space="preserve"> </w:t>
      </w:r>
      <w:r>
        <w:rPr>
          <w:rFonts w:ascii="Arial" w:cs="Arial" w:eastAsia="Arial" w:hAnsi="Arial"/>
          <w:sz w:val="13"/>
          <w:szCs w:val="13"/>
          <w:color w:val="000000"/>
        </w:rPr>
        <w:t>United Kingdom and Ireland, including the Pembroke Refinery.</w:t>
      </w:r>
    </w:p>
    <w:p>
      <w:pPr>
        <w:spacing w:after="0" w:line="1"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i w:val="1"/>
          <w:iCs w:val="1"/>
          <w:color w:val="E51837"/>
        </w:rPr>
        <w:t xml:space="preserve">Singapore </w:t>
      </w:r>
      <w:r>
        <w:rPr>
          <w:rFonts w:ascii="Arial" w:cs="Arial" w:eastAsia="Arial" w:hAnsi="Arial"/>
          <w:sz w:val="13"/>
          <w:szCs w:val="13"/>
          <w:color w:val="000000"/>
        </w:rPr>
        <w:t>In February 2012, the company reached a final investment decision to significantly increase</w:t>
      </w:r>
      <w:r>
        <w:rPr>
          <w:rFonts w:ascii="Arial" w:cs="Arial" w:eastAsia="Arial" w:hAnsi="Arial"/>
          <w:sz w:val="13"/>
          <w:szCs w:val="13"/>
          <w:i w:val="1"/>
          <w:iCs w:val="1"/>
          <w:color w:val="E51837"/>
        </w:rPr>
        <w:t xml:space="preserve"> </w:t>
      </w:r>
      <w:r>
        <w:rPr>
          <w:rFonts w:ascii="Arial" w:cs="Arial" w:eastAsia="Arial" w:hAnsi="Arial"/>
          <w:sz w:val="13"/>
          <w:szCs w:val="13"/>
          <w:color w:val="000000"/>
        </w:rPr>
        <w:t>the capacity of the existing additives plant in Singapore.</w:t>
      </w:r>
    </w:p>
    <w:p>
      <w:pPr>
        <w:spacing w:after="0" w:line="1" w:lineRule="exact"/>
        <w:rPr>
          <w:sz w:val="20"/>
          <w:szCs w:val="20"/>
          <w:color w:val="auto"/>
        </w:rPr>
      </w:pPr>
    </w:p>
    <w:p>
      <w:pPr>
        <w:ind w:right="20" w:firstLine="160"/>
        <w:spacing w:after="0" w:line="281" w:lineRule="auto"/>
        <w:rPr>
          <w:sz w:val="20"/>
          <w:szCs w:val="20"/>
          <w:color w:val="auto"/>
        </w:rPr>
      </w:pPr>
      <w:r>
        <w:rPr>
          <w:rFonts w:ascii="Arial" w:cs="Arial" w:eastAsia="Arial" w:hAnsi="Arial"/>
          <w:sz w:val="12"/>
          <w:szCs w:val="12"/>
          <w:i w:val="1"/>
          <w:iCs w:val="1"/>
          <w:color w:val="E51837"/>
        </w:rPr>
        <w:t xml:space="preserve">United States </w:t>
      </w:r>
      <w:r>
        <w:rPr>
          <w:rFonts w:ascii="Arial" w:cs="Arial" w:eastAsia="Arial" w:hAnsi="Arial"/>
          <w:sz w:val="12"/>
          <w:szCs w:val="12"/>
          <w:color w:val="000000"/>
        </w:rPr>
        <w:t>In January 2011, the company announced the final investment decision on a $1.4 billion</w:t>
      </w:r>
      <w:r>
        <w:rPr>
          <w:rFonts w:ascii="Arial" w:cs="Arial" w:eastAsia="Arial" w:hAnsi="Arial"/>
          <w:sz w:val="12"/>
          <w:szCs w:val="12"/>
          <w:i w:val="1"/>
          <w:iCs w:val="1"/>
          <w:color w:val="E51837"/>
        </w:rPr>
        <w:t xml:space="preserve"> </w:t>
      </w:r>
      <w:r>
        <w:rPr>
          <w:rFonts w:ascii="Arial" w:cs="Arial" w:eastAsia="Arial" w:hAnsi="Arial"/>
          <w:sz w:val="12"/>
          <w:szCs w:val="12"/>
          <w:color w:val="000000"/>
        </w:rPr>
        <w:t>project to construct a base oil manufacturing facility at the Pascagoula, Mississippi, refinery. The facility is expected to produce approximately 25,000 barrels per day of premium base oil.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0" w:lineRule="exact"/>
        <w:rPr>
          <w:sz w:val="20"/>
          <w:szCs w:val="20"/>
          <w:color w:val="auto"/>
        </w:rPr>
      </w:pPr>
    </w:p>
    <w:p>
      <w:pPr>
        <w:jc w:val="both"/>
        <w:ind w:right="160"/>
        <w:spacing w:after="0" w:line="245" w:lineRule="auto"/>
        <w:rPr>
          <w:sz w:val="20"/>
          <w:szCs w:val="20"/>
          <w:color w:val="auto"/>
        </w:rPr>
      </w:pPr>
      <w:r>
        <w:rPr>
          <w:rFonts w:ascii="Arial" w:cs="Arial" w:eastAsia="Arial" w:hAnsi="Arial"/>
          <w:sz w:val="13"/>
          <w:szCs w:val="13"/>
          <w:i w:val="1"/>
          <w:iCs w:val="1"/>
          <w:color w:val="E51837"/>
        </w:rPr>
        <w:t xml:space="preserve">Common Stock Dividends </w:t>
      </w:r>
      <w:r>
        <w:rPr>
          <w:rFonts w:ascii="Arial" w:cs="Arial" w:eastAsia="Arial" w:hAnsi="Arial"/>
          <w:sz w:val="13"/>
          <w:szCs w:val="13"/>
          <w:color w:val="000000"/>
        </w:rPr>
        <w:t>The quarterly common stock dividend increased by 8.3 percent in April 2011</w:t>
      </w:r>
      <w:r>
        <w:rPr>
          <w:rFonts w:ascii="Arial" w:cs="Arial" w:eastAsia="Arial" w:hAnsi="Arial"/>
          <w:sz w:val="13"/>
          <w:szCs w:val="13"/>
          <w:i w:val="1"/>
          <w:iCs w:val="1"/>
          <w:color w:val="E51837"/>
        </w:rPr>
        <w:t xml:space="preserve"> </w:t>
      </w:r>
      <w:r>
        <w:rPr>
          <w:rFonts w:ascii="Arial" w:cs="Arial" w:eastAsia="Arial" w:hAnsi="Arial"/>
          <w:sz w:val="13"/>
          <w:szCs w:val="13"/>
          <w:color w:val="000000"/>
        </w:rPr>
        <w:t>and by 3.8 percent in October 2011, to $0.81 per common share, making 2011 the 24th consecutive year that the company increased its annual dividend payment.</w:t>
      </w:r>
    </w:p>
    <w:p>
      <w:pPr>
        <w:spacing w:after="0" w:line="2" w:lineRule="exact"/>
        <w:rPr>
          <w:sz w:val="20"/>
          <w:szCs w:val="20"/>
          <w:color w:val="auto"/>
        </w:rPr>
      </w:pPr>
    </w:p>
    <w:p>
      <w:pPr>
        <w:jc w:val="both"/>
        <w:ind w:right="260" w:firstLine="160"/>
        <w:spacing w:after="0" w:line="250" w:lineRule="auto"/>
        <w:rPr>
          <w:sz w:val="20"/>
          <w:szCs w:val="20"/>
          <w:color w:val="auto"/>
        </w:rPr>
      </w:pPr>
      <w:r>
        <w:rPr>
          <w:rFonts w:ascii="Arial" w:cs="Arial" w:eastAsia="Arial" w:hAnsi="Arial"/>
          <w:sz w:val="13"/>
          <w:szCs w:val="13"/>
          <w:i w:val="1"/>
          <w:iCs w:val="1"/>
          <w:color w:val="E51837"/>
        </w:rPr>
        <w:t xml:space="preserve">Common Stock Repurchase Program </w:t>
      </w:r>
      <w:r>
        <w:rPr>
          <w:rFonts w:ascii="Arial" w:cs="Arial" w:eastAsia="Arial" w:hAnsi="Arial"/>
          <w:sz w:val="13"/>
          <w:szCs w:val="13"/>
          <w:color w:val="000000"/>
        </w:rPr>
        <w:t>The company purchased $4.25 billion of its common stock in</w:t>
      </w:r>
      <w:r>
        <w:rPr>
          <w:rFonts w:ascii="Arial" w:cs="Arial" w:eastAsia="Arial" w:hAnsi="Arial"/>
          <w:sz w:val="13"/>
          <w:szCs w:val="13"/>
          <w:i w:val="1"/>
          <w:iCs w:val="1"/>
          <w:color w:val="E51837"/>
        </w:rPr>
        <w:t xml:space="preserve"> </w:t>
      </w:r>
      <w:r>
        <w:rPr>
          <w:rFonts w:ascii="Arial" w:cs="Arial" w:eastAsia="Arial" w:hAnsi="Arial"/>
          <w:sz w:val="13"/>
          <w:szCs w:val="13"/>
          <w:color w:val="000000"/>
        </w:rPr>
        <w:t>2011 under its share repurchase program. The program began in 2010 and has no set term or monetary limits.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Results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i w:val="1"/>
          <w:iCs w:val="1"/>
          <w:color w:val="E51837"/>
        </w:rPr>
        <w:t xml:space="preserve">Major Operating Areas </w:t>
      </w:r>
      <w:r>
        <w:rPr>
          <w:rFonts w:ascii="Arial" w:cs="Arial" w:eastAsia="Arial" w:hAnsi="Arial"/>
          <w:sz w:val="11"/>
          <w:szCs w:val="11"/>
          <w:color w:val="000000"/>
        </w:rPr>
        <w:t>The following section presents the results of operations for the company’s business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segments – Upstream and Downstream – as well as for “All Other.” Earnings are also presented for the</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U.S. and international geographic areas of the Upstream and Downstream business segments. (Refer to</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Note 11, beginning on page FS-37, for a discussion of the company’s “reportable segments,” as defined in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accounting standards for segment reporting (Accounting Standards Codification (ASC) 280). This section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should also be read in conjunction with the discussion in “Business Environment and Outlook” on pages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FS-2</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through FS-5.</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340" w:right="40" w:firstLine="160"/>
        <w:spacing w:after="0" w:line="250" w:lineRule="auto"/>
        <w:rPr>
          <w:sz w:val="20"/>
          <w:szCs w:val="20"/>
          <w:color w:val="auto"/>
        </w:rPr>
      </w:pPr>
      <w:r>
        <w:rPr>
          <w:rFonts w:ascii="Arial" w:cs="Arial" w:eastAsia="Arial" w:hAnsi="Arial"/>
          <w:sz w:val="13"/>
          <w:szCs w:val="13"/>
          <w:color w:val="auto"/>
        </w:rPr>
        <w:t>U.S. upstream earnings of $6.51 billion in 2011 increased $2.4 billion from 2010. The benefit of higher crude oil realizations increased earnings by $2.8 billion between periods. Partly offsetting this effect were lower net oil-equivalent production which decreased earnings by about $400 million and higher operating expenses of $200 million.</w:t>
      </w:r>
    </w:p>
    <w:p>
      <w:pPr>
        <w:spacing w:after="0" w:line="1" w:lineRule="exact"/>
        <w:rPr>
          <w:sz w:val="20"/>
          <w:szCs w:val="20"/>
          <w:color w:val="auto"/>
        </w:rPr>
      </w:pPr>
    </w:p>
    <w:p>
      <w:pPr>
        <w:ind w:left="340" w:firstLine="160"/>
        <w:spacing w:after="0" w:line="291" w:lineRule="auto"/>
        <w:rPr>
          <w:sz w:val="20"/>
          <w:szCs w:val="20"/>
          <w:color w:val="auto"/>
        </w:rPr>
      </w:pPr>
      <w:r>
        <w:rPr>
          <w:rFonts w:ascii="Arial" w:cs="Arial" w:eastAsia="Arial" w:hAnsi="Arial"/>
          <w:sz w:val="11"/>
          <w:szCs w:val="11"/>
          <w:color w:val="auto"/>
        </w:rPr>
        <w:t>U.S. upstream earnings of $4.1 billion in 2010 increased $1.9 billion from 2009. Higher prices for crude oil and natural gas increased earnings by $2.1 billion between periods. Partly offsetting these effects were higher operating expenses of $200 million, in part due to the Gulf of Mexico drilling moratorium. Lower exploration expenses were essentially offset by higher tax items and higher depreciation expenses.</w:t>
      </w:r>
    </w:p>
    <w:p>
      <w:pPr>
        <w:spacing w:after="0" w:line="2" w:lineRule="exact"/>
        <w:rPr>
          <w:sz w:val="20"/>
          <w:szCs w:val="20"/>
          <w:color w:val="auto"/>
        </w:rPr>
      </w:pPr>
    </w:p>
    <w:p>
      <w:pPr>
        <w:ind w:left="340" w:right="140" w:firstLine="158"/>
        <w:spacing w:after="0" w:line="291" w:lineRule="auto"/>
        <w:rPr>
          <w:sz w:val="20"/>
          <w:szCs w:val="20"/>
          <w:color w:val="auto"/>
        </w:rPr>
      </w:pPr>
      <w:r>
        <w:rPr>
          <w:rFonts w:ascii="Arial" w:cs="Arial" w:eastAsia="Arial" w:hAnsi="Arial"/>
          <w:sz w:val="11"/>
          <w:szCs w:val="11"/>
          <w:color w:val="auto"/>
        </w:rPr>
        <w:t>The company’s average realization for U.S. crude oil and natural gas liquids in 2011 was $97.51 per barrel, compared with $71.59 in 2010 and $54.36 in 2009. The average natural gas realization was $4.04 per thousand cubic feet in 2011, compared with $4.26 and $3.73 in 2010 and 2009, respectively.</w:t>
      </w:r>
    </w:p>
    <w:p>
      <w:pPr>
        <w:spacing w:after="0" w:line="1" w:lineRule="exact"/>
        <w:rPr>
          <w:sz w:val="20"/>
          <w:szCs w:val="20"/>
          <w:color w:val="auto"/>
        </w:rPr>
      </w:pPr>
    </w:p>
    <w:p>
      <w:pPr>
        <w:ind w:left="340" w:firstLine="160"/>
        <w:spacing w:after="0" w:line="248" w:lineRule="auto"/>
        <w:rPr>
          <w:sz w:val="20"/>
          <w:szCs w:val="20"/>
          <w:color w:val="auto"/>
        </w:rPr>
      </w:pPr>
      <w:r>
        <w:rPr>
          <w:rFonts w:ascii="Arial" w:cs="Arial" w:eastAsia="Arial" w:hAnsi="Arial"/>
          <w:sz w:val="13"/>
          <w:szCs w:val="13"/>
          <w:color w:val="auto"/>
        </w:rPr>
        <w:t>Net oil-equivalent production in 2011 averaged 678,000 barrels per day, down 4 percent from 2010 and 5 percent from 2009. Between 2011 and 2010, the decrease in production was associated with normal field declines and maintenance-related downtime. Partially offsetting this decrease were new production from acquisitions in the Marcellus Shale and increases at the Perdido project in the Gulf of Mexico. Natural field declines between 2010 and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65405</wp:posOffset>
            </wp:positionV>
            <wp:extent cx="2361565" cy="1903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615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FS-6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20"/>
            <w:col w:w="5840"/>
          </w:cols>
          <w:pgMar w:left="220" w:top="339" w:right="219" w:bottom="1440" w:gutter="0" w:footer="0" w:header="0"/>
          <w:type w:val="continuous"/>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6" w:lineRule="exact"/>
        <w:rPr>
          <w:sz w:val="20"/>
          <w:szCs w:val="20"/>
          <w:color w:val="auto"/>
        </w:rPr>
      </w:pPr>
    </w:p>
    <w:p>
      <w:pPr>
        <w:spacing w:after="0" w:line="297" w:lineRule="auto"/>
        <w:rPr>
          <w:sz w:val="20"/>
          <w:szCs w:val="20"/>
          <w:color w:val="auto"/>
        </w:rPr>
      </w:pPr>
      <w:r>
        <w:rPr>
          <w:rFonts w:ascii="Arial" w:cs="Arial" w:eastAsia="Arial" w:hAnsi="Arial"/>
          <w:sz w:val="11"/>
          <w:szCs w:val="11"/>
          <w:color w:val="auto"/>
        </w:rPr>
        <w:t>mostly offset by increased production from the Tahiti Field. The net liquids component of oil-equivalent production for 2011 averaged 465,000 barrels per day, down 5 percent from 2010 and 4 percent from 2009. Net natural gas production averaged about 1.3 billion cubic feet per day in 2011, down approximately</w:t>
      </w:r>
    </w:p>
    <w:p>
      <w:pPr>
        <w:ind w:right="60"/>
        <w:spacing w:after="0" w:line="253" w:lineRule="auto"/>
        <w:rPr>
          <w:sz w:val="20"/>
          <w:szCs w:val="20"/>
          <w:color w:val="auto"/>
        </w:rPr>
      </w:pPr>
      <w:r>
        <w:rPr>
          <w:rFonts w:ascii="Arial" w:cs="Arial" w:eastAsia="Arial" w:hAnsi="Arial"/>
          <w:sz w:val="13"/>
          <w:szCs w:val="13"/>
          <w:color w:val="auto"/>
        </w:rPr>
        <w:t>3 percent from 2010 and about 9 percent from 2009. Refer to the “Selected Operating Data” table on page FS-10 for a three-year comparative of production volumes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International Upstream</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8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560" w:type="dxa"/>
            <w:vAlign w:val="bottom"/>
            <w:tcBorders>
              <w:bottom w:val="single" w:sz="8" w:color="0077C0"/>
            </w:tcBorders>
          </w:tcPr>
          <w:p>
            <w:pPr>
              <w:jc w:val="right"/>
              <w:ind w:right="213"/>
              <w:spacing w:after="0"/>
              <w:rPr>
                <w:sz w:val="20"/>
                <w:szCs w:val="20"/>
                <w:color w:val="auto"/>
              </w:rPr>
            </w:pPr>
            <w:r>
              <w:rPr>
                <w:rFonts w:ascii="Arial" w:cs="Arial" w:eastAsia="Arial" w:hAnsi="Arial"/>
                <w:sz w:val="9"/>
                <w:szCs w:val="9"/>
                <w:b w:val="1"/>
                <w:bCs w:val="1"/>
                <w:color w:val="auto"/>
              </w:rPr>
              <w:t>2011</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233"/>
              <w:spacing w:after="0"/>
              <w:rPr>
                <w:sz w:val="20"/>
                <w:szCs w:val="20"/>
                <w:color w:val="auto"/>
              </w:rPr>
            </w:pPr>
            <w:r>
              <w:rPr>
                <w:rFonts w:ascii="Arial" w:cs="Arial" w:eastAsia="Arial" w:hAnsi="Arial"/>
                <w:sz w:val="9"/>
                <w:szCs w:val="9"/>
                <w:color w:val="auto"/>
              </w:rPr>
              <w:t>2010</w:t>
            </w:r>
          </w:p>
        </w:tc>
        <w:tc>
          <w:tcPr>
            <w:tcW w:w="38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20" w:type="dxa"/>
            <w:vAlign w:val="bottom"/>
          </w:tcPr>
          <w:p>
            <w:pPr>
              <w:spacing w:after="0"/>
              <w:rPr>
                <w:sz w:val="9"/>
                <w:szCs w:val="9"/>
                <w:color w:val="auto"/>
              </w:rPr>
            </w:pPr>
          </w:p>
        </w:tc>
      </w:tr>
      <w:tr>
        <w:trPr>
          <w:trHeight w:val="114"/>
        </w:trPr>
        <w:tc>
          <w:tcPr>
            <w:tcW w:w="20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Earnings*</w:t>
            </w:r>
          </w:p>
        </w:tc>
        <w:tc>
          <w:tcPr>
            <w:tcW w:w="1560" w:type="dxa"/>
            <w:vAlign w:val="bottom"/>
            <w:tcBorders>
              <w:bottom w:val="single" w:sz="8" w:color="0077C0"/>
              <w:right w:val="single" w:sz="8" w:color="0077C0"/>
            </w:tcBorders>
          </w:tcPr>
          <w:p>
            <w:pPr>
              <w:jc w:val="right"/>
              <w:ind w:right="213"/>
              <w:spacing w:after="0" w:line="105" w:lineRule="exact"/>
              <w:rPr>
                <w:sz w:val="20"/>
                <w:szCs w:val="20"/>
                <w:color w:val="auto"/>
              </w:rPr>
            </w:pPr>
            <w:r>
              <w:rPr>
                <w:rFonts w:ascii="Arial" w:cs="Arial" w:eastAsia="Arial" w:hAnsi="Arial"/>
                <w:sz w:val="10"/>
                <w:szCs w:val="10"/>
                <w:b w:val="1"/>
                <w:bCs w:val="1"/>
                <w:color w:val="auto"/>
              </w:rPr>
              <w:t>$  18,274</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233"/>
              <w:spacing w:after="0" w:line="105" w:lineRule="exact"/>
              <w:rPr>
                <w:sz w:val="20"/>
                <w:szCs w:val="20"/>
                <w:color w:val="auto"/>
              </w:rPr>
            </w:pPr>
            <w:r>
              <w:rPr>
                <w:rFonts w:ascii="Arial" w:cs="Arial" w:eastAsia="Arial" w:hAnsi="Arial"/>
                <w:sz w:val="10"/>
                <w:szCs w:val="10"/>
                <w:color w:val="auto"/>
              </w:rPr>
              <w:t>13,555</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8,670</w:t>
            </w:r>
          </w:p>
        </w:tc>
        <w:tc>
          <w:tcPr>
            <w:tcW w:w="20" w:type="dxa"/>
            <w:vAlign w:val="bottom"/>
          </w:tcPr>
          <w:p>
            <w:pPr>
              <w:spacing w:after="0"/>
              <w:rPr>
                <w:sz w:val="9"/>
                <w:szCs w:val="9"/>
                <w:color w:val="auto"/>
              </w:rPr>
            </w:pPr>
          </w:p>
        </w:tc>
      </w:tr>
      <w:tr>
        <w:trPr>
          <w:trHeight w:val="151"/>
        </w:trPr>
        <w:tc>
          <w:tcPr>
            <w:tcW w:w="2080" w:type="dxa"/>
            <w:vAlign w:val="bottom"/>
          </w:tcPr>
          <w:p>
            <w:pPr>
              <w:spacing w:after="0"/>
              <w:rPr>
                <w:sz w:val="20"/>
                <w:szCs w:val="20"/>
                <w:color w:val="auto"/>
              </w:rPr>
            </w:pPr>
            <w:r>
              <w:rPr>
                <w:rFonts w:ascii="Arial" w:cs="Arial" w:eastAsia="Arial" w:hAnsi="Arial"/>
                <w:sz w:val="9"/>
                <w:szCs w:val="9"/>
                <w:color w:val="auto"/>
              </w:rPr>
              <w:t>*Includes foreign currency effects:</w:t>
            </w:r>
          </w:p>
        </w:tc>
        <w:tc>
          <w:tcPr>
            <w:tcW w:w="1560" w:type="dxa"/>
            <w:vAlign w:val="bottom"/>
          </w:tcPr>
          <w:p>
            <w:pPr>
              <w:jc w:val="right"/>
              <w:ind w:right="213"/>
              <w:spacing w:after="0"/>
              <w:rPr>
                <w:sz w:val="20"/>
                <w:szCs w:val="20"/>
                <w:color w:val="auto"/>
              </w:rPr>
            </w:pPr>
            <w:r>
              <w:rPr>
                <w:rFonts w:ascii="Arial" w:cs="Arial" w:eastAsia="Arial" w:hAnsi="Arial"/>
                <w:sz w:val="9"/>
                <w:szCs w:val="9"/>
                <w:b w:val="1"/>
                <w:bCs w:val="1"/>
                <w:color w:val="auto"/>
              </w:rPr>
              <w:t>$ 211</w:t>
            </w:r>
          </w:p>
        </w:tc>
        <w:tc>
          <w:tcPr>
            <w:tcW w:w="380" w:type="dxa"/>
            <w:vAlign w:val="bottom"/>
          </w:tcPr>
          <w:p>
            <w:pPr>
              <w:spacing w:after="0"/>
              <w:rPr>
                <w:sz w:val="13"/>
                <w:szCs w:val="13"/>
                <w:color w:val="auto"/>
              </w:rPr>
            </w:pPr>
          </w:p>
        </w:tc>
        <w:tc>
          <w:tcPr>
            <w:tcW w:w="660" w:type="dxa"/>
            <w:vAlign w:val="bottom"/>
          </w:tcPr>
          <w:p>
            <w:pPr>
              <w:jc w:val="right"/>
              <w:ind w:right="193"/>
              <w:spacing w:after="0"/>
              <w:rPr>
                <w:sz w:val="20"/>
                <w:szCs w:val="20"/>
                <w:color w:val="auto"/>
              </w:rPr>
            </w:pPr>
            <w:r>
              <w:rPr>
                <w:rFonts w:ascii="Arial" w:cs="Arial" w:eastAsia="Arial" w:hAnsi="Arial"/>
                <w:sz w:val="9"/>
                <w:szCs w:val="9"/>
                <w:color w:val="auto"/>
              </w:rPr>
              <w:t>$  (293)</w:t>
            </w:r>
          </w:p>
        </w:tc>
        <w:tc>
          <w:tcPr>
            <w:tcW w:w="3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9"/>
                <w:szCs w:val="9"/>
                <w:color w:val="auto"/>
              </w:rPr>
              <w:t>$ (578)</w:t>
            </w:r>
          </w:p>
        </w:tc>
      </w:tr>
    </w:tbl>
    <w:p>
      <w:pPr>
        <w:spacing w:after="0" w:line="61" w:lineRule="exact"/>
        <w:rPr>
          <w:sz w:val="20"/>
          <w:szCs w:val="20"/>
          <w:color w:val="auto"/>
        </w:rPr>
      </w:pPr>
    </w:p>
    <w:p>
      <w:pPr>
        <w:ind w:firstLine="160"/>
        <w:spacing w:after="0" w:line="295" w:lineRule="auto"/>
        <w:rPr>
          <w:sz w:val="20"/>
          <w:szCs w:val="20"/>
          <w:color w:val="auto"/>
        </w:rPr>
      </w:pPr>
      <w:r>
        <w:rPr>
          <w:rFonts w:ascii="Arial" w:cs="Arial" w:eastAsia="Arial" w:hAnsi="Arial"/>
          <w:sz w:val="11"/>
          <w:szCs w:val="11"/>
          <w:color w:val="auto"/>
        </w:rPr>
        <w:t>International upstream earnings of $18.3 billion in 2011 increased $4.7 billion from 2010. Higher prices for crude oil increased earnings by $7.1 billion. This benefit was partly offset by higher tax items of about $1.7 billion and higher operating expenses, including fuel, of about $1.0 billion. Foreign currency effects increased earnings by $211 million in 2011, compared with a decrease of $293 million a year earlier.</w:t>
      </w:r>
    </w:p>
    <w:p>
      <w:pPr>
        <w:spacing w:after="0" w:line="2" w:lineRule="exact"/>
        <w:rPr>
          <w:sz w:val="20"/>
          <w:szCs w:val="20"/>
          <w:color w:val="auto"/>
        </w:rPr>
      </w:pPr>
    </w:p>
    <w:p>
      <w:pPr>
        <w:ind w:right="40" w:firstLine="160"/>
        <w:spacing w:after="0" w:line="291" w:lineRule="auto"/>
        <w:rPr>
          <w:sz w:val="20"/>
          <w:szCs w:val="20"/>
          <w:color w:val="auto"/>
        </w:rPr>
      </w:pPr>
      <w:r>
        <w:rPr>
          <w:rFonts w:ascii="Arial" w:cs="Arial" w:eastAsia="Arial" w:hAnsi="Arial"/>
          <w:sz w:val="11"/>
          <w:szCs w:val="11"/>
          <w:color w:val="auto"/>
        </w:rPr>
        <w:t>Earnings of $13.6 billion in 2010 increased $4.9 billion from 2009. Higher prices for crude oil and natural gas increased earnings by $4.3 billion, and an increase in net oil-equivalent production in the 2010 period benefited income by about $1.2 billion. This net benefit was partly offset by higher operating expenses of $500 million. A favorable change in tax items of about $450 million was mostly offset by higher depreciation expenses. The 2009 period included gains of about $500 million on asset sales and tax items related to the Gorgon Project in Australia. Foreign currency effects decreased earnings by</w:t>
      </w:r>
    </w:p>
    <w:p>
      <w:pPr>
        <w:spacing w:after="0" w:line="2" w:lineRule="exact"/>
        <w:rPr>
          <w:sz w:val="20"/>
          <w:szCs w:val="20"/>
          <w:color w:val="auto"/>
        </w:rPr>
      </w:pPr>
    </w:p>
    <w:p>
      <w:pPr>
        <w:ind w:right="360"/>
        <w:spacing w:after="0" w:line="246" w:lineRule="auto"/>
        <w:rPr>
          <w:sz w:val="20"/>
          <w:szCs w:val="20"/>
          <w:color w:val="auto"/>
        </w:rPr>
      </w:pPr>
      <w:r>
        <w:rPr>
          <w:rFonts w:ascii="Arial" w:cs="Arial" w:eastAsia="Arial" w:hAnsi="Arial"/>
          <w:sz w:val="13"/>
          <w:szCs w:val="13"/>
          <w:color w:val="auto"/>
        </w:rPr>
        <w:t>$293 million in the 2010 period, compared with a reduction of $578 million a year earlier, primarily reflecting noncash losses on balance sheet remeasurement.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company’s average realization for international crude oil and natural gas liquids in 2011 was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$101.53 per barrel, compared with $72.68 in 2010 and $55.97 in 2009. The average natural gas realization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was $5.39 per thousand cubic feet in 2011, compared with $4.64 and $4.01 in 2010 and 2009, respectively.</w:t>
      </w:r>
    </w:p>
    <w:p>
      <w:pPr>
        <w:spacing w:after="0" w:line="27" w:lineRule="exact"/>
        <w:rPr>
          <w:sz w:val="20"/>
          <w:szCs w:val="20"/>
          <w:color w:val="auto"/>
        </w:rPr>
      </w:pPr>
    </w:p>
    <w:p>
      <w:pPr>
        <w:ind w:right="60" w:firstLine="160"/>
        <w:spacing w:after="0" w:line="267" w:lineRule="auto"/>
        <w:rPr>
          <w:sz w:val="20"/>
          <w:szCs w:val="20"/>
          <w:color w:val="auto"/>
        </w:rPr>
      </w:pPr>
      <w:r>
        <w:rPr>
          <w:rFonts w:ascii="Arial" w:cs="Arial" w:eastAsia="Arial" w:hAnsi="Arial"/>
          <w:sz w:val="12"/>
          <w:szCs w:val="12"/>
          <w:color w:val="auto"/>
        </w:rPr>
        <w:t>International net oil-equivalent production of 2.0 million barrels per day in 2011 decreased about 3 percent from 2010 and remained relatively flat with 2009. The volumes in 2011 and 2010 include synthetic oil that was reported in 2009 as production from oil sands in Canada. Absent price effects on entitlement volumes, net oil-equivalent production decreased 1 percent in 2011 and increased 5 percent in 2010, when compared with the prior year’s production.</w:t>
      </w:r>
    </w:p>
    <w:p>
      <w:pPr>
        <w:spacing w:after="0" w:line="1" w:lineRule="exact"/>
        <w:rPr>
          <w:sz w:val="20"/>
          <w:szCs w:val="20"/>
          <w:color w:val="auto"/>
        </w:rPr>
      </w:pPr>
    </w:p>
    <w:p>
      <w:pPr>
        <w:jc w:val="both"/>
        <w:ind w:right="60" w:firstLine="158"/>
        <w:spacing w:after="0" w:line="249" w:lineRule="auto"/>
        <w:rPr>
          <w:sz w:val="20"/>
          <w:szCs w:val="20"/>
          <w:color w:val="auto"/>
        </w:rPr>
      </w:pPr>
      <w:r>
        <w:rPr>
          <w:rFonts w:ascii="Arial" w:cs="Arial" w:eastAsia="Arial" w:hAnsi="Arial"/>
          <w:sz w:val="13"/>
          <w:szCs w:val="13"/>
          <w:color w:val="auto"/>
        </w:rPr>
        <w:t>The net liquids component of international oil-equivalent production was about 1.4 million barrels per day in 2011, a decrease of approximately 3 percent from 2010 and an increase of approximately 2 percent from 2009. International net natural gas production of 3.7 billion cubic feet per day in 2011 was down 2 percent from 2010 and up 2 percent from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340" w:right="560" w:firstLine="160"/>
        <w:spacing w:after="0" w:line="267" w:lineRule="auto"/>
        <w:rPr>
          <w:sz w:val="20"/>
          <w:szCs w:val="20"/>
          <w:color w:val="auto"/>
        </w:rPr>
      </w:pPr>
      <w:r>
        <w:rPr>
          <w:rFonts w:ascii="Arial" w:cs="Arial" w:eastAsia="Arial" w:hAnsi="Arial"/>
          <w:sz w:val="13"/>
          <w:szCs w:val="13"/>
          <w:color w:val="auto"/>
        </w:rPr>
        <w:t>Refer to the “Selected Operating Data” table, on page FS-10, for a three-year comparative of international production volumes.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U.S. Downstream</w:t>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184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80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4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r>
      <w:tr>
        <w:trPr>
          <w:trHeight w:val="114"/>
        </w:trPr>
        <w:tc>
          <w:tcPr>
            <w:tcW w:w="1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Earnings</w:t>
            </w:r>
          </w:p>
        </w:tc>
        <w:tc>
          <w:tcPr>
            <w:tcW w:w="180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  1,506</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12"/>
              <w:spacing w:after="0" w:line="105" w:lineRule="exact"/>
              <w:rPr>
                <w:sz w:val="20"/>
                <w:szCs w:val="20"/>
                <w:color w:val="auto"/>
              </w:rPr>
            </w:pPr>
            <w:r>
              <w:rPr>
                <w:rFonts w:ascii="Arial" w:cs="Arial" w:eastAsia="Arial" w:hAnsi="Arial"/>
                <w:sz w:val="10"/>
                <w:szCs w:val="10"/>
                <w:color w:val="auto"/>
              </w:rPr>
              <w:t>1,339</w:t>
            </w:r>
          </w:p>
        </w:tc>
        <w:tc>
          <w:tcPr>
            <w:tcW w:w="4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(121)</w:t>
            </w:r>
          </w:p>
        </w:tc>
        <w:tc>
          <w:tcPr>
            <w:tcW w:w="40" w:type="dxa"/>
            <w:vAlign w:val="bottom"/>
          </w:tcPr>
          <w:p>
            <w:pPr>
              <w:spacing w:after="0"/>
              <w:rPr>
                <w:sz w:val="9"/>
                <w:szCs w:val="9"/>
                <w:color w:val="auto"/>
              </w:rPr>
            </w:pPr>
          </w:p>
        </w:tc>
      </w:tr>
    </w:tbl>
    <w:p>
      <w:pPr>
        <w:spacing w:after="0" w:line="78" w:lineRule="exact"/>
        <w:rPr>
          <w:sz w:val="20"/>
          <w:szCs w:val="20"/>
          <w:color w:val="auto"/>
        </w:rPr>
      </w:pPr>
    </w:p>
    <w:p>
      <w:pPr>
        <w:ind w:left="340" w:right="40" w:firstLine="160"/>
        <w:spacing w:after="0" w:line="249" w:lineRule="auto"/>
        <w:rPr>
          <w:sz w:val="20"/>
          <w:szCs w:val="20"/>
          <w:color w:val="auto"/>
        </w:rPr>
      </w:pPr>
      <w:r>
        <w:rPr>
          <w:rFonts w:ascii="Arial" w:cs="Arial" w:eastAsia="Arial" w:hAnsi="Arial"/>
          <w:sz w:val="13"/>
          <w:szCs w:val="13"/>
          <w:color w:val="auto"/>
        </w:rPr>
        <w:t>U.S. downstream operations earned $1.5 billion in 2011, compared with $1.3 billion in 2010. Earnings benefited by $300 million from improved margins on refined products, $200 million from higher earnings from the 50 percent-owned Chevron Phillips Chemical Company LLC (CPChem), and $50 million from the absence of 2010 charges related to employee reductions. These benefits were partly offset by the absence of a $400 million gain on the sale of the company’s ownership interest in the Colonial Pipeline Company recognized in 2010.</w:t>
      </w:r>
    </w:p>
    <w:p>
      <w:pPr>
        <w:ind w:left="340" w:right="80" w:firstLine="160"/>
        <w:spacing w:after="0" w:line="246" w:lineRule="auto"/>
        <w:rPr>
          <w:sz w:val="20"/>
          <w:szCs w:val="20"/>
          <w:color w:val="auto"/>
        </w:rPr>
      </w:pPr>
      <w:r>
        <w:rPr>
          <w:rFonts w:ascii="Arial" w:cs="Arial" w:eastAsia="Arial" w:hAnsi="Arial"/>
          <w:sz w:val="13"/>
          <w:szCs w:val="13"/>
          <w:color w:val="auto"/>
        </w:rPr>
        <w:t>Earnings increased $1.5 billion in 2010 from 2009. Improved margins on refined products increased earnings by about $550 million. Also contributing to the increase was the nearly $400 million gain on the sale of the company’s ownership interest in the Colonial Pipeline Company. Higher earnings from chemicals operations increased earnings by about $300 million, largely from improved margins at CPChem.</w:t>
      </w:r>
    </w:p>
    <w:p>
      <w:pPr>
        <w:spacing w:after="0" w:line="3" w:lineRule="exact"/>
        <w:rPr>
          <w:sz w:val="20"/>
          <w:szCs w:val="20"/>
          <w:color w:val="auto"/>
        </w:rPr>
      </w:pPr>
    </w:p>
    <w:p>
      <w:pPr>
        <w:ind w:left="340" w:right="100" w:firstLine="160"/>
        <w:spacing w:after="0" w:line="291" w:lineRule="auto"/>
        <w:rPr>
          <w:sz w:val="20"/>
          <w:szCs w:val="20"/>
          <w:color w:val="auto"/>
        </w:rPr>
      </w:pPr>
      <w:r>
        <w:rPr>
          <w:rFonts w:ascii="Arial" w:cs="Arial" w:eastAsia="Arial" w:hAnsi="Arial"/>
          <w:sz w:val="11"/>
          <w:szCs w:val="11"/>
          <w:color w:val="auto"/>
        </w:rPr>
        <w:t>Refined product sales of 1.26 million barrels per day in 2011 declined 7 percent, mainly due to lower gasoline, gas oil, and kerosene sales. Sales volumes of refined products were 1.35 million barrels per day in 2010, a decrease of 4 percent from 2009. The decline was mainly in gasoline and jet fuel sales. U.S. branded gasoline sales decreased to 514,000 barrels per day in 2011, representing approximately</w:t>
      </w:r>
    </w:p>
    <w:p>
      <w:pPr>
        <w:spacing w:after="0" w:line="2" w:lineRule="exact"/>
        <w:rPr>
          <w:sz w:val="20"/>
          <w:szCs w:val="20"/>
          <w:color w:val="auto"/>
        </w:rPr>
      </w:pPr>
    </w:p>
    <w:p>
      <w:pPr>
        <w:ind w:left="340"/>
        <w:spacing w:after="0" w:line="253" w:lineRule="auto"/>
        <w:rPr>
          <w:sz w:val="20"/>
          <w:szCs w:val="20"/>
          <w:color w:val="auto"/>
        </w:rPr>
      </w:pPr>
      <w:r>
        <w:rPr>
          <w:rFonts w:ascii="Arial" w:cs="Arial" w:eastAsia="Arial" w:hAnsi="Arial"/>
          <w:sz w:val="13"/>
          <w:szCs w:val="13"/>
          <w:color w:val="auto"/>
        </w:rPr>
        <w:t>10 percent and 17 percent declines from 2010 and 2009, respectively. The decline in 2011, relative to 2010 and 2009, was primarily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62230</wp:posOffset>
            </wp:positionV>
            <wp:extent cx="2019935" cy="2129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19935" cy="212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color w:val="auto"/>
        </w:rPr>
        <w:t>FS-7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40"/>
            <w:col w:w="5820"/>
          </w:cols>
          <w:pgMar w:left="220" w:top="339" w:right="2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2"/>
          <w:szCs w:val="12"/>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right="400" w:hanging="159"/>
        <w:spacing w:after="0" w:line="299" w:lineRule="auto"/>
        <w:rPr>
          <w:sz w:val="20"/>
          <w:szCs w:val="20"/>
          <w:color w:val="auto"/>
        </w:rPr>
      </w:pPr>
      <w:r>
        <w:rPr>
          <w:rFonts w:ascii="Arial" w:cs="Arial" w:eastAsia="Arial" w:hAnsi="Arial"/>
          <w:sz w:val="11"/>
          <w:szCs w:val="11"/>
          <w:color w:val="auto"/>
        </w:rPr>
        <w:t>due to weaker demand and previously completed exits from selected eastern U.S. retail markets. Refer to the “Selected Operating Data” table on page FS-10 for a three-year comparison of sales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volumes of gasoline and other refined products and refinery input volumes.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International Downstream</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1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9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93"/>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213"/>
              <w:spacing w:after="0"/>
              <w:rPr>
                <w:sz w:val="20"/>
                <w:szCs w:val="20"/>
                <w:color w:val="auto"/>
              </w:rPr>
            </w:pPr>
            <w:r>
              <w:rPr>
                <w:rFonts w:ascii="Arial" w:cs="Arial" w:eastAsia="Arial" w:hAnsi="Arial"/>
                <w:sz w:val="9"/>
                <w:szCs w:val="9"/>
                <w:color w:val="auto"/>
              </w:rPr>
              <w:t>2010</w:t>
            </w:r>
          </w:p>
        </w:tc>
        <w:tc>
          <w:tcPr>
            <w:tcW w:w="4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20" w:type="dxa"/>
            <w:vAlign w:val="bottom"/>
          </w:tcPr>
          <w:p>
            <w:pPr>
              <w:spacing w:after="0"/>
              <w:rPr>
                <w:sz w:val="9"/>
                <w:szCs w:val="9"/>
                <w:color w:val="auto"/>
              </w:rPr>
            </w:pPr>
          </w:p>
        </w:tc>
      </w:tr>
      <w:tr>
        <w:trPr>
          <w:trHeight w:val="114"/>
        </w:trPr>
        <w:tc>
          <w:tcPr>
            <w:tcW w:w="21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Earnings*</w:t>
            </w:r>
          </w:p>
        </w:tc>
        <w:tc>
          <w:tcPr>
            <w:tcW w:w="980" w:type="dxa"/>
            <w:vAlign w:val="bottom"/>
            <w:tcBorders>
              <w:bottom w:val="single" w:sz="8" w:color="0077C0"/>
            </w:tcBorders>
          </w:tcPr>
          <w:p>
            <w:pPr>
              <w:ind w:left="880"/>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right w:val="single" w:sz="8" w:color="0077C0"/>
            </w:tcBorders>
          </w:tcPr>
          <w:p>
            <w:pPr>
              <w:jc w:val="right"/>
              <w:ind w:right="193"/>
              <w:spacing w:after="0" w:line="105" w:lineRule="exact"/>
              <w:rPr>
                <w:sz w:val="20"/>
                <w:szCs w:val="20"/>
                <w:color w:val="auto"/>
              </w:rPr>
            </w:pPr>
            <w:r>
              <w:rPr>
                <w:rFonts w:ascii="Arial" w:cs="Arial" w:eastAsia="Arial" w:hAnsi="Arial"/>
                <w:sz w:val="10"/>
                <w:szCs w:val="10"/>
                <w:b w:val="1"/>
                <w:bCs w:val="1"/>
                <w:color w:val="auto"/>
              </w:rPr>
              <w:t>2,085</w:t>
            </w:r>
          </w:p>
        </w:tc>
        <w:tc>
          <w:tcPr>
            <w:tcW w:w="420" w:type="dxa"/>
            <w:vAlign w:val="bottom"/>
            <w:tcBorders>
              <w:bottom w:val="single" w:sz="8" w:color="0077C0"/>
            </w:tcBorders>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13"/>
              <w:spacing w:after="0" w:line="105" w:lineRule="exact"/>
              <w:rPr>
                <w:sz w:val="20"/>
                <w:szCs w:val="20"/>
                <w:color w:val="auto"/>
              </w:rPr>
            </w:pPr>
            <w:r>
              <w:rPr>
                <w:rFonts w:ascii="Arial" w:cs="Arial" w:eastAsia="Arial" w:hAnsi="Arial"/>
                <w:sz w:val="10"/>
                <w:szCs w:val="10"/>
                <w:color w:val="auto"/>
              </w:rPr>
              <w:t>1,139</w:t>
            </w:r>
          </w:p>
        </w:tc>
        <w:tc>
          <w:tcPr>
            <w:tcW w:w="44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594</w:t>
            </w:r>
          </w:p>
        </w:tc>
        <w:tc>
          <w:tcPr>
            <w:tcW w:w="20" w:type="dxa"/>
            <w:vAlign w:val="bottom"/>
          </w:tcPr>
          <w:p>
            <w:pPr>
              <w:spacing w:after="0"/>
              <w:rPr>
                <w:sz w:val="9"/>
                <w:szCs w:val="9"/>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9"/>
                <w:szCs w:val="9"/>
                <w:color w:val="auto"/>
              </w:rPr>
              <w:t>*Includes foreign currency effects:</w:t>
            </w:r>
          </w:p>
        </w:tc>
        <w:tc>
          <w:tcPr>
            <w:tcW w:w="980" w:type="dxa"/>
            <w:vAlign w:val="bottom"/>
          </w:tcPr>
          <w:p>
            <w:pPr>
              <w:ind w:left="88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ind w:right="173"/>
              <w:spacing w:after="0"/>
              <w:rPr>
                <w:sz w:val="20"/>
                <w:szCs w:val="20"/>
                <w:color w:val="auto"/>
              </w:rPr>
            </w:pPr>
            <w:r>
              <w:rPr>
                <w:rFonts w:ascii="Arial" w:cs="Arial" w:eastAsia="Arial" w:hAnsi="Arial"/>
                <w:sz w:val="9"/>
                <w:szCs w:val="9"/>
                <w:b w:val="1"/>
                <w:bCs w:val="1"/>
                <w:color w:val="auto"/>
              </w:rPr>
              <w:t>(65)</w:t>
            </w:r>
          </w:p>
        </w:tc>
        <w:tc>
          <w:tcPr>
            <w:tcW w:w="420" w:type="dxa"/>
            <w:vAlign w:val="bottom"/>
          </w:tcPr>
          <w:p>
            <w:pPr>
              <w:ind w:left="260"/>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193"/>
              <w:spacing w:after="0"/>
              <w:rPr>
                <w:sz w:val="20"/>
                <w:szCs w:val="20"/>
                <w:color w:val="auto"/>
              </w:rPr>
            </w:pPr>
            <w:r>
              <w:rPr>
                <w:rFonts w:ascii="Arial" w:cs="Arial" w:eastAsia="Arial" w:hAnsi="Arial"/>
                <w:sz w:val="9"/>
                <w:szCs w:val="9"/>
                <w:color w:val="auto"/>
              </w:rPr>
              <w:t>(135)</w:t>
            </w:r>
          </w:p>
        </w:tc>
        <w:tc>
          <w:tcPr>
            <w:tcW w:w="440" w:type="dxa"/>
            <w:vAlign w:val="bottom"/>
          </w:tcPr>
          <w:p>
            <w:pPr>
              <w:ind w:left="240"/>
              <w:spacing w:after="0"/>
              <w:rPr>
                <w:sz w:val="20"/>
                <w:szCs w:val="20"/>
                <w:color w:val="auto"/>
              </w:rPr>
            </w:pPr>
            <w:r>
              <w:rPr>
                <w:rFonts w:ascii="Arial" w:cs="Arial" w:eastAsia="Arial" w:hAnsi="Arial"/>
                <w:sz w:val="9"/>
                <w:szCs w:val="9"/>
                <w:color w:val="auto"/>
              </w:rPr>
              <w:t>$</w:t>
            </w:r>
          </w:p>
        </w:tc>
        <w:tc>
          <w:tcPr>
            <w:tcW w:w="360" w:type="dxa"/>
            <w:vAlign w:val="bottom"/>
            <w:gridSpan w:val="2"/>
          </w:tcPr>
          <w:p>
            <w:pPr>
              <w:jc w:val="right"/>
              <w:spacing w:after="0"/>
              <w:rPr>
                <w:sz w:val="20"/>
                <w:szCs w:val="20"/>
                <w:color w:val="auto"/>
              </w:rPr>
            </w:pPr>
            <w:r>
              <w:rPr>
                <w:rFonts w:ascii="Arial" w:cs="Arial" w:eastAsia="Arial" w:hAnsi="Arial"/>
                <w:sz w:val="9"/>
                <w:szCs w:val="9"/>
                <w:color w:val="auto"/>
              </w:rPr>
              <w:t>(191)</w:t>
            </w:r>
          </w:p>
        </w:tc>
      </w:tr>
    </w:tbl>
    <w:p>
      <w:pPr>
        <w:spacing w:after="0" w:line="61" w:lineRule="exact"/>
        <w:rPr>
          <w:sz w:val="20"/>
          <w:szCs w:val="20"/>
          <w:color w:val="auto"/>
        </w:rPr>
      </w:pPr>
    </w:p>
    <w:p>
      <w:pPr>
        <w:ind w:right="20" w:firstLine="160"/>
        <w:spacing w:after="0" w:line="269" w:lineRule="auto"/>
        <w:rPr>
          <w:sz w:val="20"/>
          <w:szCs w:val="20"/>
          <w:color w:val="auto"/>
        </w:rPr>
      </w:pPr>
      <w:r>
        <w:rPr>
          <w:rFonts w:ascii="Arial" w:cs="Arial" w:eastAsia="Arial" w:hAnsi="Arial"/>
          <w:sz w:val="12"/>
          <w:szCs w:val="12"/>
          <w:color w:val="auto"/>
        </w:rPr>
        <w:t>International downstream earned $2.1 billion in 2011, compared with $1.1 billion in 2010. Gains on asset sales benefited earnings by $700 million, primarily from the sale of the Pembroke Refinery and related marketing assets in the United Kingdom and Ireland. Also contributing to earnings were improved margins of $200 million and the absence of 2010 charges of $90 million related to employee reductions. These benefits were partly offset by unfavorable mark-to-market effects of derivative instruments of about $180 million. Foreign currency effects decreased earnings by $65 million in 2011, compared with a decrease of $135 million a year earlier.</w:t>
      </w:r>
    </w:p>
    <w:p>
      <w:pPr>
        <w:spacing w:after="0" w:line="2" w:lineRule="exact"/>
        <w:rPr>
          <w:sz w:val="20"/>
          <w:szCs w:val="20"/>
          <w:color w:val="auto"/>
        </w:rPr>
      </w:pPr>
    </w:p>
    <w:p>
      <w:pPr>
        <w:ind w:left="1640" w:hanging="1473"/>
        <w:spacing w:after="0" w:line="291" w:lineRule="auto"/>
        <w:rPr>
          <w:sz w:val="20"/>
          <w:szCs w:val="20"/>
          <w:color w:val="auto"/>
        </w:rPr>
      </w:pPr>
      <w:r>
        <w:rPr>
          <w:rFonts w:ascii="Arial" w:cs="Arial" w:eastAsia="Arial" w:hAnsi="Arial"/>
          <w:sz w:val="11"/>
          <w:szCs w:val="11"/>
          <w:color w:val="auto"/>
        </w:rPr>
        <w:t>Earnings of $1.1 billion in 2010 increased $545 million from 2009. Higher margins on the manufacture and sale of gasoline and other refined products increased earnings by about $1.0 billion, and a favorable swing in mark-to-market effects on derivative instruments benefited earnings by about $300 million. Partially offsetting these items was the absence of 2009 gains on asset sales of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-290830</wp:posOffset>
            </wp:positionV>
            <wp:extent cx="951865" cy="2294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865" cy="2294255"/>
                    </a:xfrm>
                    <a:prstGeom prst="rect">
                      <a:avLst/>
                    </a:prstGeom>
                    <a:noFill/>
                  </pic:spPr>
                </pic:pic>
              </a:graphicData>
            </a:graphic>
          </wp:anchor>
        </w:drawing>
      </w:r>
    </w:p>
    <w:p>
      <w:pPr>
        <w:ind w:left="1640" w:right="60"/>
        <w:spacing w:after="0" w:line="246" w:lineRule="auto"/>
        <w:rPr>
          <w:sz w:val="20"/>
          <w:szCs w:val="20"/>
          <w:color w:val="auto"/>
        </w:rPr>
      </w:pPr>
      <w:r>
        <w:rPr>
          <w:rFonts w:ascii="Arial" w:cs="Arial" w:eastAsia="Arial" w:hAnsi="Arial"/>
          <w:sz w:val="13"/>
          <w:szCs w:val="13"/>
          <w:color w:val="auto"/>
        </w:rPr>
        <w:t>$550 million and higher expenses of about $200 million, primarily related to employee reductions and transportation costs. Foreign currency effects reduced earnings by $135 million in 2010, compared with a reduction of $191 million in 2009.</w:t>
      </w:r>
    </w:p>
    <w:p>
      <w:pPr>
        <w:spacing w:after="0" w:line="2" w:lineRule="exact"/>
        <w:rPr>
          <w:sz w:val="20"/>
          <w:szCs w:val="20"/>
          <w:color w:val="auto"/>
        </w:rPr>
      </w:pPr>
    </w:p>
    <w:p>
      <w:pPr>
        <w:ind w:left="1640" w:right="20" w:firstLine="190"/>
        <w:spacing w:after="0" w:line="249" w:lineRule="auto"/>
        <w:rPr>
          <w:sz w:val="20"/>
          <w:szCs w:val="20"/>
          <w:color w:val="auto"/>
        </w:rPr>
      </w:pPr>
      <w:r>
        <w:rPr>
          <w:rFonts w:ascii="Arial" w:cs="Arial" w:eastAsia="Arial" w:hAnsi="Arial"/>
          <w:sz w:val="13"/>
          <w:szCs w:val="13"/>
          <w:color w:val="auto"/>
        </w:rPr>
        <w:t>Total refined product sales of 1.69 million barrels per day in 2011 declined 4 percent, primarily due to the sale of the company’s refining and marketing assets in the United Kingdom and Ireland. Excluding the impact of 2011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340" w:right="180"/>
        <w:spacing w:after="0" w:line="251" w:lineRule="auto"/>
        <w:rPr>
          <w:sz w:val="20"/>
          <w:szCs w:val="20"/>
          <w:color w:val="auto"/>
        </w:rPr>
      </w:pPr>
      <w:r>
        <w:rPr>
          <w:rFonts w:ascii="Arial" w:cs="Arial" w:eastAsia="Arial" w:hAnsi="Arial"/>
          <w:sz w:val="13"/>
          <w:szCs w:val="13"/>
          <w:color w:val="auto"/>
        </w:rPr>
        <w:t>sales, sales volumes were up 3 percent between the comparative periods. International refined product sales volumes of 1.76 million barrels per day in 2010 were 5 percent lower than in 2009, mainly due to asset sales in certain countries in Africa and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-1066800</wp:posOffset>
            </wp:positionV>
            <wp:extent cx="7285990" cy="6286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ind w:left="340" w:right="300" w:firstLine="160"/>
        <w:spacing w:after="0" w:line="294" w:lineRule="auto"/>
        <w:rPr>
          <w:sz w:val="20"/>
          <w:szCs w:val="20"/>
          <w:color w:val="auto"/>
        </w:rPr>
      </w:pPr>
      <w:r>
        <w:rPr>
          <w:rFonts w:ascii="Arial" w:cs="Arial" w:eastAsia="Arial" w:hAnsi="Arial"/>
          <w:sz w:val="12"/>
          <w:szCs w:val="12"/>
          <w:color w:val="auto"/>
        </w:rPr>
        <w:t>Refer to the “Selected Operating Data” table, on page FS-10, for a three-year comparison of sales volumes of gasoline and other refined products and refinery input volumes.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All Other</w:t>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1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9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93"/>
              <w:spacing w:after="0"/>
              <w:rPr>
                <w:sz w:val="20"/>
                <w:szCs w:val="20"/>
                <w:color w:val="auto"/>
              </w:rPr>
            </w:pPr>
            <w:r>
              <w:rPr>
                <w:rFonts w:ascii="Arial" w:cs="Arial" w:eastAsia="Arial" w:hAnsi="Arial"/>
                <w:sz w:val="9"/>
                <w:szCs w:val="9"/>
                <w:b w:val="1"/>
                <w:bCs w:val="1"/>
                <w:color w:val="auto"/>
              </w:rPr>
              <w:t>2011</w:t>
            </w:r>
          </w:p>
        </w:tc>
        <w:tc>
          <w:tcPr>
            <w:tcW w:w="40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jc w:val="right"/>
              <w:ind w:right="213"/>
              <w:spacing w:after="0"/>
              <w:rPr>
                <w:sz w:val="20"/>
                <w:szCs w:val="20"/>
                <w:color w:val="auto"/>
              </w:rPr>
            </w:pPr>
            <w:r>
              <w:rPr>
                <w:rFonts w:ascii="Arial" w:cs="Arial" w:eastAsia="Arial" w:hAnsi="Arial"/>
                <w:sz w:val="9"/>
                <w:szCs w:val="9"/>
                <w:color w:val="auto"/>
              </w:rPr>
              <w:t>2010</w:t>
            </w:r>
          </w:p>
        </w:tc>
        <w:tc>
          <w:tcPr>
            <w:tcW w:w="44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r>
      <w:tr>
        <w:trPr>
          <w:trHeight w:val="114"/>
        </w:trPr>
        <w:tc>
          <w:tcPr>
            <w:tcW w:w="21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Net charges*</w:t>
            </w:r>
          </w:p>
        </w:tc>
        <w:tc>
          <w:tcPr>
            <w:tcW w:w="960" w:type="dxa"/>
            <w:vAlign w:val="bottom"/>
            <w:tcBorders>
              <w:bottom w:val="single" w:sz="8" w:color="0077C0"/>
            </w:tcBorders>
          </w:tcPr>
          <w:p>
            <w:pPr>
              <w:ind w:left="860"/>
              <w:spacing w:after="0" w:line="105" w:lineRule="exact"/>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0077C0"/>
              <w:right w:val="single" w:sz="8" w:color="0077C0"/>
            </w:tcBorders>
          </w:tcPr>
          <w:p>
            <w:pPr>
              <w:jc w:val="right"/>
              <w:ind w:right="153"/>
              <w:spacing w:after="0" w:line="105" w:lineRule="exact"/>
              <w:rPr>
                <w:sz w:val="20"/>
                <w:szCs w:val="20"/>
                <w:color w:val="auto"/>
              </w:rPr>
            </w:pPr>
            <w:r>
              <w:rPr>
                <w:rFonts w:ascii="Arial" w:cs="Arial" w:eastAsia="Arial" w:hAnsi="Arial"/>
                <w:sz w:val="10"/>
                <w:szCs w:val="10"/>
                <w:b w:val="1"/>
                <w:bCs w:val="1"/>
                <w:color w:val="auto"/>
              </w:rPr>
              <w:t>(1,482)</w:t>
            </w:r>
          </w:p>
        </w:tc>
        <w:tc>
          <w:tcPr>
            <w:tcW w:w="40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193"/>
              <w:spacing w:after="0" w:line="105" w:lineRule="exact"/>
              <w:rPr>
                <w:sz w:val="20"/>
                <w:szCs w:val="20"/>
                <w:color w:val="auto"/>
              </w:rPr>
            </w:pPr>
            <w:r>
              <w:rPr>
                <w:rFonts w:ascii="Arial" w:cs="Arial" w:eastAsia="Arial" w:hAnsi="Arial"/>
                <w:sz w:val="10"/>
                <w:szCs w:val="10"/>
                <w:color w:val="auto"/>
              </w:rPr>
              <w:t>(1,131)</w:t>
            </w:r>
          </w:p>
        </w:tc>
        <w:tc>
          <w:tcPr>
            <w:tcW w:w="44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(922)</w:t>
            </w:r>
          </w:p>
        </w:tc>
        <w:tc>
          <w:tcPr>
            <w:tcW w:w="40" w:type="dxa"/>
            <w:vAlign w:val="bottom"/>
          </w:tcPr>
          <w:p>
            <w:pPr>
              <w:spacing w:after="0"/>
              <w:rPr>
                <w:sz w:val="9"/>
                <w:szCs w:val="9"/>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9"/>
                <w:szCs w:val="9"/>
                <w:color w:val="auto"/>
              </w:rPr>
              <w:t>*Includes foreign currency effects:</w:t>
            </w:r>
          </w:p>
        </w:tc>
        <w:tc>
          <w:tcPr>
            <w:tcW w:w="960" w:type="dxa"/>
            <w:vAlign w:val="bottom"/>
          </w:tcPr>
          <w:p>
            <w:pPr>
              <w:ind w:left="860"/>
              <w:spacing w:after="0"/>
              <w:rPr>
                <w:sz w:val="20"/>
                <w:szCs w:val="20"/>
                <w:color w:val="auto"/>
              </w:rPr>
            </w:pPr>
            <w:r>
              <w:rPr>
                <w:rFonts w:ascii="Arial" w:cs="Arial" w:eastAsia="Arial" w:hAnsi="Arial"/>
                <w:sz w:val="9"/>
                <w:szCs w:val="9"/>
                <w:b w:val="1"/>
                <w:bCs w:val="1"/>
                <w:color w:val="auto"/>
              </w:rPr>
              <w:t>$</w:t>
            </w:r>
          </w:p>
        </w:tc>
        <w:tc>
          <w:tcPr>
            <w:tcW w:w="560" w:type="dxa"/>
            <w:vAlign w:val="bottom"/>
          </w:tcPr>
          <w:p>
            <w:pPr>
              <w:jc w:val="right"/>
              <w:ind w:right="173"/>
              <w:spacing w:after="0"/>
              <w:rPr>
                <w:sz w:val="20"/>
                <w:szCs w:val="20"/>
                <w:color w:val="auto"/>
              </w:rPr>
            </w:pPr>
            <w:r>
              <w:rPr>
                <w:rFonts w:ascii="Arial" w:cs="Arial" w:eastAsia="Arial" w:hAnsi="Arial"/>
                <w:sz w:val="9"/>
                <w:szCs w:val="9"/>
                <w:b w:val="1"/>
                <w:bCs w:val="1"/>
                <w:color w:val="auto"/>
              </w:rPr>
              <w:t>(25)</w:t>
            </w:r>
          </w:p>
        </w:tc>
        <w:tc>
          <w:tcPr>
            <w:tcW w:w="400" w:type="dxa"/>
            <w:vAlign w:val="bottom"/>
          </w:tcPr>
          <w:p>
            <w:pPr>
              <w:ind w:left="240"/>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213"/>
              <w:spacing w:after="0"/>
              <w:rPr>
                <w:sz w:val="20"/>
                <w:szCs w:val="20"/>
                <w:color w:val="auto"/>
              </w:rPr>
            </w:pPr>
            <w:r>
              <w:rPr>
                <w:rFonts w:ascii="Arial" w:cs="Arial" w:eastAsia="Arial" w:hAnsi="Arial"/>
                <w:sz w:val="9"/>
                <w:szCs w:val="9"/>
                <w:color w:val="auto"/>
              </w:rPr>
              <w:t>5</w:t>
            </w:r>
          </w:p>
        </w:tc>
        <w:tc>
          <w:tcPr>
            <w:tcW w:w="440" w:type="dxa"/>
            <w:vAlign w:val="bottom"/>
          </w:tcPr>
          <w:p>
            <w:pPr>
              <w:ind w:left="24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25</w:t>
            </w:r>
          </w:p>
        </w:tc>
        <w:tc>
          <w:tcPr>
            <w:tcW w:w="40" w:type="dxa"/>
            <w:vAlign w:val="bottom"/>
          </w:tcPr>
          <w:p>
            <w:pPr>
              <w:spacing w:after="0"/>
              <w:rPr>
                <w:sz w:val="13"/>
                <w:szCs w:val="13"/>
                <w:color w:val="auto"/>
              </w:rPr>
            </w:pPr>
          </w:p>
        </w:tc>
      </w:tr>
    </w:tbl>
    <w:p>
      <w:pPr>
        <w:spacing w:after="0" w:line="61" w:lineRule="exact"/>
        <w:rPr>
          <w:sz w:val="20"/>
          <w:szCs w:val="20"/>
          <w:color w:val="auto"/>
        </w:rPr>
      </w:pPr>
    </w:p>
    <w:p>
      <w:pPr>
        <w:ind w:left="340" w:right="100" w:firstLine="153"/>
        <w:spacing w:after="0" w:line="272" w:lineRule="auto"/>
        <w:rPr>
          <w:sz w:val="20"/>
          <w:szCs w:val="20"/>
          <w:color w:val="auto"/>
        </w:rPr>
      </w:pPr>
      <w:r>
        <w:rPr>
          <w:rFonts w:ascii="Arial" w:cs="Arial" w:eastAsia="Arial" w:hAnsi="Arial"/>
          <w:sz w:val="12"/>
          <w:szCs w:val="12"/>
          <w:color w:val="auto"/>
        </w:rPr>
        <w:t>All Other includes mining operations, power generation businesses, worldwide cash management and debt financing activities, corporate administrative functions, insurance operations, real estate activities, energy services, alternative fuels, and technology companies.</w:t>
      </w:r>
    </w:p>
    <w:p>
      <w:pPr>
        <w:ind w:left="340" w:right="160" w:firstLine="160"/>
        <w:spacing w:after="0" w:line="246" w:lineRule="auto"/>
        <w:rPr>
          <w:sz w:val="20"/>
          <w:szCs w:val="20"/>
          <w:color w:val="auto"/>
        </w:rPr>
      </w:pPr>
      <w:r>
        <w:rPr>
          <w:rFonts w:ascii="Arial" w:cs="Arial" w:eastAsia="Arial" w:hAnsi="Arial"/>
          <w:sz w:val="13"/>
          <w:szCs w:val="13"/>
          <w:color w:val="auto"/>
        </w:rPr>
        <w:t>Net charges in 2011 increased $351 million from 2010, mainly due to higher expenses for employee compensation and benefits, and higher net corporate tax expenses.</w:t>
      </w:r>
    </w:p>
    <w:p>
      <w:pPr>
        <w:spacing w:after="0" w:line="1" w:lineRule="exact"/>
        <w:rPr>
          <w:sz w:val="20"/>
          <w:szCs w:val="20"/>
          <w:color w:val="auto"/>
        </w:rPr>
      </w:pPr>
    </w:p>
    <w:p>
      <w:pPr>
        <w:ind w:left="340" w:right="160" w:firstLine="160"/>
        <w:spacing w:after="0" w:line="281" w:lineRule="auto"/>
        <w:rPr>
          <w:sz w:val="20"/>
          <w:szCs w:val="20"/>
          <w:color w:val="auto"/>
        </w:rPr>
      </w:pPr>
      <w:r>
        <w:rPr>
          <w:rFonts w:ascii="Arial" w:cs="Arial" w:eastAsia="Arial" w:hAnsi="Arial"/>
          <w:sz w:val="12"/>
          <w:szCs w:val="12"/>
          <w:color w:val="auto"/>
        </w:rPr>
        <w:t>Net charges in 2010 increased $209 million from 2009, mainly due to higher expenses for employee compensation and benefits, and higher corporate tax expenses, partly offset by lower provisions for environmental remediation at sites that previously had been closed or sold.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0077C0"/>
        </w:rPr>
        <w:t>Consolidated Statement of Income</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Comparative amounts for certain income statement categories are shown below:</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16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38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1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Sales and other operating revenues</w:t>
            </w:r>
          </w:p>
        </w:tc>
        <w:tc>
          <w:tcPr>
            <w:tcW w:w="138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  244,371</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198,198</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167,402</w:t>
            </w:r>
          </w:p>
        </w:tc>
      </w:tr>
    </w:tbl>
    <w:p>
      <w:pPr>
        <w:spacing w:after="0" w:line="78" w:lineRule="exact"/>
        <w:rPr>
          <w:sz w:val="20"/>
          <w:szCs w:val="20"/>
          <w:color w:val="auto"/>
        </w:rPr>
      </w:pPr>
    </w:p>
    <w:p>
      <w:pPr>
        <w:ind w:left="340" w:right="240" w:firstLine="160"/>
        <w:spacing w:after="0" w:line="309" w:lineRule="auto"/>
        <w:rPr>
          <w:sz w:val="20"/>
          <w:szCs w:val="20"/>
          <w:color w:val="auto"/>
        </w:rPr>
      </w:pPr>
      <w:r>
        <w:rPr>
          <w:rFonts w:ascii="Arial" w:cs="Arial" w:eastAsia="Arial" w:hAnsi="Arial"/>
          <w:sz w:val="12"/>
          <w:szCs w:val="12"/>
          <w:color w:val="auto"/>
        </w:rPr>
        <w:t>Sales and other operating revenues increased in 2011, mainly due to higher prices for crude oil and refined products. Higher 2010 prices resulted in increased revenues compared with 2009.</w:t>
      </w:r>
    </w:p>
    <w:p>
      <w:pPr>
        <w:spacing w:after="0" w:line="54"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10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50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2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1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 from equity affiliates</w:t>
            </w:r>
          </w:p>
        </w:tc>
        <w:tc>
          <w:tcPr>
            <w:tcW w:w="1500" w:type="dxa"/>
            <w:vAlign w:val="bottom"/>
            <w:tcBorders>
              <w:bottom w:val="single" w:sz="8" w:color="0077C0"/>
              <w:right w:val="single" w:sz="8" w:color="0077C0"/>
            </w:tcBorders>
          </w:tcPr>
          <w:p>
            <w:pPr>
              <w:jc w:val="right"/>
              <w:ind w:right="212"/>
              <w:spacing w:after="0" w:line="105" w:lineRule="exact"/>
              <w:rPr>
                <w:sz w:val="20"/>
                <w:szCs w:val="20"/>
                <w:color w:val="auto"/>
              </w:rPr>
            </w:pPr>
            <w:r>
              <w:rPr>
                <w:rFonts w:ascii="Arial" w:cs="Arial" w:eastAsia="Arial" w:hAnsi="Arial"/>
                <w:sz w:val="10"/>
                <w:szCs w:val="10"/>
                <w:b w:val="1"/>
                <w:bCs w:val="1"/>
                <w:color w:val="auto"/>
              </w:rPr>
              <w:t>$   7,363</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212"/>
              <w:spacing w:after="0" w:line="105" w:lineRule="exact"/>
              <w:rPr>
                <w:sz w:val="20"/>
                <w:szCs w:val="20"/>
                <w:color w:val="auto"/>
              </w:rPr>
            </w:pPr>
            <w:r>
              <w:rPr>
                <w:rFonts w:ascii="Arial" w:cs="Arial" w:eastAsia="Arial" w:hAnsi="Arial"/>
                <w:sz w:val="10"/>
                <w:szCs w:val="10"/>
                <w:color w:val="auto"/>
              </w:rPr>
              <w:t>5,637</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3,316</w:t>
            </w:r>
          </w:p>
        </w:tc>
      </w:tr>
    </w:tbl>
    <w:p>
      <w:pPr>
        <w:spacing w:after="0" w:line="78" w:lineRule="exact"/>
        <w:rPr>
          <w:sz w:val="20"/>
          <w:szCs w:val="20"/>
          <w:color w:val="auto"/>
        </w:rPr>
      </w:pPr>
    </w:p>
    <w:p>
      <w:pPr>
        <w:ind w:left="340" w:firstLine="160"/>
        <w:spacing w:after="0" w:line="271" w:lineRule="auto"/>
        <w:rPr>
          <w:sz w:val="20"/>
          <w:szCs w:val="20"/>
          <w:color w:val="auto"/>
        </w:rPr>
      </w:pPr>
      <w:r>
        <w:rPr>
          <w:rFonts w:ascii="Arial" w:cs="Arial" w:eastAsia="Arial" w:hAnsi="Arial"/>
          <w:sz w:val="12"/>
          <w:szCs w:val="12"/>
          <w:color w:val="auto"/>
        </w:rPr>
        <w:t>Income from equity affiliates increased in 2011 from 2010 mainly due to higher upstream-related earnings from Tengizchevroil (TCO) in Kazakhstan as a result of higher prices for crude oil. Downstream-related earnings were also higher between the comparative periods, primarily due to higher earnings from CPChem as a result of higher margins on sales of commodity chemicals.</w:t>
      </w:r>
    </w:p>
    <w:p>
      <w:pPr>
        <w:ind w:left="340" w:right="320" w:firstLine="160"/>
        <w:spacing w:after="0" w:line="253" w:lineRule="auto"/>
        <w:rPr>
          <w:sz w:val="20"/>
          <w:szCs w:val="20"/>
          <w:color w:val="auto"/>
        </w:rPr>
      </w:pPr>
      <w:r>
        <w:rPr>
          <w:rFonts w:ascii="Arial" w:cs="Arial" w:eastAsia="Arial" w:hAnsi="Arial"/>
          <w:sz w:val="13"/>
          <w:szCs w:val="13"/>
          <w:color w:val="auto"/>
        </w:rPr>
        <w:t>Income from equity affiliates increased in 2010 from 2009 largely due to higher upstream-related earnings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color w:val="auto"/>
        </w:rPr>
        <w:t>FS-8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40"/>
            <w:col w:w="5800"/>
          </w:cols>
          <w:pgMar w:left="220" w:top="339" w:right="25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6"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TCO in Kazakhstan and Petropiar in Venezuela, principally related to higher prices for crude oil and increased crude oil production. Downstream-related affiliate earnings were also higher between the comparative periods, primarily due to higher earnings from CPChem, as a result of higher margins on sales of commodity chemicals. Improved margins on refined products and a favorable swing in foreign currency effects at GS Caltex in South Korea also contributed to the increase in downstream affiliate earnings in the 2010 period. Refer to Note 12, beginning on page FS-39, for a discussion of Chevron’s investments in affiliated companies.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80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80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color w:val="auto"/>
              </w:rPr>
              <w:t>2010</w:t>
            </w:r>
          </w:p>
        </w:tc>
        <w:tc>
          <w:tcPr>
            <w:tcW w:w="4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18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Other income</w:t>
            </w:r>
          </w:p>
        </w:tc>
        <w:tc>
          <w:tcPr>
            <w:tcW w:w="1800" w:type="dxa"/>
            <w:vAlign w:val="bottom"/>
            <w:tcBorders>
              <w:bottom w:val="single" w:sz="8" w:color="0077C0"/>
              <w:right w:val="single" w:sz="8" w:color="0077C0"/>
            </w:tcBorders>
          </w:tcPr>
          <w:p>
            <w:pPr>
              <w:jc w:val="right"/>
              <w:ind w:right="212"/>
              <w:spacing w:after="0" w:line="105" w:lineRule="exact"/>
              <w:rPr>
                <w:sz w:val="20"/>
                <w:szCs w:val="20"/>
                <w:color w:val="auto"/>
              </w:rPr>
            </w:pPr>
            <w:r>
              <w:rPr>
                <w:rFonts w:ascii="Arial" w:cs="Arial" w:eastAsia="Arial" w:hAnsi="Arial"/>
                <w:sz w:val="10"/>
                <w:szCs w:val="10"/>
                <w:b w:val="1"/>
                <w:bCs w:val="1"/>
                <w:color w:val="auto"/>
              </w:rPr>
              <w:t>$   1,972</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1,093</w:t>
            </w: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918</w:t>
            </w:r>
          </w:p>
        </w:tc>
      </w:tr>
    </w:tbl>
    <w:p>
      <w:pPr>
        <w:spacing w:after="0" w:line="78" w:lineRule="exact"/>
        <w:rPr>
          <w:sz w:val="20"/>
          <w:szCs w:val="20"/>
          <w:color w:val="auto"/>
        </w:rPr>
      </w:pPr>
    </w:p>
    <w:p>
      <w:pPr>
        <w:jc w:val="both"/>
        <w:ind w:right="160" w:firstLine="160"/>
        <w:spacing w:after="0" w:line="297" w:lineRule="auto"/>
        <w:rPr>
          <w:sz w:val="20"/>
          <w:szCs w:val="20"/>
          <w:color w:val="auto"/>
        </w:rPr>
      </w:pPr>
      <w:r>
        <w:rPr>
          <w:rFonts w:ascii="Arial" w:cs="Arial" w:eastAsia="Arial" w:hAnsi="Arial"/>
          <w:sz w:val="11"/>
          <w:szCs w:val="11"/>
          <w:color w:val="auto"/>
        </w:rPr>
        <w:t>Other income of $2.0 billion in 2011 included net gains of approximately $1.5 billion on asset sales. Other income in both 2010 and 2009 included net gains from asset sales of $1.1 billion and $1.3 billion, respectively. Interest income was approximately $145 million in 2011, $120 million in 2010 and</w:t>
      </w:r>
    </w:p>
    <w:p>
      <w:pPr>
        <w:ind w:right="320"/>
        <w:spacing w:after="0" w:line="294" w:lineRule="auto"/>
        <w:rPr>
          <w:sz w:val="20"/>
          <w:szCs w:val="20"/>
          <w:color w:val="auto"/>
        </w:rPr>
      </w:pPr>
      <w:r>
        <w:rPr>
          <w:rFonts w:ascii="Arial" w:cs="Arial" w:eastAsia="Arial" w:hAnsi="Arial"/>
          <w:sz w:val="12"/>
          <w:szCs w:val="12"/>
          <w:color w:val="auto"/>
        </w:rPr>
        <w:t>$95 million in 2009. Foreign currency effects increased other income by $103 million in 2011, while decreasing other income by $251 million and $466 million in 2010 and 2009,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14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400" w:type="dxa"/>
            <w:vAlign w:val="bottom"/>
            <w:tcBorders>
              <w:bottom w:val="single" w:sz="8" w:color="0077C0"/>
            </w:tcBorders>
          </w:tcPr>
          <w:p>
            <w:pPr>
              <w:jc w:val="right"/>
              <w:ind w:right="172"/>
              <w:spacing w:after="0"/>
              <w:rPr>
                <w:sz w:val="20"/>
                <w:szCs w:val="20"/>
                <w:color w:val="auto"/>
              </w:rPr>
            </w:pPr>
            <w:r>
              <w:rPr>
                <w:rFonts w:ascii="Arial" w:cs="Arial" w:eastAsia="Arial" w:hAnsi="Arial"/>
                <w:sz w:val="9"/>
                <w:szCs w:val="9"/>
                <w:b w:val="1"/>
                <w:bCs w:val="1"/>
                <w:color w:val="auto"/>
              </w:rPr>
              <w:t>2011</w:t>
            </w:r>
          </w:p>
        </w:tc>
        <w:tc>
          <w:tcPr>
            <w:tcW w:w="40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1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Purchased crude oil and products</w:t>
            </w:r>
          </w:p>
        </w:tc>
        <w:tc>
          <w:tcPr>
            <w:tcW w:w="1400" w:type="dxa"/>
            <w:vAlign w:val="bottom"/>
            <w:tcBorders>
              <w:bottom w:val="single" w:sz="8" w:color="0077C0"/>
              <w:right w:val="single" w:sz="8" w:color="0077C0"/>
            </w:tcBorders>
          </w:tcPr>
          <w:p>
            <w:pPr>
              <w:jc w:val="right"/>
              <w:ind w:right="172"/>
              <w:spacing w:after="0" w:line="105" w:lineRule="exact"/>
              <w:rPr>
                <w:sz w:val="20"/>
                <w:szCs w:val="20"/>
                <w:color w:val="auto"/>
              </w:rPr>
            </w:pPr>
            <w:r>
              <w:rPr>
                <w:rFonts w:ascii="Arial" w:cs="Arial" w:eastAsia="Arial" w:hAnsi="Arial"/>
                <w:sz w:val="10"/>
                <w:szCs w:val="10"/>
                <w:b w:val="1"/>
                <w:bCs w:val="1"/>
                <w:color w:val="auto"/>
              </w:rPr>
              <w:t>$  149,923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212"/>
              <w:spacing w:after="0" w:line="105" w:lineRule="exact"/>
              <w:rPr>
                <w:sz w:val="20"/>
                <w:szCs w:val="20"/>
                <w:color w:val="auto"/>
              </w:rPr>
            </w:pPr>
            <w:r>
              <w:rPr>
                <w:rFonts w:ascii="Arial" w:cs="Arial" w:eastAsia="Arial" w:hAnsi="Arial"/>
                <w:sz w:val="10"/>
                <w:szCs w:val="10"/>
                <w:color w:val="auto"/>
              </w:rPr>
              <w:t>116,467</w:t>
            </w:r>
          </w:p>
        </w:tc>
        <w:tc>
          <w:tcPr>
            <w:tcW w:w="4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99,653</w:t>
            </w:r>
          </w:p>
        </w:tc>
      </w:tr>
    </w:tbl>
    <w:p>
      <w:pPr>
        <w:spacing w:after="0" w:line="78" w:lineRule="exact"/>
        <w:rPr>
          <w:sz w:val="20"/>
          <w:szCs w:val="20"/>
          <w:color w:val="auto"/>
        </w:rPr>
      </w:pPr>
    </w:p>
    <w:p>
      <w:pPr>
        <w:ind w:right="200" w:firstLine="160"/>
        <w:spacing w:after="0" w:line="267" w:lineRule="auto"/>
        <w:rPr>
          <w:sz w:val="20"/>
          <w:szCs w:val="20"/>
          <w:color w:val="auto"/>
        </w:rPr>
      </w:pPr>
      <w:r>
        <w:rPr>
          <w:rFonts w:ascii="Arial" w:cs="Arial" w:eastAsia="Arial" w:hAnsi="Arial"/>
          <w:sz w:val="13"/>
          <w:szCs w:val="13"/>
          <w:color w:val="auto"/>
        </w:rPr>
        <w:t>Crude oil and product purchases in 2011 and 2010 increased by $33.5 billion and $16.8 billion from prior years due to higher prices for crude oil, natural gas and refined products.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64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92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6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w w:val="98"/>
              </w:rPr>
              <w:t>Operating, selling, general and administrative expenses</w:t>
            </w:r>
          </w:p>
        </w:tc>
        <w:tc>
          <w:tcPr>
            <w:tcW w:w="92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   26,394</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23,955</w:t>
            </w:r>
          </w:p>
        </w:tc>
        <w:tc>
          <w:tcPr>
            <w:tcW w:w="4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22,384</w:t>
            </w:r>
          </w:p>
        </w:tc>
      </w:tr>
    </w:tbl>
    <w:p>
      <w:pPr>
        <w:spacing w:after="0" w:line="78" w:lineRule="exact"/>
        <w:rPr>
          <w:sz w:val="20"/>
          <w:szCs w:val="20"/>
          <w:color w:val="auto"/>
        </w:rPr>
      </w:pPr>
    </w:p>
    <w:p>
      <w:pPr>
        <w:ind w:right="80" w:firstLine="160"/>
        <w:spacing w:after="0" w:line="295" w:lineRule="auto"/>
        <w:rPr>
          <w:sz w:val="20"/>
          <w:szCs w:val="20"/>
          <w:color w:val="auto"/>
        </w:rPr>
      </w:pPr>
      <w:r>
        <w:rPr>
          <w:rFonts w:ascii="Arial" w:cs="Arial" w:eastAsia="Arial" w:hAnsi="Arial"/>
          <w:sz w:val="11"/>
          <w:szCs w:val="11"/>
          <w:color w:val="auto"/>
        </w:rPr>
        <w:t>Operating, selling, general and administrative expenses increased $2.4 billion between 2011 and 2010. This increase was primarily related to higher fuel expenses of $1.5 billion and higher employee compensation and benefits of $700 million. In part, increased fuel purchases reflected a new commercial arrangement that replaced a prior product exchange agreement for upstream operations in Indonesia.</w:t>
      </w:r>
    </w:p>
    <w:p>
      <w:pPr>
        <w:spacing w:after="0" w:line="2" w:lineRule="exact"/>
        <w:rPr>
          <w:sz w:val="20"/>
          <w:szCs w:val="20"/>
          <w:color w:val="auto"/>
        </w:rPr>
      </w:pPr>
    </w:p>
    <w:p>
      <w:pPr>
        <w:ind w:right="220" w:firstLine="158"/>
        <w:spacing w:after="0" w:line="248" w:lineRule="auto"/>
        <w:rPr>
          <w:sz w:val="20"/>
          <w:szCs w:val="20"/>
          <w:color w:val="auto"/>
        </w:rPr>
      </w:pPr>
      <w:r>
        <w:rPr>
          <w:rFonts w:ascii="Arial" w:cs="Arial" w:eastAsia="Arial" w:hAnsi="Arial"/>
          <w:sz w:val="13"/>
          <w:szCs w:val="13"/>
          <w:color w:val="auto"/>
        </w:rPr>
        <w:t>Total expenses in 2010 were about $1.6 billion higher than 2009, primarily due to $600 million of higher fuel expenses; $500 million for employee compensation and benefits; $200 million of increased construction, repair and maintenance expense; and an increase of about $200 million associated with higher tanker charter rates. In addition, charges of $234 million related to employee reductions were included in the 2010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190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70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b w:val="1"/>
                <w:bCs w:val="1"/>
                <w:color w:val="auto"/>
              </w:rPr>
              <w:t>2011</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color w:val="auto"/>
              </w:rPr>
              <w:t>2010</w:t>
            </w:r>
          </w:p>
        </w:tc>
        <w:tc>
          <w:tcPr>
            <w:tcW w:w="44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19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Exploration expense</w:t>
            </w:r>
          </w:p>
        </w:tc>
        <w:tc>
          <w:tcPr>
            <w:tcW w:w="1700" w:type="dxa"/>
            <w:vAlign w:val="bottom"/>
            <w:tcBorders>
              <w:bottom w:val="single" w:sz="8" w:color="0077C0"/>
              <w:right w:val="single" w:sz="8" w:color="0077C0"/>
            </w:tcBorders>
          </w:tcPr>
          <w:p>
            <w:pPr>
              <w:jc w:val="right"/>
              <w:ind w:right="212"/>
              <w:spacing w:after="0" w:line="105" w:lineRule="exact"/>
              <w:rPr>
                <w:sz w:val="20"/>
                <w:szCs w:val="20"/>
                <w:color w:val="auto"/>
              </w:rPr>
            </w:pPr>
            <w:r>
              <w:rPr>
                <w:rFonts w:ascii="Arial" w:cs="Arial" w:eastAsia="Arial" w:hAnsi="Arial"/>
                <w:sz w:val="10"/>
                <w:szCs w:val="10"/>
                <w:b w:val="1"/>
                <w:bCs w:val="1"/>
                <w:color w:val="auto"/>
              </w:rPr>
              <w:t>$   1,216</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1,147</w:t>
            </w:r>
          </w:p>
        </w:tc>
        <w:tc>
          <w:tcPr>
            <w:tcW w:w="4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1,342</w:t>
            </w:r>
          </w:p>
        </w:tc>
      </w:tr>
    </w:tbl>
    <w:p>
      <w:pPr>
        <w:spacing w:after="0" w:line="78" w:lineRule="exact"/>
        <w:rPr>
          <w:sz w:val="20"/>
          <w:szCs w:val="20"/>
          <w:color w:val="auto"/>
        </w:rPr>
      </w:pPr>
    </w:p>
    <w:p>
      <w:pPr>
        <w:ind w:right="200" w:firstLine="160"/>
        <w:spacing w:after="0" w:line="267" w:lineRule="auto"/>
        <w:rPr>
          <w:sz w:val="20"/>
          <w:szCs w:val="20"/>
          <w:color w:val="auto"/>
        </w:rPr>
      </w:pPr>
      <w:r>
        <w:rPr>
          <w:rFonts w:ascii="Arial" w:cs="Arial" w:eastAsia="Arial" w:hAnsi="Arial"/>
          <w:sz w:val="13"/>
          <w:szCs w:val="13"/>
          <w:color w:val="auto"/>
        </w:rPr>
        <w:t>Exploration expenses in 2011 increased from 2010 mainly due to higher geological and geophysical costs, partly offset by lower well write-offs.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340" w:right="320" w:firstLine="160"/>
        <w:spacing w:after="0" w:line="267" w:lineRule="auto"/>
        <w:rPr>
          <w:sz w:val="20"/>
          <w:szCs w:val="20"/>
          <w:color w:val="auto"/>
        </w:rPr>
      </w:pPr>
      <w:r>
        <w:rPr>
          <w:rFonts w:ascii="Arial" w:cs="Arial" w:eastAsia="Arial" w:hAnsi="Arial"/>
          <w:sz w:val="13"/>
          <w:szCs w:val="13"/>
          <w:color w:val="auto"/>
        </w:rPr>
        <w:t>Exploration expenses in 2010 declined from 2009 mainly due to lower amounts for geological and geophysical costs and well write-offs.</w:t>
      </w:r>
    </w:p>
    <w:p>
      <w:pPr>
        <w:spacing w:after="0" w:line="76"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34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24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b w:val="1"/>
                <w:bCs w:val="1"/>
                <w:color w:val="auto"/>
              </w:rPr>
              <w:t>2011</w:t>
            </w:r>
          </w:p>
        </w:tc>
        <w:tc>
          <w:tcPr>
            <w:tcW w:w="40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3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Depreciation, depletion and amortization</w:t>
            </w:r>
          </w:p>
        </w:tc>
        <w:tc>
          <w:tcPr>
            <w:tcW w:w="1240" w:type="dxa"/>
            <w:vAlign w:val="bottom"/>
            <w:tcBorders>
              <w:bottom w:val="single" w:sz="8" w:color="0077C0"/>
              <w:right w:val="single" w:sz="8" w:color="0077C0"/>
            </w:tcBorders>
          </w:tcPr>
          <w:p>
            <w:pPr>
              <w:jc w:val="right"/>
              <w:ind w:right="212"/>
              <w:spacing w:after="0" w:line="105" w:lineRule="exact"/>
              <w:rPr>
                <w:sz w:val="20"/>
                <w:szCs w:val="20"/>
                <w:color w:val="auto"/>
              </w:rPr>
            </w:pPr>
            <w:r>
              <w:rPr>
                <w:rFonts w:ascii="Arial" w:cs="Arial" w:eastAsia="Arial" w:hAnsi="Arial"/>
                <w:sz w:val="10"/>
                <w:szCs w:val="10"/>
                <w:b w:val="1"/>
                <w:bCs w:val="1"/>
                <w:color w:val="auto"/>
              </w:rPr>
              <w:t>$  12,911</w:t>
            </w:r>
          </w:p>
        </w:tc>
        <w:tc>
          <w:tcPr>
            <w:tcW w:w="40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212"/>
              <w:spacing w:after="0" w:line="105" w:lineRule="exact"/>
              <w:rPr>
                <w:sz w:val="20"/>
                <w:szCs w:val="20"/>
                <w:color w:val="auto"/>
              </w:rPr>
            </w:pPr>
            <w:r>
              <w:rPr>
                <w:rFonts w:ascii="Arial" w:cs="Arial" w:eastAsia="Arial" w:hAnsi="Arial"/>
                <w:sz w:val="10"/>
                <w:szCs w:val="10"/>
                <w:color w:val="auto"/>
              </w:rPr>
              <w:t>13,063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12,110</w:t>
            </w:r>
          </w:p>
        </w:tc>
      </w:tr>
    </w:tbl>
    <w:p>
      <w:pPr>
        <w:spacing w:after="0" w:line="78" w:lineRule="exact"/>
        <w:rPr>
          <w:sz w:val="20"/>
          <w:szCs w:val="20"/>
          <w:color w:val="auto"/>
        </w:rPr>
      </w:pPr>
    </w:p>
    <w:p>
      <w:pPr>
        <w:ind w:left="340" w:right="80" w:firstLine="158"/>
        <w:spacing w:after="0" w:line="253" w:lineRule="auto"/>
        <w:rPr>
          <w:sz w:val="20"/>
          <w:szCs w:val="20"/>
          <w:color w:val="auto"/>
        </w:rPr>
      </w:pPr>
      <w:r>
        <w:rPr>
          <w:rFonts w:ascii="Arial" w:cs="Arial" w:eastAsia="Arial" w:hAnsi="Arial"/>
          <w:sz w:val="13"/>
          <w:szCs w:val="13"/>
          <w:color w:val="auto"/>
        </w:rPr>
        <w:t>The decrease in 2011 from 2010 mainly reflected lower production levels and the sale of the Pembroke Refinery, partially offset by higher depreciation rates for certain oil and gas producing fields. The increase in 2010 from 2009 was largely due to higher depreciation rates and higher production for certain oil and gas fields, partly offset by lower impairments.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04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540" w:type="dxa"/>
            <w:vAlign w:val="bottom"/>
            <w:tcBorders>
              <w:bottom w:val="single" w:sz="8" w:color="0077C0"/>
            </w:tcBorders>
          </w:tcPr>
          <w:p>
            <w:pPr>
              <w:jc w:val="right"/>
              <w:ind w:right="212"/>
              <w:spacing w:after="0"/>
              <w:rPr>
                <w:sz w:val="20"/>
                <w:szCs w:val="20"/>
                <w:color w:val="auto"/>
              </w:rPr>
            </w:pPr>
            <w:r>
              <w:rPr>
                <w:rFonts w:ascii="Arial" w:cs="Arial" w:eastAsia="Arial" w:hAnsi="Arial"/>
                <w:sz w:val="9"/>
                <w:szCs w:val="9"/>
                <w:b w:val="1"/>
                <w:bCs w:val="1"/>
                <w:color w:val="auto"/>
              </w:rPr>
              <w:t>2011</w:t>
            </w:r>
          </w:p>
        </w:tc>
        <w:tc>
          <w:tcPr>
            <w:tcW w:w="40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color w:val="auto"/>
              </w:rPr>
              <w:t>2010</w:t>
            </w:r>
          </w:p>
        </w:tc>
        <w:tc>
          <w:tcPr>
            <w:tcW w:w="4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0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Taxes other than on income</w:t>
            </w:r>
          </w:p>
        </w:tc>
        <w:tc>
          <w:tcPr>
            <w:tcW w:w="1540" w:type="dxa"/>
            <w:vAlign w:val="bottom"/>
            <w:tcBorders>
              <w:bottom w:val="single" w:sz="8" w:color="0077C0"/>
              <w:right w:val="single" w:sz="8" w:color="0077C0"/>
            </w:tcBorders>
          </w:tcPr>
          <w:p>
            <w:pPr>
              <w:jc w:val="right"/>
              <w:ind w:right="212"/>
              <w:spacing w:after="0" w:line="105" w:lineRule="exact"/>
              <w:rPr>
                <w:sz w:val="20"/>
                <w:szCs w:val="20"/>
                <w:color w:val="auto"/>
              </w:rPr>
            </w:pPr>
            <w:r>
              <w:rPr>
                <w:rFonts w:ascii="Arial" w:cs="Arial" w:eastAsia="Arial" w:hAnsi="Arial"/>
                <w:sz w:val="10"/>
                <w:szCs w:val="10"/>
                <w:b w:val="1"/>
                <w:bCs w:val="1"/>
                <w:color w:val="auto"/>
              </w:rPr>
              <w:t>$   15,628</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18,191</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17,591</w:t>
            </w:r>
          </w:p>
        </w:tc>
      </w:tr>
    </w:tbl>
    <w:p>
      <w:pPr>
        <w:spacing w:after="0" w:line="78" w:lineRule="exact"/>
        <w:rPr>
          <w:sz w:val="20"/>
          <w:szCs w:val="20"/>
          <w:color w:val="auto"/>
        </w:rPr>
      </w:pPr>
    </w:p>
    <w:p>
      <w:pPr>
        <w:ind w:left="340" w:right="80" w:firstLine="158"/>
        <w:spacing w:after="0" w:line="314" w:lineRule="auto"/>
        <w:rPr>
          <w:sz w:val="20"/>
          <w:szCs w:val="20"/>
          <w:color w:val="auto"/>
        </w:rPr>
      </w:pPr>
      <w:r>
        <w:rPr>
          <w:rFonts w:ascii="Arial" w:cs="Arial" w:eastAsia="Arial" w:hAnsi="Arial"/>
          <w:sz w:val="11"/>
          <w:szCs w:val="11"/>
          <w:color w:val="auto"/>
        </w:rPr>
        <w:t>Taxes other than on income decreased in 2011 from 2010 primarily due to lower import duties in the United Kingdom reflecting the sale of the Pembroke Refinery and other downstream assets, partly offset by higher excise taxes in the company’s South Africa downstream operations. Taxes other than on income increased in 2010 from 2009 mainly due to higher excise taxes in Canada and the United Kingdom.</w:t>
      </w:r>
    </w:p>
    <w:p>
      <w:pPr>
        <w:spacing w:after="0" w:line="55"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20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06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46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color w:val="auto"/>
              </w:rPr>
              <w:t>2010</w:t>
            </w:r>
          </w:p>
        </w:tc>
        <w:tc>
          <w:tcPr>
            <w:tcW w:w="4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20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Interest and debt expense</w:t>
            </w:r>
          </w:p>
        </w:tc>
        <w:tc>
          <w:tcPr>
            <w:tcW w:w="10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0077C0"/>
            </w:tcBorders>
          </w:tcPr>
          <w:p>
            <w:pPr>
              <w:jc w:val="right"/>
              <w:ind w:right="192"/>
              <w:spacing w:after="0" w:line="105" w:lineRule="exact"/>
              <w:rPr>
                <w:sz w:val="20"/>
                <w:szCs w:val="20"/>
                <w:color w:val="auto"/>
              </w:rPr>
            </w:pPr>
            <w:r>
              <w:rPr>
                <w:rFonts w:ascii="Arial" w:cs="Arial" w:eastAsia="Arial" w:hAnsi="Arial"/>
                <w:sz w:val="10"/>
                <w:szCs w:val="10"/>
                <w:color w:val="auto"/>
              </w:rPr>
              <w:t>50</w:t>
            </w:r>
          </w:p>
        </w:tc>
        <w:tc>
          <w:tcPr>
            <w:tcW w:w="46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28</w:t>
            </w:r>
          </w:p>
        </w:tc>
      </w:tr>
    </w:tbl>
    <w:p>
      <w:pPr>
        <w:spacing w:after="0" w:line="78" w:lineRule="exact"/>
        <w:rPr>
          <w:sz w:val="20"/>
          <w:szCs w:val="20"/>
          <w:color w:val="auto"/>
        </w:rPr>
      </w:pPr>
    </w:p>
    <w:p>
      <w:pPr>
        <w:ind w:left="340" w:right="40" w:firstLine="160"/>
        <w:spacing w:after="0" w:line="256" w:lineRule="auto"/>
        <w:rPr>
          <w:sz w:val="20"/>
          <w:szCs w:val="20"/>
          <w:color w:val="auto"/>
        </w:rPr>
      </w:pPr>
      <w:r>
        <w:rPr>
          <w:rFonts w:ascii="Arial" w:cs="Arial" w:eastAsia="Arial" w:hAnsi="Arial"/>
          <w:sz w:val="13"/>
          <w:szCs w:val="13"/>
          <w:color w:val="auto"/>
        </w:rPr>
        <w:t>Interest and debt expense, net of capitalized interest, decreased in 2011 from 2010 due to lower average effective interest rates. The increase in 2010 from 2009 was primarily due to slightly higher average effective interest rates.</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109"/>
        </w:trPr>
        <w:tc>
          <w:tcPr>
            <w:tcW w:w="186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720" w:type="dxa"/>
            <w:vAlign w:val="bottom"/>
            <w:tcBorders>
              <w:bottom w:val="single" w:sz="8" w:color="0077C0"/>
            </w:tcBorders>
          </w:tcPr>
          <w:p>
            <w:pPr>
              <w:jc w:val="right"/>
              <w:ind w:right="192"/>
              <w:spacing w:after="0"/>
              <w:rPr>
                <w:sz w:val="20"/>
                <w:szCs w:val="20"/>
                <w:color w:val="auto"/>
              </w:rPr>
            </w:pPr>
            <w:r>
              <w:rPr>
                <w:rFonts w:ascii="Arial" w:cs="Arial" w:eastAsia="Arial" w:hAnsi="Arial"/>
                <w:sz w:val="9"/>
                <w:szCs w:val="9"/>
                <w:b w:val="1"/>
                <w:bCs w:val="1"/>
                <w:color w:val="auto"/>
              </w:rPr>
              <w:t>2011</w:t>
            </w:r>
          </w:p>
        </w:tc>
        <w:tc>
          <w:tcPr>
            <w:tcW w:w="34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252"/>
              <w:spacing w:after="0"/>
              <w:rPr>
                <w:sz w:val="20"/>
                <w:szCs w:val="20"/>
                <w:color w:val="auto"/>
              </w:rPr>
            </w:pPr>
            <w:r>
              <w:rPr>
                <w:rFonts w:ascii="Arial" w:cs="Arial" w:eastAsia="Arial" w:hAnsi="Arial"/>
                <w:sz w:val="9"/>
                <w:szCs w:val="9"/>
                <w:color w:val="auto"/>
              </w:rPr>
              <w:t>2010</w:t>
            </w:r>
          </w:p>
        </w:tc>
        <w:tc>
          <w:tcPr>
            <w:tcW w:w="48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r>
      <w:tr>
        <w:trPr>
          <w:trHeight w:val="114"/>
        </w:trPr>
        <w:tc>
          <w:tcPr>
            <w:tcW w:w="1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Income tax expense</w:t>
            </w:r>
          </w:p>
        </w:tc>
        <w:tc>
          <w:tcPr>
            <w:tcW w:w="1720" w:type="dxa"/>
            <w:vAlign w:val="bottom"/>
            <w:tcBorders>
              <w:bottom w:val="single" w:sz="8" w:color="0077C0"/>
              <w:right w:val="single" w:sz="8" w:color="0077C0"/>
            </w:tcBorders>
          </w:tcPr>
          <w:p>
            <w:pPr>
              <w:jc w:val="right"/>
              <w:ind w:right="192"/>
              <w:spacing w:after="0" w:line="105" w:lineRule="exact"/>
              <w:rPr>
                <w:sz w:val="20"/>
                <w:szCs w:val="20"/>
                <w:color w:val="auto"/>
              </w:rPr>
            </w:pPr>
            <w:r>
              <w:rPr>
                <w:rFonts w:ascii="Arial" w:cs="Arial" w:eastAsia="Arial" w:hAnsi="Arial"/>
                <w:sz w:val="10"/>
                <w:szCs w:val="10"/>
                <w:b w:val="1"/>
                <w:bCs w:val="1"/>
                <w:color w:val="auto"/>
              </w:rPr>
              <w:t>$   20,626</w:t>
            </w:r>
          </w:p>
        </w:tc>
        <w:tc>
          <w:tcPr>
            <w:tcW w:w="34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252"/>
              <w:spacing w:after="0" w:line="105" w:lineRule="exact"/>
              <w:rPr>
                <w:sz w:val="20"/>
                <w:szCs w:val="20"/>
                <w:color w:val="auto"/>
              </w:rPr>
            </w:pPr>
            <w:r>
              <w:rPr>
                <w:rFonts w:ascii="Arial" w:cs="Arial" w:eastAsia="Arial" w:hAnsi="Arial"/>
                <w:sz w:val="10"/>
                <w:szCs w:val="10"/>
                <w:color w:val="auto"/>
              </w:rPr>
              <w:t>12,919</w:t>
            </w:r>
          </w:p>
        </w:tc>
        <w:tc>
          <w:tcPr>
            <w:tcW w:w="48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7,965</w:t>
            </w:r>
          </w:p>
        </w:tc>
      </w:tr>
    </w:tbl>
    <w:p>
      <w:pPr>
        <w:spacing w:after="0" w:line="78" w:lineRule="exact"/>
        <w:rPr>
          <w:sz w:val="20"/>
          <w:szCs w:val="20"/>
          <w:color w:val="auto"/>
        </w:rPr>
      </w:pPr>
    </w:p>
    <w:p>
      <w:pPr>
        <w:ind w:left="340" w:firstLine="160"/>
        <w:spacing w:after="0" w:line="272" w:lineRule="auto"/>
        <w:rPr>
          <w:sz w:val="20"/>
          <w:szCs w:val="20"/>
          <w:color w:val="auto"/>
        </w:rPr>
      </w:pPr>
      <w:r>
        <w:rPr>
          <w:rFonts w:ascii="Arial" w:cs="Arial" w:eastAsia="Arial" w:hAnsi="Arial"/>
          <w:sz w:val="12"/>
          <w:szCs w:val="12"/>
          <w:color w:val="auto"/>
        </w:rPr>
        <w:t>Effective income tax rates were 43 percent in 2011, 40 percent in 2010 and 43 percent in 2009. The rate was higher in 2011 than in 2010 primarily due to higher effective tax rates in certain international upstream jurisdictions. The higher international upstream effective tax rates were driven primarily by lower utilization of non-U.S. tax credits in 2011 and the effect of changes in income tax rates between periods, which were partially offset by foreign currency remeasurement impacts. The rate was lower in 2010 than in 2009 primarily due to international upstream effects, including an increased utilization of tax credits, which had a greater impact on the rate than one-time deferred tax benefits and relatively low tax rates on asset sales in 2009. Also, a smaller portion of company income was earned in higher tax rate international upstream jurisdictions in 2010 than in 2009. Finally, foreign currency remeasurement impacts caused a reduction in the effective tax rate between periods.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0"/>
          <w:szCs w:val="10"/>
          <w:color w:val="auto"/>
        </w:rPr>
        <w:t>FS-9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92075</wp:posOffset>
            </wp:positionV>
            <wp:extent cx="729297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40"/>
            <w:col w:w="5860"/>
          </w:cols>
          <w:pgMar w:left="220" w:top="339" w:right="199" w:bottom="1440" w:gutter="0" w:footer="0" w:header="0"/>
        </w:sectPr>
      </w:pPr>
    </w:p>
    <w:bookmarkStart w:id="50" w:name="page51"/>
    <w:bookmarkEnd w:id="50"/>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0" w:lineRule="exact"/>
        <w:rPr>
          <w:sz w:val="20"/>
          <w:szCs w:val="20"/>
          <w:color w:val="auto"/>
        </w:rPr>
      </w:pPr>
    </w:p>
    <w:p>
      <w:pPr>
        <w:ind w:left="143"/>
        <w:spacing w:after="0"/>
        <w:rPr>
          <w:sz w:val="20"/>
          <w:szCs w:val="20"/>
          <w:color w:val="auto"/>
        </w:rPr>
      </w:pPr>
      <w:r>
        <w:rPr>
          <w:rFonts w:ascii="Arial" w:cs="Arial" w:eastAsia="Arial" w:hAnsi="Arial"/>
          <w:sz w:val="12"/>
          <w:szCs w:val="12"/>
          <w:color w:val="0077C0"/>
        </w:rPr>
        <w:t>Management’s Discussion and Analysis of</w:t>
      </w:r>
    </w:p>
    <w:p>
      <w:pPr>
        <w:ind w:left="143"/>
        <w:spacing w:after="0"/>
        <w:rPr>
          <w:sz w:val="20"/>
          <w:szCs w:val="20"/>
          <w:color w:val="auto"/>
        </w:rPr>
      </w:pPr>
      <w:r>
        <w:rPr>
          <w:rFonts w:ascii="Arial" w:cs="Arial" w:eastAsia="Arial" w:hAnsi="Arial"/>
          <w:sz w:val="12"/>
          <w:szCs w:val="12"/>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0077C0"/>
        </w:rPr>
        <w:t>Selected Operating Data</w:t>
      </w:r>
      <w:r>
        <w:rPr>
          <w:rFonts w:ascii="Arial" w:cs="Arial" w:eastAsia="Arial" w:hAnsi="Arial"/>
          <w:sz w:val="19"/>
          <w:szCs w:val="19"/>
          <w:b w:val="1"/>
          <w:bCs w:val="1"/>
          <w:color w:val="0077C0"/>
          <w:vertAlign w:val="superscript"/>
        </w:rPr>
        <w:t>1,2</w:t>
      </w:r>
    </w:p>
    <w:p>
      <w:pPr>
        <w:spacing w:after="0" w:line="29" w:lineRule="exact"/>
        <w:rPr>
          <w:sz w:val="20"/>
          <w:szCs w:val="20"/>
          <w:color w:val="auto"/>
        </w:rPr>
      </w:pPr>
    </w:p>
    <w:tbl>
      <w:tblPr>
        <w:tblLayout w:type="fixed"/>
        <w:tblInd w:w="3" w:type="dxa"/>
        <w:tblCellMar>
          <w:top w:w="0" w:type="dxa"/>
          <w:left w:w="0" w:type="dxa"/>
          <w:bottom w:w="0" w:type="dxa"/>
          <w:right w:w="0" w:type="dxa"/>
        </w:tblCellMar>
      </w:tblPr>
      <w:tr>
        <w:trPr>
          <w:trHeight w:val="103"/>
        </w:trPr>
        <w:tc>
          <w:tcPr>
            <w:tcW w:w="3740" w:type="dxa"/>
            <w:vAlign w:val="bottom"/>
            <w:tcBorders>
              <w:bottom w:val="single" w:sz="8" w:color="0077C0"/>
            </w:tcBorders>
          </w:tcPr>
          <w:p>
            <w:pPr>
              <w:spacing w:after="0"/>
              <w:rPr>
                <w:sz w:val="8"/>
                <w:szCs w:val="8"/>
                <w:color w:val="auto"/>
              </w:rPr>
            </w:pPr>
          </w:p>
        </w:tc>
        <w:tc>
          <w:tcPr>
            <w:tcW w:w="60" w:type="dxa"/>
            <w:vAlign w:val="bottom"/>
            <w:tcBorders>
              <w:bottom w:val="single" w:sz="8" w:color="0077C0"/>
            </w:tcBorders>
          </w:tcPr>
          <w:p>
            <w:pPr>
              <w:spacing w:after="0"/>
              <w:rPr>
                <w:sz w:val="8"/>
                <w:szCs w:val="8"/>
                <w:color w:val="auto"/>
              </w:rPr>
            </w:pPr>
          </w:p>
        </w:tc>
        <w:tc>
          <w:tcPr>
            <w:tcW w:w="460" w:type="dxa"/>
            <w:vAlign w:val="bottom"/>
            <w:tcBorders>
              <w:bottom w:val="single" w:sz="8" w:color="0077C0"/>
            </w:tcBorders>
          </w:tcPr>
          <w:p>
            <w:pPr>
              <w:jc w:val="right"/>
              <w:ind w:right="109"/>
              <w:spacing w:after="0"/>
              <w:rPr>
                <w:sz w:val="20"/>
                <w:szCs w:val="20"/>
                <w:color w:val="auto"/>
              </w:rPr>
            </w:pPr>
            <w:r>
              <w:rPr>
                <w:rFonts w:ascii="Arial" w:cs="Arial" w:eastAsia="Arial" w:hAnsi="Arial"/>
                <w:sz w:val="9"/>
                <w:szCs w:val="9"/>
                <w:b w:val="1"/>
                <w:bCs w:val="1"/>
                <w:color w:val="auto"/>
              </w:rPr>
              <w:t>2011</w:t>
            </w:r>
          </w:p>
        </w:tc>
        <w:tc>
          <w:tcPr>
            <w:tcW w:w="240" w:type="dxa"/>
            <w:vAlign w:val="bottom"/>
            <w:tcBorders>
              <w:bottom w:val="single" w:sz="8" w:color="0077C0"/>
            </w:tcBorders>
          </w:tcPr>
          <w:p>
            <w:pPr>
              <w:spacing w:after="0"/>
              <w:rPr>
                <w:sz w:val="8"/>
                <w:szCs w:val="8"/>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9"/>
                <w:szCs w:val="9"/>
                <w:color w:val="auto"/>
              </w:rPr>
              <w:t>2010</w:t>
            </w:r>
          </w:p>
        </w:tc>
        <w:tc>
          <w:tcPr>
            <w:tcW w:w="260" w:type="dxa"/>
            <w:vAlign w:val="bottom"/>
            <w:tcBorders>
              <w:bottom w:val="single" w:sz="8" w:color="0077C0"/>
            </w:tcBorders>
          </w:tcPr>
          <w:p>
            <w:pPr>
              <w:spacing w:after="0"/>
              <w:rPr>
                <w:sz w:val="8"/>
                <w:szCs w:val="8"/>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92"/>
        </w:trPr>
        <w:tc>
          <w:tcPr>
            <w:tcW w:w="3740" w:type="dxa"/>
            <w:vAlign w:val="bottom"/>
          </w:tcPr>
          <w:p>
            <w:pPr>
              <w:spacing w:after="0" w:line="92" w:lineRule="exact"/>
              <w:rPr>
                <w:sz w:val="20"/>
                <w:szCs w:val="20"/>
                <w:color w:val="auto"/>
              </w:rPr>
            </w:pPr>
            <w:r>
              <w:rPr>
                <w:rFonts w:ascii="Arial" w:cs="Arial" w:eastAsia="Arial" w:hAnsi="Arial"/>
                <w:sz w:val="10"/>
                <w:szCs w:val="10"/>
                <w:b w:val="1"/>
                <w:bCs w:val="1"/>
                <w:color w:val="auto"/>
              </w:rPr>
              <w:t>U.S. Upstream</w:t>
            </w:r>
          </w:p>
        </w:tc>
        <w:tc>
          <w:tcPr>
            <w:tcW w:w="6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Crude Oil and Natural Gas</w:t>
            </w: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465</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140"/>
              <w:spacing w:after="0" w:line="104" w:lineRule="exact"/>
              <w:rPr>
                <w:sz w:val="20"/>
                <w:szCs w:val="20"/>
                <w:color w:val="auto"/>
              </w:rPr>
            </w:pPr>
            <w:r>
              <w:rPr>
                <w:rFonts w:ascii="Arial" w:cs="Arial" w:eastAsia="Arial" w:hAnsi="Arial"/>
                <w:sz w:val="10"/>
                <w:szCs w:val="10"/>
                <w:color w:val="auto"/>
              </w:rPr>
              <w:t>Liquids Production (MBPD)</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489</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484</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Natural Gas Production (MMCFPD)</w:t>
            </w:r>
            <w:r>
              <w:rPr>
                <w:rFonts w:ascii="Arial" w:cs="Arial" w:eastAsia="Arial" w:hAnsi="Arial"/>
                <w:sz w:val="8"/>
                <w:szCs w:val="8"/>
                <w:color w:val="auto"/>
              </w:rPr>
              <w:t>3</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1,279</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95"/>
              </w:rPr>
              <w:t>1,314</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1,399</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Oil-Equivalent Production (MBOEPD)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678</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708</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717</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Sales of Natural Gas (MMCFPD)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5,836</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95"/>
              </w:rPr>
              <w:t>5,932</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5,901</w:t>
            </w:r>
          </w:p>
        </w:tc>
        <w:tc>
          <w:tcPr>
            <w:tcW w:w="0" w:type="dxa"/>
            <w:vAlign w:val="bottom"/>
          </w:tcPr>
          <w:p>
            <w:pPr>
              <w:spacing w:after="0"/>
              <w:rPr>
                <w:sz w:val="1"/>
                <w:szCs w:val="1"/>
                <w:color w:val="auto"/>
              </w:rPr>
            </w:pPr>
          </w:p>
        </w:tc>
      </w:tr>
      <w:tr>
        <w:trPr>
          <w:trHeight w:val="108"/>
        </w:trPr>
        <w:tc>
          <w:tcPr>
            <w:tcW w:w="3740" w:type="dxa"/>
            <w:vAlign w:val="bottom"/>
          </w:tcPr>
          <w:p>
            <w:pPr>
              <w:spacing w:after="0" w:line="108" w:lineRule="exact"/>
              <w:rPr>
                <w:sz w:val="20"/>
                <w:szCs w:val="20"/>
                <w:color w:val="auto"/>
              </w:rPr>
            </w:pPr>
            <w:r>
              <w:rPr>
                <w:rFonts w:ascii="Arial" w:cs="Arial" w:eastAsia="Arial" w:hAnsi="Arial"/>
                <w:sz w:val="10"/>
                <w:szCs w:val="10"/>
                <w:color w:val="auto"/>
              </w:rPr>
              <w:t>Sales of Natural Gas Liquids (MBPD)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15</w:t>
            </w:r>
          </w:p>
        </w:tc>
        <w:tc>
          <w:tcPr>
            <w:tcW w:w="240" w:type="dxa"/>
            <w:vAlign w:val="bottom"/>
          </w:tcPr>
          <w:p>
            <w:pPr>
              <w:spacing w:after="0"/>
              <w:rPr>
                <w:sz w:val="9"/>
                <w:szCs w:val="9"/>
                <w:color w:val="auto"/>
              </w:rPr>
            </w:pPr>
          </w:p>
        </w:tc>
        <w:tc>
          <w:tcPr>
            <w:tcW w:w="440" w:type="dxa"/>
            <w:vAlign w:val="bottom"/>
          </w:tcPr>
          <w:p>
            <w:pPr>
              <w:jc w:val="right"/>
              <w:ind w:right="129"/>
              <w:spacing w:after="0" w:line="108" w:lineRule="exact"/>
              <w:rPr>
                <w:sz w:val="20"/>
                <w:szCs w:val="20"/>
                <w:color w:val="auto"/>
              </w:rPr>
            </w:pPr>
            <w:r>
              <w:rPr>
                <w:rFonts w:ascii="Arial" w:cs="Arial" w:eastAsia="Arial" w:hAnsi="Arial"/>
                <w:sz w:val="10"/>
                <w:szCs w:val="10"/>
                <w:color w:val="auto"/>
              </w:rPr>
              <w:t>22</w:t>
            </w:r>
          </w:p>
        </w:tc>
        <w:tc>
          <w:tcPr>
            <w:tcW w:w="260" w:type="dxa"/>
            <w:vAlign w:val="bottom"/>
          </w:tcPr>
          <w:p>
            <w:pPr>
              <w:spacing w:after="0"/>
              <w:rPr>
                <w:sz w:val="9"/>
                <w:szCs w:val="9"/>
                <w:color w:val="auto"/>
              </w:rPr>
            </w:pP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97.51</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140"/>
              <w:spacing w:after="0" w:line="104" w:lineRule="exact"/>
              <w:rPr>
                <w:sz w:val="20"/>
                <w:szCs w:val="20"/>
                <w:color w:val="auto"/>
              </w:rPr>
            </w:pPr>
            <w:r>
              <w:rPr>
                <w:rFonts w:ascii="Arial" w:cs="Arial" w:eastAsia="Arial" w:hAnsi="Arial"/>
                <w:sz w:val="10"/>
                <w:szCs w:val="10"/>
                <w:color w:val="auto"/>
              </w:rPr>
              <w:t>Liquids ($/Bbl)</w:t>
            </w:r>
          </w:p>
        </w:tc>
        <w:tc>
          <w:tcPr>
            <w:tcW w:w="6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w w:val="95"/>
              </w:rPr>
              <w:t>71.59</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54.36</w:t>
            </w:r>
          </w:p>
        </w:tc>
        <w:tc>
          <w:tcPr>
            <w:tcW w:w="0" w:type="dxa"/>
            <w:vAlign w:val="bottom"/>
          </w:tcPr>
          <w:p>
            <w:pPr>
              <w:spacing w:after="0"/>
              <w:rPr>
                <w:sz w:val="1"/>
                <w:szCs w:val="1"/>
                <w:color w:val="auto"/>
              </w:rPr>
            </w:pPr>
          </w:p>
        </w:tc>
      </w:tr>
      <w:tr>
        <w:trPr>
          <w:trHeight w:val="131"/>
        </w:trPr>
        <w:tc>
          <w:tcPr>
            <w:tcW w:w="3740" w:type="dxa"/>
            <w:vAlign w:val="bottom"/>
          </w:tcPr>
          <w:p>
            <w:pPr>
              <w:ind w:left="140"/>
              <w:spacing w:after="0"/>
              <w:rPr>
                <w:sz w:val="20"/>
                <w:szCs w:val="20"/>
                <w:color w:val="auto"/>
              </w:rPr>
            </w:pPr>
            <w:r>
              <w:rPr>
                <w:rFonts w:ascii="Arial" w:cs="Arial" w:eastAsia="Arial" w:hAnsi="Arial"/>
                <w:sz w:val="10"/>
                <w:szCs w:val="10"/>
                <w:color w:val="auto"/>
              </w:rPr>
              <w:t>Natural Gas ($/MCF)</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4.04</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4.26</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3.73</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Arial" w:cs="Arial" w:eastAsia="Arial" w:hAnsi="Arial"/>
                <w:sz w:val="10"/>
                <w:szCs w:val="10"/>
                <w:b w:val="1"/>
                <w:bCs w:val="1"/>
                <w:color w:val="auto"/>
              </w:rPr>
              <w:t>International Upstream</w:t>
            </w:r>
          </w:p>
        </w:tc>
        <w:tc>
          <w:tcPr>
            <w:tcW w:w="60" w:type="dxa"/>
            <w:vAlign w:val="bottom"/>
          </w:tcPr>
          <w:p>
            <w:pPr>
              <w:spacing w:after="0"/>
              <w:rPr>
                <w:sz w:val="16"/>
                <w:szCs w:val="16"/>
                <w:color w:val="auto"/>
              </w:rPr>
            </w:pPr>
          </w:p>
        </w:tc>
        <w:tc>
          <w:tcPr>
            <w:tcW w:w="460" w:type="dxa"/>
            <w:vAlign w:val="bottom"/>
            <w:tcBorders>
              <w:right w:val="single" w:sz="8" w:color="0077C0"/>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Crude Oil and Natural Gas</w:t>
            </w: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1,384</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140"/>
              <w:spacing w:after="0" w:line="104" w:lineRule="exact"/>
              <w:rPr>
                <w:sz w:val="20"/>
                <w:szCs w:val="20"/>
                <w:color w:val="auto"/>
              </w:rPr>
            </w:pPr>
            <w:r>
              <w:rPr>
                <w:rFonts w:ascii="Arial" w:cs="Arial" w:eastAsia="Arial" w:hAnsi="Arial"/>
                <w:sz w:val="10"/>
                <w:szCs w:val="10"/>
                <w:color w:val="auto"/>
              </w:rPr>
              <w:t>Liquids Production (MBPD)</w:t>
            </w:r>
            <w:r>
              <w:rPr>
                <w:rFonts w:ascii="Arial" w:cs="Arial" w:eastAsia="Arial" w:hAnsi="Arial"/>
                <w:sz w:val="8"/>
                <w:szCs w:val="8"/>
                <w:color w:val="auto"/>
              </w:rPr>
              <w:t>4</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w w:val="95"/>
              </w:rPr>
              <w:t>1,434</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1,362</w:t>
            </w:r>
          </w:p>
        </w:tc>
        <w:tc>
          <w:tcPr>
            <w:tcW w:w="0" w:type="dxa"/>
            <w:vAlign w:val="bottom"/>
          </w:tcPr>
          <w:p>
            <w:pPr>
              <w:spacing w:after="0"/>
              <w:rPr>
                <w:sz w:val="1"/>
                <w:szCs w:val="1"/>
                <w:color w:val="auto"/>
              </w:rPr>
            </w:pPr>
          </w:p>
        </w:tc>
      </w:tr>
      <w:tr>
        <w:trPr>
          <w:trHeight w:val="108"/>
        </w:trPr>
        <w:tc>
          <w:tcPr>
            <w:tcW w:w="3740" w:type="dxa"/>
            <w:vAlign w:val="bottom"/>
          </w:tcPr>
          <w:p>
            <w:pPr>
              <w:spacing w:after="0" w:line="108" w:lineRule="exact"/>
              <w:rPr>
                <w:sz w:val="20"/>
                <w:szCs w:val="20"/>
                <w:color w:val="auto"/>
              </w:rPr>
            </w:pPr>
            <w:r>
              <w:rPr>
                <w:rFonts w:ascii="Arial" w:cs="Arial" w:eastAsia="Arial" w:hAnsi="Arial"/>
                <w:sz w:val="10"/>
                <w:szCs w:val="10"/>
                <w:color w:val="auto"/>
              </w:rPr>
              <w:t>Net Natural Gas Production (MMCFPD)</w:t>
            </w:r>
            <w:r>
              <w:rPr>
                <w:rFonts w:ascii="Arial" w:cs="Arial" w:eastAsia="Arial" w:hAnsi="Arial"/>
                <w:sz w:val="8"/>
                <w:szCs w:val="8"/>
                <w:color w:val="auto"/>
              </w:rPr>
              <w:t>3</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3,662</w:t>
            </w:r>
          </w:p>
        </w:tc>
        <w:tc>
          <w:tcPr>
            <w:tcW w:w="240" w:type="dxa"/>
            <w:vAlign w:val="bottom"/>
          </w:tcPr>
          <w:p>
            <w:pPr>
              <w:spacing w:after="0"/>
              <w:rPr>
                <w:sz w:val="9"/>
                <w:szCs w:val="9"/>
                <w:color w:val="auto"/>
              </w:rPr>
            </w:pPr>
          </w:p>
        </w:tc>
        <w:tc>
          <w:tcPr>
            <w:tcW w:w="440" w:type="dxa"/>
            <w:vAlign w:val="bottom"/>
          </w:tcPr>
          <w:p>
            <w:pPr>
              <w:jc w:val="right"/>
              <w:ind w:right="129"/>
              <w:spacing w:after="0" w:line="108" w:lineRule="exact"/>
              <w:rPr>
                <w:sz w:val="20"/>
                <w:szCs w:val="20"/>
                <w:color w:val="auto"/>
              </w:rPr>
            </w:pPr>
            <w:r>
              <w:rPr>
                <w:rFonts w:ascii="Arial" w:cs="Arial" w:eastAsia="Arial" w:hAnsi="Arial"/>
                <w:sz w:val="10"/>
                <w:szCs w:val="10"/>
                <w:color w:val="auto"/>
                <w:w w:val="95"/>
              </w:rPr>
              <w:t>3,726</w:t>
            </w:r>
          </w:p>
        </w:tc>
        <w:tc>
          <w:tcPr>
            <w:tcW w:w="260" w:type="dxa"/>
            <w:vAlign w:val="bottom"/>
          </w:tcPr>
          <w:p>
            <w:pPr>
              <w:spacing w:after="0"/>
              <w:rPr>
                <w:sz w:val="9"/>
                <w:szCs w:val="9"/>
                <w:color w:val="auto"/>
              </w:rPr>
            </w:pP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w w:val="95"/>
              </w:rPr>
              <w:t>3,590</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Oil-Equivalent</w:t>
            </w: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1,995</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140"/>
              <w:spacing w:after="0" w:line="104" w:lineRule="exact"/>
              <w:rPr>
                <w:sz w:val="20"/>
                <w:szCs w:val="20"/>
                <w:color w:val="auto"/>
              </w:rPr>
            </w:pPr>
            <w:r>
              <w:rPr>
                <w:rFonts w:ascii="Arial" w:cs="Arial" w:eastAsia="Arial" w:hAnsi="Arial"/>
                <w:sz w:val="10"/>
                <w:szCs w:val="10"/>
                <w:color w:val="auto"/>
              </w:rPr>
              <w:t>Production (MBOEPD)</w:t>
            </w:r>
            <w:r>
              <w:rPr>
                <w:rFonts w:ascii="Arial" w:cs="Arial" w:eastAsia="Arial" w:hAnsi="Arial"/>
                <w:sz w:val="8"/>
                <w:szCs w:val="8"/>
                <w:color w:val="auto"/>
              </w:rPr>
              <w:t>5</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w w:val="95"/>
              </w:rPr>
              <w:t>2,055</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1,987</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Sales of Natural Gas (MMCFPD)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4,361</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95"/>
              </w:rPr>
              <w:t>4,493</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4,062</w:t>
            </w:r>
          </w:p>
        </w:tc>
        <w:tc>
          <w:tcPr>
            <w:tcW w:w="0" w:type="dxa"/>
            <w:vAlign w:val="bottom"/>
          </w:tcPr>
          <w:p>
            <w:pPr>
              <w:spacing w:after="0"/>
              <w:rPr>
                <w:sz w:val="1"/>
                <w:szCs w:val="1"/>
                <w:color w:val="auto"/>
              </w:rPr>
            </w:pPr>
          </w:p>
        </w:tc>
      </w:tr>
      <w:tr>
        <w:trPr>
          <w:trHeight w:val="108"/>
        </w:trPr>
        <w:tc>
          <w:tcPr>
            <w:tcW w:w="3740" w:type="dxa"/>
            <w:vAlign w:val="bottom"/>
          </w:tcPr>
          <w:p>
            <w:pPr>
              <w:spacing w:after="0" w:line="108" w:lineRule="exact"/>
              <w:rPr>
                <w:sz w:val="20"/>
                <w:szCs w:val="20"/>
                <w:color w:val="auto"/>
              </w:rPr>
            </w:pPr>
            <w:r>
              <w:rPr>
                <w:rFonts w:ascii="Arial" w:cs="Arial" w:eastAsia="Arial" w:hAnsi="Arial"/>
                <w:sz w:val="10"/>
                <w:szCs w:val="10"/>
                <w:color w:val="auto"/>
              </w:rPr>
              <w:t>Sales of Natural Gas Liquids (MBPD)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24</w:t>
            </w:r>
          </w:p>
        </w:tc>
        <w:tc>
          <w:tcPr>
            <w:tcW w:w="240" w:type="dxa"/>
            <w:vAlign w:val="bottom"/>
          </w:tcPr>
          <w:p>
            <w:pPr>
              <w:spacing w:after="0"/>
              <w:rPr>
                <w:sz w:val="9"/>
                <w:szCs w:val="9"/>
                <w:color w:val="auto"/>
              </w:rPr>
            </w:pPr>
          </w:p>
        </w:tc>
        <w:tc>
          <w:tcPr>
            <w:tcW w:w="440" w:type="dxa"/>
            <w:vAlign w:val="bottom"/>
          </w:tcPr>
          <w:p>
            <w:pPr>
              <w:jc w:val="right"/>
              <w:ind w:right="129"/>
              <w:spacing w:after="0" w:line="108" w:lineRule="exact"/>
              <w:rPr>
                <w:sz w:val="20"/>
                <w:szCs w:val="20"/>
                <w:color w:val="auto"/>
              </w:rPr>
            </w:pPr>
            <w:r>
              <w:rPr>
                <w:rFonts w:ascii="Arial" w:cs="Arial" w:eastAsia="Arial" w:hAnsi="Arial"/>
                <w:sz w:val="10"/>
                <w:szCs w:val="10"/>
                <w:color w:val="auto"/>
              </w:rPr>
              <w:t>27</w:t>
            </w:r>
          </w:p>
        </w:tc>
        <w:tc>
          <w:tcPr>
            <w:tcW w:w="260" w:type="dxa"/>
            <w:vAlign w:val="bottom"/>
          </w:tcPr>
          <w:p>
            <w:pPr>
              <w:spacing w:after="0"/>
              <w:rPr>
                <w:sz w:val="9"/>
                <w:szCs w:val="9"/>
                <w:color w:val="auto"/>
              </w:rPr>
            </w:pP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Revenues From Liftings</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91"/>
              </w:rPr>
              <w:t>101.53</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140"/>
              <w:spacing w:after="0" w:line="104" w:lineRule="exact"/>
              <w:rPr>
                <w:sz w:val="20"/>
                <w:szCs w:val="20"/>
                <w:color w:val="auto"/>
              </w:rPr>
            </w:pPr>
            <w:r>
              <w:rPr>
                <w:rFonts w:ascii="Arial" w:cs="Arial" w:eastAsia="Arial" w:hAnsi="Arial"/>
                <w:sz w:val="10"/>
                <w:szCs w:val="10"/>
                <w:color w:val="auto"/>
              </w:rPr>
              <w:t>Liquids ($/Bbl)</w:t>
            </w:r>
          </w:p>
        </w:tc>
        <w:tc>
          <w:tcPr>
            <w:tcW w:w="6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w w:val="95"/>
              </w:rPr>
              <w:t>72.68</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55.97</w:t>
            </w:r>
          </w:p>
        </w:tc>
        <w:tc>
          <w:tcPr>
            <w:tcW w:w="0" w:type="dxa"/>
            <w:vAlign w:val="bottom"/>
          </w:tcPr>
          <w:p>
            <w:pPr>
              <w:spacing w:after="0"/>
              <w:rPr>
                <w:sz w:val="1"/>
                <w:szCs w:val="1"/>
                <w:color w:val="auto"/>
              </w:rPr>
            </w:pPr>
          </w:p>
        </w:tc>
      </w:tr>
      <w:tr>
        <w:trPr>
          <w:trHeight w:val="131"/>
        </w:trPr>
        <w:tc>
          <w:tcPr>
            <w:tcW w:w="3740" w:type="dxa"/>
            <w:vAlign w:val="bottom"/>
          </w:tcPr>
          <w:p>
            <w:pPr>
              <w:ind w:left="140"/>
              <w:spacing w:after="0"/>
              <w:rPr>
                <w:sz w:val="20"/>
                <w:szCs w:val="20"/>
                <w:color w:val="auto"/>
              </w:rPr>
            </w:pPr>
            <w:r>
              <w:rPr>
                <w:rFonts w:ascii="Arial" w:cs="Arial" w:eastAsia="Arial" w:hAnsi="Arial"/>
                <w:sz w:val="10"/>
                <w:szCs w:val="10"/>
                <w:color w:val="auto"/>
              </w:rPr>
              <w:t>Natural Gas ($/MCF)</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5.39</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4.64</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jc w:val="right"/>
              <w:spacing w:after="0"/>
              <w:rPr>
                <w:sz w:val="20"/>
                <w:szCs w:val="20"/>
                <w:color w:val="auto"/>
              </w:rPr>
            </w:pPr>
            <w:r>
              <w:rPr>
                <w:rFonts w:ascii="Arial" w:cs="Arial" w:eastAsia="Arial" w:hAnsi="Arial"/>
                <w:sz w:val="10"/>
                <w:szCs w:val="10"/>
                <w:color w:val="auto"/>
              </w:rPr>
              <w:t>4.01</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Arial" w:cs="Arial" w:eastAsia="Arial" w:hAnsi="Arial"/>
                <w:sz w:val="10"/>
                <w:szCs w:val="10"/>
                <w:b w:val="1"/>
                <w:bCs w:val="1"/>
                <w:color w:val="auto"/>
              </w:rPr>
              <w:t>Worldwide Upstream</w:t>
            </w:r>
          </w:p>
        </w:tc>
        <w:tc>
          <w:tcPr>
            <w:tcW w:w="60" w:type="dxa"/>
            <w:vAlign w:val="bottom"/>
          </w:tcPr>
          <w:p>
            <w:pPr>
              <w:spacing w:after="0"/>
              <w:rPr>
                <w:sz w:val="16"/>
                <w:szCs w:val="16"/>
                <w:color w:val="auto"/>
              </w:rPr>
            </w:pPr>
          </w:p>
        </w:tc>
        <w:tc>
          <w:tcPr>
            <w:tcW w:w="460" w:type="dxa"/>
            <w:vAlign w:val="bottom"/>
            <w:tcBorders>
              <w:right w:val="single" w:sz="8" w:color="0077C0"/>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Net Oil-Equivalent Production</w:t>
            </w:r>
          </w:p>
        </w:tc>
        <w:tc>
          <w:tcPr>
            <w:tcW w:w="60" w:type="dxa"/>
            <w:vAlign w:val="bottom"/>
          </w:tcPr>
          <w:p>
            <w:pPr>
              <w:spacing w:after="0"/>
              <w:rPr>
                <w:sz w:val="9"/>
                <w:szCs w:val="9"/>
                <w:color w:val="auto"/>
              </w:rPr>
            </w:pPr>
          </w:p>
        </w:tc>
        <w:tc>
          <w:tcPr>
            <w:tcW w:w="460" w:type="dxa"/>
            <w:vAlign w:val="bottom"/>
            <w:tcBorders>
              <w:right w:val="single" w:sz="8" w:color="0077C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40" w:type="dxa"/>
            <w:vAlign w:val="bottom"/>
          </w:tcPr>
          <w:p>
            <w:pPr>
              <w:ind w:left="140"/>
              <w:spacing w:after="0" w:line="106" w:lineRule="exact"/>
              <w:rPr>
                <w:sz w:val="20"/>
                <w:szCs w:val="20"/>
                <w:color w:val="auto"/>
              </w:rPr>
            </w:pPr>
            <w:r>
              <w:rPr>
                <w:rFonts w:ascii="Arial" w:cs="Arial" w:eastAsia="Arial" w:hAnsi="Arial"/>
                <w:sz w:val="10"/>
                <w:szCs w:val="10"/>
                <w:color w:val="auto"/>
              </w:rPr>
              <w:t>(MBOEPD)</w:t>
            </w:r>
            <w:r>
              <w:rPr>
                <w:rFonts w:ascii="Arial" w:cs="Arial" w:eastAsia="Arial" w:hAnsi="Arial"/>
                <w:sz w:val="8"/>
                <w:szCs w:val="8"/>
                <w:color w:val="auto"/>
              </w:rPr>
              <w:t>3,5</w:t>
            </w: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678</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40" w:type="dxa"/>
            <w:vAlign w:val="bottom"/>
          </w:tcPr>
          <w:p>
            <w:pPr>
              <w:ind w:left="28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708</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717</w:t>
            </w:r>
          </w:p>
        </w:tc>
        <w:tc>
          <w:tcPr>
            <w:tcW w:w="0" w:type="dxa"/>
            <w:vAlign w:val="bottom"/>
          </w:tcPr>
          <w:p>
            <w:pPr>
              <w:spacing w:after="0"/>
              <w:rPr>
                <w:sz w:val="1"/>
                <w:szCs w:val="1"/>
                <w:color w:val="auto"/>
              </w:rPr>
            </w:pPr>
          </w:p>
        </w:tc>
      </w:tr>
      <w:tr>
        <w:trPr>
          <w:trHeight w:val="120"/>
        </w:trPr>
        <w:tc>
          <w:tcPr>
            <w:tcW w:w="3740" w:type="dxa"/>
            <w:vAlign w:val="bottom"/>
          </w:tcPr>
          <w:p>
            <w:pPr>
              <w:ind w:left="28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1,995</w:t>
            </w:r>
          </w:p>
        </w:tc>
        <w:tc>
          <w:tcPr>
            <w:tcW w:w="2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95"/>
              </w:rPr>
              <w:t>2,055</w:t>
            </w:r>
          </w:p>
        </w:tc>
        <w:tc>
          <w:tcPr>
            <w:tcW w:w="2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1,987</w:t>
            </w:r>
          </w:p>
        </w:tc>
        <w:tc>
          <w:tcPr>
            <w:tcW w:w="0" w:type="dxa"/>
            <w:vAlign w:val="bottom"/>
          </w:tcPr>
          <w:p>
            <w:pPr>
              <w:spacing w:after="0"/>
              <w:rPr>
                <w:sz w:val="1"/>
                <w:szCs w:val="1"/>
                <w:color w:val="auto"/>
              </w:rPr>
            </w:pPr>
          </w:p>
        </w:tc>
      </w:tr>
      <w:tr>
        <w:trPr>
          <w:trHeight w:val="121"/>
        </w:trPr>
        <w:tc>
          <w:tcPr>
            <w:tcW w:w="3740" w:type="dxa"/>
            <w:vAlign w:val="bottom"/>
          </w:tcPr>
          <w:p>
            <w:pPr>
              <w:ind w:left="420"/>
              <w:spacing w:after="0"/>
              <w:rPr>
                <w:sz w:val="20"/>
                <w:szCs w:val="20"/>
                <w:color w:val="auto"/>
              </w:rPr>
            </w:pPr>
            <w:r>
              <w:rPr>
                <w:rFonts w:ascii="Arial" w:cs="Arial" w:eastAsia="Arial" w:hAnsi="Arial"/>
                <w:sz w:val="10"/>
                <w:szCs w:val="10"/>
                <w:color w:val="auto"/>
              </w:rPr>
              <w:t>Total</w:t>
            </w:r>
          </w:p>
        </w:tc>
        <w:tc>
          <w:tcPr>
            <w:tcW w:w="60" w:type="dxa"/>
            <w:vAlign w:val="bottom"/>
          </w:tcPr>
          <w:p>
            <w:pPr>
              <w:spacing w:after="0"/>
              <w:rPr>
                <w:sz w:val="10"/>
                <w:szCs w:val="10"/>
                <w:color w:val="auto"/>
              </w:rPr>
            </w:pPr>
          </w:p>
        </w:tc>
        <w:tc>
          <w:tcPr>
            <w:tcW w:w="460" w:type="dxa"/>
            <w:vAlign w:val="bottom"/>
            <w:tcBorders>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2,673</w:t>
            </w:r>
          </w:p>
        </w:tc>
        <w:tc>
          <w:tcPr>
            <w:tcW w:w="240" w:type="dxa"/>
            <w:vAlign w:val="bottom"/>
          </w:tcPr>
          <w:p>
            <w:pPr>
              <w:spacing w:after="0"/>
              <w:rPr>
                <w:sz w:val="10"/>
                <w:szCs w:val="10"/>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w w:val="95"/>
              </w:rPr>
              <w:t>2,763</w:t>
            </w:r>
          </w:p>
        </w:tc>
        <w:tc>
          <w:tcPr>
            <w:tcW w:w="2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w w:val="95"/>
              </w:rPr>
              <w:t>2,704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Arial" w:cs="Arial" w:eastAsia="Arial" w:hAnsi="Arial"/>
                <w:sz w:val="10"/>
                <w:szCs w:val="10"/>
                <w:b w:val="1"/>
                <w:bCs w:val="1"/>
                <w:color w:val="auto"/>
              </w:rPr>
              <w:t>U.S. Downstream</w:t>
            </w:r>
          </w:p>
        </w:tc>
        <w:tc>
          <w:tcPr>
            <w:tcW w:w="60" w:type="dxa"/>
            <w:vAlign w:val="bottom"/>
          </w:tcPr>
          <w:p>
            <w:pPr>
              <w:spacing w:after="0"/>
              <w:rPr>
                <w:sz w:val="15"/>
                <w:szCs w:val="15"/>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649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40" w:type="dxa"/>
            <w:vAlign w:val="bottom"/>
          </w:tcPr>
          <w:p>
            <w:pPr>
              <w:spacing w:after="0" w:line="104" w:lineRule="exact"/>
              <w:rPr>
                <w:sz w:val="20"/>
                <w:szCs w:val="20"/>
                <w:color w:val="auto"/>
              </w:rPr>
            </w:pPr>
            <w:r>
              <w:rPr>
                <w:rFonts w:ascii="Arial" w:cs="Arial" w:eastAsia="Arial" w:hAnsi="Arial"/>
                <w:sz w:val="10"/>
                <w:szCs w:val="10"/>
                <w:color w:val="auto"/>
              </w:rPr>
              <w:t>Gasoline Sales (MBPD)</w:t>
            </w:r>
            <w:r>
              <w:rPr>
                <w:rFonts w:ascii="Arial" w:cs="Arial" w:eastAsia="Arial" w:hAnsi="Arial"/>
                <w:sz w:val="8"/>
                <w:szCs w:val="8"/>
                <w:color w:val="auto"/>
              </w:rPr>
              <w:t>6</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700</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720</w:t>
            </w:r>
          </w:p>
        </w:tc>
        <w:tc>
          <w:tcPr>
            <w:tcW w:w="0" w:type="dxa"/>
            <w:vAlign w:val="bottom"/>
          </w:tcPr>
          <w:p>
            <w:pPr>
              <w:spacing w:after="0"/>
              <w:rPr>
                <w:sz w:val="1"/>
                <w:szCs w:val="1"/>
                <w:color w:val="auto"/>
              </w:rPr>
            </w:pPr>
          </w:p>
        </w:tc>
      </w:tr>
      <w:tr>
        <w:trPr>
          <w:trHeight w:val="120"/>
        </w:trPr>
        <w:tc>
          <w:tcPr>
            <w:tcW w:w="3740" w:type="dxa"/>
            <w:vAlign w:val="bottom"/>
          </w:tcPr>
          <w:p>
            <w:pPr>
              <w:spacing w:after="0"/>
              <w:rPr>
                <w:sz w:val="20"/>
                <w:szCs w:val="20"/>
                <w:color w:val="auto"/>
              </w:rPr>
            </w:pPr>
            <w:r>
              <w:rPr>
                <w:rFonts w:ascii="Arial" w:cs="Arial" w:eastAsia="Arial" w:hAnsi="Arial"/>
                <w:sz w:val="10"/>
                <w:szCs w:val="10"/>
                <w:color w:val="auto"/>
              </w:rPr>
              <w:t>Other Refined Product Sales (MBPD)</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608</w:t>
            </w:r>
          </w:p>
        </w:tc>
        <w:tc>
          <w:tcPr>
            <w:tcW w:w="2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649</w:t>
            </w:r>
          </w:p>
        </w:tc>
        <w:tc>
          <w:tcPr>
            <w:tcW w:w="2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683</w:t>
            </w:r>
          </w:p>
        </w:tc>
        <w:tc>
          <w:tcPr>
            <w:tcW w:w="0" w:type="dxa"/>
            <w:vAlign w:val="bottom"/>
          </w:tcPr>
          <w:p>
            <w:pPr>
              <w:spacing w:after="0"/>
              <w:rPr>
                <w:sz w:val="1"/>
                <w:szCs w:val="1"/>
                <w:color w:val="auto"/>
              </w:rPr>
            </w:pPr>
          </w:p>
        </w:tc>
      </w:tr>
      <w:tr>
        <w:trPr>
          <w:trHeight w:val="90"/>
        </w:trPr>
        <w:tc>
          <w:tcPr>
            <w:tcW w:w="3740" w:type="dxa"/>
            <w:vAlign w:val="bottom"/>
          </w:tcPr>
          <w:p>
            <w:pPr>
              <w:ind w:left="140"/>
              <w:spacing w:after="0" w:line="91" w:lineRule="exact"/>
              <w:rPr>
                <w:sz w:val="20"/>
                <w:szCs w:val="20"/>
                <w:color w:val="auto"/>
              </w:rPr>
            </w:pPr>
            <w:r>
              <w:rPr>
                <w:rFonts w:ascii="Arial" w:cs="Arial" w:eastAsia="Arial" w:hAnsi="Arial"/>
                <w:sz w:val="10"/>
                <w:szCs w:val="10"/>
                <w:color w:val="auto"/>
              </w:rPr>
              <w:t>Total Refined Product Sales (MBPD)</w:t>
            </w:r>
          </w:p>
        </w:tc>
        <w:tc>
          <w:tcPr>
            <w:tcW w:w="60" w:type="dxa"/>
            <w:vAlign w:val="bottom"/>
          </w:tcPr>
          <w:p>
            <w:pPr>
              <w:spacing w:after="0"/>
              <w:rPr>
                <w:sz w:val="7"/>
                <w:szCs w:val="7"/>
                <w:color w:val="auto"/>
              </w:rPr>
            </w:pPr>
          </w:p>
        </w:tc>
        <w:tc>
          <w:tcPr>
            <w:tcW w:w="46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1,257</w:t>
            </w:r>
          </w:p>
        </w:tc>
        <w:tc>
          <w:tcPr>
            <w:tcW w:w="240" w:type="dxa"/>
            <w:vAlign w:val="bottom"/>
          </w:tcPr>
          <w:p>
            <w:pPr>
              <w:spacing w:after="0"/>
              <w:rPr>
                <w:sz w:val="7"/>
                <w:szCs w:val="7"/>
                <w:color w:val="auto"/>
              </w:rPr>
            </w:pPr>
          </w:p>
        </w:tc>
        <w:tc>
          <w:tcPr>
            <w:tcW w:w="440" w:type="dxa"/>
            <w:vAlign w:val="bottom"/>
          </w:tcPr>
          <w:p>
            <w:pPr>
              <w:jc w:val="right"/>
              <w:ind w:right="129"/>
              <w:spacing w:after="0" w:line="91" w:lineRule="exact"/>
              <w:rPr>
                <w:sz w:val="20"/>
                <w:szCs w:val="20"/>
                <w:color w:val="auto"/>
              </w:rPr>
            </w:pPr>
            <w:r>
              <w:rPr>
                <w:rFonts w:ascii="Arial" w:cs="Arial" w:eastAsia="Arial" w:hAnsi="Arial"/>
                <w:sz w:val="10"/>
                <w:szCs w:val="10"/>
                <w:color w:val="auto"/>
                <w:w w:val="95"/>
              </w:rPr>
              <w:t>1,349</w:t>
            </w:r>
          </w:p>
        </w:tc>
        <w:tc>
          <w:tcPr>
            <w:tcW w:w="2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w w:val="95"/>
              </w:rPr>
              <w:t>1,403</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Sales of Natural Gas Liquids (MBPD)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146</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139</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31"/>
        </w:trPr>
        <w:tc>
          <w:tcPr>
            <w:tcW w:w="3740" w:type="dxa"/>
            <w:vAlign w:val="bottom"/>
          </w:tcPr>
          <w:p>
            <w:pPr>
              <w:spacing w:after="0"/>
              <w:rPr>
                <w:sz w:val="20"/>
                <w:szCs w:val="20"/>
                <w:color w:val="auto"/>
              </w:rPr>
            </w:pPr>
            <w:r>
              <w:rPr>
                <w:rFonts w:ascii="Arial" w:cs="Arial" w:eastAsia="Arial" w:hAnsi="Arial"/>
                <w:sz w:val="10"/>
                <w:szCs w:val="10"/>
                <w:color w:val="auto"/>
              </w:rPr>
              <w:t>Refinery Input (MBPD)</w:t>
            </w:r>
          </w:p>
        </w:tc>
        <w:tc>
          <w:tcPr>
            <w:tcW w:w="60" w:type="dxa"/>
            <w:vAlign w:val="bottom"/>
          </w:tcPr>
          <w:p>
            <w:pPr>
              <w:spacing w:after="0"/>
              <w:rPr>
                <w:sz w:val="11"/>
                <w:szCs w:val="11"/>
                <w:color w:val="auto"/>
              </w:rPr>
            </w:pPr>
          </w:p>
        </w:tc>
        <w:tc>
          <w:tcPr>
            <w:tcW w:w="460" w:type="dxa"/>
            <w:vAlign w:val="bottom"/>
            <w:tcBorders>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854</w:t>
            </w:r>
          </w:p>
        </w:tc>
        <w:tc>
          <w:tcPr>
            <w:tcW w:w="240" w:type="dxa"/>
            <w:vAlign w:val="bottom"/>
          </w:tcPr>
          <w:p>
            <w:pPr>
              <w:spacing w:after="0"/>
              <w:rPr>
                <w:sz w:val="11"/>
                <w:szCs w:val="11"/>
                <w:color w:val="auto"/>
              </w:rPr>
            </w:pPr>
          </w:p>
        </w:tc>
        <w:tc>
          <w:tcPr>
            <w:tcW w:w="440" w:type="dxa"/>
            <w:vAlign w:val="bottom"/>
          </w:tcPr>
          <w:p>
            <w:pPr>
              <w:jc w:val="right"/>
              <w:ind w:right="129"/>
              <w:spacing w:after="0"/>
              <w:rPr>
                <w:sz w:val="20"/>
                <w:szCs w:val="20"/>
                <w:color w:val="auto"/>
              </w:rPr>
            </w:pPr>
            <w:r>
              <w:rPr>
                <w:rFonts w:ascii="Arial" w:cs="Arial" w:eastAsia="Arial" w:hAnsi="Arial"/>
                <w:sz w:val="10"/>
                <w:szCs w:val="10"/>
                <w:color w:val="auto"/>
              </w:rPr>
              <w:t>890</w:t>
            </w:r>
          </w:p>
        </w:tc>
        <w:tc>
          <w:tcPr>
            <w:tcW w:w="2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899</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20"/>
                <w:szCs w:val="20"/>
                <w:color w:val="auto"/>
              </w:rPr>
            </w:pPr>
            <w:r>
              <w:rPr>
                <w:rFonts w:ascii="Arial" w:cs="Arial" w:eastAsia="Arial" w:hAnsi="Arial"/>
                <w:sz w:val="10"/>
                <w:szCs w:val="10"/>
                <w:b w:val="1"/>
                <w:bCs w:val="1"/>
                <w:color w:val="auto"/>
              </w:rPr>
              <w:t>International Downstream</w:t>
            </w:r>
          </w:p>
        </w:tc>
        <w:tc>
          <w:tcPr>
            <w:tcW w:w="60" w:type="dxa"/>
            <w:vAlign w:val="bottom"/>
          </w:tcPr>
          <w:p>
            <w:pPr>
              <w:spacing w:after="0"/>
              <w:rPr>
                <w:sz w:val="16"/>
                <w:szCs w:val="16"/>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447</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740" w:type="dxa"/>
            <w:vAlign w:val="bottom"/>
          </w:tcPr>
          <w:p>
            <w:pPr>
              <w:spacing w:after="0" w:line="104" w:lineRule="exact"/>
              <w:rPr>
                <w:sz w:val="20"/>
                <w:szCs w:val="20"/>
                <w:color w:val="auto"/>
              </w:rPr>
            </w:pPr>
            <w:r>
              <w:rPr>
                <w:rFonts w:ascii="Arial" w:cs="Arial" w:eastAsia="Arial" w:hAnsi="Arial"/>
                <w:sz w:val="10"/>
                <w:szCs w:val="10"/>
                <w:color w:val="auto"/>
              </w:rPr>
              <w:t>Gasoline Sales (MBPD)</w:t>
            </w:r>
            <w:r>
              <w:rPr>
                <w:rFonts w:ascii="Arial" w:cs="Arial" w:eastAsia="Arial" w:hAnsi="Arial"/>
                <w:sz w:val="8"/>
                <w:szCs w:val="8"/>
                <w:color w:val="auto"/>
              </w:rPr>
              <w:t>6</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521</w:t>
            </w:r>
          </w:p>
        </w:tc>
        <w:tc>
          <w:tcPr>
            <w:tcW w:w="26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555</w:t>
            </w:r>
          </w:p>
        </w:tc>
        <w:tc>
          <w:tcPr>
            <w:tcW w:w="0" w:type="dxa"/>
            <w:vAlign w:val="bottom"/>
          </w:tcPr>
          <w:p>
            <w:pPr>
              <w:spacing w:after="0"/>
              <w:rPr>
                <w:sz w:val="1"/>
                <w:szCs w:val="1"/>
                <w:color w:val="auto"/>
              </w:rPr>
            </w:pPr>
          </w:p>
        </w:tc>
      </w:tr>
      <w:tr>
        <w:trPr>
          <w:trHeight w:val="120"/>
        </w:trPr>
        <w:tc>
          <w:tcPr>
            <w:tcW w:w="3740" w:type="dxa"/>
            <w:vAlign w:val="bottom"/>
          </w:tcPr>
          <w:p>
            <w:pPr>
              <w:spacing w:after="0"/>
              <w:rPr>
                <w:sz w:val="20"/>
                <w:szCs w:val="20"/>
                <w:color w:val="auto"/>
              </w:rPr>
            </w:pPr>
            <w:r>
              <w:rPr>
                <w:rFonts w:ascii="Arial" w:cs="Arial" w:eastAsia="Arial" w:hAnsi="Arial"/>
                <w:sz w:val="10"/>
                <w:szCs w:val="10"/>
                <w:color w:val="auto"/>
              </w:rPr>
              <w:t>Other Refined Product Sales (MBPD)</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1,245</w:t>
            </w:r>
          </w:p>
        </w:tc>
        <w:tc>
          <w:tcPr>
            <w:tcW w:w="2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95"/>
              </w:rPr>
              <w:t>1,243</w:t>
            </w:r>
          </w:p>
        </w:tc>
        <w:tc>
          <w:tcPr>
            <w:tcW w:w="2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1,296</w:t>
            </w:r>
          </w:p>
        </w:tc>
        <w:tc>
          <w:tcPr>
            <w:tcW w:w="0" w:type="dxa"/>
            <w:vAlign w:val="bottom"/>
          </w:tcPr>
          <w:p>
            <w:pPr>
              <w:spacing w:after="0"/>
              <w:rPr>
                <w:sz w:val="1"/>
                <w:szCs w:val="1"/>
                <w:color w:val="auto"/>
              </w:rPr>
            </w:pPr>
          </w:p>
        </w:tc>
      </w:tr>
      <w:tr>
        <w:trPr>
          <w:trHeight w:val="90"/>
        </w:trPr>
        <w:tc>
          <w:tcPr>
            <w:tcW w:w="3740" w:type="dxa"/>
            <w:vAlign w:val="bottom"/>
          </w:tcPr>
          <w:p>
            <w:pPr>
              <w:ind w:left="140"/>
              <w:spacing w:after="0" w:line="91" w:lineRule="exact"/>
              <w:rPr>
                <w:sz w:val="20"/>
                <w:szCs w:val="20"/>
                <w:color w:val="auto"/>
              </w:rPr>
            </w:pPr>
            <w:r>
              <w:rPr>
                <w:rFonts w:ascii="Arial" w:cs="Arial" w:eastAsia="Arial" w:hAnsi="Arial"/>
                <w:sz w:val="10"/>
                <w:szCs w:val="10"/>
                <w:color w:val="auto"/>
              </w:rPr>
              <w:t>Total Refined Product Sales (MBPD)</w:t>
            </w:r>
            <w:r>
              <w:rPr>
                <w:rFonts w:ascii="Arial" w:cs="Arial" w:eastAsia="Arial" w:hAnsi="Arial"/>
                <w:sz w:val="8"/>
                <w:szCs w:val="8"/>
                <w:color w:val="auto"/>
              </w:rPr>
              <w:t>7</w:t>
            </w:r>
          </w:p>
        </w:tc>
        <w:tc>
          <w:tcPr>
            <w:tcW w:w="60" w:type="dxa"/>
            <w:vAlign w:val="bottom"/>
          </w:tcPr>
          <w:p>
            <w:pPr>
              <w:spacing w:after="0"/>
              <w:rPr>
                <w:sz w:val="7"/>
                <w:szCs w:val="7"/>
                <w:color w:val="auto"/>
              </w:rPr>
            </w:pPr>
          </w:p>
        </w:tc>
        <w:tc>
          <w:tcPr>
            <w:tcW w:w="460" w:type="dxa"/>
            <w:vAlign w:val="bottom"/>
            <w:tcBorders>
              <w:right w:val="single" w:sz="8" w:color="0077C0"/>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1,692</w:t>
            </w:r>
          </w:p>
        </w:tc>
        <w:tc>
          <w:tcPr>
            <w:tcW w:w="240" w:type="dxa"/>
            <w:vAlign w:val="bottom"/>
          </w:tcPr>
          <w:p>
            <w:pPr>
              <w:spacing w:after="0"/>
              <w:rPr>
                <w:sz w:val="7"/>
                <w:szCs w:val="7"/>
                <w:color w:val="auto"/>
              </w:rPr>
            </w:pPr>
          </w:p>
        </w:tc>
        <w:tc>
          <w:tcPr>
            <w:tcW w:w="440" w:type="dxa"/>
            <w:vAlign w:val="bottom"/>
          </w:tcPr>
          <w:p>
            <w:pPr>
              <w:jc w:val="right"/>
              <w:ind w:right="129"/>
              <w:spacing w:after="0" w:line="91" w:lineRule="exact"/>
              <w:rPr>
                <w:sz w:val="20"/>
                <w:szCs w:val="20"/>
                <w:color w:val="auto"/>
              </w:rPr>
            </w:pPr>
            <w:r>
              <w:rPr>
                <w:rFonts w:ascii="Arial" w:cs="Arial" w:eastAsia="Arial" w:hAnsi="Arial"/>
                <w:sz w:val="10"/>
                <w:szCs w:val="10"/>
                <w:color w:val="auto"/>
                <w:w w:val="95"/>
              </w:rPr>
              <w:t>1,764</w:t>
            </w:r>
          </w:p>
        </w:tc>
        <w:tc>
          <w:tcPr>
            <w:tcW w:w="26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w w:val="95"/>
              </w:rPr>
              <w:t>1,851</w:t>
            </w:r>
          </w:p>
        </w:tc>
        <w:tc>
          <w:tcPr>
            <w:tcW w:w="0" w:type="dxa"/>
            <w:vAlign w:val="bottom"/>
          </w:tcPr>
          <w:p>
            <w:pPr>
              <w:spacing w:after="0"/>
              <w:rPr>
                <w:sz w:val="1"/>
                <w:szCs w:val="1"/>
                <w:color w:val="auto"/>
              </w:rPr>
            </w:pPr>
          </w:p>
        </w:tc>
      </w:tr>
      <w:tr>
        <w:trPr>
          <w:trHeight w:val="106"/>
        </w:trPr>
        <w:tc>
          <w:tcPr>
            <w:tcW w:w="3740" w:type="dxa"/>
            <w:vAlign w:val="bottom"/>
          </w:tcPr>
          <w:p>
            <w:pPr>
              <w:spacing w:after="0" w:line="106" w:lineRule="exact"/>
              <w:rPr>
                <w:sz w:val="20"/>
                <w:szCs w:val="20"/>
                <w:color w:val="auto"/>
              </w:rPr>
            </w:pPr>
            <w:r>
              <w:rPr>
                <w:rFonts w:ascii="Arial" w:cs="Arial" w:eastAsia="Arial" w:hAnsi="Arial"/>
                <w:sz w:val="10"/>
                <w:szCs w:val="10"/>
                <w:color w:val="auto"/>
              </w:rPr>
              <w:t>Sales of Natural Gas Liquids (MBPD)</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63</w:t>
            </w:r>
          </w:p>
        </w:tc>
        <w:tc>
          <w:tcPr>
            <w:tcW w:w="24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78</w:t>
            </w:r>
          </w:p>
        </w:tc>
        <w:tc>
          <w:tcPr>
            <w:tcW w:w="2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29"/>
        </w:trPr>
        <w:tc>
          <w:tcPr>
            <w:tcW w:w="37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Refinery Input (MBPD)</w:t>
            </w:r>
          </w:p>
        </w:tc>
        <w:tc>
          <w:tcPr>
            <w:tcW w:w="60" w:type="dxa"/>
            <w:vAlign w:val="bottom"/>
            <w:tcBorders>
              <w:bottom w:val="single" w:sz="8" w:color="0077C0"/>
            </w:tcBorders>
          </w:tcPr>
          <w:p>
            <w:pPr>
              <w:spacing w:after="0"/>
              <w:rPr>
                <w:sz w:val="11"/>
                <w:szCs w:val="11"/>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933</w:t>
            </w:r>
          </w:p>
        </w:tc>
        <w:tc>
          <w:tcPr>
            <w:tcW w:w="24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95"/>
              </w:rPr>
              <w:t>1,004</w:t>
            </w:r>
          </w:p>
        </w:tc>
        <w:tc>
          <w:tcPr>
            <w:tcW w:w="26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979</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3" w:hanging="103"/>
        <w:spacing w:after="0"/>
        <w:tabs>
          <w:tab w:leader="none" w:pos="103" w:val="left"/>
        </w:tabs>
        <w:numPr>
          <w:ilvl w:val="0"/>
          <w:numId w:val="26"/>
        </w:numPr>
        <w:rPr>
          <w:rFonts w:ascii="Arial" w:cs="Arial" w:eastAsia="Arial" w:hAnsi="Arial"/>
          <w:sz w:val="8"/>
          <w:szCs w:val="8"/>
          <w:color w:val="auto"/>
        </w:rPr>
      </w:pPr>
      <w:r>
        <w:rPr>
          <w:rFonts w:ascii="Arial" w:cs="Arial" w:eastAsia="Arial" w:hAnsi="Arial"/>
          <w:sz w:val="9"/>
          <w:szCs w:val="9"/>
          <w:color w:val="auto"/>
        </w:rPr>
        <w:t>Includes company share of equity affiliates.</w:t>
      </w:r>
    </w:p>
    <w:p>
      <w:pPr>
        <w:spacing w:after="0" w:line="3" w:lineRule="exact"/>
        <w:rPr>
          <w:sz w:val="20"/>
          <w:szCs w:val="20"/>
          <w:color w:val="auto"/>
        </w:rPr>
      </w:pPr>
    </w:p>
    <w:p>
      <w:pPr>
        <w:ind w:left="103" w:hanging="103"/>
        <w:spacing w:after="0"/>
        <w:tabs>
          <w:tab w:leader="none" w:pos="103" w:val="left"/>
        </w:tabs>
        <w:numPr>
          <w:ilvl w:val="0"/>
          <w:numId w:val="27"/>
        </w:numPr>
        <w:rPr>
          <w:rFonts w:ascii="Arial" w:cs="Arial" w:eastAsia="Arial" w:hAnsi="Arial"/>
          <w:sz w:val="8"/>
          <w:szCs w:val="8"/>
          <w:color w:val="auto"/>
        </w:rPr>
      </w:pPr>
      <w:r>
        <w:rPr>
          <w:rFonts w:ascii="Arial" w:cs="Arial" w:eastAsia="Arial" w:hAnsi="Arial"/>
          <w:sz w:val="9"/>
          <w:szCs w:val="9"/>
          <w:color w:val="auto"/>
        </w:rPr>
        <w:t>MBPD – thousands of barrels per day; MMCFPD – millions of cubic feet per day;</w:t>
      </w:r>
    </w:p>
    <w:p>
      <w:pPr>
        <w:ind w:left="103"/>
        <w:spacing w:after="0" w:line="234" w:lineRule="auto"/>
        <w:rPr>
          <w:rFonts w:ascii="Arial" w:cs="Arial" w:eastAsia="Arial" w:hAnsi="Arial"/>
          <w:sz w:val="8"/>
          <w:szCs w:val="8"/>
          <w:color w:val="auto"/>
        </w:rPr>
      </w:pPr>
      <w:r>
        <w:rPr>
          <w:rFonts w:ascii="Arial" w:cs="Arial" w:eastAsia="Arial" w:hAnsi="Arial"/>
          <w:sz w:val="9"/>
          <w:szCs w:val="9"/>
          <w:color w:val="auto"/>
        </w:rPr>
        <w:t>MBOEPD – thousands of barrels of oil-equivalents per day; Bbl – Barrel; MCF = Thousands of cubic feet. Oil-equivalent gas (OEG) conversion ratio is 6,000 cubic feet of natural gas = 1 barrel of oil.</w:t>
      </w:r>
    </w:p>
    <w:p>
      <w:pPr>
        <w:ind w:left="103" w:hanging="103"/>
        <w:spacing w:after="0"/>
        <w:tabs>
          <w:tab w:leader="none" w:pos="103" w:val="left"/>
        </w:tabs>
        <w:numPr>
          <w:ilvl w:val="0"/>
          <w:numId w:val="28"/>
        </w:numPr>
        <w:rPr>
          <w:rFonts w:ascii="Arial" w:cs="Arial" w:eastAsia="Arial" w:hAnsi="Arial"/>
          <w:sz w:val="8"/>
          <w:szCs w:val="8"/>
          <w:color w:val="auto"/>
        </w:rPr>
      </w:pPr>
      <w:r>
        <w:rPr>
          <w:rFonts w:ascii="Arial" w:cs="Arial" w:eastAsia="Arial" w:hAnsi="Arial"/>
          <w:sz w:val="9"/>
          <w:szCs w:val="9"/>
          <w:color w:val="auto"/>
        </w:rPr>
        <w:t>Includes natural gas consumed in operations (MMCFPD):</w:t>
      </w:r>
    </w:p>
    <w:tbl>
      <w:tblPr>
        <w:tblLayout w:type="fixed"/>
        <w:tblInd w:w="3" w:type="dxa"/>
        <w:tblCellMar>
          <w:top w:w="0" w:type="dxa"/>
          <w:left w:w="0" w:type="dxa"/>
          <w:bottom w:w="0" w:type="dxa"/>
          <w:right w:w="0" w:type="dxa"/>
        </w:tblCellMar>
      </w:tblPr>
      <w:tr>
        <w:trPr>
          <w:trHeight w:val="88"/>
        </w:trPr>
        <w:tc>
          <w:tcPr>
            <w:tcW w:w="40" w:type="dxa"/>
            <w:vAlign w:val="bottom"/>
          </w:tcPr>
          <w:p>
            <w:pPr>
              <w:spacing w:after="0"/>
              <w:rPr>
                <w:sz w:val="7"/>
                <w:szCs w:val="7"/>
                <w:color w:val="auto"/>
              </w:rPr>
            </w:pPr>
          </w:p>
        </w:tc>
        <w:tc>
          <w:tcPr>
            <w:tcW w:w="2580" w:type="dxa"/>
            <w:vAlign w:val="bottom"/>
          </w:tcPr>
          <w:p>
            <w:pPr>
              <w:ind w:left="100"/>
              <w:spacing w:after="0" w:line="88" w:lineRule="exact"/>
              <w:rPr>
                <w:sz w:val="20"/>
                <w:szCs w:val="20"/>
                <w:color w:val="auto"/>
              </w:rPr>
            </w:pPr>
            <w:r>
              <w:rPr>
                <w:rFonts w:ascii="Arial" w:cs="Arial" w:eastAsia="Arial" w:hAnsi="Arial"/>
                <w:sz w:val="9"/>
                <w:szCs w:val="9"/>
                <w:color w:val="auto"/>
              </w:rPr>
              <w:t>United States</w:t>
            </w:r>
          </w:p>
        </w:tc>
        <w:tc>
          <w:tcPr>
            <w:tcW w:w="1540" w:type="dxa"/>
            <w:vAlign w:val="bottom"/>
          </w:tcPr>
          <w:p>
            <w:pPr>
              <w:jc w:val="right"/>
              <w:ind w:right="355"/>
              <w:spacing w:after="0" w:line="88" w:lineRule="exact"/>
              <w:rPr>
                <w:sz w:val="20"/>
                <w:szCs w:val="20"/>
                <w:color w:val="auto"/>
              </w:rPr>
            </w:pPr>
            <w:r>
              <w:rPr>
                <w:rFonts w:ascii="Arial" w:cs="Arial" w:eastAsia="Arial" w:hAnsi="Arial"/>
                <w:sz w:val="9"/>
                <w:szCs w:val="9"/>
                <w:b w:val="1"/>
                <w:bCs w:val="1"/>
                <w:color w:val="auto"/>
              </w:rPr>
              <w:t>69</w:t>
            </w:r>
          </w:p>
        </w:tc>
        <w:tc>
          <w:tcPr>
            <w:tcW w:w="860" w:type="dxa"/>
            <w:vAlign w:val="bottom"/>
          </w:tcPr>
          <w:p>
            <w:pPr>
              <w:jc w:val="right"/>
              <w:ind w:right="275"/>
              <w:spacing w:after="0" w:line="88" w:lineRule="exact"/>
              <w:rPr>
                <w:sz w:val="20"/>
                <w:szCs w:val="20"/>
                <w:color w:val="auto"/>
              </w:rPr>
            </w:pPr>
            <w:r>
              <w:rPr>
                <w:rFonts w:ascii="Arial" w:cs="Arial" w:eastAsia="Arial" w:hAnsi="Arial"/>
                <w:sz w:val="9"/>
                <w:szCs w:val="9"/>
                <w:color w:val="auto"/>
              </w:rPr>
              <w:t>62</w:t>
            </w:r>
          </w:p>
        </w:tc>
        <w:tc>
          <w:tcPr>
            <w:tcW w:w="440" w:type="dxa"/>
            <w:vAlign w:val="bottom"/>
          </w:tcPr>
          <w:p>
            <w:pPr>
              <w:jc w:val="right"/>
              <w:spacing w:after="0" w:line="88" w:lineRule="exact"/>
              <w:rPr>
                <w:sz w:val="20"/>
                <w:szCs w:val="20"/>
                <w:color w:val="auto"/>
              </w:rPr>
            </w:pPr>
            <w:r>
              <w:rPr>
                <w:rFonts w:ascii="Arial" w:cs="Arial" w:eastAsia="Arial" w:hAnsi="Arial"/>
                <w:sz w:val="9"/>
                <w:szCs w:val="9"/>
                <w:color w:val="auto"/>
              </w:rPr>
              <w:t>58</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580" w:type="dxa"/>
            <w:vAlign w:val="bottom"/>
          </w:tcPr>
          <w:p>
            <w:pPr>
              <w:ind w:left="100"/>
              <w:spacing w:after="0" w:line="96" w:lineRule="exact"/>
              <w:rPr>
                <w:sz w:val="20"/>
                <w:szCs w:val="20"/>
                <w:color w:val="auto"/>
              </w:rPr>
            </w:pPr>
            <w:r>
              <w:rPr>
                <w:rFonts w:ascii="Arial" w:cs="Arial" w:eastAsia="Arial" w:hAnsi="Arial"/>
                <w:sz w:val="9"/>
                <w:szCs w:val="9"/>
                <w:color w:val="auto"/>
              </w:rPr>
              <w:t>International</w:t>
            </w:r>
          </w:p>
        </w:tc>
        <w:tc>
          <w:tcPr>
            <w:tcW w:w="1540" w:type="dxa"/>
            <w:vAlign w:val="bottom"/>
          </w:tcPr>
          <w:p>
            <w:pPr>
              <w:jc w:val="right"/>
              <w:ind w:right="355"/>
              <w:spacing w:after="0" w:line="96" w:lineRule="exact"/>
              <w:rPr>
                <w:sz w:val="20"/>
                <w:szCs w:val="20"/>
                <w:color w:val="auto"/>
              </w:rPr>
            </w:pPr>
            <w:r>
              <w:rPr>
                <w:rFonts w:ascii="Arial" w:cs="Arial" w:eastAsia="Arial" w:hAnsi="Arial"/>
                <w:sz w:val="9"/>
                <w:szCs w:val="9"/>
                <w:b w:val="1"/>
                <w:bCs w:val="1"/>
                <w:color w:val="auto"/>
              </w:rPr>
              <w:t>513</w:t>
            </w:r>
          </w:p>
        </w:tc>
        <w:tc>
          <w:tcPr>
            <w:tcW w:w="860" w:type="dxa"/>
            <w:vAlign w:val="bottom"/>
          </w:tcPr>
          <w:p>
            <w:pPr>
              <w:jc w:val="right"/>
              <w:ind w:right="275"/>
              <w:spacing w:after="0" w:line="96" w:lineRule="exact"/>
              <w:rPr>
                <w:sz w:val="20"/>
                <w:szCs w:val="20"/>
                <w:color w:val="auto"/>
              </w:rPr>
            </w:pPr>
            <w:r>
              <w:rPr>
                <w:rFonts w:ascii="Arial" w:cs="Arial" w:eastAsia="Arial" w:hAnsi="Arial"/>
                <w:sz w:val="9"/>
                <w:szCs w:val="9"/>
                <w:color w:val="auto"/>
              </w:rPr>
              <w:t>475</w:t>
            </w:r>
          </w:p>
        </w:tc>
        <w:tc>
          <w:tcPr>
            <w:tcW w:w="440" w:type="dxa"/>
            <w:vAlign w:val="bottom"/>
          </w:tcPr>
          <w:p>
            <w:pPr>
              <w:jc w:val="right"/>
              <w:spacing w:after="0" w:line="96" w:lineRule="exact"/>
              <w:rPr>
                <w:sz w:val="20"/>
                <w:szCs w:val="20"/>
                <w:color w:val="auto"/>
              </w:rPr>
            </w:pPr>
            <w:r>
              <w:rPr>
                <w:rFonts w:ascii="Arial" w:cs="Arial" w:eastAsia="Arial" w:hAnsi="Arial"/>
                <w:sz w:val="9"/>
                <w:szCs w:val="9"/>
                <w:color w:val="auto"/>
              </w:rPr>
              <w:t>463</w:t>
            </w:r>
          </w:p>
        </w:tc>
        <w:tc>
          <w:tcPr>
            <w:tcW w:w="0" w:type="dxa"/>
            <w:vAlign w:val="bottom"/>
          </w:tcPr>
          <w:p>
            <w:pPr>
              <w:spacing w:after="0"/>
              <w:rPr>
                <w:sz w:val="1"/>
                <w:szCs w:val="1"/>
                <w:color w:val="auto"/>
              </w:rPr>
            </w:pPr>
          </w:p>
        </w:tc>
      </w:tr>
      <w:tr>
        <w:trPr>
          <w:trHeight w:val="96"/>
        </w:trPr>
        <w:tc>
          <w:tcPr>
            <w:tcW w:w="40" w:type="dxa"/>
            <w:vAlign w:val="bottom"/>
          </w:tcPr>
          <w:p>
            <w:pPr>
              <w:jc w:val="right"/>
              <w:spacing w:after="0"/>
              <w:rPr>
                <w:sz w:val="20"/>
                <w:szCs w:val="20"/>
                <w:color w:val="auto"/>
              </w:rPr>
            </w:pPr>
            <w:r>
              <w:rPr>
                <w:rFonts w:ascii="Arial" w:cs="Arial" w:eastAsia="Arial" w:hAnsi="Arial"/>
                <w:sz w:val="5"/>
                <w:szCs w:val="5"/>
                <w:color w:val="auto"/>
                <w:w w:val="70"/>
              </w:rPr>
              <w:t>4</w:t>
            </w:r>
          </w:p>
        </w:tc>
        <w:tc>
          <w:tcPr>
            <w:tcW w:w="2580" w:type="dxa"/>
            <w:vAlign w:val="bottom"/>
          </w:tcPr>
          <w:p>
            <w:pPr>
              <w:ind w:left="20"/>
              <w:spacing w:after="0" w:line="96" w:lineRule="exact"/>
              <w:rPr>
                <w:sz w:val="20"/>
                <w:szCs w:val="20"/>
                <w:color w:val="auto"/>
              </w:rPr>
            </w:pPr>
            <w:r>
              <w:rPr>
                <w:rFonts w:ascii="Arial" w:cs="Arial" w:eastAsia="Arial" w:hAnsi="Arial"/>
                <w:sz w:val="9"/>
                <w:szCs w:val="9"/>
                <w:color w:val="auto"/>
              </w:rPr>
              <w:t>Includes: Canada – synthetic oil</w:t>
            </w:r>
          </w:p>
        </w:tc>
        <w:tc>
          <w:tcPr>
            <w:tcW w:w="1540" w:type="dxa"/>
            <w:vAlign w:val="bottom"/>
          </w:tcPr>
          <w:p>
            <w:pPr>
              <w:jc w:val="right"/>
              <w:ind w:right="355"/>
              <w:spacing w:after="0" w:line="96" w:lineRule="exact"/>
              <w:rPr>
                <w:sz w:val="20"/>
                <w:szCs w:val="20"/>
                <w:color w:val="auto"/>
              </w:rPr>
            </w:pPr>
            <w:r>
              <w:rPr>
                <w:rFonts w:ascii="Arial" w:cs="Arial" w:eastAsia="Arial" w:hAnsi="Arial"/>
                <w:sz w:val="9"/>
                <w:szCs w:val="9"/>
                <w:b w:val="1"/>
                <w:bCs w:val="1"/>
                <w:color w:val="auto"/>
              </w:rPr>
              <w:t>40</w:t>
            </w:r>
          </w:p>
        </w:tc>
        <w:tc>
          <w:tcPr>
            <w:tcW w:w="860" w:type="dxa"/>
            <w:vAlign w:val="bottom"/>
          </w:tcPr>
          <w:p>
            <w:pPr>
              <w:jc w:val="right"/>
              <w:ind w:right="275"/>
              <w:spacing w:after="0" w:line="96" w:lineRule="exact"/>
              <w:rPr>
                <w:sz w:val="20"/>
                <w:szCs w:val="20"/>
                <w:color w:val="auto"/>
              </w:rPr>
            </w:pPr>
            <w:r>
              <w:rPr>
                <w:rFonts w:ascii="Arial" w:cs="Arial" w:eastAsia="Arial" w:hAnsi="Arial"/>
                <w:sz w:val="9"/>
                <w:szCs w:val="9"/>
                <w:color w:val="auto"/>
              </w:rPr>
              <w:t>24</w:t>
            </w:r>
          </w:p>
        </w:tc>
        <w:tc>
          <w:tcPr>
            <w:tcW w:w="44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580" w:type="dxa"/>
            <w:vAlign w:val="bottom"/>
          </w:tcPr>
          <w:p>
            <w:pPr>
              <w:ind w:left="380"/>
              <w:spacing w:after="0" w:line="96" w:lineRule="exact"/>
              <w:rPr>
                <w:sz w:val="20"/>
                <w:szCs w:val="20"/>
                <w:color w:val="auto"/>
              </w:rPr>
            </w:pPr>
            <w:r>
              <w:rPr>
                <w:rFonts w:ascii="Arial" w:cs="Arial" w:eastAsia="Arial" w:hAnsi="Arial"/>
                <w:sz w:val="9"/>
                <w:szCs w:val="9"/>
                <w:color w:val="auto"/>
              </w:rPr>
              <w:t>Venezuela affiliate – synthetic oil</w:t>
            </w:r>
          </w:p>
        </w:tc>
        <w:tc>
          <w:tcPr>
            <w:tcW w:w="1540" w:type="dxa"/>
            <w:vAlign w:val="bottom"/>
          </w:tcPr>
          <w:p>
            <w:pPr>
              <w:jc w:val="right"/>
              <w:ind w:right="355"/>
              <w:spacing w:after="0" w:line="96" w:lineRule="exact"/>
              <w:rPr>
                <w:sz w:val="20"/>
                <w:szCs w:val="20"/>
                <w:color w:val="auto"/>
              </w:rPr>
            </w:pPr>
            <w:r>
              <w:rPr>
                <w:rFonts w:ascii="Arial" w:cs="Arial" w:eastAsia="Arial" w:hAnsi="Arial"/>
                <w:sz w:val="9"/>
                <w:szCs w:val="9"/>
                <w:b w:val="1"/>
                <w:bCs w:val="1"/>
                <w:color w:val="auto"/>
              </w:rPr>
              <w:t>32</w:t>
            </w:r>
          </w:p>
        </w:tc>
        <w:tc>
          <w:tcPr>
            <w:tcW w:w="860" w:type="dxa"/>
            <w:vAlign w:val="bottom"/>
          </w:tcPr>
          <w:p>
            <w:pPr>
              <w:jc w:val="right"/>
              <w:ind w:right="275"/>
              <w:spacing w:after="0" w:line="96" w:lineRule="exact"/>
              <w:rPr>
                <w:sz w:val="20"/>
                <w:szCs w:val="20"/>
                <w:color w:val="auto"/>
              </w:rPr>
            </w:pPr>
            <w:r>
              <w:rPr>
                <w:rFonts w:ascii="Arial" w:cs="Arial" w:eastAsia="Arial" w:hAnsi="Arial"/>
                <w:sz w:val="9"/>
                <w:szCs w:val="9"/>
                <w:color w:val="auto"/>
              </w:rPr>
              <w:t>28</w:t>
            </w:r>
          </w:p>
        </w:tc>
        <w:tc>
          <w:tcPr>
            <w:tcW w:w="44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40" w:type="dxa"/>
            <w:vAlign w:val="bottom"/>
          </w:tcPr>
          <w:p>
            <w:pPr>
              <w:jc w:val="right"/>
              <w:spacing w:after="0"/>
              <w:rPr>
                <w:sz w:val="20"/>
                <w:szCs w:val="20"/>
                <w:color w:val="auto"/>
              </w:rPr>
            </w:pPr>
            <w:r>
              <w:rPr>
                <w:rFonts w:ascii="Arial" w:cs="Arial" w:eastAsia="Arial" w:hAnsi="Arial"/>
                <w:sz w:val="5"/>
                <w:szCs w:val="5"/>
                <w:color w:val="auto"/>
                <w:w w:val="70"/>
              </w:rPr>
              <w:t>5</w:t>
            </w:r>
          </w:p>
        </w:tc>
        <w:tc>
          <w:tcPr>
            <w:tcW w:w="2580" w:type="dxa"/>
            <w:vAlign w:val="bottom"/>
          </w:tcPr>
          <w:p>
            <w:pPr>
              <w:ind w:left="20"/>
              <w:spacing w:after="0" w:line="98" w:lineRule="exact"/>
              <w:rPr>
                <w:sz w:val="20"/>
                <w:szCs w:val="20"/>
                <w:color w:val="auto"/>
              </w:rPr>
            </w:pPr>
            <w:r>
              <w:rPr>
                <w:rFonts w:ascii="Arial" w:cs="Arial" w:eastAsia="Arial" w:hAnsi="Arial"/>
                <w:sz w:val="9"/>
                <w:szCs w:val="9"/>
                <w:color w:val="auto"/>
              </w:rPr>
              <w:t>Includes Canada oil sands</w:t>
            </w:r>
          </w:p>
        </w:tc>
        <w:tc>
          <w:tcPr>
            <w:tcW w:w="1540" w:type="dxa"/>
            <w:vAlign w:val="bottom"/>
          </w:tcPr>
          <w:p>
            <w:pPr>
              <w:jc w:val="right"/>
              <w:ind w:right="355"/>
              <w:spacing w:after="0" w:line="98" w:lineRule="exact"/>
              <w:rPr>
                <w:sz w:val="20"/>
                <w:szCs w:val="20"/>
                <w:color w:val="auto"/>
              </w:rPr>
            </w:pPr>
            <w:r>
              <w:rPr>
                <w:rFonts w:ascii="Arial" w:cs="Arial" w:eastAsia="Arial" w:hAnsi="Arial"/>
                <w:sz w:val="9"/>
                <w:szCs w:val="9"/>
                <w:b w:val="1"/>
                <w:bCs w:val="1"/>
                <w:color w:val="auto"/>
              </w:rPr>
              <w:t>–</w:t>
            </w:r>
          </w:p>
        </w:tc>
        <w:tc>
          <w:tcPr>
            <w:tcW w:w="860" w:type="dxa"/>
            <w:vAlign w:val="bottom"/>
          </w:tcPr>
          <w:p>
            <w:pPr>
              <w:jc w:val="right"/>
              <w:ind w:right="275"/>
              <w:spacing w:after="0" w:line="98"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26</w:t>
            </w:r>
          </w:p>
        </w:tc>
        <w:tc>
          <w:tcPr>
            <w:tcW w:w="0" w:type="dxa"/>
            <w:vAlign w:val="bottom"/>
          </w:tcPr>
          <w:p>
            <w:pPr>
              <w:spacing w:after="0"/>
              <w:rPr>
                <w:sz w:val="1"/>
                <w:szCs w:val="1"/>
                <w:color w:val="auto"/>
              </w:rPr>
            </w:pPr>
          </w:p>
        </w:tc>
      </w:tr>
      <w:tr>
        <w:trPr>
          <w:trHeight w:val="96"/>
        </w:trPr>
        <w:tc>
          <w:tcPr>
            <w:tcW w:w="40" w:type="dxa"/>
            <w:vAlign w:val="bottom"/>
          </w:tcPr>
          <w:p>
            <w:pPr>
              <w:jc w:val="right"/>
              <w:spacing w:after="0"/>
              <w:rPr>
                <w:sz w:val="20"/>
                <w:szCs w:val="20"/>
                <w:color w:val="auto"/>
              </w:rPr>
            </w:pPr>
            <w:r>
              <w:rPr>
                <w:rFonts w:ascii="Arial" w:cs="Arial" w:eastAsia="Arial" w:hAnsi="Arial"/>
                <w:sz w:val="5"/>
                <w:szCs w:val="5"/>
                <w:color w:val="auto"/>
                <w:w w:val="70"/>
              </w:rPr>
              <w:t>6</w:t>
            </w:r>
          </w:p>
        </w:tc>
        <w:tc>
          <w:tcPr>
            <w:tcW w:w="2580" w:type="dxa"/>
            <w:vAlign w:val="bottom"/>
          </w:tcPr>
          <w:p>
            <w:pPr>
              <w:ind w:left="20"/>
              <w:spacing w:after="0" w:line="96" w:lineRule="exact"/>
              <w:rPr>
                <w:sz w:val="20"/>
                <w:szCs w:val="20"/>
                <w:color w:val="auto"/>
              </w:rPr>
            </w:pPr>
            <w:r>
              <w:rPr>
                <w:rFonts w:ascii="Arial" w:cs="Arial" w:eastAsia="Arial" w:hAnsi="Arial"/>
                <w:sz w:val="9"/>
                <w:szCs w:val="9"/>
                <w:color w:val="auto"/>
              </w:rPr>
              <w:t>Includes branded and unbranded gasoline.</w:t>
            </w:r>
          </w:p>
        </w:tc>
        <w:tc>
          <w:tcPr>
            <w:tcW w:w="1540" w:type="dxa"/>
            <w:vAlign w:val="bottom"/>
            <w:vMerge w:val="restart"/>
          </w:tcPr>
          <w:p>
            <w:pPr>
              <w:jc w:val="right"/>
              <w:ind w:right="355"/>
              <w:spacing w:after="0"/>
              <w:rPr>
                <w:sz w:val="20"/>
                <w:szCs w:val="20"/>
                <w:color w:val="auto"/>
              </w:rPr>
            </w:pPr>
            <w:r>
              <w:rPr>
                <w:rFonts w:ascii="Arial" w:cs="Arial" w:eastAsia="Arial" w:hAnsi="Arial"/>
                <w:sz w:val="9"/>
                <w:szCs w:val="9"/>
                <w:b w:val="1"/>
                <w:bCs w:val="1"/>
                <w:color w:val="auto"/>
              </w:rPr>
              <w:t>556</w:t>
            </w: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0" w:type="dxa"/>
            <w:vAlign w:val="bottom"/>
          </w:tcPr>
          <w:p>
            <w:pPr>
              <w:jc w:val="right"/>
              <w:spacing w:after="0"/>
              <w:rPr>
                <w:sz w:val="20"/>
                <w:szCs w:val="20"/>
                <w:color w:val="auto"/>
              </w:rPr>
            </w:pPr>
            <w:r>
              <w:rPr>
                <w:rFonts w:ascii="Arial" w:cs="Arial" w:eastAsia="Arial" w:hAnsi="Arial"/>
                <w:sz w:val="5"/>
                <w:szCs w:val="5"/>
                <w:color w:val="auto"/>
                <w:w w:val="70"/>
              </w:rPr>
              <w:t>7</w:t>
            </w:r>
          </w:p>
        </w:tc>
        <w:tc>
          <w:tcPr>
            <w:tcW w:w="2580" w:type="dxa"/>
            <w:vAlign w:val="bottom"/>
          </w:tcPr>
          <w:p>
            <w:pPr>
              <w:ind w:left="20"/>
              <w:spacing w:after="0"/>
              <w:rPr>
                <w:sz w:val="20"/>
                <w:szCs w:val="20"/>
                <w:color w:val="auto"/>
              </w:rPr>
            </w:pPr>
            <w:r>
              <w:rPr>
                <w:rFonts w:ascii="Arial" w:cs="Arial" w:eastAsia="Arial" w:hAnsi="Arial"/>
                <w:sz w:val="9"/>
                <w:szCs w:val="9"/>
                <w:color w:val="auto"/>
              </w:rPr>
              <w:t>Includes sales of affiliates (MBPD):</w:t>
            </w:r>
          </w:p>
        </w:tc>
        <w:tc>
          <w:tcPr>
            <w:tcW w:w="1540" w:type="dxa"/>
            <w:vAlign w:val="bottom"/>
            <w:vMerge w:val="continue"/>
          </w:tcPr>
          <w:p>
            <w:pPr>
              <w:spacing w:after="0"/>
              <w:rPr>
                <w:sz w:val="9"/>
                <w:szCs w:val="9"/>
                <w:color w:val="auto"/>
              </w:rPr>
            </w:pPr>
          </w:p>
        </w:tc>
        <w:tc>
          <w:tcPr>
            <w:tcW w:w="860" w:type="dxa"/>
            <w:vAlign w:val="bottom"/>
          </w:tcPr>
          <w:p>
            <w:pPr>
              <w:jc w:val="right"/>
              <w:ind w:right="275"/>
              <w:spacing w:after="0"/>
              <w:rPr>
                <w:sz w:val="20"/>
                <w:szCs w:val="20"/>
                <w:color w:val="auto"/>
              </w:rPr>
            </w:pPr>
            <w:r>
              <w:rPr>
                <w:rFonts w:ascii="Arial" w:cs="Arial" w:eastAsia="Arial" w:hAnsi="Arial"/>
                <w:sz w:val="9"/>
                <w:szCs w:val="9"/>
                <w:color w:val="auto"/>
              </w:rPr>
              <w:t>562</w:t>
            </w:r>
          </w:p>
        </w:tc>
        <w:tc>
          <w:tcPr>
            <w:tcW w:w="440" w:type="dxa"/>
            <w:vAlign w:val="bottom"/>
          </w:tcPr>
          <w:p>
            <w:pPr>
              <w:jc w:val="right"/>
              <w:spacing w:after="0"/>
              <w:rPr>
                <w:sz w:val="20"/>
                <w:szCs w:val="20"/>
                <w:color w:val="auto"/>
              </w:rPr>
            </w:pPr>
            <w:r>
              <w:rPr>
                <w:rFonts w:ascii="Arial" w:cs="Arial" w:eastAsia="Arial" w:hAnsi="Arial"/>
                <w:sz w:val="9"/>
                <w:szCs w:val="9"/>
                <w:color w:val="auto"/>
              </w:rPr>
              <w:t>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-902970</wp:posOffset>
            </wp:positionV>
            <wp:extent cx="7285990" cy="6286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i w:val="1"/>
          <w:iCs w:val="1"/>
          <w:color w:val="E51837"/>
        </w:rPr>
        <w:t xml:space="preserve">Cash, cash equivalents, time deposits and marketable securities </w:t>
      </w:r>
      <w:r>
        <w:rPr>
          <w:rFonts w:ascii="Arial" w:cs="Arial" w:eastAsia="Arial" w:hAnsi="Arial"/>
          <w:sz w:val="12"/>
          <w:szCs w:val="12"/>
          <w:color w:val="000000"/>
        </w:rPr>
        <w:t>Total balances were $20.1 billion and</w:t>
      </w:r>
    </w:p>
    <w:p>
      <w:pPr>
        <w:spacing w:after="0" w:line="14"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color w:val="auto"/>
        </w:rPr>
        <w:t>$17.1 billion at December 31, 2011 and 2010, respectively. Cash provided by operating activities in 2011 was $41.1 billion, compared with $31.4 billion in 2010 and $19.4 billion in 2009. Cash provided by operating activities was net of contributions to employee pension plans of approximately $1.5 billion, $1.4 billion and $1.7 billion in 2011, 2010 and 2009, respectively. Cash provided by operating activities during 2011 was more than sufficient to fund the $27.4 billion cash component of the company’s capital and exploratory program and pay $6.1 billion of dividends to shareholders. In addition, the company completed the $4.5 billion acquisition of Atlas Energy, Inc., funded from the company’s operating cash flows. Cash provided by investing activities included proceeds and deposits related to asset sales of $3.5 billion in 2011, $2.0 billion in 2010, and $2.6 billion in 2009.</w:t>
      </w:r>
    </w:p>
    <w:p>
      <w:pPr>
        <w:spacing w:after="0" w:line="2" w:lineRule="exact"/>
        <w:rPr>
          <w:sz w:val="20"/>
          <w:szCs w:val="20"/>
          <w:color w:val="auto"/>
        </w:rPr>
      </w:pPr>
    </w:p>
    <w:p>
      <w:pPr>
        <w:ind w:firstLine="160"/>
        <w:spacing w:after="0" w:line="246" w:lineRule="auto"/>
        <w:rPr>
          <w:sz w:val="20"/>
          <w:szCs w:val="20"/>
          <w:color w:val="auto"/>
        </w:rPr>
      </w:pPr>
      <w:r>
        <w:rPr>
          <w:rFonts w:ascii="Arial" w:cs="Arial" w:eastAsia="Arial" w:hAnsi="Arial"/>
          <w:sz w:val="13"/>
          <w:szCs w:val="13"/>
          <w:color w:val="auto"/>
        </w:rPr>
        <w:t>Restricted cash of $1.2 billion and $855 million associated with various capital-investment projects, acquisitions pending tax deferred exchanges, and Upstream abandonment activities at December 31, 2011 and 2010, respectively, was invested in short-term marketable securities and recorded as “Deferred charges and other assets” on the Consolidated Balance Sheet.</w:t>
      </w:r>
    </w:p>
    <w:p>
      <w:pPr>
        <w:spacing w:after="0" w:line="2" w:lineRule="exact"/>
        <w:rPr>
          <w:sz w:val="20"/>
          <w:szCs w:val="20"/>
          <w:color w:val="auto"/>
        </w:rPr>
      </w:pPr>
    </w:p>
    <w:p>
      <w:pPr>
        <w:ind w:right="40" w:firstLine="160"/>
        <w:spacing w:after="0" w:line="249" w:lineRule="auto"/>
        <w:rPr>
          <w:sz w:val="20"/>
          <w:szCs w:val="20"/>
          <w:color w:val="auto"/>
        </w:rPr>
      </w:pPr>
      <w:r>
        <w:rPr>
          <w:rFonts w:ascii="Arial" w:cs="Arial" w:eastAsia="Arial" w:hAnsi="Arial"/>
          <w:sz w:val="13"/>
          <w:szCs w:val="13"/>
          <w:i w:val="1"/>
          <w:iCs w:val="1"/>
          <w:color w:val="E51837"/>
        </w:rPr>
        <w:t xml:space="preserve">Dividends </w:t>
      </w:r>
      <w:r>
        <w:rPr>
          <w:rFonts w:ascii="Arial" w:cs="Arial" w:eastAsia="Arial" w:hAnsi="Arial"/>
          <w:sz w:val="13"/>
          <w:szCs w:val="13"/>
          <w:color w:val="000000"/>
        </w:rPr>
        <w:t>Dividends paid to common stockholders were approximately $6.1 billion in 2011, $5.7</w:t>
      </w:r>
      <w:r>
        <w:rPr>
          <w:rFonts w:ascii="Arial" w:cs="Arial" w:eastAsia="Arial" w:hAnsi="Arial"/>
          <w:sz w:val="13"/>
          <w:szCs w:val="13"/>
          <w:i w:val="1"/>
          <w:iCs w:val="1"/>
          <w:color w:val="E51837"/>
        </w:rPr>
        <w:t xml:space="preserve"> </w:t>
      </w:r>
      <w:r>
        <w:rPr>
          <w:rFonts w:ascii="Arial" w:cs="Arial" w:eastAsia="Arial" w:hAnsi="Arial"/>
          <w:sz w:val="13"/>
          <w:szCs w:val="13"/>
          <w:color w:val="000000"/>
        </w:rPr>
        <w:t>billion in 2010 and $5.3 billion in 2009. In October 2011, the company increased its quarterly dividend by 3.8 percent to 81 cents per common share. This followed an increase of 8.3 percent announced in second quarter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2361565" cy="19951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61565" cy="1995170"/>
                    </a:xfrm>
                    <a:prstGeom prst="rect">
                      <a:avLst/>
                    </a:prstGeom>
                    <a:noFill/>
                  </pic:spPr>
                </pic:pic>
              </a:graphicData>
            </a:graphic>
          </wp:anchor>
        </w:drawing>
      </w:r>
    </w:p>
    <w:p>
      <w:pPr>
        <w:spacing w:after="0" w:line="3517" w:lineRule="exact"/>
        <w:rPr>
          <w:sz w:val="20"/>
          <w:szCs w:val="20"/>
          <w:color w:val="auto"/>
        </w:rPr>
      </w:pPr>
    </w:p>
    <w:p>
      <w:pPr>
        <w:sectPr>
          <w:pgSz w:w="11900" w:h="16838" w:orient="portrait"/>
          <w:cols w:equalWidth="0" w:num="2">
            <w:col w:w="5483" w:space="480"/>
            <w:col w:w="5480"/>
          </w:cols>
          <w:pgMar w:left="217" w:top="339" w:right="239" w:bottom="1440" w:gutter="0" w:footer="0" w:header="0"/>
        </w:sectPr>
      </w:pPr>
    </w:p>
    <w:p>
      <w:pPr>
        <w:spacing w:after="0" w:line="75" w:lineRule="exact"/>
        <w:rPr>
          <w:sz w:val="20"/>
          <w:szCs w:val="20"/>
          <w:color w:val="auto"/>
        </w:rPr>
      </w:pPr>
    </w:p>
    <w:p>
      <w:pPr>
        <w:jc w:val="center"/>
        <w:ind w:right="-42"/>
        <w:spacing w:after="0"/>
        <w:rPr>
          <w:sz w:val="20"/>
          <w:szCs w:val="20"/>
          <w:color w:val="auto"/>
        </w:rPr>
      </w:pPr>
      <w:r>
        <w:rPr>
          <w:rFonts w:ascii="Arial" w:cs="Arial" w:eastAsia="Arial" w:hAnsi="Arial"/>
          <w:sz w:val="10"/>
          <w:szCs w:val="10"/>
          <w:color w:val="auto"/>
        </w:rPr>
        <w:t>FS-10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3"/>
          </w:cols>
          <w:pgMar w:left="217" w:top="339" w:right="239" w:bottom="1440" w:gutter="0" w:footer="0" w:header="0"/>
          <w:type w:val="continuous"/>
        </w:sectPr>
      </w:pPr>
    </w:p>
    <w:bookmarkStart w:id="51" w:name="page52"/>
    <w:bookmarkEnd w:id="51"/>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
        <w:spacing w:after="0"/>
        <w:rPr>
          <w:sz w:val="20"/>
          <w:szCs w:val="20"/>
          <w:color w:val="auto"/>
        </w:rPr>
      </w:pPr>
      <w:r>
        <w:rPr>
          <w:rFonts w:ascii="Arial" w:cs="Arial" w:eastAsia="Arial" w:hAnsi="Arial"/>
          <w:sz w:val="12"/>
          <w:szCs w:val="12"/>
          <w:i w:val="1"/>
          <w:iCs w:val="1"/>
          <w:color w:val="auto"/>
        </w:rPr>
        <w:t>Capital and Exploratory Expenditures</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09"/>
        </w:trPr>
        <w:tc>
          <w:tcPr>
            <w:tcW w:w="276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Millions of dollars</w:t>
            </w:r>
          </w:p>
        </w:tc>
        <w:tc>
          <w:tcPr>
            <w:tcW w:w="16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91"/>
              <w:spacing w:after="0"/>
              <w:rPr>
                <w:sz w:val="20"/>
                <w:szCs w:val="20"/>
                <w:color w:val="auto"/>
              </w:rPr>
            </w:pPr>
            <w:r>
              <w:rPr>
                <w:rFonts w:ascii="Arial" w:cs="Arial" w:eastAsia="Arial" w:hAnsi="Arial"/>
                <w:sz w:val="9"/>
                <w:szCs w:val="9"/>
                <w:b w:val="1"/>
                <w:bCs w:val="1"/>
                <w:color w:val="auto"/>
              </w:rPr>
              <w:t>2011</w:t>
            </w:r>
          </w:p>
        </w:tc>
        <w:tc>
          <w:tcPr>
            <w:tcW w:w="3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91"/>
              <w:spacing w:after="0"/>
              <w:rPr>
                <w:sz w:val="20"/>
                <w:szCs w:val="20"/>
                <w:color w:val="auto"/>
              </w:rPr>
            </w:pPr>
            <w:r>
              <w:rPr>
                <w:rFonts w:ascii="Arial" w:cs="Arial" w:eastAsia="Arial" w:hAnsi="Arial"/>
                <w:sz w:val="9"/>
                <w:szCs w:val="9"/>
                <w:color w:val="auto"/>
              </w:rPr>
              <w:t>2010</w:t>
            </w:r>
          </w:p>
        </w:tc>
        <w:tc>
          <w:tcPr>
            <w:tcW w:w="3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right"/>
              <w:ind w:right="170"/>
              <w:spacing w:after="0" w:line="86" w:lineRule="exact"/>
              <w:rPr>
                <w:sz w:val="20"/>
                <w:szCs w:val="20"/>
                <w:color w:val="auto"/>
              </w:rPr>
            </w:pPr>
            <w:r>
              <w:rPr>
                <w:rFonts w:ascii="Arial" w:cs="Arial" w:eastAsia="Arial" w:hAnsi="Arial"/>
                <w:sz w:val="9"/>
                <w:szCs w:val="9"/>
                <w:color w:val="auto"/>
              </w:rPr>
              <w:t>U.S.</w:t>
            </w:r>
          </w:p>
        </w:tc>
        <w:tc>
          <w:tcPr>
            <w:tcW w:w="400" w:type="dxa"/>
            <w:vAlign w:val="bottom"/>
          </w:tcPr>
          <w:p>
            <w:pPr>
              <w:spacing w:after="0"/>
              <w:rPr>
                <w:sz w:val="7"/>
                <w:szCs w:val="7"/>
                <w:color w:val="auto"/>
              </w:rPr>
            </w:pPr>
          </w:p>
        </w:tc>
        <w:tc>
          <w:tcPr>
            <w:tcW w:w="640" w:type="dxa"/>
            <w:vAlign w:val="bottom"/>
          </w:tcPr>
          <w:p>
            <w:pPr>
              <w:jc w:val="right"/>
              <w:ind w:right="190"/>
              <w:spacing w:after="0" w:line="86" w:lineRule="exact"/>
              <w:rPr>
                <w:sz w:val="20"/>
                <w:szCs w:val="20"/>
                <w:color w:val="auto"/>
              </w:rPr>
            </w:pPr>
            <w:r>
              <w:rPr>
                <w:rFonts w:ascii="Arial" w:cs="Arial" w:eastAsia="Arial" w:hAnsi="Arial"/>
                <w:sz w:val="9"/>
                <w:szCs w:val="9"/>
                <w:color w:val="auto"/>
              </w:rPr>
              <w:t>Int’l.</w:t>
            </w:r>
          </w:p>
        </w:tc>
        <w:tc>
          <w:tcPr>
            <w:tcW w:w="400" w:type="dxa"/>
            <w:vAlign w:val="bottom"/>
          </w:tcPr>
          <w:p>
            <w:pPr>
              <w:spacing w:after="0"/>
              <w:rPr>
                <w:sz w:val="7"/>
                <w:szCs w:val="7"/>
                <w:color w:val="auto"/>
              </w:rPr>
            </w:pPr>
          </w:p>
        </w:tc>
        <w:tc>
          <w:tcPr>
            <w:tcW w:w="640" w:type="dxa"/>
            <w:vAlign w:val="bottom"/>
          </w:tcPr>
          <w:p>
            <w:pPr>
              <w:jc w:val="right"/>
              <w:ind w:right="191"/>
              <w:spacing w:after="0" w:line="86" w:lineRule="exact"/>
              <w:rPr>
                <w:sz w:val="20"/>
                <w:szCs w:val="20"/>
                <w:color w:val="auto"/>
              </w:rPr>
            </w:pPr>
            <w:r>
              <w:rPr>
                <w:rFonts w:ascii="Arial" w:cs="Arial" w:eastAsia="Arial" w:hAnsi="Arial"/>
                <w:sz w:val="9"/>
                <w:szCs w:val="9"/>
                <w:color w:val="auto"/>
              </w:rPr>
              <w:t>Total</w:t>
            </w:r>
          </w:p>
        </w:tc>
        <w:tc>
          <w:tcPr>
            <w:tcW w:w="320" w:type="dxa"/>
            <w:vAlign w:val="bottom"/>
          </w:tcPr>
          <w:p>
            <w:pPr>
              <w:spacing w:after="0"/>
              <w:rPr>
                <w:sz w:val="7"/>
                <w:szCs w:val="7"/>
                <w:color w:val="auto"/>
              </w:rPr>
            </w:pPr>
          </w:p>
        </w:tc>
        <w:tc>
          <w:tcPr>
            <w:tcW w:w="600" w:type="dxa"/>
            <w:vAlign w:val="bottom"/>
          </w:tcPr>
          <w:p>
            <w:pPr>
              <w:jc w:val="right"/>
              <w:ind w:right="170"/>
              <w:spacing w:after="0" w:line="86" w:lineRule="exact"/>
              <w:rPr>
                <w:sz w:val="20"/>
                <w:szCs w:val="20"/>
                <w:color w:val="auto"/>
              </w:rPr>
            </w:pPr>
            <w:r>
              <w:rPr>
                <w:rFonts w:ascii="Arial" w:cs="Arial" w:eastAsia="Arial" w:hAnsi="Arial"/>
                <w:sz w:val="9"/>
                <w:szCs w:val="9"/>
                <w:color w:val="auto"/>
              </w:rPr>
              <w:t>U.S.</w:t>
            </w:r>
          </w:p>
        </w:tc>
        <w:tc>
          <w:tcPr>
            <w:tcW w:w="400" w:type="dxa"/>
            <w:vAlign w:val="bottom"/>
          </w:tcPr>
          <w:p>
            <w:pPr>
              <w:spacing w:after="0"/>
              <w:rPr>
                <w:sz w:val="7"/>
                <w:szCs w:val="7"/>
                <w:color w:val="auto"/>
              </w:rPr>
            </w:pPr>
          </w:p>
        </w:tc>
        <w:tc>
          <w:tcPr>
            <w:tcW w:w="640" w:type="dxa"/>
            <w:vAlign w:val="bottom"/>
          </w:tcPr>
          <w:p>
            <w:pPr>
              <w:jc w:val="right"/>
              <w:ind w:right="190"/>
              <w:spacing w:after="0" w:line="86" w:lineRule="exact"/>
              <w:rPr>
                <w:sz w:val="20"/>
                <w:szCs w:val="20"/>
                <w:color w:val="auto"/>
              </w:rPr>
            </w:pPr>
            <w:r>
              <w:rPr>
                <w:rFonts w:ascii="Arial" w:cs="Arial" w:eastAsia="Arial" w:hAnsi="Arial"/>
                <w:sz w:val="9"/>
                <w:szCs w:val="9"/>
                <w:color w:val="auto"/>
              </w:rPr>
              <w:t>Int’l.</w:t>
            </w:r>
          </w:p>
        </w:tc>
        <w:tc>
          <w:tcPr>
            <w:tcW w:w="400" w:type="dxa"/>
            <w:vAlign w:val="bottom"/>
          </w:tcPr>
          <w:p>
            <w:pPr>
              <w:spacing w:after="0"/>
              <w:rPr>
                <w:sz w:val="7"/>
                <w:szCs w:val="7"/>
                <w:color w:val="auto"/>
              </w:rPr>
            </w:pPr>
          </w:p>
        </w:tc>
        <w:tc>
          <w:tcPr>
            <w:tcW w:w="640" w:type="dxa"/>
            <w:vAlign w:val="bottom"/>
          </w:tcPr>
          <w:p>
            <w:pPr>
              <w:jc w:val="right"/>
              <w:ind w:right="191"/>
              <w:spacing w:after="0" w:line="86" w:lineRule="exact"/>
              <w:rPr>
                <w:sz w:val="20"/>
                <w:szCs w:val="20"/>
                <w:color w:val="auto"/>
              </w:rPr>
            </w:pPr>
            <w:r>
              <w:rPr>
                <w:rFonts w:ascii="Arial" w:cs="Arial" w:eastAsia="Arial" w:hAnsi="Arial"/>
                <w:sz w:val="9"/>
                <w:szCs w:val="9"/>
                <w:color w:val="auto"/>
              </w:rPr>
              <w:t>Total</w:t>
            </w:r>
          </w:p>
        </w:tc>
        <w:tc>
          <w:tcPr>
            <w:tcW w:w="320" w:type="dxa"/>
            <w:vAlign w:val="bottom"/>
          </w:tcPr>
          <w:p>
            <w:pPr>
              <w:spacing w:after="0"/>
              <w:rPr>
                <w:sz w:val="7"/>
                <w:szCs w:val="7"/>
                <w:color w:val="auto"/>
              </w:rPr>
            </w:pPr>
          </w:p>
        </w:tc>
        <w:tc>
          <w:tcPr>
            <w:tcW w:w="600" w:type="dxa"/>
            <w:vAlign w:val="bottom"/>
          </w:tcPr>
          <w:p>
            <w:pPr>
              <w:jc w:val="right"/>
              <w:ind w:right="190"/>
              <w:spacing w:after="0" w:line="86" w:lineRule="exact"/>
              <w:rPr>
                <w:sz w:val="20"/>
                <w:szCs w:val="20"/>
                <w:color w:val="auto"/>
              </w:rPr>
            </w:pPr>
            <w:r>
              <w:rPr>
                <w:rFonts w:ascii="Arial" w:cs="Arial" w:eastAsia="Arial" w:hAnsi="Arial"/>
                <w:sz w:val="9"/>
                <w:szCs w:val="9"/>
                <w:color w:val="auto"/>
              </w:rPr>
              <w:t>U.S.</w:t>
            </w:r>
          </w:p>
        </w:tc>
        <w:tc>
          <w:tcPr>
            <w:tcW w:w="400" w:type="dxa"/>
            <w:vAlign w:val="bottom"/>
          </w:tcPr>
          <w:p>
            <w:pPr>
              <w:spacing w:after="0"/>
              <w:rPr>
                <w:sz w:val="7"/>
                <w:szCs w:val="7"/>
                <w:color w:val="auto"/>
              </w:rPr>
            </w:pPr>
          </w:p>
        </w:tc>
        <w:tc>
          <w:tcPr>
            <w:tcW w:w="620" w:type="dxa"/>
            <w:vAlign w:val="bottom"/>
          </w:tcPr>
          <w:p>
            <w:pPr>
              <w:jc w:val="right"/>
              <w:ind w:right="170"/>
              <w:spacing w:after="0" w:line="86" w:lineRule="exact"/>
              <w:rPr>
                <w:sz w:val="20"/>
                <w:szCs w:val="20"/>
                <w:color w:val="auto"/>
              </w:rPr>
            </w:pPr>
            <w:r>
              <w:rPr>
                <w:rFonts w:ascii="Arial" w:cs="Arial" w:eastAsia="Arial" w:hAnsi="Arial"/>
                <w:sz w:val="9"/>
                <w:szCs w:val="9"/>
                <w:color w:val="auto"/>
              </w:rPr>
              <w:t>Int’l.</w:t>
            </w:r>
          </w:p>
        </w:tc>
        <w:tc>
          <w:tcPr>
            <w:tcW w:w="40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9"/>
                <w:szCs w:val="9"/>
                <w:color w:val="auto"/>
              </w:rPr>
              <w:t>Total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40" w:type="dxa"/>
            <w:vAlign w:val="bottom"/>
            <w:tcBorders>
              <w:top w:val="single" w:sz="8" w:color="0077C0"/>
            </w:tcBorders>
          </w:tcPr>
          <w:p>
            <w:pPr>
              <w:spacing w:after="0" w:line="91" w:lineRule="exact"/>
              <w:rPr>
                <w:sz w:val="20"/>
                <w:szCs w:val="20"/>
                <w:color w:val="auto"/>
              </w:rPr>
            </w:pPr>
            <w:r>
              <w:rPr>
                <w:rFonts w:ascii="Arial" w:cs="Arial" w:eastAsia="Arial" w:hAnsi="Arial"/>
                <w:sz w:val="10"/>
                <w:szCs w:val="10"/>
                <w:color w:val="auto"/>
              </w:rPr>
              <w:t>Upstream</w:t>
            </w:r>
            <w:r>
              <w:rPr>
                <w:rFonts w:ascii="Arial" w:cs="Arial" w:eastAsia="Arial" w:hAnsi="Arial"/>
                <w:sz w:val="8"/>
                <w:szCs w:val="8"/>
                <w:color w:val="auto"/>
              </w:rPr>
              <w:t>1</w:t>
            </w:r>
          </w:p>
        </w:tc>
        <w:tc>
          <w:tcPr>
            <w:tcW w:w="160" w:type="dxa"/>
            <w:vAlign w:val="bottom"/>
            <w:tcBorders>
              <w:top w:val="single" w:sz="8" w:color="0077C0"/>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0077C0"/>
            </w:tcBorders>
          </w:tcPr>
          <w:p>
            <w:pPr>
              <w:jc w:val="right"/>
              <w:ind w:right="170"/>
              <w:spacing w:after="0" w:line="91" w:lineRule="exact"/>
              <w:rPr>
                <w:sz w:val="20"/>
                <w:szCs w:val="20"/>
                <w:color w:val="auto"/>
              </w:rPr>
            </w:pPr>
            <w:r>
              <w:rPr>
                <w:rFonts w:ascii="Arial" w:cs="Arial" w:eastAsia="Arial" w:hAnsi="Arial"/>
                <w:sz w:val="10"/>
                <w:szCs w:val="10"/>
                <w:b w:val="1"/>
                <w:bCs w:val="1"/>
                <w:color w:val="auto"/>
              </w:rPr>
              <w:t>8,318</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tcBorders>
          </w:tcPr>
          <w:p>
            <w:pPr>
              <w:jc w:val="right"/>
              <w:ind w:right="190"/>
              <w:spacing w:after="0" w:line="91" w:lineRule="exact"/>
              <w:rPr>
                <w:sz w:val="20"/>
                <w:szCs w:val="20"/>
                <w:color w:val="auto"/>
              </w:rPr>
            </w:pPr>
            <w:r>
              <w:rPr>
                <w:rFonts w:ascii="Arial" w:cs="Arial" w:eastAsia="Arial" w:hAnsi="Arial"/>
                <w:sz w:val="10"/>
                <w:szCs w:val="10"/>
                <w:b w:val="1"/>
                <w:bCs w:val="1"/>
                <w:color w:val="auto"/>
              </w:rPr>
              <w:t>17,554</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right w:val="single" w:sz="8" w:color="0077C0"/>
            </w:tcBorders>
          </w:tcPr>
          <w:p>
            <w:pPr>
              <w:jc w:val="right"/>
              <w:ind w:right="191"/>
              <w:spacing w:after="0" w:line="91" w:lineRule="exact"/>
              <w:rPr>
                <w:sz w:val="20"/>
                <w:szCs w:val="20"/>
                <w:color w:val="auto"/>
              </w:rPr>
            </w:pPr>
            <w:r>
              <w:rPr>
                <w:rFonts w:ascii="Arial" w:cs="Arial" w:eastAsia="Arial" w:hAnsi="Arial"/>
                <w:sz w:val="10"/>
                <w:szCs w:val="10"/>
                <w:b w:val="1"/>
                <w:bCs w:val="1"/>
                <w:color w:val="auto"/>
              </w:rPr>
              <w:t>25,872</w:t>
            </w:r>
          </w:p>
        </w:tc>
        <w:tc>
          <w:tcPr>
            <w:tcW w:w="32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0077C0"/>
            </w:tcBorders>
          </w:tcPr>
          <w:p>
            <w:pPr>
              <w:jc w:val="right"/>
              <w:ind w:right="170"/>
              <w:spacing w:after="0" w:line="91" w:lineRule="exact"/>
              <w:rPr>
                <w:sz w:val="20"/>
                <w:szCs w:val="20"/>
                <w:color w:val="auto"/>
              </w:rPr>
            </w:pPr>
            <w:r>
              <w:rPr>
                <w:rFonts w:ascii="Arial" w:cs="Arial" w:eastAsia="Arial" w:hAnsi="Arial"/>
                <w:sz w:val="10"/>
                <w:szCs w:val="10"/>
                <w:color w:val="auto"/>
              </w:rPr>
              <w:t>3,450</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tcBorders>
          </w:tcPr>
          <w:p>
            <w:pPr>
              <w:jc w:val="right"/>
              <w:ind w:right="190"/>
              <w:spacing w:after="0" w:line="91" w:lineRule="exact"/>
              <w:rPr>
                <w:sz w:val="20"/>
                <w:szCs w:val="20"/>
                <w:color w:val="auto"/>
              </w:rPr>
            </w:pPr>
            <w:r>
              <w:rPr>
                <w:rFonts w:ascii="Arial" w:cs="Arial" w:eastAsia="Arial" w:hAnsi="Arial"/>
                <w:sz w:val="10"/>
                <w:szCs w:val="10"/>
                <w:color w:val="auto"/>
              </w:rPr>
              <w:t>15,454</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right w:val="single" w:sz="8" w:color="0077C0"/>
            </w:tcBorders>
          </w:tcPr>
          <w:p>
            <w:pPr>
              <w:jc w:val="right"/>
              <w:ind w:right="191"/>
              <w:spacing w:after="0" w:line="91" w:lineRule="exact"/>
              <w:rPr>
                <w:sz w:val="20"/>
                <w:szCs w:val="20"/>
                <w:color w:val="auto"/>
              </w:rPr>
            </w:pPr>
            <w:r>
              <w:rPr>
                <w:rFonts w:ascii="Arial" w:cs="Arial" w:eastAsia="Arial" w:hAnsi="Arial"/>
                <w:sz w:val="10"/>
                <w:szCs w:val="10"/>
                <w:color w:val="auto"/>
              </w:rPr>
              <w:t>18,904</w:t>
            </w:r>
          </w:p>
        </w:tc>
        <w:tc>
          <w:tcPr>
            <w:tcW w:w="320" w:type="dxa"/>
            <w:vAlign w:val="bottom"/>
            <w:tcBorders>
              <w:top w:val="single" w:sz="8" w:color="0077C0"/>
            </w:tcBorders>
          </w:tcPr>
          <w:p>
            <w:pPr>
              <w:jc w:val="right"/>
              <w:ind w:right="109"/>
              <w:spacing w:after="0" w:line="91"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0077C0"/>
            </w:tcBorders>
          </w:tcPr>
          <w:p>
            <w:pPr>
              <w:jc w:val="right"/>
              <w:ind w:right="190"/>
              <w:spacing w:after="0" w:line="91" w:lineRule="exact"/>
              <w:rPr>
                <w:sz w:val="20"/>
                <w:szCs w:val="20"/>
                <w:color w:val="auto"/>
              </w:rPr>
            </w:pPr>
            <w:r>
              <w:rPr>
                <w:rFonts w:ascii="Arial" w:cs="Arial" w:eastAsia="Arial" w:hAnsi="Arial"/>
                <w:sz w:val="10"/>
                <w:szCs w:val="10"/>
                <w:color w:val="auto"/>
              </w:rPr>
              <w:t>3,294</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0077C0"/>
            </w:tcBorders>
          </w:tcPr>
          <w:p>
            <w:pPr>
              <w:jc w:val="right"/>
              <w:ind w:right="170"/>
              <w:spacing w:after="0" w:line="91" w:lineRule="exact"/>
              <w:rPr>
                <w:sz w:val="20"/>
                <w:szCs w:val="20"/>
                <w:color w:val="auto"/>
              </w:rPr>
            </w:pPr>
            <w:r>
              <w:rPr>
                <w:rFonts w:ascii="Arial" w:cs="Arial" w:eastAsia="Arial" w:hAnsi="Arial"/>
                <w:sz w:val="10"/>
                <w:szCs w:val="10"/>
                <w:color w:val="auto"/>
              </w:rPr>
              <w:t>15,002</w:t>
            </w:r>
          </w:p>
        </w:tc>
        <w:tc>
          <w:tcPr>
            <w:tcW w:w="40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3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18,296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Downstream</w:t>
            </w:r>
          </w:p>
        </w:tc>
        <w:tc>
          <w:tcPr>
            <w:tcW w:w="160" w:type="dxa"/>
            <w:vAlign w:val="bottom"/>
          </w:tcPr>
          <w:p>
            <w:pPr>
              <w:spacing w:after="0"/>
              <w:rPr>
                <w:sz w:val="9"/>
                <w:szCs w:val="9"/>
                <w:color w:val="auto"/>
              </w:rPr>
            </w:pPr>
          </w:p>
        </w:tc>
        <w:tc>
          <w:tcPr>
            <w:tcW w:w="64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1,461</w:t>
            </w:r>
          </w:p>
        </w:tc>
        <w:tc>
          <w:tcPr>
            <w:tcW w:w="400" w:type="dxa"/>
            <w:vAlign w:val="bottom"/>
          </w:tcPr>
          <w:p>
            <w:pPr>
              <w:spacing w:after="0"/>
              <w:rPr>
                <w:sz w:val="9"/>
                <w:szCs w:val="9"/>
                <w:color w:val="auto"/>
              </w:rPr>
            </w:pPr>
          </w:p>
        </w:tc>
        <w:tc>
          <w:tcPr>
            <w:tcW w:w="64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1,150</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1"/>
              <w:spacing w:after="0" w:line="106" w:lineRule="exact"/>
              <w:rPr>
                <w:sz w:val="20"/>
                <w:szCs w:val="20"/>
                <w:color w:val="auto"/>
              </w:rPr>
            </w:pPr>
            <w:r>
              <w:rPr>
                <w:rFonts w:ascii="Arial" w:cs="Arial" w:eastAsia="Arial" w:hAnsi="Arial"/>
                <w:sz w:val="10"/>
                <w:szCs w:val="10"/>
                <w:b w:val="1"/>
                <w:bCs w:val="1"/>
                <w:color w:val="auto"/>
              </w:rPr>
              <w:t>2,611</w:t>
            </w:r>
          </w:p>
        </w:tc>
        <w:tc>
          <w:tcPr>
            <w:tcW w:w="320" w:type="dxa"/>
            <w:vAlign w:val="bottom"/>
          </w:tcPr>
          <w:p>
            <w:pPr>
              <w:spacing w:after="0"/>
              <w:rPr>
                <w:sz w:val="9"/>
                <w:szCs w:val="9"/>
                <w:color w:val="auto"/>
              </w:rPr>
            </w:pPr>
          </w:p>
        </w:tc>
        <w:tc>
          <w:tcPr>
            <w:tcW w:w="60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1,456</w:t>
            </w:r>
          </w:p>
        </w:tc>
        <w:tc>
          <w:tcPr>
            <w:tcW w:w="400" w:type="dxa"/>
            <w:vAlign w:val="bottom"/>
          </w:tcPr>
          <w:p>
            <w:pPr>
              <w:spacing w:after="0"/>
              <w:rPr>
                <w:sz w:val="9"/>
                <w:szCs w:val="9"/>
                <w:color w:val="auto"/>
              </w:rPr>
            </w:pPr>
          </w:p>
        </w:tc>
        <w:tc>
          <w:tcPr>
            <w:tcW w:w="64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1,096</w:t>
            </w:r>
          </w:p>
        </w:tc>
        <w:tc>
          <w:tcPr>
            <w:tcW w:w="400" w:type="dxa"/>
            <w:vAlign w:val="bottom"/>
          </w:tcPr>
          <w:p>
            <w:pPr>
              <w:spacing w:after="0"/>
              <w:rPr>
                <w:sz w:val="9"/>
                <w:szCs w:val="9"/>
                <w:color w:val="auto"/>
              </w:rPr>
            </w:pPr>
          </w:p>
        </w:tc>
        <w:tc>
          <w:tcPr>
            <w:tcW w:w="640" w:type="dxa"/>
            <w:vAlign w:val="bottom"/>
            <w:tcBorders>
              <w:right w:val="single" w:sz="8" w:color="0077C0"/>
            </w:tcBorders>
          </w:tcPr>
          <w:p>
            <w:pPr>
              <w:jc w:val="right"/>
              <w:ind w:right="191"/>
              <w:spacing w:after="0" w:line="106" w:lineRule="exact"/>
              <w:rPr>
                <w:sz w:val="20"/>
                <w:szCs w:val="20"/>
                <w:color w:val="auto"/>
              </w:rPr>
            </w:pPr>
            <w:r>
              <w:rPr>
                <w:rFonts w:ascii="Arial" w:cs="Arial" w:eastAsia="Arial" w:hAnsi="Arial"/>
                <w:sz w:val="10"/>
                <w:szCs w:val="10"/>
                <w:color w:val="auto"/>
              </w:rPr>
              <w:t>2,552</w:t>
            </w:r>
          </w:p>
        </w:tc>
        <w:tc>
          <w:tcPr>
            <w:tcW w:w="320" w:type="dxa"/>
            <w:vAlign w:val="bottom"/>
          </w:tcPr>
          <w:p>
            <w:pPr>
              <w:spacing w:after="0"/>
              <w:rPr>
                <w:sz w:val="9"/>
                <w:szCs w:val="9"/>
                <w:color w:val="auto"/>
              </w:rPr>
            </w:pPr>
          </w:p>
        </w:tc>
        <w:tc>
          <w:tcPr>
            <w:tcW w:w="6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2,087</w:t>
            </w:r>
          </w:p>
        </w:tc>
        <w:tc>
          <w:tcPr>
            <w:tcW w:w="400" w:type="dxa"/>
            <w:vAlign w:val="bottom"/>
          </w:tcPr>
          <w:p>
            <w:pPr>
              <w:spacing w:after="0"/>
              <w:rPr>
                <w:sz w:val="9"/>
                <w:szCs w:val="9"/>
                <w:color w:val="auto"/>
              </w:rPr>
            </w:pPr>
          </w:p>
        </w:tc>
        <w:tc>
          <w:tcPr>
            <w:tcW w:w="62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1,449</w:t>
            </w:r>
          </w:p>
        </w:tc>
        <w:tc>
          <w:tcPr>
            <w:tcW w:w="400" w:type="dxa"/>
            <w:vAlign w:val="bottom"/>
          </w:tcPr>
          <w:p>
            <w:pPr>
              <w:spacing w:after="0"/>
              <w:rPr>
                <w:sz w:val="9"/>
                <w:szCs w:val="9"/>
                <w:color w:val="auto"/>
              </w:rPr>
            </w:pP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3,536</w:t>
            </w: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All Other</w:t>
            </w:r>
          </w:p>
        </w:tc>
        <w:tc>
          <w:tcPr>
            <w:tcW w:w="1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575</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0"/>
                <w:szCs w:val="10"/>
                <w:b w:val="1"/>
                <w:bCs w:val="1"/>
                <w:color w:val="auto"/>
              </w:rPr>
              <w:t>583</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286</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13</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0"/>
                <w:szCs w:val="10"/>
                <w:color w:val="auto"/>
              </w:rPr>
              <w:t>299</w:t>
            </w:r>
          </w:p>
        </w:tc>
        <w:tc>
          <w:tcPr>
            <w:tcW w:w="3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402</w:t>
            </w:r>
          </w:p>
        </w:tc>
        <w:tc>
          <w:tcPr>
            <w:tcW w:w="40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3</w:t>
            </w:r>
          </w:p>
        </w:tc>
        <w:tc>
          <w:tcPr>
            <w:tcW w:w="40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76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Total</w:t>
            </w:r>
          </w:p>
        </w:tc>
        <w:tc>
          <w:tcPr>
            <w:tcW w:w="160" w:type="dxa"/>
            <w:vAlign w:val="bottom"/>
            <w:tcBorders>
              <w:bottom w:val="single" w:sz="8" w:color="0077C0"/>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10,354</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18,712</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right w:val="single" w:sz="8" w:color="0077C0"/>
            </w:tcBorders>
          </w:tcPr>
          <w:p>
            <w:pPr>
              <w:jc w:val="right"/>
              <w:ind w:right="191"/>
              <w:spacing w:after="0" w:line="105" w:lineRule="exact"/>
              <w:rPr>
                <w:sz w:val="20"/>
                <w:szCs w:val="20"/>
                <w:color w:val="auto"/>
              </w:rPr>
            </w:pPr>
            <w:r>
              <w:rPr>
                <w:rFonts w:ascii="Arial" w:cs="Arial" w:eastAsia="Arial" w:hAnsi="Arial"/>
                <w:sz w:val="10"/>
                <w:szCs w:val="10"/>
                <w:b w:val="1"/>
                <w:bCs w:val="1"/>
                <w:color w:val="auto"/>
              </w:rPr>
              <w:t>29,066</w:t>
            </w:r>
          </w:p>
        </w:tc>
        <w:tc>
          <w:tcPr>
            <w:tcW w:w="3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5,192</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16,563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right w:val="single" w:sz="8" w:color="0077C0"/>
            </w:tcBorders>
          </w:tcPr>
          <w:p>
            <w:pPr>
              <w:jc w:val="right"/>
              <w:ind w:right="191"/>
              <w:spacing w:after="0" w:line="105" w:lineRule="exact"/>
              <w:rPr>
                <w:sz w:val="20"/>
                <w:szCs w:val="20"/>
                <w:color w:val="auto"/>
              </w:rPr>
            </w:pPr>
            <w:r>
              <w:rPr>
                <w:rFonts w:ascii="Arial" w:cs="Arial" w:eastAsia="Arial" w:hAnsi="Arial"/>
                <w:sz w:val="10"/>
                <w:szCs w:val="10"/>
                <w:color w:val="auto"/>
              </w:rPr>
              <w:t>21,755</w:t>
            </w:r>
          </w:p>
        </w:tc>
        <w:tc>
          <w:tcPr>
            <w:tcW w:w="32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5,783</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16,454</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22,237</w:t>
            </w:r>
          </w:p>
        </w:tc>
        <w:tc>
          <w:tcPr>
            <w:tcW w:w="20" w:type="dxa"/>
            <w:vAlign w:val="bottom"/>
            <w:tcBorders>
              <w:bottom w:val="single" w:sz="8" w:color="0077C0"/>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Excluding Equity in Affiliates</w:t>
            </w:r>
          </w:p>
        </w:tc>
        <w:tc>
          <w:tcPr>
            <w:tcW w:w="160" w:type="dxa"/>
            <w:vAlign w:val="bottom"/>
            <w:tcBorders>
              <w:bottom w:val="single" w:sz="8" w:color="0077C0"/>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10,077</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17,294</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0"/>
                <w:szCs w:val="10"/>
                <w:b w:val="1"/>
                <w:bCs w:val="1"/>
                <w:color w:val="auto"/>
              </w:rPr>
              <w:t>27,371</w:t>
            </w:r>
          </w:p>
        </w:tc>
        <w:tc>
          <w:tcPr>
            <w:tcW w:w="3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4,934</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15,433</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0"/>
                <w:szCs w:val="10"/>
                <w:color w:val="auto"/>
              </w:rPr>
              <w:t>20,367</w:t>
            </w:r>
          </w:p>
        </w:tc>
        <w:tc>
          <w:tcPr>
            <w:tcW w:w="32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5,558</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15,094</w:t>
            </w:r>
          </w:p>
        </w:tc>
        <w:tc>
          <w:tcPr>
            <w:tcW w:w="4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20,652</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3" w:hanging="63"/>
        <w:spacing w:after="0"/>
        <w:tabs>
          <w:tab w:leader="none" w:pos="63" w:val="left"/>
        </w:tabs>
        <w:numPr>
          <w:ilvl w:val="0"/>
          <w:numId w:val="29"/>
        </w:numPr>
        <w:rPr>
          <w:rFonts w:ascii="Arial" w:cs="Arial" w:eastAsia="Arial" w:hAnsi="Arial"/>
          <w:sz w:val="8"/>
          <w:szCs w:val="8"/>
          <w:color w:val="auto"/>
        </w:rPr>
      </w:pPr>
      <w:r>
        <w:rPr>
          <w:rFonts w:ascii="Arial" w:cs="Arial" w:eastAsia="Arial" w:hAnsi="Arial"/>
          <w:sz w:val="9"/>
          <w:szCs w:val="9"/>
          <w:color w:val="auto"/>
        </w:rPr>
        <w:t>Excludes the acquisition of Atlas Energy, Inc. in 2011.</w:t>
      </w:r>
    </w:p>
    <w:p>
      <w:pPr>
        <w:sectPr>
          <w:pgSz w:w="11900" w:h="16838" w:orient="portrait"/>
          <w:cols w:equalWidth="0" w:num="1">
            <w:col w:w="11463"/>
          </w:cols>
          <w:pgMar w:left="217" w:top="339" w:right="219" w:bottom="1440" w:gutter="0" w:footer="0" w:header="0"/>
        </w:sectPr>
      </w:pPr>
    </w:p>
    <w:p>
      <w:pPr>
        <w:spacing w:after="0" w:line="149" w:lineRule="exact"/>
        <w:rPr>
          <w:sz w:val="20"/>
          <w:szCs w:val="20"/>
          <w:color w:val="auto"/>
        </w:rPr>
      </w:pPr>
    </w:p>
    <w:p>
      <w:pPr>
        <w:ind w:left="3" w:right="420" w:firstLine="192"/>
        <w:spacing w:after="0" w:line="253" w:lineRule="auto"/>
        <w:rPr>
          <w:sz w:val="20"/>
          <w:szCs w:val="20"/>
          <w:color w:val="auto"/>
        </w:rPr>
      </w:pPr>
      <w:r>
        <w:rPr>
          <w:rFonts w:ascii="Arial" w:cs="Arial" w:eastAsia="Arial" w:hAnsi="Arial"/>
          <w:sz w:val="13"/>
          <w:szCs w:val="13"/>
          <w:i w:val="1"/>
          <w:iCs w:val="1"/>
          <w:color w:val="E51837"/>
        </w:rPr>
        <w:t xml:space="preserve">Debt and capital lease obligations </w:t>
      </w:r>
      <w:r>
        <w:rPr>
          <w:rFonts w:ascii="Arial" w:cs="Arial" w:eastAsia="Arial" w:hAnsi="Arial"/>
          <w:sz w:val="13"/>
          <w:szCs w:val="13"/>
          <w:color w:val="000000"/>
        </w:rPr>
        <w:t>Total debt and capital lease obligations were $10.2 billion at</w:t>
      </w:r>
      <w:r>
        <w:rPr>
          <w:rFonts w:ascii="Arial" w:cs="Arial" w:eastAsia="Arial" w:hAnsi="Arial"/>
          <w:sz w:val="13"/>
          <w:szCs w:val="13"/>
          <w:i w:val="1"/>
          <w:iCs w:val="1"/>
          <w:color w:val="E51837"/>
        </w:rPr>
        <w:t xml:space="preserve"> </w:t>
      </w:r>
      <w:r>
        <w:rPr>
          <w:rFonts w:ascii="Arial" w:cs="Arial" w:eastAsia="Arial" w:hAnsi="Arial"/>
          <w:sz w:val="13"/>
          <w:szCs w:val="13"/>
          <w:color w:val="000000"/>
        </w:rPr>
        <w:t>December 31, 2011, down from $11.5 billion at year-end 2010.</w:t>
      </w:r>
    </w:p>
    <w:p>
      <w:pPr>
        <w:spacing w:after="0" w:line="1" w:lineRule="exact"/>
        <w:rPr>
          <w:sz w:val="20"/>
          <w:szCs w:val="20"/>
          <w:color w:val="auto"/>
        </w:rPr>
      </w:pPr>
    </w:p>
    <w:p>
      <w:pPr>
        <w:ind w:left="3" w:right="20" w:firstLine="158"/>
        <w:spacing w:after="0" w:line="291" w:lineRule="auto"/>
        <w:rPr>
          <w:sz w:val="20"/>
          <w:szCs w:val="20"/>
          <w:color w:val="auto"/>
        </w:rPr>
      </w:pPr>
      <w:r>
        <w:rPr>
          <w:rFonts w:ascii="Arial" w:cs="Arial" w:eastAsia="Arial" w:hAnsi="Arial"/>
          <w:sz w:val="11"/>
          <w:szCs w:val="11"/>
          <w:color w:val="auto"/>
        </w:rPr>
        <w:t>The $1.3 billion decrease in total debt and capital lease obligations during 2011 included the early redemption of a $1.5 billion bond due to mature in March 2012. The company’s debt and capital lease obligations due within one year, consisting primarily of commercial paper, redeemable long-term obligations and the current portion of long-term debt, totaled $5.9 billion at December 31, 2011, compared with $5.6 billion at year-end 2010. Of these amounts, $5.6 billion and $5.4 billion were reclassified to long-term at the end of each period, respectively. At year-end 2011, settlement of these obligations was not expected to require the use of working capital in 2012, as the company had the intent and the ability, as evidenced by committed credit facilities, to refinance them on a long-term basis.</w:t>
      </w:r>
    </w:p>
    <w:p>
      <w:pPr>
        <w:spacing w:after="0" w:line="3" w:lineRule="exact"/>
        <w:rPr>
          <w:sz w:val="20"/>
          <w:szCs w:val="20"/>
          <w:color w:val="auto"/>
        </w:rPr>
      </w:pPr>
    </w:p>
    <w:p>
      <w:pPr>
        <w:ind w:left="3" w:right="80" w:firstLine="153"/>
        <w:spacing w:after="0" w:line="267" w:lineRule="auto"/>
        <w:rPr>
          <w:sz w:val="20"/>
          <w:szCs w:val="20"/>
          <w:color w:val="auto"/>
        </w:rPr>
      </w:pPr>
      <w:r>
        <w:rPr>
          <w:rFonts w:ascii="Arial" w:cs="Arial" w:eastAsia="Arial" w:hAnsi="Arial"/>
          <w:sz w:val="12"/>
          <w:szCs w:val="12"/>
          <w:color w:val="auto"/>
        </w:rPr>
        <w:t>At December 31, 2011, the company had $6.0 billion in committed credit facilities with various major banks, expiring in December 2016, which enable the refinancing of short-term obligations on a long-term basis. These facilities support commercial paper borrowing and can also be used for general corporate purposes. The company’s practice has been to continually replace expiring commitments with new commitments on substantially the same terms, maintaining levels management believes appropriate. Any borrowings under the facilities would be unsecured indebtedness at interest rates based on the London Interbank Offered Rate or an average of base lending rates published by specified banks and on terms reflecting the company’s strong credit rating. No borrowings were outstanding under these facilities at December 31, 2011. In addition, the company has an automatic shelf registration statement that expires in March 2013 for an unspecified amount of nonconvertible debt securities issued or guaranteed by the company.</w:t>
      </w:r>
    </w:p>
    <w:p>
      <w:pPr>
        <w:spacing w:after="0" w:line="3" w:lineRule="exact"/>
        <w:rPr>
          <w:sz w:val="20"/>
          <w:szCs w:val="20"/>
          <w:color w:val="auto"/>
        </w:rPr>
      </w:pPr>
    </w:p>
    <w:p>
      <w:pPr>
        <w:ind w:left="3" w:right="100" w:firstLine="158"/>
        <w:spacing w:after="0" w:line="267" w:lineRule="auto"/>
        <w:rPr>
          <w:sz w:val="20"/>
          <w:szCs w:val="20"/>
          <w:color w:val="auto"/>
        </w:rPr>
      </w:pPr>
      <w:r>
        <w:rPr>
          <w:rFonts w:ascii="Arial" w:cs="Arial" w:eastAsia="Arial" w:hAnsi="Arial"/>
          <w:sz w:val="12"/>
          <w:szCs w:val="12"/>
          <w:color w:val="auto"/>
        </w:rPr>
        <w:t>The major debt rating agencies routinely evaluate the company’s debt, and the company’s cost of borrowing can increase or decrease depending on these debt ratings. The company has outstanding public bonds issued by Chevron Corporation, Chevron Corporation Profit Sharing/Savings Plan Trust Fund and Texaco Capital Inc. All of these securities are the obligations of, or guaranteed by, Chevron Corporation and are rated AA by Standard and Poor’s Corporation and Aa1 by Moody’s Investors Service. The company’s U.S. commercial paper is rated A-1+ by Standard and Poor’s and P-l by Moody’s. All of these ratings denote high-quality, investment-grade securities.</w:t>
      </w:r>
    </w:p>
    <w:p>
      <w:pPr>
        <w:spacing w:after="0" w:line="2" w:lineRule="exact"/>
        <w:rPr>
          <w:sz w:val="20"/>
          <w:szCs w:val="20"/>
          <w:color w:val="auto"/>
        </w:rPr>
      </w:pPr>
    </w:p>
    <w:p>
      <w:pPr>
        <w:ind w:left="3" w:firstLine="158"/>
        <w:spacing w:after="0" w:line="253" w:lineRule="auto"/>
        <w:rPr>
          <w:sz w:val="20"/>
          <w:szCs w:val="20"/>
          <w:color w:val="auto"/>
        </w:rPr>
      </w:pPr>
      <w:r>
        <w:rPr>
          <w:rFonts w:ascii="Arial" w:cs="Arial" w:eastAsia="Arial" w:hAnsi="Arial"/>
          <w:sz w:val="13"/>
          <w:szCs w:val="13"/>
          <w:color w:val="auto"/>
        </w:rPr>
        <w:t>The company’s future debt level is dependent primarily on results of operations, the capital program and cash that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may be generated from asset dispositions. Based on its high-quality debt ratings, the company believes that it has substantial borrowing capacity to meet unanticipated cash requirements. The company also can modify capital spending plans during any extended periods of low prices for crude oil and natural gas and narrow margins for refined products and commodity chemicals to provide flexibility to continue paying the common stock dividend and maintain the company’s high-quality debt ratings.</w:t>
      </w:r>
    </w:p>
    <w:p>
      <w:pPr>
        <w:spacing w:after="0" w:line="1" w:lineRule="exact"/>
        <w:rPr>
          <w:sz w:val="20"/>
          <w:szCs w:val="20"/>
          <w:color w:val="auto"/>
        </w:rPr>
      </w:pPr>
    </w:p>
    <w:p>
      <w:pPr>
        <w:ind w:right="200" w:firstLine="160"/>
        <w:spacing w:after="0" w:line="291" w:lineRule="auto"/>
        <w:rPr>
          <w:sz w:val="20"/>
          <w:szCs w:val="20"/>
          <w:color w:val="auto"/>
        </w:rPr>
      </w:pPr>
      <w:r>
        <w:rPr>
          <w:rFonts w:ascii="Arial" w:cs="Arial" w:eastAsia="Arial" w:hAnsi="Arial"/>
          <w:sz w:val="11"/>
          <w:szCs w:val="11"/>
          <w:i w:val="1"/>
          <w:iCs w:val="1"/>
          <w:color w:val="E51837"/>
        </w:rPr>
        <w:t xml:space="preserve">Common stock repurchase program </w:t>
      </w:r>
      <w:r>
        <w:rPr>
          <w:rFonts w:ascii="Arial" w:cs="Arial" w:eastAsia="Arial" w:hAnsi="Arial"/>
          <w:sz w:val="11"/>
          <w:szCs w:val="11"/>
          <w:color w:val="000000"/>
        </w:rPr>
        <w:t>In July 2010, the Board of Directors approved an ongoing share</w:t>
      </w:r>
      <w:r>
        <w:rPr>
          <w:rFonts w:ascii="Arial" w:cs="Arial" w:eastAsia="Arial" w:hAnsi="Arial"/>
          <w:sz w:val="11"/>
          <w:szCs w:val="11"/>
          <w:i w:val="1"/>
          <w:iCs w:val="1"/>
          <w:color w:val="E51837"/>
        </w:rPr>
        <w:t xml:space="preserve"> </w:t>
      </w:r>
      <w:r>
        <w:rPr>
          <w:rFonts w:ascii="Arial" w:cs="Arial" w:eastAsia="Arial" w:hAnsi="Arial"/>
          <w:sz w:val="11"/>
          <w:szCs w:val="11"/>
          <w:color w:val="000000"/>
        </w:rPr>
        <w:t>repurchase program with no set term or monetary limits. The company expects to repurchase between $500 million and $2 billion of its common shares per quarter, at prevailing prices, as permitted by securities laws and other legal requirements and subject to market conditions and other factors. During 2011, the company purchased 42.3 million common shares for $4.25 billion. From the inception of the program through 2011, the company had purchased 51.1 million shares for $5.0 billion.</w:t>
      </w:r>
    </w:p>
    <w:p>
      <w:pPr>
        <w:spacing w:after="0" w:line="2" w:lineRule="exact"/>
        <w:rPr>
          <w:sz w:val="20"/>
          <w:szCs w:val="20"/>
          <w:color w:val="auto"/>
        </w:rPr>
      </w:pPr>
    </w:p>
    <w:p>
      <w:pPr>
        <w:ind w:right="460" w:firstLine="160"/>
        <w:spacing w:after="0" w:line="246" w:lineRule="auto"/>
        <w:rPr>
          <w:sz w:val="20"/>
          <w:szCs w:val="20"/>
          <w:color w:val="auto"/>
        </w:rPr>
      </w:pPr>
      <w:r>
        <w:rPr>
          <w:rFonts w:ascii="Arial" w:cs="Arial" w:eastAsia="Arial" w:hAnsi="Arial"/>
          <w:sz w:val="13"/>
          <w:szCs w:val="13"/>
          <w:i w:val="1"/>
          <w:iCs w:val="1"/>
          <w:color w:val="E51837"/>
        </w:rPr>
        <w:t xml:space="preserve">Capital and exploratory expenditures </w:t>
      </w:r>
      <w:r>
        <w:rPr>
          <w:rFonts w:ascii="Arial" w:cs="Arial" w:eastAsia="Arial" w:hAnsi="Arial"/>
          <w:sz w:val="13"/>
          <w:szCs w:val="13"/>
          <w:color w:val="000000"/>
        </w:rPr>
        <w:t>Total expenditures for 2011 were $29.1 billion, including</w:t>
      </w:r>
      <w:r>
        <w:rPr>
          <w:rFonts w:ascii="Arial" w:cs="Arial" w:eastAsia="Arial" w:hAnsi="Arial"/>
          <w:sz w:val="13"/>
          <w:szCs w:val="13"/>
          <w:i w:val="1"/>
          <w:iCs w:val="1"/>
          <w:color w:val="E51837"/>
        </w:rPr>
        <w:t xml:space="preserve"> </w:t>
      </w:r>
      <w:r>
        <w:rPr>
          <w:rFonts w:ascii="Arial" w:cs="Arial" w:eastAsia="Arial" w:hAnsi="Arial"/>
          <w:sz w:val="13"/>
          <w:szCs w:val="13"/>
          <w:color w:val="000000"/>
        </w:rPr>
        <w:t>$1.7 billion for the company’s share of equity-affiliate expenditures.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-34925</wp:posOffset>
            </wp:positionV>
            <wp:extent cx="946150" cy="2117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0" cy="2117725"/>
                    </a:xfrm>
                    <a:prstGeom prst="rect">
                      <a:avLst/>
                    </a:prstGeom>
                    <a:noFill/>
                  </pic:spPr>
                </pic:pic>
              </a:graphicData>
            </a:graphic>
          </wp:anchor>
        </w:drawing>
      </w:r>
    </w:p>
    <w:p>
      <w:pPr>
        <w:ind w:right="1620"/>
        <w:spacing w:after="0" w:line="246" w:lineRule="auto"/>
        <w:rPr>
          <w:sz w:val="20"/>
          <w:szCs w:val="20"/>
          <w:color w:val="auto"/>
        </w:rPr>
      </w:pPr>
      <w:r>
        <w:rPr>
          <w:rFonts w:ascii="Arial" w:cs="Arial" w:eastAsia="Arial" w:hAnsi="Arial"/>
          <w:sz w:val="13"/>
          <w:szCs w:val="13"/>
          <w:color w:val="auto"/>
        </w:rPr>
        <w:t>and 2009, expenditures were $21.8 billion and $22.2 billion, respectively, including the company’s share of affiliates’ expenditures of $1.4 billion and $1.6 billion, respectively.</w:t>
      </w:r>
    </w:p>
    <w:p>
      <w:pPr>
        <w:spacing w:after="0" w:line="2" w:lineRule="exact"/>
        <w:rPr>
          <w:sz w:val="20"/>
          <w:szCs w:val="20"/>
          <w:color w:val="auto"/>
        </w:rPr>
      </w:pPr>
    </w:p>
    <w:p>
      <w:pPr>
        <w:ind w:right="1600" w:firstLine="160"/>
        <w:spacing w:after="0" w:line="291" w:lineRule="auto"/>
        <w:rPr>
          <w:sz w:val="20"/>
          <w:szCs w:val="20"/>
          <w:color w:val="auto"/>
        </w:rPr>
      </w:pPr>
      <w:r>
        <w:rPr>
          <w:rFonts w:ascii="Arial" w:cs="Arial" w:eastAsia="Arial" w:hAnsi="Arial"/>
          <w:sz w:val="11"/>
          <w:szCs w:val="11"/>
          <w:color w:val="auto"/>
        </w:rPr>
        <w:t>Of the $29.1 billion of expenditures in 2011, 89 percent, or $25.9 billion, was related to upstream activities. Approximately 87 percent and 80 percent were expended for upstream operations in 2010 and 2009. International upstream accounted for about 68 percent of the worldwide upstream investment in 2011, about 82 percent in 2010 and about 80 percent in 2009. These amounts exclude the acquisition of Atlas Energy, Inc. in 2011.</w:t>
      </w:r>
    </w:p>
    <w:p>
      <w:pPr>
        <w:spacing w:after="0" w:line="2" w:lineRule="exact"/>
        <w:rPr>
          <w:sz w:val="20"/>
          <w:szCs w:val="20"/>
          <w:color w:val="auto"/>
        </w:rPr>
      </w:pPr>
    </w:p>
    <w:p>
      <w:pPr>
        <w:ind w:right="1580" w:firstLine="158"/>
        <w:spacing w:after="0" w:line="253" w:lineRule="auto"/>
        <w:rPr>
          <w:sz w:val="20"/>
          <w:szCs w:val="20"/>
          <w:color w:val="auto"/>
        </w:rPr>
      </w:pPr>
      <w:r>
        <w:rPr>
          <w:rFonts w:ascii="Arial" w:cs="Arial" w:eastAsia="Arial" w:hAnsi="Arial"/>
          <w:sz w:val="13"/>
          <w:szCs w:val="13"/>
          <w:color w:val="auto"/>
        </w:rPr>
        <w:t>The company estimates that in 2012 capital and exploratory expenditures will be $32.7 billion, including $3.0 billion of spending</w:t>
      </w:r>
    </w:p>
    <w:p>
      <w:pPr>
        <w:spacing w:after="0" w:line="1122" w:lineRule="exact"/>
        <w:rPr>
          <w:sz w:val="20"/>
          <w:szCs w:val="20"/>
          <w:color w:val="auto"/>
        </w:rPr>
      </w:pPr>
    </w:p>
    <w:p>
      <w:pPr>
        <w:sectPr>
          <w:pgSz w:w="11900" w:h="16838" w:orient="portrait"/>
          <w:cols w:equalWidth="0" w:num="2">
            <w:col w:w="5503" w:space="460"/>
            <w:col w:w="5500"/>
          </w:cols>
          <w:pgMar w:left="217" w:top="33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9" w:right="219" w:bottom="1440" w:gutter="0" w:footer="0" w:header="0"/>
          <w:type w:val="continuous"/>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2"/>
          <w:szCs w:val="12"/>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by affiliates. Approximately 87 percent of the total, or $28.5 billion, is budgeted for exploration and production activities. Approximately $22.3 billion, or 78 percent, of this amount is for projects outside the United States. Spending in 2012 is primarily focused on major development projects in Angola, Australia, Brazil, Canada, China, Kazakhstan, Nigeria, Russia, the United Kingdom and the U.S. Gulf of Mexico. Also included is funding for enhancing recovery and mitigating natural field declines for currently-producing assets, and for focused exploration and appraisal activities.</w:t>
      </w:r>
    </w:p>
    <w:p>
      <w:pPr>
        <w:spacing w:after="0" w:line="3" w:lineRule="exact"/>
        <w:rPr>
          <w:sz w:val="20"/>
          <w:szCs w:val="20"/>
          <w:color w:val="auto"/>
        </w:rPr>
      </w:pPr>
    </w:p>
    <w:p>
      <w:pPr>
        <w:ind w:right="100" w:firstLine="158"/>
        <w:spacing w:after="0" w:line="267" w:lineRule="auto"/>
        <w:rPr>
          <w:sz w:val="20"/>
          <w:szCs w:val="20"/>
          <w:color w:val="auto"/>
        </w:rPr>
      </w:pPr>
      <w:r>
        <w:rPr>
          <w:rFonts w:ascii="Arial" w:cs="Arial" w:eastAsia="Arial" w:hAnsi="Arial"/>
          <w:sz w:val="12"/>
          <w:szCs w:val="12"/>
          <w:color w:val="auto"/>
        </w:rPr>
        <w:t>Worldwide downstream spending in 2012 is estimated at $3.6 billion, with about $2.1 billion for projects in the United States. Major capital outlays include projects under construction at refineries in the United States and South Korea, expansion of additives production capacity in Singapore, and chemicals projects in the United States and Saudi Arabia.</w:t>
      </w:r>
    </w:p>
    <w:p>
      <w:pPr>
        <w:spacing w:after="0" w:line="1" w:lineRule="exact"/>
        <w:rPr>
          <w:sz w:val="20"/>
          <w:szCs w:val="20"/>
          <w:color w:val="auto"/>
        </w:rPr>
      </w:pPr>
    </w:p>
    <w:p>
      <w:pPr>
        <w:ind w:right="180" w:firstLine="160"/>
        <w:spacing w:after="0" w:line="246" w:lineRule="auto"/>
        <w:rPr>
          <w:sz w:val="20"/>
          <w:szCs w:val="20"/>
          <w:color w:val="auto"/>
        </w:rPr>
      </w:pPr>
      <w:r>
        <w:rPr>
          <w:rFonts w:ascii="Arial" w:cs="Arial" w:eastAsia="Arial" w:hAnsi="Arial"/>
          <w:sz w:val="13"/>
          <w:szCs w:val="13"/>
          <w:color w:val="auto"/>
        </w:rPr>
        <w:t>Investments in technology, power generation and other corporate businesses in 2012 are budgeted at $600 million.</w:t>
      </w:r>
    </w:p>
    <w:p>
      <w:pPr>
        <w:spacing w:after="0" w:line="1"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i w:val="1"/>
          <w:iCs w:val="1"/>
          <w:color w:val="E51837"/>
        </w:rPr>
        <w:t xml:space="preserve">Noncontrolling interests </w:t>
      </w:r>
      <w:r>
        <w:rPr>
          <w:rFonts w:ascii="Arial" w:cs="Arial" w:eastAsia="Arial" w:hAnsi="Arial"/>
          <w:sz w:val="13"/>
          <w:szCs w:val="13"/>
          <w:color w:val="000000"/>
        </w:rPr>
        <w:t>The company had noncontrolling interests of $799 million and $730 million at</w:t>
      </w:r>
      <w:r>
        <w:rPr>
          <w:rFonts w:ascii="Arial" w:cs="Arial" w:eastAsia="Arial" w:hAnsi="Arial"/>
          <w:sz w:val="13"/>
          <w:szCs w:val="13"/>
          <w:i w:val="1"/>
          <w:iCs w:val="1"/>
          <w:color w:val="E51837"/>
        </w:rPr>
        <w:t xml:space="preserve"> </w:t>
      </w:r>
      <w:r>
        <w:rPr>
          <w:rFonts w:ascii="Arial" w:cs="Arial" w:eastAsia="Arial" w:hAnsi="Arial"/>
          <w:sz w:val="13"/>
          <w:szCs w:val="13"/>
          <w:color w:val="000000"/>
        </w:rPr>
        <w:t>December 31, 2011 and 2010, respectively. Distributions to noncontrolling interests totaled $71 million and $72 million in 2011 and 2010, respectively.</w:t>
      </w:r>
    </w:p>
    <w:p>
      <w:pPr>
        <w:spacing w:after="0" w:line="2" w:lineRule="exact"/>
        <w:rPr>
          <w:sz w:val="20"/>
          <w:szCs w:val="20"/>
          <w:color w:val="auto"/>
        </w:rPr>
      </w:pPr>
    </w:p>
    <w:p>
      <w:pPr>
        <w:ind w:right="220" w:firstLine="160"/>
        <w:spacing w:after="0" w:line="249" w:lineRule="auto"/>
        <w:rPr>
          <w:sz w:val="20"/>
          <w:szCs w:val="20"/>
          <w:color w:val="auto"/>
        </w:rPr>
      </w:pPr>
      <w:r>
        <w:rPr>
          <w:rFonts w:ascii="Arial" w:cs="Arial" w:eastAsia="Arial" w:hAnsi="Arial"/>
          <w:sz w:val="13"/>
          <w:szCs w:val="13"/>
          <w:i w:val="1"/>
          <w:iCs w:val="1"/>
          <w:color w:val="E51837"/>
        </w:rPr>
        <w:t xml:space="preserve">Pension Obligations </w:t>
      </w:r>
      <w:r>
        <w:rPr>
          <w:rFonts w:ascii="Arial" w:cs="Arial" w:eastAsia="Arial" w:hAnsi="Arial"/>
          <w:sz w:val="13"/>
          <w:szCs w:val="13"/>
          <w:color w:val="000000"/>
        </w:rPr>
        <w:t>Information related to pension plan contributions is included on page FS-54 in</w:t>
      </w:r>
      <w:r>
        <w:rPr>
          <w:rFonts w:ascii="Arial" w:cs="Arial" w:eastAsia="Arial" w:hAnsi="Arial"/>
          <w:sz w:val="13"/>
          <w:szCs w:val="13"/>
          <w:i w:val="1"/>
          <w:iCs w:val="1"/>
          <w:color w:val="E51837"/>
        </w:rPr>
        <w:t xml:space="preserve"> </w:t>
      </w:r>
      <w:r>
        <w:rPr>
          <w:rFonts w:ascii="Arial" w:cs="Arial" w:eastAsia="Arial" w:hAnsi="Arial"/>
          <w:sz w:val="13"/>
          <w:szCs w:val="13"/>
          <w:color w:val="000000"/>
        </w:rPr>
        <w:t>Note 21 to the Consolidated Financial Statements under the heading “Cash Contributions and Benefit Payments.” Refer also to the discussion of pension accounting in “Critical Accounting Estimates and Assumptions,” beginning on page FS-16.</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Financial Ratios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Ratios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9"/>
                <w:szCs w:val="9"/>
                <w:color w:val="auto"/>
              </w:rPr>
              <w:t>At December 31</w:t>
            </w:r>
          </w:p>
        </w:tc>
      </w:tr>
      <w:tr>
        <w:trPr>
          <w:trHeight w:val="86"/>
        </w:trPr>
        <w:tc>
          <w:tcPr>
            <w:tcW w:w="2940" w:type="dxa"/>
            <w:vAlign w:val="bottom"/>
            <w:tcBorders>
              <w:bottom w:val="single" w:sz="8" w:color="0077C0"/>
            </w:tcBorders>
          </w:tcPr>
          <w:p>
            <w:pPr>
              <w:spacing w:after="0"/>
              <w:rPr>
                <w:sz w:val="7"/>
                <w:szCs w:val="7"/>
                <w:color w:val="auto"/>
              </w:rPr>
            </w:pPr>
          </w:p>
        </w:tc>
        <w:tc>
          <w:tcPr>
            <w:tcW w:w="680" w:type="dxa"/>
            <w:vAlign w:val="bottom"/>
            <w:tcBorders>
              <w:top w:val="single" w:sz="8" w:color="0077C0"/>
              <w:bottom w:val="single" w:sz="8" w:color="0077C0"/>
            </w:tcBorders>
          </w:tcPr>
          <w:p>
            <w:pPr>
              <w:jc w:val="right"/>
              <w:ind w:right="270"/>
              <w:spacing w:after="0" w:line="86" w:lineRule="exact"/>
              <w:rPr>
                <w:sz w:val="20"/>
                <w:szCs w:val="20"/>
                <w:color w:val="auto"/>
              </w:rPr>
            </w:pPr>
            <w:r>
              <w:rPr>
                <w:rFonts w:ascii="Arial" w:cs="Arial" w:eastAsia="Arial" w:hAnsi="Arial"/>
                <w:sz w:val="9"/>
                <w:szCs w:val="9"/>
                <w:b w:val="1"/>
                <w:bCs w:val="1"/>
                <w:color w:val="auto"/>
              </w:rPr>
              <w:t>2011</w:t>
            </w:r>
          </w:p>
        </w:tc>
        <w:tc>
          <w:tcPr>
            <w:tcW w:w="980" w:type="dxa"/>
            <w:vAlign w:val="bottom"/>
            <w:tcBorders>
              <w:top w:val="single" w:sz="8" w:color="0077C0"/>
              <w:bottom w:val="single" w:sz="8" w:color="0077C0"/>
            </w:tcBorders>
          </w:tcPr>
          <w:p>
            <w:pPr>
              <w:jc w:val="right"/>
              <w:ind w:right="210"/>
              <w:spacing w:after="0" w:line="86" w:lineRule="exact"/>
              <w:rPr>
                <w:sz w:val="20"/>
                <w:szCs w:val="20"/>
                <w:color w:val="auto"/>
              </w:rPr>
            </w:pPr>
            <w:r>
              <w:rPr>
                <w:rFonts w:ascii="Arial" w:cs="Arial" w:eastAsia="Arial" w:hAnsi="Arial"/>
                <w:sz w:val="9"/>
                <w:szCs w:val="9"/>
                <w:color w:val="auto"/>
              </w:rPr>
              <w:t>2010</w:t>
            </w:r>
          </w:p>
        </w:tc>
        <w:tc>
          <w:tcPr>
            <w:tcW w:w="7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80" w:type="dxa"/>
            <w:vAlign w:val="bottom"/>
          </w:tcPr>
          <w:p>
            <w:pPr>
              <w:spacing w:after="0"/>
              <w:rPr>
                <w:sz w:val="7"/>
                <w:szCs w:val="7"/>
                <w:color w:val="auto"/>
              </w:rPr>
            </w:pPr>
          </w:p>
        </w:tc>
      </w:tr>
      <w:tr>
        <w:trPr>
          <w:trHeight w:val="90"/>
        </w:trPr>
        <w:tc>
          <w:tcPr>
            <w:tcW w:w="2940" w:type="dxa"/>
            <w:vAlign w:val="bottom"/>
          </w:tcPr>
          <w:p>
            <w:pPr>
              <w:spacing w:after="0" w:line="91" w:lineRule="exact"/>
              <w:rPr>
                <w:sz w:val="20"/>
                <w:szCs w:val="20"/>
                <w:color w:val="auto"/>
              </w:rPr>
            </w:pPr>
            <w:r>
              <w:rPr>
                <w:rFonts w:ascii="Arial" w:cs="Arial" w:eastAsia="Arial" w:hAnsi="Arial"/>
                <w:sz w:val="10"/>
                <w:szCs w:val="10"/>
                <w:color w:val="auto"/>
              </w:rPr>
              <w:t>Current Ratio</w:t>
            </w:r>
          </w:p>
        </w:tc>
        <w:tc>
          <w:tcPr>
            <w:tcW w:w="680" w:type="dxa"/>
            <w:vAlign w:val="bottom"/>
            <w:tcBorders>
              <w:right w:val="single" w:sz="8" w:color="0077C0"/>
            </w:tcBorders>
          </w:tcPr>
          <w:p>
            <w:pPr>
              <w:jc w:val="right"/>
              <w:ind w:right="270"/>
              <w:spacing w:after="0" w:line="91" w:lineRule="exact"/>
              <w:rPr>
                <w:sz w:val="20"/>
                <w:szCs w:val="20"/>
                <w:color w:val="auto"/>
              </w:rPr>
            </w:pPr>
            <w:r>
              <w:rPr>
                <w:rFonts w:ascii="Arial" w:cs="Arial" w:eastAsia="Arial" w:hAnsi="Arial"/>
                <w:sz w:val="10"/>
                <w:szCs w:val="10"/>
                <w:b w:val="1"/>
                <w:bCs w:val="1"/>
                <w:color w:val="auto"/>
              </w:rPr>
              <w:t>1.6</w:t>
            </w:r>
          </w:p>
        </w:tc>
        <w:tc>
          <w:tcPr>
            <w:tcW w:w="980" w:type="dxa"/>
            <w:vAlign w:val="bottom"/>
          </w:tcPr>
          <w:p>
            <w:pPr>
              <w:jc w:val="right"/>
              <w:ind w:right="210"/>
              <w:spacing w:after="0" w:line="91" w:lineRule="exact"/>
              <w:rPr>
                <w:sz w:val="20"/>
                <w:szCs w:val="20"/>
                <w:color w:val="auto"/>
              </w:rPr>
            </w:pPr>
            <w:r>
              <w:rPr>
                <w:rFonts w:ascii="Arial" w:cs="Arial" w:eastAsia="Arial" w:hAnsi="Arial"/>
                <w:sz w:val="10"/>
                <w:szCs w:val="10"/>
                <w:color w:val="auto"/>
              </w:rPr>
              <w:t>1.7</w:t>
            </w:r>
          </w:p>
        </w:tc>
        <w:tc>
          <w:tcPr>
            <w:tcW w:w="780" w:type="dxa"/>
            <w:vAlign w:val="bottom"/>
          </w:tcPr>
          <w:p>
            <w:pPr>
              <w:jc w:val="right"/>
              <w:spacing w:after="0" w:line="91" w:lineRule="exact"/>
              <w:rPr>
                <w:sz w:val="20"/>
                <w:szCs w:val="20"/>
                <w:color w:val="auto"/>
              </w:rPr>
            </w:pPr>
            <w:r>
              <w:rPr>
                <w:rFonts w:ascii="Arial" w:cs="Arial" w:eastAsia="Arial" w:hAnsi="Arial"/>
                <w:sz w:val="10"/>
                <w:szCs w:val="10"/>
                <w:color w:val="auto"/>
              </w:rPr>
              <w:t>1.4</w:t>
            </w:r>
          </w:p>
        </w:tc>
        <w:tc>
          <w:tcPr>
            <w:tcW w:w="80" w:type="dxa"/>
            <w:vAlign w:val="bottom"/>
          </w:tcPr>
          <w:p>
            <w:pPr>
              <w:spacing w:after="0"/>
              <w:rPr>
                <w:sz w:val="7"/>
                <w:szCs w:val="7"/>
                <w:color w:val="auto"/>
              </w:rPr>
            </w:pPr>
          </w:p>
        </w:tc>
      </w:tr>
      <w:tr>
        <w:trPr>
          <w:trHeight w:val="106"/>
        </w:trPr>
        <w:tc>
          <w:tcPr>
            <w:tcW w:w="2940" w:type="dxa"/>
            <w:vAlign w:val="bottom"/>
          </w:tcPr>
          <w:p>
            <w:pPr>
              <w:spacing w:after="0" w:line="106" w:lineRule="exact"/>
              <w:rPr>
                <w:sz w:val="20"/>
                <w:szCs w:val="20"/>
                <w:color w:val="auto"/>
              </w:rPr>
            </w:pPr>
            <w:r>
              <w:rPr>
                <w:rFonts w:ascii="Arial" w:cs="Arial" w:eastAsia="Arial" w:hAnsi="Arial"/>
                <w:sz w:val="10"/>
                <w:szCs w:val="10"/>
                <w:color w:val="auto"/>
              </w:rPr>
              <w:t>Interest Coverage Ratio</w:t>
            </w:r>
          </w:p>
        </w:tc>
        <w:tc>
          <w:tcPr>
            <w:tcW w:w="680" w:type="dxa"/>
            <w:vAlign w:val="bottom"/>
            <w:tcBorders>
              <w:right w:val="single" w:sz="8" w:color="0077C0"/>
            </w:tcBorders>
          </w:tcPr>
          <w:p>
            <w:pPr>
              <w:jc w:val="right"/>
              <w:ind w:right="270"/>
              <w:spacing w:after="0" w:line="106" w:lineRule="exact"/>
              <w:rPr>
                <w:sz w:val="20"/>
                <w:szCs w:val="20"/>
                <w:color w:val="auto"/>
              </w:rPr>
            </w:pPr>
            <w:r>
              <w:rPr>
                <w:rFonts w:ascii="Arial" w:cs="Arial" w:eastAsia="Arial" w:hAnsi="Arial"/>
                <w:sz w:val="10"/>
                <w:szCs w:val="10"/>
                <w:b w:val="1"/>
                <w:bCs w:val="1"/>
                <w:color w:val="auto"/>
              </w:rPr>
              <w:t>165.4</w:t>
            </w:r>
          </w:p>
        </w:tc>
        <w:tc>
          <w:tcPr>
            <w:tcW w:w="98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101.7</w:t>
            </w:r>
          </w:p>
        </w:tc>
        <w:tc>
          <w:tcPr>
            <w:tcW w:w="86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62.3</w:t>
            </w:r>
          </w:p>
        </w:tc>
      </w:tr>
      <w:tr>
        <w:trPr>
          <w:trHeight w:val="130"/>
        </w:trPr>
        <w:tc>
          <w:tcPr>
            <w:tcW w:w="2940" w:type="dxa"/>
            <w:vAlign w:val="bottom"/>
          </w:tcPr>
          <w:p>
            <w:pPr>
              <w:spacing w:after="0"/>
              <w:rPr>
                <w:sz w:val="20"/>
                <w:szCs w:val="20"/>
                <w:color w:val="auto"/>
              </w:rPr>
            </w:pPr>
            <w:r>
              <w:rPr>
                <w:rFonts w:ascii="Arial" w:cs="Arial" w:eastAsia="Arial" w:hAnsi="Arial"/>
                <w:sz w:val="10"/>
                <w:szCs w:val="10"/>
                <w:color w:val="auto"/>
              </w:rPr>
              <w:t>Debt Ratio</w:t>
            </w:r>
          </w:p>
        </w:tc>
        <w:tc>
          <w:tcPr>
            <w:tcW w:w="680" w:type="dxa"/>
            <w:vAlign w:val="bottom"/>
            <w:tcBorders>
              <w:right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7.7%</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9.8%</w:t>
            </w: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10.3%</w:t>
            </w:r>
          </w:p>
        </w:tc>
      </w:tr>
      <w:tr>
        <w:trPr>
          <w:trHeight w:val="29"/>
        </w:trPr>
        <w:tc>
          <w:tcPr>
            <w:tcW w:w="2940" w:type="dxa"/>
            <w:vAlign w:val="bottom"/>
            <w:shd w:val="clear" w:color="auto" w:fill="0077C0"/>
          </w:tcPr>
          <w:p>
            <w:pPr>
              <w:spacing w:after="0"/>
              <w:rPr>
                <w:sz w:val="2"/>
                <w:szCs w:val="2"/>
                <w:color w:val="auto"/>
              </w:rPr>
            </w:pPr>
          </w:p>
        </w:tc>
        <w:tc>
          <w:tcPr>
            <w:tcW w:w="680" w:type="dxa"/>
            <w:vAlign w:val="bottom"/>
            <w:tcBorders>
              <w:right w:val="single" w:sz="8" w:color="0077C0"/>
            </w:tcBorders>
            <w:shd w:val="clear" w:color="auto" w:fill="0077C0"/>
          </w:tcPr>
          <w:p>
            <w:pPr>
              <w:spacing w:after="0"/>
              <w:rPr>
                <w:sz w:val="2"/>
                <w:szCs w:val="2"/>
                <w:color w:val="auto"/>
              </w:rPr>
            </w:pPr>
          </w:p>
        </w:tc>
        <w:tc>
          <w:tcPr>
            <w:tcW w:w="980" w:type="dxa"/>
            <w:vAlign w:val="bottom"/>
            <w:shd w:val="clear" w:color="auto" w:fill="0077C0"/>
          </w:tcPr>
          <w:p>
            <w:pPr>
              <w:spacing w:after="0"/>
              <w:rPr>
                <w:sz w:val="2"/>
                <w:szCs w:val="2"/>
                <w:color w:val="auto"/>
              </w:rPr>
            </w:pPr>
          </w:p>
        </w:tc>
        <w:tc>
          <w:tcPr>
            <w:tcW w:w="780" w:type="dxa"/>
            <w:vAlign w:val="bottom"/>
            <w:shd w:val="clear" w:color="auto" w:fill="0077C0"/>
          </w:tcPr>
          <w:p>
            <w:pPr>
              <w:spacing w:after="0"/>
              <w:rPr>
                <w:sz w:val="2"/>
                <w:szCs w:val="2"/>
                <w:color w:val="auto"/>
              </w:rPr>
            </w:pPr>
          </w:p>
        </w:tc>
        <w:tc>
          <w:tcPr>
            <w:tcW w:w="80" w:type="dxa"/>
            <w:vAlign w:val="bottom"/>
          </w:tcPr>
          <w:p>
            <w:pPr>
              <w:spacing w:after="0"/>
              <w:rPr>
                <w:sz w:val="2"/>
                <w:szCs w:val="2"/>
                <w:color w:val="auto"/>
              </w:rPr>
            </w:pPr>
          </w:p>
        </w:tc>
      </w:tr>
    </w:tbl>
    <w:p>
      <w:pPr>
        <w:spacing w:after="0" w:line="68" w:lineRule="exact"/>
        <w:rPr>
          <w:sz w:val="20"/>
          <w:szCs w:val="20"/>
          <w:color w:val="auto"/>
        </w:rPr>
      </w:pPr>
    </w:p>
    <w:p>
      <w:pPr>
        <w:ind w:firstLine="192"/>
        <w:spacing w:after="0" w:line="249" w:lineRule="auto"/>
        <w:rPr>
          <w:sz w:val="20"/>
          <w:szCs w:val="20"/>
          <w:color w:val="auto"/>
        </w:rPr>
      </w:pPr>
      <w:r>
        <w:rPr>
          <w:rFonts w:ascii="Arial" w:cs="Arial" w:eastAsia="Arial" w:hAnsi="Arial"/>
          <w:sz w:val="13"/>
          <w:szCs w:val="13"/>
          <w:i w:val="1"/>
          <w:iCs w:val="1"/>
          <w:color w:val="E51837"/>
        </w:rPr>
        <w:t xml:space="preserve">Current Ratio </w:t>
      </w:r>
      <w:r>
        <w:rPr>
          <w:rFonts w:ascii="Arial" w:cs="Arial" w:eastAsia="Arial" w:hAnsi="Arial"/>
          <w:sz w:val="13"/>
          <w:szCs w:val="13"/>
          <w:i w:val="1"/>
          <w:iCs w:val="1"/>
          <w:color w:val="000000"/>
        </w:rPr>
        <w:t>–</w:t>
      </w:r>
      <w:r>
        <w:rPr>
          <w:rFonts w:ascii="Arial" w:cs="Arial" w:eastAsia="Arial" w:hAnsi="Arial"/>
          <w:sz w:val="13"/>
          <w:szCs w:val="13"/>
          <w:i w:val="1"/>
          <w:iCs w:val="1"/>
          <w:color w:val="E51837"/>
        </w:rPr>
        <w:t xml:space="preserve"> </w:t>
      </w:r>
      <w:r>
        <w:rPr>
          <w:rFonts w:ascii="Arial" w:cs="Arial" w:eastAsia="Arial" w:hAnsi="Arial"/>
          <w:sz w:val="13"/>
          <w:szCs w:val="13"/>
          <w:color w:val="000000"/>
        </w:rPr>
        <w:t>current assets divided by current liabilities, which indicates the company’s ability to</w:t>
      </w:r>
      <w:r>
        <w:rPr>
          <w:rFonts w:ascii="Arial" w:cs="Arial" w:eastAsia="Arial" w:hAnsi="Arial"/>
          <w:sz w:val="13"/>
          <w:szCs w:val="13"/>
          <w:i w:val="1"/>
          <w:iCs w:val="1"/>
          <w:color w:val="E51837"/>
        </w:rPr>
        <w:t xml:space="preserve"> </w:t>
      </w:r>
      <w:r>
        <w:rPr>
          <w:rFonts w:ascii="Arial" w:cs="Arial" w:eastAsia="Arial" w:hAnsi="Arial"/>
          <w:sz w:val="13"/>
          <w:szCs w:val="13"/>
          <w:color w:val="000000"/>
        </w:rPr>
        <w:t>repay its short-term liabilities with short-term assets. The current ratio in all periods was adversely affected by the fact that Chevron’s inventories are valued on a last-in, first-out basis. At year-end 2011, the book value of inventory was lower than replacement costs, based on average acquisition costs during the year, by approximately $9.0 billion.</w:t>
      </w:r>
    </w:p>
    <w:p>
      <w:pPr>
        <w:spacing w:after="0" w:line="2" w:lineRule="exact"/>
        <w:rPr>
          <w:sz w:val="20"/>
          <w:szCs w:val="20"/>
          <w:color w:val="auto"/>
        </w:rPr>
      </w:pPr>
    </w:p>
    <w:p>
      <w:pPr>
        <w:ind w:right="240" w:firstLine="192"/>
        <w:spacing w:after="0" w:line="250" w:lineRule="auto"/>
        <w:rPr>
          <w:sz w:val="20"/>
          <w:szCs w:val="20"/>
          <w:color w:val="auto"/>
        </w:rPr>
      </w:pPr>
      <w:r>
        <w:rPr>
          <w:rFonts w:ascii="Arial" w:cs="Arial" w:eastAsia="Arial" w:hAnsi="Arial"/>
          <w:sz w:val="13"/>
          <w:szCs w:val="13"/>
          <w:i w:val="1"/>
          <w:iCs w:val="1"/>
          <w:color w:val="E51837"/>
        </w:rPr>
        <w:t xml:space="preserve">Interest Coverage Ratio </w:t>
      </w:r>
      <w:r>
        <w:rPr>
          <w:rFonts w:ascii="Arial" w:cs="Arial" w:eastAsia="Arial" w:hAnsi="Arial"/>
          <w:sz w:val="13"/>
          <w:szCs w:val="13"/>
          <w:i w:val="1"/>
          <w:iCs w:val="1"/>
          <w:color w:val="000000"/>
        </w:rPr>
        <w:t>–</w:t>
      </w:r>
      <w:r>
        <w:rPr>
          <w:rFonts w:ascii="Arial" w:cs="Arial" w:eastAsia="Arial" w:hAnsi="Arial"/>
          <w:sz w:val="13"/>
          <w:szCs w:val="13"/>
          <w:i w:val="1"/>
          <w:iCs w:val="1"/>
          <w:color w:val="E51837"/>
        </w:rPr>
        <w:t xml:space="preserve"> </w:t>
      </w:r>
      <w:r>
        <w:rPr>
          <w:rFonts w:ascii="Arial" w:cs="Arial" w:eastAsia="Arial" w:hAnsi="Arial"/>
          <w:sz w:val="13"/>
          <w:szCs w:val="13"/>
          <w:color w:val="000000"/>
        </w:rPr>
        <w:t>income before income tax expense, plus interest and debt expense and</w:t>
      </w:r>
      <w:r>
        <w:rPr>
          <w:rFonts w:ascii="Arial" w:cs="Arial" w:eastAsia="Arial" w:hAnsi="Arial"/>
          <w:sz w:val="13"/>
          <w:szCs w:val="13"/>
          <w:i w:val="1"/>
          <w:iCs w:val="1"/>
          <w:color w:val="E51837"/>
        </w:rPr>
        <w:t xml:space="preserve"> </w:t>
      </w:r>
      <w:r>
        <w:rPr>
          <w:rFonts w:ascii="Arial" w:cs="Arial" w:eastAsia="Arial" w:hAnsi="Arial"/>
          <w:sz w:val="13"/>
          <w:szCs w:val="13"/>
          <w:color w:val="000000"/>
        </w:rPr>
        <w:t>amortization of capitalized interest, less net income attributable to noncontrolling interests, divided by before-tax interest costs.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80"/>
        <w:spacing w:after="0" w:line="251" w:lineRule="auto"/>
        <w:rPr>
          <w:sz w:val="20"/>
          <w:szCs w:val="20"/>
          <w:color w:val="auto"/>
        </w:rPr>
      </w:pPr>
      <w:r>
        <w:rPr>
          <w:rFonts w:ascii="Arial" w:cs="Arial" w:eastAsia="Arial" w:hAnsi="Arial"/>
          <w:sz w:val="13"/>
          <w:szCs w:val="13"/>
          <w:color w:val="auto"/>
        </w:rPr>
        <w:t>ratio indicates the company’s ability to pay interest on outstanding debt. The company’s interest coverage ratio in 2011 was higher than 2010 and 2009 due to higher before-tax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-1017905</wp:posOffset>
            </wp:positionV>
            <wp:extent cx="7285990" cy="28682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5990" cy="2868295"/>
                    </a:xfrm>
                    <a:prstGeom prst="rect">
                      <a:avLst/>
                    </a:prstGeom>
                    <a:noFill/>
                  </pic:spPr>
                </pic:pic>
              </a:graphicData>
            </a:graphic>
          </wp:anchor>
        </w:drawing>
      </w:r>
    </w:p>
    <w:p>
      <w:pPr>
        <w:ind w:right="1480" w:firstLine="160"/>
        <w:spacing w:after="0" w:line="248" w:lineRule="auto"/>
        <w:rPr>
          <w:sz w:val="20"/>
          <w:szCs w:val="20"/>
          <w:color w:val="auto"/>
        </w:rPr>
      </w:pPr>
      <w:r>
        <w:rPr>
          <w:rFonts w:ascii="Arial" w:cs="Arial" w:eastAsia="Arial" w:hAnsi="Arial"/>
          <w:sz w:val="13"/>
          <w:szCs w:val="13"/>
          <w:i w:val="1"/>
          <w:iCs w:val="1"/>
          <w:color w:val="E51837"/>
        </w:rPr>
        <w:t xml:space="preserve">Debt Ratio </w:t>
      </w:r>
      <w:r>
        <w:rPr>
          <w:rFonts w:ascii="Arial" w:cs="Arial" w:eastAsia="Arial" w:hAnsi="Arial"/>
          <w:sz w:val="13"/>
          <w:szCs w:val="13"/>
          <w:i w:val="1"/>
          <w:iCs w:val="1"/>
          <w:color w:val="000000"/>
        </w:rPr>
        <w:t>–</w:t>
      </w:r>
      <w:r>
        <w:rPr>
          <w:rFonts w:ascii="Arial" w:cs="Arial" w:eastAsia="Arial" w:hAnsi="Arial"/>
          <w:sz w:val="13"/>
          <w:szCs w:val="13"/>
          <w:i w:val="1"/>
          <w:iCs w:val="1"/>
          <w:color w:val="E51837"/>
        </w:rPr>
        <w:t xml:space="preserve"> </w:t>
      </w:r>
      <w:r>
        <w:rPr>
          <w:rFonts w:ascii="Arial" w:cs="Arial" w:eastAsia="Arial" w:hAnsi="Arial"/>
          <w:sz w:val="13"/>
          <w:szCs w:val="13"/>
          <w:color w:val="000000"/>
        </w:rPr>
        <w:t>total debt as a percentage of total debt plus Chevron</w:t>
      </w:r>
      <w:r>
        <w:rPr>
          <w:rFonts w:ascii="Arial" w:cs="Arial" w:eastAsia="Arial" w:hAnsi="Arial"/>
          <w:sz w:val="13"/>
          <w:szCs w:val="13"/>
          <w:i w:val="1"/>
          <w:iCs w:val="1"/>
          <w:color w:val="E51837"/>
        </w:rPr>
        <w:t xml:space="preserve"> </w:t>
      </w:r>
      <w:r>
        <w:rPr>
          <w:rFonts w:ascii="Arial" w:cs="Arial" w:eastAsia="Arial" w:hAnsi="Arial"/>
          <w:sz w:val="13"/>
          <w:szCs w:val="13"/>
          <w:color w:val="000000"/>
        </w:rPr>
        <w:t>Corporation Stockholders’ Equity, which indicates the company’s leverage. The decrease between 2011 and 2010 was due to lower debt and a higher Chevron Corporation stockholders’ equity balance. The decrease between 2010 and 2009 was due to a higher Chevron Corporation stockholders’ equity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60"/>
        <w:spacing w:after="0" w:line="258" w:lineRule="auto"/>
        <w:rPr>
          <w:sz w:val="20"/>
          <w:szCs w:val="20"/>
          <w:color w:val="auto"/>
        </w:rPr>
      </w:pPr>
      <w:r>
        <w:rPr>
          <w:rFonts w:ascii="Arial" w:cs="Arial" w:eastAsia="Arial" w:hAnsi="Arial"/>
          <w:sz w:val="12"/>
          <w:szCs w:val="12"/>
          <w:b w:val="1"/>
          <w:bCs w:val="1"/>
          <w:color w:val="0077C0"/>
        </w:rPr>
        <w:t>Guarantees, Off-Balance-Sheet Arrangements and Contractual Obligations, and Other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 Guarantee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800" w:type="dxa"/>
            <w:vAlign w:val="bottom"/>
            <w:gridSpan w:val="2"/>
          </w:tcPr>
          <w:p>
            <w:pPr>
              <w:spacing w:after="0"/>
              <w:rPr>
                <w:sz w:val="20"/>
                <w:szCs w:val="20"/>
                <w:color w:val="auto"/>
              </w:rPr>
            </w:pPr>
            <w:r>
              <w:rPr>
                <w:rFonts w:ascii="Arial" w:cs="Arial" w:eastAsia="Arial" w:hAnsi="Arial"/>
                <w:sz w:val="9"/>
                <w:szCs w:val="9"/>
                <w:i w:val="1"/>
                <w:iCs w:val="1"/>
                <w:color w:val="auto"/>
              </w:rPr>
              <w:t>Millions of dollars</w:t>
            </w: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3"/>
          </w:tcPr>
          <w:p>
            <w:pPr>
              <w:jc w:val="right"/>
              <w:spacing w:after="0"/>
              <w:rPr>
                <w:sz w:val="20"/>
                <w:szCs w:val="20"/>
                <w:color w:val="auto"/>
              </w:rPr>
            </w:pPr>
            <w:r>
              <w:rPr>
                <w:rFonts w:ascii="Arial" w:cs="Arial" w:eastAsia="Arial" w:hAnsi="Arial"/>
                <w:sz w:val="9"/>
                <w:szCs w:val="9"/>
                <w:color w:val="auto"/>
                <w:w w:val="92"/>
              </w:rPr>
              <w:t>Commitment Expiration by Period</w:t>
            </w:r>
          </w:p>
        </w:tc>
      </w:tr>
      <w:tr>
        <w:trPr>
          <w:trHeight w:val="75"/>
        </w:trPr>
        <w:tc>
          <w:tcPr>
            <w:tcW w:w="20" w:type="dxa"/>
            <w:vAlign w:val="bottom"/>
          </w:tcPr>
          <w:p>
            <w:pPr>
              <w:spacing w:after="0"/>
              <w:rPr>
                <w:sz w:val="6"/>
                <w:szCs w:val="6"/>
                <w:color w:val="auto"/>
              </w:rPr>
            </w:pPr>
          </w:p>
        </w:tc>
        <w:tc>
          <w:tcPr>
            <w:tcW w:w="1780" w:type="dxa"/>
            <w:vAlign w:val="bottom"/>
            <w:tcBorders>
              <w:top w:val="single" w:sz="8" w:color="0077C0"/>
            </w:tcBorders>
          </w:tcPr>
          <w:p>
            <w:pPr>
              <w:spacing w:after="0"/>
              <w:rPr>
                <w:sz w:val="6"/>
                <w:szCs w:val="6"/>
                <w:color w:val="auto"/>
              </w:rPr>
            </w:pPr>
          </w:p>
        </w:tc>
        <w:tc>
          <w:tcPr>
            <w:tcW w:w="1200" w:type="dxa"/>
            <w:vAlign w:val="bottom"/>
            <w:tcBorders>
              <w:top w:val="single" w:sz="8" w:color="0077C0"/>
            </w:tcBorders>
          </w:tcPr>
          <w:p>
            <w:pPr>
              <w:spacing w:after="0"/>
              <w:rPr>
                <w:sz w:val="6"/>
                <w:szCs w:val="6"/>
                <w:color w:val="auto"/>
              </w:rPr>
            </w:pPr>
          </w:p>
        </w:tc>
        <w:tc>
          <w:tcPr>
            <w:tcW w:w="28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240" w:type="dxa"/>
            <w:vAlign w:val="bottom"/>
            <w:tcBorders>
              <w:top w:val="single" w:sz="8" w:color="0077C0"/>
            </w:tcBorders>
          </w:tcPr>
          <w:p>
            <w:pPr>
              <w:spacing w:after="0"/>
              <w:rPr>
                <w:sz w:val="6"/>
                <w:szCs w:val="6"/>
                <w:color w:val="auto"/>
              </w:rPr>
            </w:pPr>
          </w:p>
        </w:tc>
        <w:tc>
          <w:tcPr>
            <w:tcW w:w="280" w:type="dxa"/>
            <w:vAlign w:val="bottom"/>
            <w:tcBorders>
              <w:top w:val="single" w:sz="8" w:color="0077C0"/>
            </w:tcBorders>
          </w:tcPr>
          <w:p>
            <w:pPr>
              <w:jc w:val="right"/>
              <w:spacing w:after="0" w:line="75" w:lineRule="exact"/>
              <w:rPr>
                <w:sz w:val="20"/>
                <w:szCs w:val="20"/>
                <w:color w:val="auto"/>
              </w:rPr>
            </w:pPr>
            <w:r>
              <w:rPr>
                <w:rFonts w:ascii="Arial" w:cs="Arial" w:eastAsia="Arial" w:hAnsi="Arial"/>
                <w:sz w:val="8"/>
                <w:szCs w:val="8"/>
                <w:color w:val="auto"/>
              </w:rPr>
              <w:t>2013–</w:t>
            </w:r>
          </w:p>
        </w:tc>
        <w:tc>
          <w:tcPr>
            <w:tcW w:w="36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jc w:val="right"/>
              <w:ind w:right="115"/>
              <w:spacing w:after="0" w:line="75" w:lineRule="exact"/>
              <w:rPr>
                <w:sz w:val="20"/>
                <w:szCs w:val="20"/>
                <w:color w:val="auto"/>
              </w:rPr>
            </w:pPr>
            <w:r>
              <w:rPr>
                <w:rFonts w:ascii="Arial" w:cs="Arial" w:eastAsia="Arial" w:hAnsi="Arial"/>
                <w:sz w:val="8"/>
                <w:szCs w:val="8"/>
                <w:color w:val="auto"/>
              </w:rPr>
              <w:t>2015–</w:t>
            </w:r>
          </w:p>
        </w:tc>
        <w:tc>
          <w:tcPr>
            <w:tcW w:w="480" w:type="dxa"/>
            <w:vAlign w:val="bottom"/>
            <w:tcBorders>
              <w:top w:val="single" w:sz="8" w:color="0077C0"/>
            </w:tcBorders>
          </w:tcPr>
          <w:p>
            <w:pPr>
              <w:jc w:val="right"/>
              <w:spacing w:after="0" w:line="75" w:lineRule="exact"/>
              <w:rPr>
                <w:sz w:val="20"/>
                <w:szCs w:val="20"/>
                <w:color w:val="auto"/>
              </w:rPr>
            </w:pPr>
            <w:r>
              <w:rPr>
                <w:rFonts w:ascii="Arial" w:cs="Arial" w:eastAsia="Arial" w:hAnsi="Arial"/>
                <w:sz w:val="8"/>
                <w:szCs w:val="8"/>
                <w:color w:val="auto"/>
              </w:rPr>
              <w:t>After</w:t>
            </w:r>
          </w:p>
        </w:tc>
      </w:tr>
      <w:tr>
        <w:trPr>
          <w:trHeight w:val="107"/>
        </w:trPr>
        <w:tc>
          <w:tcPr>
            <w:tcW w:w="20" w:type="dxa"/>
            <w:vAlign w:val="bottom"/>
          </w:tcPr>
          <w:p>
            <w:pPr>
              <w:spacing w:after="0"/>
              <w:rPr>
                <w:sz w:val="9"/>
                <w:szCs w:val="9"/>
                <w:color w:val="auto"/>
              </w:rPr>
            </w:pPr>
          </w:p>
        </w:tc>
        <w:tc>
          <w:tcPr>
            <w:tcW w:w="1780" w:type="dxa"/>
            <w:vAlign w:val="bottom"/>
            <w:tcBorders>
              <w:bottom w:val="single" w:sz="8" w:color="0077C0"/>
            </w:tcBorders>
          </w:tcPr>
          <w:p>
            <w:pPr>
              <w:spacing w:after="0"/>
              <w:rPr>
                <w:sz w:val="9"/>
                <w:szCs w:val="9"/>
                <w:color w:val="auto"/>
              </w:rPr>
            </w:pPr>
          </w:p>
        </w:tc>
        <w:tc>
          <w:tcPr>
            <w:tcW w:w="1200" w:type="dxa"/>
            <w:vAlign w:val="bottom"/>
            <w:tcBorders>
              <w:bottom w:val="single" w:sz="8" w:color="0077C0"/>
            </w:tcBorders>
          </w:tcPr>
          <w:p>
            <w:pPr>
              <w:jc w:val="right"/>
              <w:ind w:right="112"/>
              <w:spacing w:after="0"/>
              <w:rPr>
                <w:sz w:val="20"/>
                <w:szCs w:val="20"/>
                <w:color w:val="auto"/>
              </w:rPr>
            </w:pPr>
            <w:r>
              <w:rPr>
                <w:rFonts w:ascii="Arial" w:cs="Arial" w:eastAsia="Arial" w:hAnsi="Arial"/>
                <w:sz w:val="9"/>
                <w:szCs w:val="9"/>
                <w:color w:val="auto"/>
              </w:rPr>
              <w:t>Total</w:t>
            </w:r>
          </w:p>
        </w:tc>
        <w:tc>
          <w:tcPr>
            <w:tcW w:w="28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12"/>
              <w:spacing w:after="0"/>
              <w:rPr>
                <w:sz w:val="20"/>
                <w:szCs w:val="20"/>
                <w:color w:val="auto"/>
              </w:rPr>
            </w:pPr>
            <w:r>
              <w:rPr>
                <w:rFonts w:ascii="Arial" w:cs="Arial" w:eastAsia="Arial" w:hAnsi="Arial"/>
                <w:sz w:val="9"/>
                <w:szCs w:val="9"/>
                <w:color w:val="auto"/>
              </w:rPr>
              <w:t>2012</w:t>
            </w:r>
          </w:p>
        </w:tc>
        <w:tc>
          <w:tcPr>
            <w:tcW w:w="24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2014</w:t>
            </w:r>
          </w:p>
        </w:tc>
        <w:tc>
          <w:tcPr>
            <w:tcW w:w="36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15"/>
              <w:spacing w:after="0"/>
              <w:rPr>
                <w:sz w:val="20"/>
                <w:szCs w:val="20"/>
                <w:color w:val="auto"/>
              </w:rPr>
            </w:pPr>
            <w:r>
              <w:rPr>
                <w:rFonts w:ascii="Arial" w:cs="Arial" w:eastAsia="Arial" w:hAnsi="Arial"/>
                <w:sz w:val="9"/>
                <w:szCs w:val="9"/>
                <w:color w:val="auto"/>
              </w:rPr>
              <w:t>2016</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2016</w:t>
            </w:r>
          </w:p>
        </w:tc>
      </w:tr>
      <w:tr>
        <w:trPr>
          <w:trHeight w:val="92"/>
        </w:trPr>
        <w:tc>
          <w:tcPr>
            <w:tcW w:w="20" w:type="dxa"/>
            <w:vAlign w:val="bottom"/>
          </w:tcPr>
          <w:p>
            <w:pPr>
              <w:spacing w:after="0"/>
              <w:rPr>
                <w:sz w:val="8"/>
                <w:szCs w:val="8"/>
                <w:color w:val="auto"/>
              </w:rPr>
            </w:pPr>
          </w:p>
        </w:tc>
        <w:tc>
          <w:tcPr>
            <w:tcW w:w="1780" w:type="dxa"/>
            <w:vAlign w:val="bottom"/>
          </w:tcPr>
          <w:p>
            <w:pPr>
              <w:spacing w:after="0" w:line="92" w:lineRule="exact"/>
              <w:rPr>
                <w:sz w:val="20"/>
                <w:szCs w:val="20"/>
                <w:color w:val="auto"/>
              </w:rPr>
            </w:pPr>
            <w:r>
              <w:rPr>
                <w:rFonts w:ascii="Arial" w:cs="Arial" w:eastAsia="Arial" w:hAnsi="Arial"/>
                <w:sz w:val="10"/>
                <w:szCs w:val="10"/>
                <w:color w:val="auto"/>
              </w:rPr>
              <w:t>Guarantee of non-</w:t>
            </w: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106"/>
        </w:trPr>
        <w:tc>
          <w:tcPr>
            <w:tcW w:w="20" w:type="dxa"/>
            <w:vAlign w:val="bottom"/>
          </w:tcPr>
          <w:p>
            <w:pPr>
              <w:spacing w:after="0"/>
              <w:rPr>
                <w:sz w:val="9"/>
                <w:szCs w:val="9"/>
                <w:color w:val="auto"/>
              </w:rPr>
            </w:pPr>
          </w:p>
        </w:tc>
        <w:tc>
          <w:tcPr>
            <w:tcW w:w="1780" w:type="dxa"/>
            <w:vAlign w:val="bottom"/>
          </w:tcPr>
          <w:p>
            <w:pPr>
              <w:ind w:left="120"/>
              <w:spacing w:after="0" w:line="106" w:lineRule="exact"/>
              <w:rPr>
                <w:sz w:val="20"/>
                <w:szCs w:val="20"/>
                <w:color w:val="auto"/>
              </w:rPr>
            </w:pPr>
            <w:r>
              <w:rPr>
                <w:rFonts w:ascii="Arial" w:cs="Arial" w:eastAsia="Arial" w:hAnsi="Arial"/>
                <w:sz w:val="10"/>
                <w:szCs w:val="10"/>
                <w:color w:val="auto"/>
              </w:rPr>
              <w:t>consolidated affiliate or</w:t>
            </w: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7"/>
        </w:trPr>
        <w:tc>
          <w:tcPr>
            <w:tcW w:w="20" w:type="dxa"/>
            <w:vAlign w:val="bottom"/>
          </w:tcPr>
          <w:p>
            <w:pPr>
              <w:spacing w:after="0"/>
              <w:rPr>
                <w:sz w:val="11"/>
                <w:szCs w:val="11"/>
                <w:color w:val="auto"/>
              </w:rPr>
            </w:pPr>
          </w:p>
        </w:tc>
        <w:tc>
          <w:tcPr>
            <w:tcW w:w="17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joint-venture obligation</w:t>
            </w:r>
          </w:p>
        </w:tc>
        <w:tc>
          <w:tcPr>
            <w:tcW w:w="1200" w:type="dxa"/>
            <w:vAlign w:val="bottom"/>
            <w:tcBorders>
              <w:bottom w:val="single" w:sz="8" w:color="0077C0"/>
            </w:tcBorders>
          </w:tcPr>
          <w:p>
            <w:pPr>
              <w:jc w:val="right"/>
              <w:ind w:right="112"/>
              <w:spacing w:after="0"/>
              <w:rPr>
                <w:sz w:val="20"/>
                <w:szCs w:val="20"/>
                <w:color w:val="auto"/>
              </w:rPr>
            </w:pPr>
            <w:r>
              <w:rPr>
                <w:rFonts w:ascii="Arial" w:cs="Arial" w:eastAsia="Arial" w:hAnsi="Arial"/>
                <w:sz w:val="10"/>
                <w:szCs w:val="10"/>
                <w:color w:val="auto"/>
              </w:rPr>
              <w:t>$   601</w:t>
            </w:r>
          </w:p>
        </w:tc>
        <w:tc>
          <w:tcPr>
            <w:tcW w:w="2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ind w:right="112"/>
              <w:spacing w:after="0"/>
              <w:rPr>
                <w:sz w:val="20"/>
                <w:szCs w:val="20"/>
                <w:color w:val="auto"/>
              </w:rPr>
            </w:pPr>
            <w:r>
              <w:rPr>
                <w:rFonts w:ascii="Arial" w:cs="Arial" w:eastAsia="Arial" w:hAnsi="Arial"/>
                <w:sz w:val="10"/>
                <w:szCs w:val="10"/>
                <w:color w:val="auto"/>
              </w:rPr>
              <w:t>38</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77</w:t>
            </w: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jc w:val="right"/>
              <w:ind w:right="115"/>
              <w:spacing w:after="0"/>
              <w:rPr>
                <w:sz w:val="20"/>
                <w:szCs w:val="20"/>
                <w:color w:val="auto"/>
              </w:rPr>
            </w:pPr>
            <w:r>
              <w:rPr>
                <w:rFonts w:ascii="Arial" w:cs="Arial" w:eastAsia="Arial" w:hAnsi="Arial"/>
                <w:sz w:val="10"/>
                <w:szCs w:val="10"/>
                <w:color w:val="auto"/>
              </w:rPr>
              <w:t>77</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   409</w:t>
            </w:r>
          </w:p>
        </w:tc>
      </w:tr>
    </w:tbl>
    <w:p>
      <w:pPr>
        <w:spacing w:after="0" w:line="78" w:lineRule="exact"/>
        <w:rPr>
          <w:sz w:val="20"/>
          <w:szCs w:val="20"/>
          <w:color w:val="auto"/>
        </w:rPr>
      </w:pPr>
    </w:p>
    <w:p>
      <w:pPr>
        <w:ind w:firstLine="158"/>
        <w:spacing w:after="0" w:line="269" w:lineRule="auto"/>
        <w:rPr>
          <w:sz w:val="20"/>
          <w:szCs w:val="20"/>
          <w:color w:val="auto"/>
        </w:rPr>
      </w:pPr>
      <w:r>
        <w:rPr>
          <w:rFonts w:ascii="Arial" w:cs="Arial" w:eastAsia="Arial" w:hAnsi="Arial"/>
          <w:sz w:val="12"/>
          <w:szCs w:val="12"/>
          <w:color w:val="auto"/>
        </w:rPr>
        <w:t>The company’s guarantee of approximately $600 million is associated with certain payments under a terminal use agreement entered into by a company affiliate. The terminal commenced operations in third quarter 2011. Over the approximate 16-year term of the guarantee, the maximum guarantee amount will be reduced over time as certain fees are paid by the affiliate. There are numerous cross-indemnity agreements with the affiliate and the other partners to permit recovery of amounts paid under the guarantee. Chevron has recorded no liability for its obligation under this guarantee.</w:t>
      </w:r>
    </w:p>
    <w:p>
      <w:pPr>
        <w:spacing w:after="0" w:line="3" w:lineRule="exact"/>
        <w:rPr>
          <w:sz w:val="20"/>
          <w:szCs w:val="20"/>
          <w:color w:val="auto"/>
        </w:rPr>
      </w:pPr>
    </w:p>
    <w:p>
      <w:pPr>
        <w:ind w:right="140" w:firstLine="160"/>
        <w:spacing w:after="0" w:line="246" w:lineRule="auto"/>
        <w:rPr>
          <w:sz w:val="20"/>
          <w:szCs w:val="20"/>
          <w:color w:val="auto"/>
        </w:rPr>
      </w:pPr>
      <w:r>
        <w:rPr>
          <w:rFonts w:ascii="Arial" w:cs="Arial" w:eastAsia="Arial" w:hAnsi="Arial"/>
          <w:sz w:val="13"/>
          <w:szCs w:val="13"/>
          <w:i w:val="1"/>
          <w:iCs w:val="1"/>
          <w:color w:val="E51837"/>
        </w:rPr>
        <w:t xml:space="preserve">Indemnifications </w:t>
      </w:r>
      <w:r>
        <w:rPr>
          <w:rFonts w:ascii="Arial" w:cs="Arial" w:eastAsia="Arial" w:hAnsi="Arial"/>
          <w:sz w:val="13"/>
          <w:szCs w:val="13"/>
          <w:color w:val="000000"/>
        </w:rPr>
        <w:t>Information related to indemnifications is included on page FS-56 in Note 24 to the</w:t>
      </w:r>
      <w:r>
        <w:rPr>
          <w:rFonts w:ascii="Arial" w:cs="Arial" w:eastAsia="Arial" w:hAnsi="Arial"/>
          <w:sz w:val="13"/>
          <w:szCs w:val="13"/>
          <w:i w:val="1"/>
          <w:iCs w:val="1"/>
          <w:color w:val="E51837"/>
        </w:rPr>
        <w:t xml:space="preserve"> </w:t>
      </w:r>
      <w:r>
        <w:rPr>
          <w:rFonts w:ascii="Arial" w:cs="Arial" w:eastAsia="Arial" w:hAnsi="Arial"/>
          <w:sz w:val="13"/>
          <w:szCs w:val="13"/>
          <w:color w:val="000000"/>
        </w:rPr>
        <w:t>Consolidated Financial Statements under the heading “Indemnifications.”</w:t>
      </w:r>
    </w:p>
    <w:p>
      <w:pPr>
        <w:spacing w:after="0" w:line="1" w:lineRule="exact"/>
        <w:rPr>
          <w:sz w:val="20"/>
          <w:szCs w:val="20"/>
          <w:color w:val="auto"/>
        </w:rPr>
      </w:pPr>
    </w:p>
    <w:p>
      <w:pPr>
        <w:ind w:firstLine="160"/>
        <w:spacing w:after="0" w:line="249" w:lineRule="auto"/>
        <w:rPr>
          <w:sz w:val="20"/>
          <w:szCs w:val="20"/>
          <w:color w:val="auto"/>
        </w:rPr>
      </w:pPr>
      <w:r>
        <w:rPr>
          <w:rFonts w:ascii="Arial" w:cs="Arial" w:eastAsia="Arial" w:hAnsi="Arial"/>
          <w:sz w:val="13"/>
          <w:szCs w:val="13"/>
          <w:i w:val="1"/>
          <w:iCs w:val="1"/>
          <w:color w:val="E51837"/>
        </w:rPr>
        <w:t xml:space="preserve">Long-Term Unconditional Purchase Obligations and Commitments, Including Throughput and Take-or-Pay Agreements </w:t>
      </w:r>
      <w:r>
        <w:rPr>
          <w:rFonts w:ascii="Arial" w:cs="Arial" w:eastAsia="Arial" w:hAnsi="Arial"/>
          <w:sz w:val="13"/>
          <w:szCs w:val="13"/>
          <w:color w:val="000000"/>
        </w:rPr>
        <w:t>The company and its subsidiaries have certain other contingent liabilities with respect to</w:t>
      </w:r>
      <w:r>
        <w:rPr>
          <w:rFonts w:ascii="Arial" w:cs="Arial" w:eastAsia="Arial" w:hAnsi="Arial"/>
          <w:sz w:val="13"/>
          <w:szCs w:val="13"/>
          <w:i w:val="1"/>
          <w:iCs w:val="1"/>
          <w:color w:val="E51837"/>
        </w:rPr>
        <w:t xml:space="preserve"> </w:t>
      </w:r>
      <w:r>
        <w:rPr>
          <w:rFonts w:ascii="Arial" w:cs="Arial" w:eastAsia="Arial" w:hAnsi="Arial"/>
          <w:sz w:val="13"/>
          <w:szCs w:val="13"/>
          <w:color w:val="000000"/>
        </w:rPr>
        <w:t>long-term unconditional purchase obligations and commitments, including throughput and take-or-pay agreements, some of which relate to suppliers’</w:t>
      </w:r>
    </w:p>
    <w:p>
      <w:pPr>
        <w:spacing w:after="0" w:line="200" w:lineRule="exact"/>
        <w:rPr>
          <w:sz w:val="20"/>
          <w:szCs w:val="20"/>
          <w:color w:val="auto"/>
        </w:rPr>
      </w:pPr>
    </w:p>
    <w:p>
      <w:pPr>
        <w:sectPr>
          <w:pgSz w:w="11900" w:h="16838" w:orient="portrait"/>
          <w:cols w:equalWidth="0" w:num="2">
            <w:col w:w="5480" w:space="480"/>
            <w:col w:w="5480"/>
          </w:cols>
          <w:pgMar w:left="220" w:top="338" w:right="239" w:bottom="1440" w:gutter="0" w:footer="0" w:header="0"/>
        </w:sectPr>
      </w:pP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type w:val="continuous"/>
        </w:sectPr>
      </w:pPr>
    </w:p>
    <w:bookmarkStart w:id="53" w:name="page54"/>
    <w:bookmarkEnd w:id="53"/>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left="3" w:right="20"/>
        <w:spacing w:after="0" w:line="269" w:lineRule="auto"/>
        <w:rPr>
          <w:sz w:val="20"/>
          <w:szCs w:val="20"/>
          <w:color w:val="auto"/>
        </w:rPr>
      </w:pPr>
      <w:r>
        <w:rPr>
          <w:rFonts w:ascii="Arial" w:cs="Arial" w:eastAsia="Arial" w:hAnsi="Arial"/>
          <w:sz w:val="12"/>
          <w:szCs w:val="12"/>
          <w:color w:val="auto"/>
        </w:rPr>
        <w:t>financing arrangements. The agreements typically provide goods and services, such as pipeline and storage capacity, drilling rigs, utilities, and petroleum products, to be used or sold in the ordinary course of the company’s business. The aggregate approximate amounts of required payments under these various commitments are: 2012 – $6.0 billion; 2013 – $4.0 billion; 2014 – $3.9 billion; 2015 – $3.2 billion; 2016 – $1.9 billion; 2017 and after – $7.4 billion. A portion of these commitments may ultimately be shared with project partners. Total payments under the agreements were approximately $6.6 billion in 2011, $6.5 billion in 2010 and $8.1 billion in 2009.</w:t>
      </w:r>
    </w:p>
    <w:p>
      <w:pPr>
        <w:spacing w:after="0" w:line="2" w:lineRule="exact"/>
        <w:rPr>
          <w:sz w:val="20"/>
          <w:szCs w:val="20"/>
          <w:color w:val="auto"/>
        </w:rPr>
      </w:pPr>
    </w:p>
    <w:p>
      <w:pPr>
        <w:ind w:left="163"/>
        <w:spacing w:after="0"/>
        <w:rPr>
          <w:sz w:val="20"/>
          <w:szCs w:val="20"/>
          <w:color w:val="auto"/>
        </w:rPr>
      </w:pPr>
      <w:r>
        <w:rPr>
          <w:rFonts w:ascii="Arial" w:cs="Arial" w:eastAsia="Arial" w:hAnsi="Arial"/>
          <w:sz w:val="13"/>
          <w:szCs w:val="13"/>
          <w:color w:val="auto"/>
        </w:rPr>
        <w:t>The following table summarizes the company’s significant contractual obligations:</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Contractual Obligations</w:t>
      </w:r>
      <w:r>
        <w:rPr>
          <w:rFonts w:ascii="Arial" w:cs="Arial" w:eastAsia="Arial" w:hAnsi="Arial"/>
          <w:sz w:val="10"/>
          <w:szCs w:val="10"/>
          <w:i w:val="1"/>
          <w:iCs w:val="1"/>
          <w:color w:val="auto"/>
        </w:rPr>
        <w:t>1</w:t>
      </w:r>
    </w:p>
    <w:p>
      <w:pPr>
        <w:spacing w:after="0" w:line="108"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2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3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spacing w:after="0"/>
              <w:rPr>
                <w:sz w:val="9"/>
                <w:szCs w:val="9"/>
                <w:color w:val="auto"/>
              </w:rPr>
            </w:pPr>
          </w:p>
        </w:tc>
        <w:tc>
          <w:tcPr>
            <w:tcW w:w="900" w:type="dxa"/>
            <w:vAlign w:val="bottom"/>
            <w:tcBorders>
              <w:bottom w:val="single" w:sz="8" w:color="0077C0"/>
            </w:tcBorders>
            <w:gridSpan w:val="3"/>
          </w:tcPr>
          <w:p>
            <w:pPr>
              <w:jc w:val="right"/>
              <w:spacing w:after="0"/>
              <w:rPr>
                <w:sz w:val="20"/>
                <w:szCs w:val="20"/>
                <w:color w:val="auto"/>
              </w:rPr>
            </w:pPr>
            <w:r>
              <w:rPr>
                <w:rFonts w:ascii="Arial" w:cs="Arial" w:eastAsia="Arial" w:hAnsi="Arial"/>
                <w:sz w:val="9"/>
                <w:szCs w:val="9"/>
                <w:color w:val="auto"/>
                <w:w w:val="88"/>
              </w:rPr>
              <w:t>Payments Due by Period</w:t>
            </w:r>
          </w:p>
        </w:tc>
      </w:tr>
      <w:tr>
        <w:trPr>
          <w:trHeight w:val="75"/>
        </w:trPr>
        <w:tc>
          <w:tcPr>
            <w:tcW w:w="2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jc w:val="right"/>
              <w:ind w:right="111"/>
              <w:spacing w:after="0" w:line="75" w:lineRule="exact"/>
              <w:rPr>
                <w:sz w:val="20"/>
                <w:szCs w:val="20"/>
                <w:color w:val="auto"/>
              </w:rPr>
            </w:pPr>
            <w:r>
              <w:rPr>
                <w:rFonts w:ascii="Arial" w:cs="Arial" w:eastAsia="Arial" w:hAnsi="Arial"/>
                <w:sz w:val="8"/>
                <w:szCs w:val="8"/>
                <w:color w:val="auto"/>
                <w:w w:val="98"/>
              </w:rPr>
              <w:t>2013–</w:t>
            </w:r>
          </w:p>
        </w:tc>
        <w:tc>
          <w:tcPr>
            <w:tcW w:w="240" w:type="dxa"/>
            <w:vAlign w:val="bottom"/>
          </w:tcPr>
          <w:p>
            <w:pPr>
              <w:spacing w:after="0"/>
              <w:rPr>
                <w:sz w:val="6"/>
                <w:szCs w:val="6"/>
                <w:color w:val="auto"/>
              </w:rPr>
            </w:pPr>
          </w:p>
        </w:tc>
        <w:tc>
          <w:tcPr>
            <w:tcW w:w="420" w:type="dxa"/>
            <w:vAlign w:val="bottom"/>
          </w:tcPr>
          <w:p>
            <w:pPr>
              <w:jc w:val="right"/>
              <w:ind w:right="111"/>
              <w:spacing w:after="0" w:line="75" w:lineRule="exact"/>
              <w:rPr>
                <w:sz w:val="20"/>
                <w:szCs w:val="20"/>
                <w:color w:val="auto"/>
              </w:rPr>
            </w:pPr>
            <w:r>
              <w:rPr>
                <w:rFonts w:ascii="Arial" w:cs="Arial" w:eastAsia="Arial" w:hAnsi="Arial"/>
                <w:sz w:val="8"/>
                <w:szCs w:val="8"/>
                <w:color w:val="auto"/>
              </w:rPr>
              <w:t>2015–</w:t>
            </w:r>
          </w:p>
        </w:tc>
        <w:tc>
          <w:tcPr>
            <w:tcW w:w="220" w:type="dxa"/>
            <w:vAlign w:val="bottom"/>
          </w:tcPr>
          <w:p>
            <w:pPr>
              <w:spacing w:after="0"/>
              <w:rPr>
                <w:sz w:val="6"/>
                <w:szCs w:val="6"/>
                <w:color w:val="auto"/>
              </w:rPr>
            </w:pPr>
          </w:p>
        </w:tc>
        <w:tc>
          <w:tcPr>
            <w:tcW w:w="260" w:type="dxa"/>
            <w:vAlign w:val="bottom"/>
          </w:tcPr>
          <w:p>
            <w:pPr>
              <w:jc w:val="right"/>
              <w:spacing w:after="0" w:line="75" w:lineRule="exact"/>
              <w:rPr>
                <w:sz w:val="20"/>
                <w:szCs w:val="20"/>
                <w:color w:val="auto"/>
              </w:rPr>
            </w:pPr>
            <w:r>
              <w:rPr>
                <w:rFonts w:ascii="Arial" w:cs="Arial" w:eastAsia="Arial" w:hAnsi="Arial"/>
                <w:sz w:val="8"/>
                <w:szCs w:val="8"/>
                <w:color w:val="auto"/>
              </w:rPr>
              <w:t>After</w:t>
            </w:r>
          </w:p>
        </w:tc>
      </w:tr>
      <w:tr>
        <w:trPr>
          <w:trHeight w:val="107"/>
        </w:trPr>
        <w:tc>
          <w:tcPr>
            <w:tcW w:w="222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color w:val="auto"/>
              </w:rPr>
              <w:t>Total</w:t>
            </w:r>
          </w:p>
        </w:tc>
        <w:tc>
          <w:tcPr>
            <w:tcW w:w="66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color w:val="auto"/>
              </w:rPr>
              <w:t>2012</w:t>
            </w:r>
          </w:p>
        </w:tc>
        <w:tc>
          <w:tcPr>
            <w:tcW w:w="2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11"/>
              <w:spacing w:after="0"/>
              <w:rPr>
                <w:sz w:val="20"/>
                <w:szCs w:val="20"/>
                <w:color w:val="auto"/>
              </w:rPr>
            </w:pPr>
            <w:r>
              <w:rPr>
                <w:rFonts w:ascii="Arial" w:cs="Arial" w:eastAsia="Arial" w:hAnsi="Arial"/>
                <w:sz w:val="9"/>
                <w:szCs w:val="9"/>
                <w:color w:val="auto"/>
              </w:rPr>
              <w:t>2014</w:t>
            </w:r>
          </w:p>
        </w:tc>
        <w:tc>
          <w:tcPr>
            <w:tcW w:w="24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jc w:val="right"/>
              <w:ind w:right="111"/>
              <w:spacing w:after="0"/>
              <w:rPr>
                <w:sz w:val="20"/>
                <w:szCs w:val="20"/>
                <w:color w:val="auto"/>
              </w:rPr>
            </w:pPr>
            <w:r>
              <w:rPr>
                <w:rFonts w:ascii="Arial" w:cs="Arial" w:eastAsia="Arial" w:hAnsi="Arial"/>
                <w:sz w:val="9"/>
                <w:szCs w:val="9"/>
                <w:color w:val="auto"/>
              </w:rPr>
              <w:t>2016</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2016</w:t>
            </w:r>
          </w:p>
        </w:tc>
      </w:tr>
      <w:tr>
        <w:trPr>
          <w:trHeight w:val="92"/>
        </w:trPr>
        <w:tc>
          <w:tcPr>
            <w:tcW w:w="2220" w:type="dxa"/>
            <w:vAlign w:val="bottom"/>
          </w:tcPr>
          <w:p>
            <w:pPr>
              <w:spacing w:after="0" w:line="92" w:lineRule="exact"/>
              <w:rPr>
                <w:sz w:val="20"/>
                <w:szCs w:val="20"/>
                <w:color w:val="auto"/>
              </w:rPr>
            </w:pPr>
            <w:r>
              <w:rPr>
                <w:rFonts w:ascii="Arial" w:cs="Arial" w:eastAsia="Arial" w:hAnsi="Arial"/>
                <w:sz w:val="10"/>
                <w:szCs w:val="10"/>
                <w:color w:val="auto"/>
              </w:rPr>
              <w:t>On Balance Sheet:</w:t>
            </w:r>
            <w:r>
              <w:rPr>
                <w:rFonts w:ascii="Arial" w:cs="Arial" w:eastAsia="Arial" w:hAnsi="Arial"/>
                <w:sz w:val="8"/>
                <w:szCs w:val="8"/>
                <w:color w:val="auto"/>
              </w:rPr>
              <w:t>2</w:t>
            </w: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106"/>
        </w:trPr>
        <w:tc>
          <w:tcPr>
            <w:tcW w:w="2220" w:type="dxa"/>
            <w:vAlign w:val="bottom"/>
          </w:tcPr>
          <w:p>
            <w:pPr>
              <w:ind w:left="140"/>
              <w:spacing w:after="0" w:line="106" w:lineRule="exact"/>
              <w:rPr>
                <w:sz w:val="20"/>
                <w:szCs w:val="20"/>
                <w:color w:val="auto"/>
              </w:rPr>
            </w:pPr>
            <w:r>
              <w:rPr>
                <w:rFonts w:ascii="Arial" w:cs="Arial" w:eastAsia="Arial" w:hAnsi="Arial"/>
                <w:sz w:val="10"/>
                <w:szCs w:val="10"/>
                <w:color w:val="auto"/>
              </w:rPr>
              <w:t>Short-Term Debt</w:t>
            </w:r>
            <w:r>
              <w:rPr>
                <w:rFonts w:ascii="Arial" w:cs="Arial" w:eastAsia="Arial" w:hAnsi="Arial"/>
                <w:sz w:val="8"/>
                <w:szCs w:val="8"/>
                <w:color w:val="auto"/>
              </w:rPr>
              <w:t>3</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340</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   340</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2220" w:type="dxa"/>
            <w:vAlign w:val="bottom"/>
          </w:tcPr>
          <w:p>
            <w:pPr>
              <w:ind w:left="140"/>
              <w:spacing w:after="0" w:line="106" w:lineRule="exact"/>
              <w:rPr>
                <w:sz w:val="20"/>
                <w:szCs w:val="20"/>
                <w:color w:val="auto"/>
              </w:rPr>
            </w:pPr>
            <w:r>
              <w:rPr>
                <w:rFonts w:ascii="Arial" w:cs="Arial" w:eastAsia="Arial" w:hAnsi="Arial"/>
                <w:sz w:val="10"/>
                <w:szCs w:val="10"/>
                <w:color w:val="auto"/>
              </w:rPr>
              <w:t>Long-Term Debt</w:t>
            </w:r>
            <w:r>
              <w:rPr>
                <w:rFonts w:ascii="Arial" w:cs="Arial" w:eastAsia="Arial" w:hAnsi="Arial"/>
                <w:sz w:val="8"/>
                <w:szCs w:val="8"/>
                <w:color w:val="auto"/>
              </w:rPr>
              <w:t>3</w:t>
            </w:r>
          </w:p>
        </w:tc>
        <w:tc>
          <w:tcPr>
            <w:tcW w:w="3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9,684</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w w:val="87"/>
              </w:rPr>
              <w:t>7,641</w:t>
            </w:r>
          </w:p>
        </w:tc>
        <w:tc>
          <w:tcPr>
            <w:tcW w:w="240" w:type="dxa"/>
            <w:vAlign w:val="bottom"/>
          </w:tcPr>
          <w:p>
            <w:pPr>
              <w:spacing w:after="0"/>
              <w:rPr>
                <w:sz w:val="9"/>
                <w:szCs w:val="9"/>
                <w:color w:val="auto"/>
              </w:rPr>
            </w:pP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2,043</w:t>
            </w:r>
          </w:p>
        </w:tc>
      </w:tr>
      <w:tr>
        <w:trPr>
          <w:trHeight w:val="106"/>
        </w:trPr>
        <w:tc>
          <w:tcPr>
            <w:tcW w:w="2220" w:type="dxa"/>
            <w:vAlign w:val="bottom"/>
          </w:tcPr>
          <w:p>
            <w:pPr>
              <w:ind w:left="140"/>
              <w:spacing w:after="0" w:line="106" w:lineRule="exact"/>
              <w:rPr>
                <w:sz w:val="20"/>
                <w:szCs w:val="20"/>
                <w:color w:val="auto"/>
              </w:rPr>
            </w:pPr>
            <w:r>
              <w:rPr>
                <w:rFonts w:ascii="Arial" w:cs="Arial" w:eastAsia="Arial" w:hAnsi="Arial"/>
                <w:sz w:val="10"/>
                <w:szCs w:val="10"/>
                <w:color w:val="auto"/>
              </w:rPr>
              <w:t>Noncancelable Capital</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06"/>
        </w:trPr>
        <w:tc>
          <w:tcPr>
            <w:tcW w:w="2220" w:type="dxa"/>
            <w:vAlign w:val="bottom"/>
          </w:tcPr>
          <w:p>
            <w:pPr>
              <w:ind w:left="280"/>
              <w:spacing w:after="0" w:line="106" w:lineRule="exact"/>
              <w:rPr>
                <w:sz w:val="20"/>
                <w:szCs w:val="20"/>
                <w:color w:val="auto"/>
              </w:rPr>
            </w:pPr>
            <w:r>
              <w:rPr>
                <w:rFonts w:ascii="Arial" w:cs="Arial" w:eastAsia="Arial" w:hAnsi="Arial"/>
                <w:sz w:val="10"/>
                <w:szCs w:val="10"/>
                <w:color w:val="auto"/>
              </w:rPr>
              <w:t>Lease Obligations</w:t>
            </w:r>
          </w:p>
        </w:tc>
        <w:tc>
          <w:tcPr>
            <w:tcW w:w="3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251</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70</w:t>
            </w:r>
          </w:p>
        </w:tc>
        <w:tc>
          <w:tcPr>
            <w:tcW w:w="240" w:type="dxa"/>
            <w:vAlign w:val="bottom"/>
          </w:tcPr>
          <w:p>
            <w:pPr>
              <w:spacing w:after="0"/>
              <w:rPr>
                <w:sz w:val="9"/>
                <w:szCs w:val="9"/>
                <w:color w:val="auto"/>
              </w:rPr>
            </w:pP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79</w:t>
            </w:r>
          </w:p>
        </w:tc>
        <w:tc>
          <w:tcPr>
            <w:tcW w:w="240" w:type="dxa"/>
            <w:vAlign w:val="bottom"/>
          </w:tcPr>
          <w:p>
            <w:pPr>
              <w:spacing w:after="0"/>
              <w:rPr>
                <w:sz w:val="9"/>
                <w:szCs w:val="9"/>
                <w:color w:val="auto"/>
              </w:rPr>
            </w:pP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34</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68</w:t>
            </w:r>
          </w:p>
        </w:tc>
      </w:tr>
      <w:tr>
        <w:trPr>
          <w:trHeight w:val="106"/>
        </w:trPr>
        <w:tc>
          <w:tcPr>
            <w:tcW w:w="2220" w:type="dxa"/>
            <w:vAlign w:val="bottom"/>
          </w:tcPr>
          <w:p>
            <w:pPr>
              <w:spacing w:after="0" w:line="106" w:lineRule="exact"/>
              <w:rPr>
                <w:sz w:val="20"/>
                <w:szCs w:val="20"/>
                <w:color w:val="auto"/>
              </w:rPr>
            </w:pPr>
            <w:r>
              <w:rPr>
                <w:rFonts w:ascii="Arial" w:cs="Arial" w:eastAsia="Arial" w:hAnsi="Arial"/>
                <w:sz w:val="10"/>
                <w:szCs w:val="10"/>
                <w:color w:val="auto"/>
              </w:rPr>
              <w:t>Interest</w:t>
            </w:r>
          </w:p>
        </w:tc>
        <w:tc>
          <w:tcPr>
            <w:tcW w:w="3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1,764</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223</w:t>
            </w:r>
          </w:p>
        </w:tc>
        <w:tc>
          <w:tcPr>
            <w:tcW w:w="240" w:type="dxa"/>
            <w:vAlign w:val="bottom"/>
          </w:tcPr>
          <w:p>
            <w:pPr>
              <w:spacing w:after="0"/>
              <w:rPr>
                <w:sz w:val="9"/>
                <w:szCs w:val="9"/>
                <w:color w:val="auto"/>
              </w:rPr>
            </w:pP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366</w:t>
            </w:r>
          </w:p>
        </w:tc>
        <w:tc>
          <w:tcPr>
            <w:tcW w:w="240" w:type="dxa"/>
            <w:vAlign w:val="bottom"/>
          </w:tcPr>
          <w:p>
            <w:pPr>
              <w:spacing w:after="0"/>
              <w:rPr>
                <w:sz w:val="9"/>
                <w:szCs w:val="9"/>
                <w:color w:val="auto"/>
              </w:rPr>
            </w:pP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264</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911</w:t>
            </w:r>
          </w:p>
        </w:tc>
      </w:tr>
      <w:tr>
        <w:trPr>
          <w:trHeight w:val="106"/>
        </w:trPr>
        <w:tc>
          <w:tcPr>
            <w:tcW w:w="2220" w:type="dxa"/>
            <w:vAlign w:val="bottom"/>
          </w:tcPr>
          <w:p>
            <w:pPr>
              <w:spacing w:after="0" w:line="106" w:lineRule="exact"/>
              <w:rPr>
                <w:sz w:val="20"/>
                <w:szCs w:val="20"/>
                <w:color w:val="auto"/>
              </w:rPr>
            </w:pPr>
            <w:r>
              <w:rPr>
                <w:rFonts w:ascii="Arial" w:cs="Arial" w:eastAsia="Arial" w:hAnsi="Arial"/>
                <w:sz w:val="10"/>
                <w:szCs w:val="10"/>
                <w:color w:val="auto"/>
              </w:rPr>
              <w:t>Off Balance Sheet:</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06"/>
        </w:trPr>
        <w:tc>
          <w:tcPr>
            <w:tcW w:w="2220" w:type="dxa"/>
            <w:vAlign w:val="bottom"/>
          </w:tcPr>
          <w:p>
            <w:pPr>
              <w:ind w:left="140"/>
              <w:spacing w:after="0" w:line="106" w:lineRule="exact"/>
              <w:rPr>
                <w:sz w:val="20"/>
                <w:szCs w:val="20"/>
                <w:color w:val="auto"/>
              </w:rPr>
            </w:pPr>
            <w:r>
              <w:rPr>
                <w:rFonts w:ascii="Arial" w:cs="Arial" w:eastAsia="Arial" w:hAnsi="Arial"/>
                <w:sz w:val="10"/>
                <w:szCs w:val="10"/>
                <w:color w:val="auto"/>
              </w:rPr>
              <w:t>Noncancelable Operating Lease Obligations</w:t>
            </w:r>
          </w:p>
        </w:tc>
        <w:tc>
          <w:tcPr>
            <w:tcW w:w="3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3,509</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693</w:t>
            </w:r>
          </w:p>
        </w:tc>
        <w:tc>
          <w:tcPr>
            <w:tcW w:w="240" w:type="dxa"/>
            <w:vAlign w:val="bottom"/>
          </w:tcPr>
          <w:p>
            <w:pPr>
              <w:spacing w:after="0"/>
              <w:rPr>
                <w:sz w:val="9"/>
                <w:szCs w:val="9"/>
                <w:color w:val="auto"/>
              </w:rPr>
            </w:pP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w w:val="87"/>
              </w:rPr>
              <w:t>1,155</w:t>
            </w:r>
          </w:p>
        </w:tc>
        <w:tc>
          <w:tcPr>
            <w:tcW w:w="240" w:type="dxa"/>
            <w:vAlign w:val="bottom"/>
          </w:tcPr>
          <w:p>
            <w:pPr>
              <w:spacing w:after="0"/>
              <w:rPr>
                <w:sz w:val="9"/>
                <w:szCs w:val="9"/>
                <w:color w:val="auto"/>
              </w:rPr>
            </w:pP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868</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793</w:t>
            </w:r>
          </w:p>
        </w:tc>
      </w:tr>
      <w:tr>
        <w:trPr>
          <w:trHeight w:val="106"/>
        </w:trPr>
        <w:tc>
          <w:tcPr>
            <w:tcW w:w="2220" w:type="dxa"/>
            <w:vAlign w:val="bottom"/>
          </w:tcPr>
          <w:p>
            <w:pPr>
              <w:ind w:left="140"/>
              <w:spacing w:after="0" w:line="106" w:lineRule="exact"/>
              <w:rPr>
                <w:sz w:val="20"/>
                <w:szCs w:val="20"/>
                <w:color w:val="auto"/>
              </w:rPr>
            </w:pPr>
            <w:r>
              <w:rPr>
                <w:rFonts w:ascii="Arial" w:cs="Arial" w:eastAsia="Arial" w:hAnsi="Arial"/>
                <w:sz w:val="10"/>
                <w:szCs w:val="10"/>
                <w:color w:val="auto"/>
              </w:rPr>
              <w:t>Throughput and</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06"/>
        </w:trPr>
        <w:tc>
          <w:tcPr>
            <w:tcW w:w="2220" w:type="dxa"/>
            <w:vAlign w:val="bottom"/>
          </w:tcPr>
          <w:p>
            <w:pPr>
              <w:ind w:left="280"/>
              <w:spacing w:after="0" w:line="106" w:lineRule="exact"/>
              <w:rPr>
                <w:sz w:val="20"/>
                <w:szCs w:val="20"/>
                <w:color w:val="auto"/>
              </w:rPr>
            </w:pPr>
            <w:r>
              <w:rPr>
                <w:rFonts w:ascii="Arial" w:cs="Arial" w:eastAsia="Arial" w:hAnsi="Arial"/>
                <w:sz w:val="10"/>
                <w:szCs w:val="10"/>
                <w:color w:val="auto"/>
              </w:rPr>
              <w:t>Take-or-Pay Agreements</w:t>
            </w:r>
            <w:r>
              <w:rPr>
                <w:rFonts w:ascii="Arial" w:cs="Arial" w:eastAsia="Arial" w:hAnsi="Arial"/>
                <w:sz w:val="8"/>
                <w:szCs w:val="8"/>
                <w:color w:val="auto"/>
              </w:rPr>
              <w:t>4</w:t>
            </w:r>
          </w:p>
        </w:tc>
        <w:tc>
          <w:tcPr>
            <w:tcW w:w="3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w w:val="91"/>
              </w:rPr>
              <w:t>21,664</w:t>
            </w:r>
          </w:p>
        </w:tc>
        <w:tc>
          <w:tcPr>
            <w:tcW w:w="6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4,912</w:t>
            </w:r>
          </w:p>
        </w:tc>
        <w:tc>
          <w:tcPr>
            <w:tcW w:w="240" w:type="dxa"/>
            <w:vAlign w:val="bottom"/>
          </w:tcPr>
          <w:p>
            <w:pPr>
              <w:spacing w:after="0"/>
              <w:rPr>
                <w:sz w:val="9"/>
                <w:szCs w:val="9"/>
                <w:color w:val="auto"/>
              </w:rPr>
            </w:pPr>
          </w:p>
        </w:tc>
        <w:tc>
          <w:tcPr>
            <w:tcW w:w="400" w:type="dxa"/>
            <w:vAlign w:val="bottom"/>
          </w:tcPr>
          <w:p>
            <w:pPr>
              <w:jc w:val="right"/>
              <w:ind w:right="111"/>
              <w:spacing w:after="0" w:line="106" w:lineRule="exact"/>
              <w:rPr>
                <w:sz w:val="20"/>
                <w:szCs w:val="20"/>
                <w:color w:val="auto"/>
              </w:rPr>
            </w:pPr>
            <w:r>
              <w:rPr>
                <w:rFonts w:ascii="Arial" w:cs="Arial" w:eastAsia="Arial" w:hAnsi="Arial"/>
                <w:sz w:val="10"/>
                <w:szCs w:val="10"/>
                <w:color w:val="auto"/>
                <w:w w:val="87"/>
              </w:rPr>
              <w:t>5,382</w:t>
            </w:r>
          </w:p>
        </w:tc>
        <w:tc>
          <w:tcPr>
            <w:tcW w:w="240" w:type="dxa"/>
            <w:vAlign w:val="bottom"/>
          </w:tcPr>
          <w:p>
            <w:pPr>
              <w:spacing w:after="0"/>
              <w:rPr>
                <w:sz w:val="9"/>
                <w:szCs w:val="9"/>
                <w:color w:val="auto"/>
              </w:rPr>
            </w:pPr>
          </w:p>
        </w:tc>
        <w:tc>
          <w:tcPr>
            <w:tcW w:w="420" w:type="dxa"/>
            <w:vAlign w:val="bottom"/>
          </w:tcPr>
          <w:p>
            <w:pPr>
              <w:jc w:val="right"/>
              <w:ind w:right="111"/>
              <w:spacing w:after="0" w:line="106" w:lineRule="exact"/>
              <w:rPr>
                <w:sz w:val="20"/>
                <w:szCs w:val="20"/>
                <w:color w:val="auto"/>
              </w:rPr>
            </w:pPr>
            <w:r>
              <w:rPr>
                <w:rFonts w:ascii="Arial" w:cs="Arial" w:eastAsia="Arial" w:hAnsi="Arial"/>
                <w:sz w:val="10"/>
                <w:szCs w:val="10"/>
                <w:color w:val="auto"/>
                <w:w w:val="95"/>
              </w:rPr>
              <w:t>4,218</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7,152</w:t>
            </w:r>
          </w:p>
        </w:tc>
      </w:tr>
      <w:tr>
        <w:trPr>
          <w:trHeight w:val="127"/>
        </w:trPr>
        <w:tc>
          <w:tcPr>
            <w:tcW w:w="22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Other Unconditional Purchase Obligations</w:t>
            </w:r>
            <w:r>
              <w:rPr>
                <w:rFonts w:ascii="Arial" w:cs="Arial" w:eastAsia="Arial" w:hAnsi="Arial"/>
                <w:sz w:val="8"/>
                <w:szCs w:val="8"/>
                <w:color w:val="auto"/>
              </w:rPr>
              <w:t>4</w:t>
            </w:r>
          </w:p>
        </w:tc>
        <w:tc>
          <w:tcPr>
            <w:tcW w:w="340" w:type="dxa"/>
            <w:vAlign w:val="bottom"/>
            <w:tcBorders>
              <w:bottom w:val="single" w:sz="8" w:color="0077C0"/>
            </w:tcBorders>
          </w:tcPr>
          <w:p>
            <w:pPr>
              <w:spacing w:after="0"/>
              <w:rPr>
                <w:sz w:val="11"/>
                <w:szCs w:val="11"/>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4,759</w:t>
            </w:r>
          </w:p>
        </w:tc>
        <w:tc>
          <w:tcPr>
            <w:tcW w:w="6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1,102</w:t>
            </w:r>
          </w:p>
        </w:tc>
        <w:tc>
          <w:tcPr>
            <w:tcW w:w="240" w:type="dxa"/>
            <w:vAlign w:val="bottom"/>
            <w:tcBorders>
              <w:bottom w:val="single" w:sz="8" w:color="0077C0"/>
            </w:tcBorders>
          </w:tcPr>
          <w:p>
            <w:pPr>
              <w:spacing w:after="0"/>
              <w:rPr>
                <w:sz w:val="11"/>
                <w:szCs w:val="11"/>
                <w:color w:val="auto"/>
              </w:rPr>
            </w:pPr>
          </w:p>
        </w:tc>
        <w:tc>
          <w:tcPr>
            <w:tcW w:w="40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w w:val="87"/>
              </w:rPr>
              <w:t>2,524</w:t>
            </w:r>
          </w:p>
        </w:tc>
        <w:tc>
          <w:tcPr>
            <w:tcW w:w="240" w:type="dxa"/>
            <w:vAlign w:val="bottom"/>
            <w:tcBorders>
              <w:bottom w:val="single" w:sz="8" w:color="0077C0"/>
            </w:tcBorders>
          </w:tcPr>
          <w:p>
            <w:pPr>
              <w:spacing w:after="0"/>
              <w:rPr>
                <w:sz w:val="11"/>
                <w:szCs w:val="11"/>
                <w:color w:val="auto"/>
              </w:rPr>
            </w:pPr>
          </w:p>
        </w:tc>
        <w:tc>
          <w:tcPr>
            <w:tcW w:w="42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906</w:t>
            </w:r>
          </w:p>
        </w:tc>
        <w:tc>
          <w:tcPr>
            <w:tcW w:w="22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227</w:t>
            </w:r>
          </w:p>
        </w:tc>
      </w:tr>
    </w:tbl>
    <w:p>
      <w:pPr>
        <w:spacing w:after="0" w:line="37" w:lineRule="exact"/>
        <w:rPr>
          <w:sz w:val="20"/>
          <w:szCs w:val="20"/>
          <w:color w:val="auto"/>
        </w:rPr>
      </w:pPr>
    </w:p>
    <w:p>
      <w:pPr>
        <w:ind w:left="103" w:right="60" w:hanging="103"/>
        <w:spacing w:after="0" w:line="243" w:lineRule="auto"/>
        <w:tabs>
          <w:tab w:leader="none" w:pos="103" w:val="left"/>
        </w:tabs>
        <w:numPr>
          <w:ilvl w:val="0"/>
          <w:numId w:val="30"/>
        </w:numPr>
        <w:rPr>
          <w:rFonts w:ascii="Arial" w:cs="Arial" w:eastAsia="Arial" w:hAnsi="Arial"/>
          <w:sz w:val="8"/>
          <w:szCs w:val="8"/>
          <w:color w:val="auto"/>
        </w:rPr>
      </w:pPr>
      <w:r>
        <w:rPr>
          <w:rFonts w:ascii="Arial" w:cs="Arial" w:eastAsia="Arial" w:hAnsi="Arial"/>
          <w:sz w:val="9"/>
          <w:szCs w:val="9"/>
          <w:color w:val="auto"/>
        </w:rPr>
        <w:t>Excludes contributions for pensions and other postretirement benefit plans. Information on employee benefit plans is contained in Note 21 beginning on page FS-49.</w:t>
      </w:r>
    </w:p>
    <w:p>
      <w:pPr>
        <w:ind w:left="103" w:right="140" w:hanging="103"/>
        <w:spacing w:after="0" w:line="259" w:lineRule="auto"/>
        <w:tabs>
          <w:tab w:leader="none" w:pos="103" w:val="left"/>
        </w:tabs>
        <w:numPr>
          <w:ilvl w:val="0"/>
          <w:numId w:val="31"/>
        </w:numPr>
        <w:rPr>
          <w:rFonts w:ascii="Arial" w:cs="Arial" w:eastAsia="Arial" w:hAnsi="Arial"/>
          <w:sz w:val="7"/>
          <w:szCs w:val="7"/>
          <w:color w:val="auto"/>
        </w:rPr>
      </w:pPr>
      <w:r>
        <w:rPr>
          <w:rFonts w:ascii="Arial" w:cs="Arial" w:eastAsia="Arial" w:hAnsi="Arial"/>
          <w:sz w:val="8"/>
          <w:szCs w:val="8"/>
          <w:color w:val="auto"/>
        </w:rPr>
        <w:t>Does not include amounts related to the company’s income tax liabilities associated with uncertain tax positions. The company is unable to make reasonable estimates for the periods in which these liabilities may become payable. The company does not expect settlement of such liabilities will have a material effect on its results of operations, consolidated financial position or liquidity in any single period.</w:t>
      </w:r>
    </w:p>
    <w:p>
      <w:pPr>
        <w:ind w:left="103" w:right="280" w:hanging="103"/>
        <w:spacing w:after="0" w:line="234" w:lineRule="auto"/>
        <w:tabs>
          <w:tab w:leader="none" w:pos="103" w:val="left"/>
        </w:tabs>
        <w:numPr>
          <w:ilvl w:val="0"/>
          <w:numId w:val="32"/>
        </w:numPr>
        <w:rPr>
          <w:rFonts w:ascii="Arial" w:cs="Arial" w:eastAsia="Arial" w:hAnsi="Arial"/>
          <w:sz w:val="8"/>
          <w:szCs w:val="8"/>
          <w:color w:val="auto"/>
        </w:rPr>
      </w:pPr>
      <w:r>
        <w:rPr>
          <w:rFonts w:ascii="Arial" w:cs="Arial" w:eastAsia="Arial" w:hAnsi="Arial"/>
          <w:sz w:val="9"/>
          <w:szCs w:val="9"/>
          <w:color w:val="auto"/>
        </w:rPr>
        <w:t>$5.6 billion of short-term debt that the company expects to refinance is included in long- term debt. The repayment schedule above reflects the projected repayment of the entire amounts in the 2013–2014 period.</w:t>
      </w:r>
    </w:p>
    <w:p>
      <w:pPr>
        <w:jc w:val="both"/>
        <w:ind w:left="103" w:right="100" w:hanging="103"/>
        <w:spacing w:after="0" w:line="230" w:lineRule="auto"/>
        <w:tabs>
          <w:tab w:leader="none" w:pos="103" w:val="left"/>
        </w:tabs>
        <w:numPr>
          <w:ilvl w:val="0"/>
          <w:numId w:val="33"/>
        </w:numPr>
        <w:rPr>
          <w:rFonts w:ascii="Arial" w:cs="Arial" w:eastAsia="Arial" w:hAnsi="Arial"/>
          <w:sz w:val="8"/>
          <w:szCs w:val="8"/>
          <w:color w:val="auto"/>
        </w:rPr>
      </w:pPr>
      <w:r>
        <w:rPr>
          <w:rFonts w:ascii="Arial" w:cs="Arial" w:eastAsia="Arial" w:hAnsi="Arial"/>
          <w:sz w:val="9"/>
          <w:szCs w:val="9"/>
          <w:color w:val="auto"/>
        </w:rPr>
        <w:t>Does not include commodity purchase obligations that are not fixed or determinable. These obligations are generally monetized in a relatively short period of time through sales transactions or similar agreements with third parties. Examples include obligations to purchase LNG, regasified natural gas and refinery products at indexed prices.</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0077C0"/>
        </w:rPr>
        <w:t>Financial and Derivative Instruments</w:t>
      </w:r>
    </w:p>
    <w:p>
      <w:pPr>
        <w:spacing w:after="0" w:line="10" w:lineRule="exact"/>
        <w:rPr>
          <w:sz w:val="20"/>
          <w:szCs w:val="20"/>
          <w:color w:val="auto"/>
        </w:rPr>
      </w:pPr>
    </w:p>
    <w:p>
      <w:pPr>
        <w:ind w:left="3"/>
        <w:spacing w:after="0" w:line="266" w:lineRule="auto"/>
        <w:rPr>
          <w:sz w:val="20"/>
          <w:szCs w:val="20"/>
          <w:color w:val="auto"/>
        </w:rPr>
      </w:pPr>
      <w:r>
        <w:rPr>
          <w:rFonts w:ascii="Arial" w:cs="Arial" w:eastAsia="Arial" w:hAnsi="Arial"/>
          <w:sz w:val="12"/>
          <w:szCs w:val="12"/>
          <w:color w:val="auto"/>
        </w:rPr>
        <w:t>The market risk associated with the company’s portfolio of financial and derivative instruments is discussed below. The estimates of financial exposure to market risk do not represent the company’s projection of future market changes. The actual impact of future market changes could differ materially due to factors discussed elsewhere in this report, including those set forth under the heading “Risk Factors” in Part I, Item 1A, of the company’s 2011 Annual Report on Form 10-K.</w:t>
      </w:r>
    </w:p>
    <w:p>
      <w:pPr>
        <w:spacing w:after="0" w:line="2" w:lineRule="exact"/>
        <w:rPr>
          <w:sz w:val="20"/>
          <w:szCs w:val="20"/>
          <w:color w:val="auto"/>
        </w:rPr>
      </w:pPr>
    </w:p>
    <w:p>
      <w:pPr>
        <w:ind w:left="3" w:right="80" w:firstLine="160"/>
        <w:spacing w:after="0" w:line="291" w:lineRule="auto"/>
        <w:rPr>
          <w:sz w:val="20"/>
          <w:szCs w:val="20"/>
          <w:color w:val="auto"/>
        </w:rPr>
      </w:pPr>
      <w:r>
        <w:rPr>
          <w:rFonts w:ascii="Arial" w:cs="Arial" w:eastAsia="Arial" w:hAnsi="Arial"/>
          <w:sz w:val="11"/>
          <w:szCs w:val="11"/>
          <w:i w:val="1"/>
          <w:iCs w:val="1"/>
          <w:color w:val="E51837"/>
        </w:rPr>
        <w:t xml:space="preserve">Derivative Commodity Instruments </w:t>
      </w:r>
      <w:r>
        <w:rPr>
          <w:rFonts w:ascii="Arial" w:cs="Arial" w:eastAsia="Arial" w:hAnsi="Arial"/>
          <w:sz w:val="11"/>
          <w:szCs w:val="11"/>
          <w:color w:val="000000"/>
        </w:rPr>
        <w:t>Chevron is exposed to market risks related to the price volatility of</w:t>
      </w:r>
      <w:r>
        <w:rPr>
          <w:rFonts w:ascii="Arial" w:cs="Arial" w:eastAsia="Arial" w:hAnsi="Arial"/>
          <w:sz w:val="11"/>
          <w:szCs w:val="11"/>
          <w:i w:val="1"/>
          <w:iCs w:val="1"/>
          <w:color w:val="E51837"/>
        </w:rPr>
        <w:t xml:space="preserve"> </w:t>
      </w:r>
      <w:r>
        <w:rPr>
          <w:rFonts w:ascii="Arial" w:cs="Arial" w:eastAsia="Arial" w:hAnsi="Arial"/>
          <w:sz w:val="11"/>
          <w:szCs w:val="11"/>
          <w:color w:val="000000"/>
        </w:rPr>
        <w:t>crude oil, refined products, natural gas, natural gas liquids, liquefied natural gas and refinery feedstocks.</w:t>
      </w:r>
    </w:p>
    <w:p>
      <w:pPr>
        <w:spacing w:after="0" w:line="1" w:lineRule="exact"/>
        <w:rPr>
          <w:sz w:val="20"/>
          <w:szCs w:val="20"/>
          <w:color w:val="auto"/>
        </w:rPr>
      </w:pPr>
    </w:p>
    <w:p>
      <w:pPr>
        <w:ind w:left="3" w:right="260" w:firstLine="158"/>
        <w:spacing w:after="0" w:line="253" w:lineRule="auto"/>
        <w:rPr>
          <w:sz w:val="20"/>
          <w:szCs w:val="20"/>
          <w:color w:val="auto"/>
        </w:rPr>
      </w:pPr>
      <w:r>
        <w:rPr>
          <w:rFonts w:ascii="Arial" w:cs="Arial" w:eastAsia="Arial" w:hAnsi="Arial"/>
          <w:sz w:val="13"/>
          <w:szCs w:val="13"/>
          <w:color w:val="auto"/>
        </w:rPr>
        <w:t>The company uses derivative commodity instruments to manage these exposures on a portion of its activity, including firm commitments and anticipated transactions for the pur-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160"/>
        <w:spacing w:after="0" w:line="250" w:lineRule="auto"/>
        <w:rPr>
          <w:sz w:val="20"/>
          <w:szCs w:val="20"/>
          <w:color w:val="auto"/>
        </w:rPr>
      </w:pPr>
      <w:r>
        <w:rPr>
          <w:rFonts w:ascii="Arial" w:cs="Arial" w:eastAsia="Arial" w:hAnsi="Arial"/>
          <w:sz w:val="13"/>
          <w:szCs w:val="13"/>
          <w:color w:val="auto"/>
        </w:rPr>
        <w:t>chase, sale and storage of crude oil, refined products, natural gas, natural gas liquids and feedstock for company refineries. The company also uses derivative commodity instruments for limited trading purposes. The results of these activities were not material to the company’s financial position, results of operations or cash flows in 2011.</w:t>
      </w:r>
    </w:p>
    <w:p>
      <w:pPr>
        <w:spacing w:after="0" w:line="1" w:lineRule="exact"/>
        <w:rPr>
          <w:sz w:val="20"/>
          <w:szCs w:val="20"/>
          <w:color w:val="auto"/>
        </w:rPr>
      </w:pPr>
    </w:p>
    <w:p>
      <w:pPr>
        <w:ind w:right="140" w:firstLine="158"/>
        <w:spacing w:after="0" w:line="267" w:lineRule="auto"/>
        <w:rPr>
          <w:sz w:val="20"/>
          <w:szCs w:val="20"/>
          <w:color w:val="auto"/>
        </w:rPr>
      </w:pPr>
      <w:r>
        <w:rPr>
          <w:rFonts w:ascii="Arial" w:cs="Arial" w:eastAsia="Arial" w:hAnsi="Arial"/>
          <w:sz w:val="12"/>
          <w:szCs w:val="12"/>
          <w:color w:val="auto"/>
        </w:rPr>
        <w:t>The company’s market exposure positions are monitored and managed on a daily basis by an internal Risk Control group in accordance with the company’s risk management policies, which have been approved by the Audit Committee of the company’s Board of Directors.</w:t>
      </w:r>
    </w:p>
    <w:p>
      <w:pPr>
        <w:spacing w:after="0" w:line="1" w:lineRule="exact"/>
        <w:rPr>
          <w:sz w:val="20"/>
          <w:szCs w:val="20"/>
          <w:color w:val="auto"/>
        </w:rPr>
      </w:pPr>
    </w:p>
    <w:p>
      <w:pPr>
        <w:ind w:firstLine="158"/>
        <w:spacing w:after="0" w:line="291" w:lineRule="auto"/>
        <w:rPr>
          <w:sz w:val="20"/>
          <w:szCs w:val="20"/>
          <w:color w:val="auto"/>
        </w:rPr>
      </w:pPr>
      <w:r>
        <w:rPr>
          <w:rFonts w:ascii="Arial" w:cs="Arial" w:eastAsia="Arial" w:hAnsi="Arial"/>
          <w:sz w:val="11"/>
          <w:szCs w:val="11"/>
          <w:color w:val="auto"/>
        </w:rPr>
        <w:t>The derivative commodity instruments used in the company’s risk management and trading activities consist mainly of futures, options and swap contracts traded on the New York Mercantile Exchange and on electronic platforms of the Inter-Continental Exchange and Chicago Mercantile Exchange. In addition, crude oil, natural gas and refined product swap contracts and option contracts are entered into principally with major financial institutions and other oil and gas companies in the “over-the-counter” markets.</w:t>
      </w:r>
    </w:p>
    <w:p>
      <w:pPr>
        <w:spacing w:after="0" w:line="2" w:lineRule="exact"/>
        <w:rPr>
          <w:sz w:val="20"/>
          <w:szCs w:val="20"/>
          <w:color w:val="auto"/>
        </w:rPr>
      </w:pPr>
    </w:p>
    <w:p>
      <w:pPr>
        <w:ind w:right="80" w:firstLine="160"/>
        <w:spacing w:after="0" w:line="267" w:lineRule="auto"/>
        <w:rPr>
          <w:sz w:val="20"/>
          <w:szCs w:val="20"/>
          <w:color w:val="auto"/>
        </w:rPr>
      </w:pPr>
      <w:r>
        <w:rPr>
          <w:rFonts w:ascii="Arial" w:cs="Arial" w:eastAsia="Arial" w:hAnsi="Arial"/>
          <w:sz w:val="12"/>
          <w:szCs w:val="12"/>
          <w:color w:val="auto"/>
        </w:rPr>
        <w:t>Derivatives beyond those designated as normal purchase and normal sale contracts are recorded at fair value on the Consolidated Balance Sheet in accordance with accounting standards for derivatives (ASC 815), with resulting gains and losses reflected in income. Fair values are derived principally from published market quotes and other independent third-party quotes. The change in fair value of Chevron’s derivative commodity instruments in 2011 was a quarterly average increase of $22 million in total assets and a quarterly average decrease of $17 million in total liabilities.</w:t>
      </w:r>
    </w:p>
    <w:p>
      <w:pPr>
        <w:spacing w:after="0" w:line="1" w:lineRule="exact"/>
        <w:rPr>
          <w:sz w:val="20"/>
          <w:szCs w:val="20"/>
          <w:color w:val="auto"/>
        </w:rPr>
      </w:pPr>
    </w:p>
    <w:p>
      <w:pPr>
        <w:ind w:right="20" w:firstLine="158"/>
        <w:spacing w:after="0" w:line="267" w:lineRule="auto"/>
        <w:rPr>
          <w:sz w:val="20"/>
          <w:szCs w:val="20"/>
          <w:color w:val="auto"/>
        </w:rPr>
      </w:pPr>
      <w:r>
        <w:rPr>
          <w:rFonts w:ascii="Arial" w:cs="Arial" w:eastAsia="Arial" w:hAnsi="Arial"/>
          <w:sz w:val="12"/>
          <w:szCs w:val="12"/>
          <w:color w:val="auto"/>
        </w:rPr>
        <w:t>The company uses a Value-at-Risk (VaR) model to estimate the potential loss in fair value on a single day from the effect of adverse changes in market conditions on derivative commodity instruments held or issued. VaR is the maximum projected loss not to be exceeded within a given probability or confidence level over a given period of time. The company’s VaR model uses the Monte Carlo simulation method that involves generating hypothetical scenarios from the specified probability distributions and constructing a full distribution of a portfolio’s potential values.</w:t>
      </w:r>
    </w:p>
    <w:p>
      <w:pPr>
        <w:spacing w:after="0" w:line="1" w:lineRule="exact"/>
        <w:rPr>
          <w:sz w:val="20"/>
          <w:szCs w:val="20"/>
          <w:color w:val="auto"/>
        </w:rPr>
      </w:pPr>
    </w:p>
    <w:p>
      <w:pPr>
        <w:ind w:right="40" w:firstLine="158"/>
        <w:spacing w:after="0" w:line="291" w:lineRule="auto"/>
        <w:rPr>
          <w:sz w:val="20"/>
          <w:szCs w:val="20"/>
          <w:color w:val="auto"/>
        </w:rPr>
      </w:pPr>
      <w:r>
        <w:rPr>
          <w:rFonts w:ascii="Arial" w:cs="Arial" w:eastAsia="Arial" w:hAnsi="Arial"/>
          <w:sz w:val="11"/>
          <w:szCs w:val="11"/>
          <w:color w:val="auto"/>
        </w:rPr>
        <w:t>The VaR model utilizes an exponentially weighted moving average for computing historical volatilities and correlations, a 95 percent confidence level, and a one-day holding period. That is, the company’s</w:t>
      </w:r>
    </w:p>
    <w:p>
      <w:pPr>
        <w:spacing w:after="0" w:line="1" w:lineRule="exact"/>
        <w:rPr>
          <w:sz w:val="20"/>
          <w:szCs w:val="20"/>
          <w:color w:val="auto"/>
        </w:rPr>
      </w:pPr>
    </w:p>
    <w:p>
      <w:pPr>
        <w:ind w:right="80"/>
        <w:spacing w:after="0" w:line="291" w:lineRule="auto"/>
        <w:rPr>
          <w:sz w:val="20"/>
          <w:szCs w:val="20"/>
          <w:color w:val="auto"/>
        </w:rPr>
      </w:pPr>
      <w:r>
        <w:rPr>
          <w:rFonts w:ascii="Arial" w:cs="Arial" w:eastAsia="Arial" w:hAnsi="Arial"/>
          <w:sz w:val="11"/>
          <w:szCs w:val="11"/>
          <w:color w:val="auto"/>
        </w:rPr>
        <w:t>95 percent, one-day VaR corresponds to the unrealized loss in portfolio value that would not be exceeded on average more than one in every 20 trading days, if the portfolio were held constant for one day.</w:t>
      </w:r>
    </w:p>
    <w:p>
      <w:pPr>
        <w:spacing w:after="0" w:line="1" w:lineRule="exact"/>
        <w:rPr>
          <w:sz w:val="20"/>
          <w:szCs w:val="20"/>
          <w:color w:val="auto"/>
        </w:rPr>
      </w:pPr>
    </w:p>
    <w:p>
      <w:pPr>
        <w:ind w:right="60" w:firstLine="158"/>
        <w:spacing w:after="0" w:line="272" w:lineRule="auto"/>
        <w:rPr>
          <w:sz w:val="20"/>
          <w:szCs w:val="20"/>
          <w:color w:val="auto"/>
        </w:rPr>
      </w:pPr>
      <w:r>
        <w:rPr>
          <w:rFonts w:ascii="Arial" w:cs="Arial" w:eastAsia="Arial" w:hAnsi="Arial"/>
          <w:sz w:val="12"/>
          <w:szCs w:val="12"/>
          <w:color w:val="auto"/>
        </w:rPr>
        <w:t>The one-day holding period is based on the assumption that market-risk positions can be liquidated or hedged within one day. For hedging and risk management, the company uses conventional exchange-traded instruments such as futures and options as well as non-exchange-traded swaps, most of which can be liquidated or hedged effectively within one day. The following table presents the 95 percent/one-day VaR for each of the company’s primary risk exposures in the area of derivative commodity instruments at December 31, 2011 and 2010.</w:t>
      </w:r>
    </w:p>
    <w:p>
      <w:pPr>
        <w:spacing w:after="0" w:line="749" w:lineRule="exact"/>
        <w:rPr>
          <w:sz w:val="20"/>
          <w:szCs w:val="20"/>
          <w:color w:val="auto"/>
        </w:rPr>
      </w:pPr>
    </w:p>
    <w:p>
      <w:pPr>
        <w:sectPr>
          <w:pgSz w:w="11900" w:h="16838" w:orient="portrait"/>
          <w:cols w:equalWidth="0" w:num="2">
            <w:col w:w="5503" w:space="460"/>
            <w:col w:w="5480"/>
          </w:cols>
          <w:pgMar w:left="217" w:top="339" w:right="239" w:bottom="1440" w:gutter="0" w:footer="0" w:header="0"/>
        </w:sectPr>
      </w:pPr>
    </w:p>
    <w:p>
      <w:pPr>
        <w:spacing w:after="0" w:line="75" w:lineRule="exact"/>
        <w:rPr>
          <w:sz w:val="20"/>
          <w:szCs w:val="20"/>
          <w:color w:val="auto"/>
        </w:rPr>
      </w:pPr>
    </w:p>
    <w:p>
      <w:pPr>
        <w:jc w:val="center"/>
        <w:ind w:right="-42"/>
        <w:spacing w:after="0"/>
        <w:rPr>
          <w:sz w:val="20"/>
          <w:szCs w:val="20"/>
          <w:color w:val="auto"/>
        </w:rPr>
      </w:pPr>
      <w:r>
        <w:rPr>
          <w:rFonts w:ascii="Arial" w:cs="Arial" w:eastAsia="Arial" w:hAnsi="Arial"/>
          <w:sz w:val="10"/>
          <w:szCs w:val="10"/>
          <w:color w:val="auto"/>
        </w:rPr>
        <w:t>FS-13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3"/>
          </w:cols>
          <w:pgMar w:left="217" w:top="339" w:right="239" w:bottom="1440" w:gutter="0" w:footer="0" w:header="0"/>
          <w:type w:val="continuous"/>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2"/>
          <w:szCs w:val="12"/>
          <w:color w:val="0077C0"/>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60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202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b w:val="1"/>
                <w:bCs w:val="1"/>
                <w:color w:val="auto"/>
              </w:rPr>
              <w:t>2011</w:t>
            </w:r>
          </w:p>
        </w:tc>
        <w:tc>
          <w:tcPr>
            <w:tcW w:w="20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2010</w:t>
            </w:r>
          </w:p>
        </w:tc>
      </w:tr>
      <w:tr>
        <w:trPr>
          <w:trHeight w:val="90"/>
        </w:trPr>
        <w:tc>
          <w:tcPr>
            <w:tcW w:w="2600" w:type="dxa"/>
            <w:vAlign w:val="bottom"/>
          </w:tcPr>
          <w:p>
            <w:pPr>
              <w:spacing w:after="0" w:line="91" w:lineRule="exact"/>
              <w:rPr>
                <w:sz w:val="20"/>
                <w:szCs w:val="20"/>
                <w:color w:val="auto"/>
              </w:rPr>
            </w:pPr>
            <w:r>
              <w:rPr>
                <w:rFonts w:ascii="Arial" w:cs="Arial" w:eastAsia="Arial" w:hAnsi="Arial"/>
                <w:sz w:val="10"/>
                <w:szCs w:val="10"/>
                <w:color w:val="auto"/>
              </w:rPr>
              <w:t>Crude Oil</w:t>
            </w:r>
          </w:p>
        </w:tc>
        <w:tc>
          <w:tcPr>
            <w:tcW w:w="202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w:t>
            </w:r>
          </w:p>
        </w:tc>
        <w:tc>
          <w:tcPr>
            <w:tcW w:w="40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22</w:t>
            </w:r>
          </w:p>
        </w:tc>
        <w:tc>
          <w:tcPr>
            <w:tcW w:w="200" w:type="dxa"/>
            <w:vAlign w:val="bottom"/>
          </w:tcPr>
          <w:p>
            <w:pPr>
              <w:jc w:val="right"/>
              <w:ind w:right="9"/>
              <w:spacing w:after="0" w:line="91"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15</w:t>
            </w:r>
          </w:p>
        </w:tc>
      </w:tr>
      <w:tr>
        <w:trPr>
          <w:trHeight w:val="106"/>
        </w:trPr>
        <w:tc>
          <w:tcPr>
            <w:tcW w:w="2600" w:type="dxa"/>
            <w:vAlign w:val="bottom"/>
          </w:tcPr>
          <w:p>
            <w:pPr>
              <w:spacing w:after="0" w:line="106" w:lineRule="exact"/>
              <w:rPr>
                <w:sz w:val="20"/>
                <w:szCs w:val="20"/>
                <w:color w:val="auto"/>
              </w:rPr>
            </w:pPr>
            <w:r>
              <w:rPr>
                <w:rFonts w:ascii="Arial" w:cs="Arial" w:eastAsia="Arial" w:hAnsi="Arial"/>
                <w:sz w:val="10"/>
                <w:szCs w:val="10"/>
                <w:color w:val="auto"/>
              </w:rPr>
              <w:t>Natural Gas</w:t>
            </w:r>
          </w:p>
        </w:tc>
        <w:tc>
          <w:tcPr>
            <w:tcW w:w="2020" w:type="dxa"/>
            <w:vAlign w:val="bottom"/>
          </w:tcPr>
          <w:p>
            <w:pPr>
              <w:spacing w:after="0"/>
              <w:rPr>
                <w:sz w:val="9"/>
                <w:szCs w:val="9"/>
                <w:color w:val="auto"/>
              </w:rPr>
            </w:pPr>
          </w:p>
        </w:tc>
        <w:tc>
          <w:tcPr>
            <w:tcW w:w="40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4</w:t>
            </w:r>
          </w:p>
        </w:tc>
        <w:tc>
          <w:tcPr>
            <w:tcW w:w="20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4</w:t>
            </w:r>
          </w:p>
        </w:tc>
      </w:tr>
      <w:tr>
        <w:trPr>
          <w:trHeight w:val="139"/>
        </w:trPr>
        <w:tc>
          <w:tcPr>
            <w:tcW w:w="26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Refined Products</w:t>
            </w:r>
          </w:p>
        </w:tc>
        <w:tc>
          <w:tcPr>
            <w:tcW w:w="2020" w:type="dxa"/>
            <w:vAlign w:val="bottom"/>
            <w:tcBorders>
              <w:bottom w:val="single" w:sz="8" w:color="0077C0"/>
            </w:tcBorders>
          </w:tcPr>
          <w:p>
            <w:pPr>
              <w:spacing w:after="0"/>
              <w:rPr>
                <w:sz w:val="12"/>
                <w:szCs w:val="12"/>
                <w:color w:val="auto"/>
              </w:rPr>
            </w:pPr>
          </w:p>
        </w:tc>
        <w:tc>
          <w:tcPr>
            <w:tcW w:w="40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11</w:t>
            </w:r>
          </w:p>
        </w:tc>
        <w:tc>
          <w:tcPr>
            <w:tcW w:w="200" w:type="dxa"/>
            <w:vAlign w:val="bottom"/>
            <w:tcBorders>
              <w:bottom w:val="single" w:sz="8" w:color="0077C0"/>
            </w:tcBorders>
          </w:tcPr>
          <w:p>
            <w:pPr>
              <w:spacing w:after="0"/>
              <w:rPr>
                <w:sz w:val="12"/>
                <w:szCs w:val="12"/>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14</w:t>
            </w:r>
          </w:p>
        </w:tc>
      </w:tr>
    </w:tbl>
    <w:p>
      <w:pPr>
        <w:spacing w:after="0" w:line="68" w:lineRule="exact"/>
        <w:rPr>
          <w:sz w:val="20"/>
          <w:szCs w:val="20"/>
          <w:color w:val="auto"/>
        </w:rPr>
      </w:pPr>
    </w:p>
    <w:p>
      <w:pPr>
        <w:ind w:firstLine="160"/>
        <w:spacing w:after="0" w:line="294" w:lineRule="auto"/>
        <w:rPr>
          <w:sz w:val="20"/>
          <w:szCs w:val="20"/>
          <w:color w:val="auto"/>
        </w:rPr>
      </w:pPr>
      <w:r>
        <w:rPr>
          <w:rFonts w:ascii="Arial" w:cs="Arial" w:eastAsia="Arial" w:hAnsi="Arial"/>
          <w:sz w:val="11"/>
          <w:szCs w:val="11"/>
          <w:i w:val="1"/>
          <w:iCs w:val="1"/>
          <w:color w:val="E51837"/>
        </w:rPr>
        <w:t xml:space="preserve">Foreign Currency </w:t>
      </w:r>
      <w:r>
        <w:rPr>
          <w:rFonts w:ascii="Arial" w:cs="Arial" w:eastAsia="Arial" w:hAnsi="Arial"/>
          <w:sz w:val="11"/>
          <w:szCs w:val="11"/>
          <w:color w:val="000000"/>
        </w:rPr>
        <w:t>The company may enter into foreign currency derivative contracts to manage some of</w:t>
      </w:r>
      <w:r>
        <w:rPr>
          <w:rFonts w:ascii="Arial" w:cs="Arial" w:eastAsia="Arial" w:hAnsi="Arial"/>
          <w:sz w:val="11"/>
          <w:szCs w:val="11"/>
          <w:i w:val="1"/>
          <w:iCs w:val="1"/>
          <w:color w:val="E51837"/>
        </w:rPr>
        <w:t xml:space="preserve"> </w:t>
      </w:r>
      <w:r>
        <w:rPr>
          <w:rFonts w:ascii="Arial" w:cs="Arial" w:eastAsia="Arial" w:hAnsi="Arial"/>
          <w:sz w:val="11"/>
          <w:szCs w:val="11"/>
          <w:color w:val="000000"/>
        </w:rPr>
        <w:t>its foreign currency exposures. These exposures include revenue and anticipated purchase transactions, including foreign currency capital expenditures and lease commitments. The foreign currency derivative contracts, if any, are recorded at fair value on the balance sheet with resulting gains and losses reflected in income. There were no open foreign currency derivative contracts at December 31, 2011.</w:t>
      </w:r>
    </w:p>
    <w:p>
      <w:pPr>
        <w:spacing w:after="0" w:line="2" w:lineRule="exact"/>
        <w:rPr>
          <w:sz w:val="20"/>
          <w:szCs w:val="20"/>
          <w:color w:val="auto"/>
        </w:rPr>
      </w:pPr>
    </w:p>
    <w:p>
      <w:pPr>
        <w:ind w:right="60" w:firstLine="160"/>
        <w:spacing w:after="0" w:line="249" w:lineRule="auto"/>
        <w:rPr>
          <w:sz w:val="20"/>
          <w:szCs w:val="20"/>
          <w:color w:val="auto"/>
        </w:rPr>
      </w:pPr>
      <w:r>
        <w:rPr>
          <w:rFonts w:ascii="Arial" w:cs="Arial" w:eastAsia="Arial" w:hAnsi="Arial"/>
          <w:sz w:val="13"/>
          <w:szCs w:val="13"/>
          <w:i w:val="1"/>
          <w:iCs w:val="1"/>
          <w:color w:val="E51837"/>
        </w:rPr>
        <w:t xml:space="preserve">Interest Rates </w:t>
      </w:r>
      <w:r>
        <w:rPr>
          <w:rFonts w:ascii="Arial" w:cs="Arial" w:eastAsia="Arial" w:hAnsi="Arial"/>
          <w:sz w:val="13"/>
          <w:szCs w:val="13"/>
          <w:color w:val="000000"/>
        </w:rPr>
        <w:t>The company may enter into interest rate swaps from time to time as part of its overall</w:t>
      </w:r>
      <w:r>
        <w:rPr>
          <w:rFonts w:ascii="Arial" w:cs="Arial" w:eastAsia="Arial" w:hAnsi="Arial"/>
          <w:sz w:val="13"/>
          <w:szCs w:val="13"/>
          <w:i w:val="1"/>
          <w:iCs w:val="1"/>
          <w:color w:val="E51837"/>
        </w:rPr>
        <w:t xml:space="preserve"> </w:t>
      </w:r>
      <w:r>
        <w:rPr>
          <w:rFonts w:ascii="Arial" w:cs="Arial" w:eastAsia="Arial" w:hAnsi="Arial"/>
          <w:sz w:val="13"/>
          <w:szCs w:val="13"/>
          <w:color w:val="000000"/>
        </w:rPr>
        <w:t>strategy to manage the interest rate risk on its debt. Interest rate swaps, if any, are recorded at fair value on the balance sheet with resulting gains and losses reflected in income. At year-end 2011, the company had no interest rate swaps.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Transactions With Related Parties</w:t>
      </w:r>
    </w:p>
    <w:p>
      <w:pPr>
        <w:spacing w:after="0" w:line="10"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Chevron enters into a number of business arrangements with related parties, principally its equity affiliates. These arrangements include long-term supply or offtake agreements and long-term purchase agreements. Refer to “Other Information” in Note 12 of the Consolidated Financial Statements, page FS-40, for further discussion. Management believes these agreements have been negotiated on terms consistent with those that would have been negotiated with an unrelated party.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Litigation and Other Contingencies</w:t>
      </w:r>
    </w:p>
    <w:p>
      <w:pPr>
        <w:spacing w:after="0" w:line="10" w:lineRule="exact"/>
        <w:rPr>
          <w:sz w:val="20"/>
          <w:szCs w:val="20"/>
          <w:color w:val="auto"/>
        </w:rPr>
      </w:pPr>
    </w:p>
    <w:p>
      <w:pPr>
        <w:ind w:right="260"/>
        <w:spacing w:after="0" w:line="245" w:lineRule="auto"/>
        <w:rPr>
          <w:sz w:val="20"/>
          <w:szCs w:val="20"/>
          <w:color w:val="auto"/>
        </w:rPr>
      </w:pPr>
      <w:r>
        <w:rPr>
          <w:rFonts w:ascii="Arial" w:cs="Arial" w:eastAsia="Arial" w:hAnsi="Arial"/>
          <w:sz w:val="13"/>
          <w:szCs w:val="13"/>
          <w:i w:val="1"/>
          <w:iCs w:val="1"/>
          <w:color w:val="E51837"/>
        </w:rPr>
        <w:t xml:space="preserve">MTBE </w:t>
      </w:r>
      <w:r>
        <w:rPr>
          <w:rFonts w:ascii="Arial" w:cs="Arial" w:eastAsia="Arial" w:hAnsi="Arial"/>
          <w:sz w:val="13"/>
          <w:szCs w:val="13"/>
          <w:color w:val="000000"/>
        </w:rPr>
        <w:t>Information related to methyl tertiary butyl ether (MTBE) matters is included on page FS-41 in</w:t>
      </w:r>
      <w:r>
        <w:rPr>
          <w:rFonts w:ascii="Arial" w:cs="Arial" w:eastAsia="Arial" w:hAnsi="Arial"/>
          <w:sz w:val="13"/>
          <w:szCs w:val="13"/>
          <w:i w:val="1"/>
          <w:iCs w:val="1"/>
          <w:color w:val="E51837"/>
        </w:rPr>
        <w:t xml:space="preserve"> </w:t>
      </w:r>
      <w:r>
        <w:rPr>
          <w:rFonts w:ascii="Arial" w:cs="Arial" w:eastAsia="Arial" w:hAnsi="Arial"/>
          <w:sz w:val="13"/>
          <w:szCs w:val="13"/>
          <w:color w:val="000000"/>
        </w:rPr>
        <w:t>Note 14 to the Consolidated Financial Statements under the heading “MTBE.”</w:t>
      </w:r>
    </w:p>
    <w:p>
      <w:pPr>
        <w:spacing w:after="0" w:line="1" w:lineRule="exact"/>
        <w:rPr>
          <w:sz w:val="20"/>
          <w:szCs w:val="20"/>
          <w:color w:val="auto"/>
        </w:rPr>
      </w:pPr>
    </w:p>
    <w:p>
      <w:pPr>
        <w:ind w:right="180" w:firstLine="160"/>
        <w:spacing w:after="0" w:line="246" w:lineRule="auto"/>
        <w:rPr>
          <w:sz w:val="20"/>
          <w:szCs w:val="20"/>
          <w:color w:val="auto"/>
        </w:rPr>
      </w:pPr>
      <w:r>
        <w:rPr>
          <w:rFonts w:ascii="Arial" w:cs="Arial" w:eastAsia="Arial" w:hAnsi="Arial"/>
          <w:sz w:val="13"/>
          <w:szCs w:val="13"/>
          <w:i w:val="1"/>
          <w:iCs w:val="1"/>
          <w:color w:val="E51837"/>
        </w:rPr>
        <w:t xml:space="preserve">Ecuador </w:t>
      </w:r>
      <w:r>
        <w:rPr>
          <w:rFonts w:ascii="Arial" w:cs="Arial" w:eastAsia="Arial" w:hAnsi="Arial"/>
          <w:sz w:val="13"/>
          <w:szCs w:val="13"/>
          <w:color w:val="000000"/>
        </w:rPr>
        <w:t>Information related to Ecuador matters is included in Note 14 to the Consolidated Financial</w:t>
      </w:r>
      <w:r>
        <w:rPr>
          <w:rFonts w:ascii="Arial" w:cs="Arial" w:eastAsia="Arial" w:hAnsi="Arial"/>
          <w:sz w:val="13"/>
          <w:szCs w:val="13"/>
          <w:i w:val="1"/>
          <w:iCs w:val="1"/>
          <w:color w:val="E51837"/>
        </w:rPr>
        <w:t xml:space="preserve"> </w:t>
      </w:r>
      <w:r>
        <w:rPr>
          <w:rFonts w:ascii="Arial" w:cs="Arial" w:eastAsia="Arial" w:hAnsi="Arial"/>
          <w:sz w:val="13"/>
          <w:szCs w:val="13"/>
          <w:color w:val="000000"/>
        </w:rPr>
        <w:t>Statements under the heading “Ecuador”, beginning on page FS-41.</w:t>
      </w:r>
    </w:p>
    <w:p>
      <w:pPr>
        <w:spacing w:after="0" w:line="1" w:lineRule="exact"/>
        <w:rPr>
          <w:sz w:val="20"/>
          <w:szCs w:val="20"/>
          <w:color w:val="auto"/>
        </w:rPr>
      </w:pPr>
    </w:p>
    <w:p>
      <w:pPr>
        <w:ind w:firstLine="160"/>
        <w:spacing w:after="0" w:line="271" w:lineRule="auto"/>
        <w:rPr>
          <w:sz w:val="20"/>
          <w:szCs w:val="20"/>
          <w:color w:val="auto"/>
        </w:rPr>
      </w:pPr>
      <w:r>
        <w:rPr>
          <w:rFonts w:ascii="Arial" w:cs="Arial" w:eastAsia="Arial" w:hAnsi="Arial"/>
          <w:sz w:val="12"/>
          <w:szCs w:val="12"/>
          <w:i w:val="1"/>
          <w:iCs w:val="1"/>
          <w:color w:val="E51837"/>
        </w:rPr>
        <w:t xml:space="preserve">Environmental </w:t>
      </w:r>
      <w:r>
        <w:rPr>
          <w:rFonts w:ascii="Arial" w:cs="Arial" w:eastAsia="Arial" w:hAnsi="Arial"/>
          <w:sz w:val="12"/>
          <w:szCs w:val="12"/>
          <w:color w:val="000000"/>
        </w:rPr>
        <w:t>The company is subject to loss contingencies pursuant to laws, regulations, private</w:t>
      </w:r>
      <w:r>
        <w:rPr>
          <w:rFonts w:ascii="Arial" w:cs="Arial" w:eastAsia="Arial" w:hAnsi="Arial"/>
          <w:sz w:val="12"/>
          <w:szCs w:val="12"/>
          <w:i w:val="1"/>
          <w:iCs w:val="1"/>
          <w:color w:val="E51837"/>
        </w:rPr>
        <w:t xml:space="preserve"> </w:t>
      </w:r>
      <w:r>
        <w:rPr>
          <w:rFonts w:ascii="Arial" w:cs="Arial" w:eastAsia="Arial" w:hAnsi="Arial"/>
          <w:sz w:val="12"/>
          <w:szCs w:val="12"/>
          <w:color w:val="000000"/>
        </w:rPr>
        <w:t>claims and legal proceedings related to environmental matters that are subject to legal settlements or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federal Superfund sites and analogous sites under state laws, refineries, crude oil fields, service stations, terminals, land development areas, and mining operations, whether operating, closed or divested. These future costs are not fully determinable due to such factors as the unknown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right="1620"/>
        <w:spacing w:after="0" w:line="271" w:lineRule="auto"/>
        <w:rPr>
          <w:sz w:val="20"/>
          <w:szCs w:val="20"/>
          <w:color w:val="auto"/>
        </w:rPr>
      </w:pPr>
      <w:r>
        <w:rPr>
          <w:rFonts w:ascii="Arial" w:cs="Arial" w:eastAsia="Arial" w:hAnsi="Arial"/>
          <w:sz w:val="12"/>
          <w:szCs w:val="12"/>
          <w:color w:val="auto"/>
        </w:rPr>
        <w:t>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-1115695</wp:posOffset>
            </wp:positionV>
            <wp:extent cx="7285990" cy="259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5990" cy="2593340"/>
                    </a:xfrm>
                    <a:prstGeom prst="rect">
                      <a:avLst/>
                    </a:prstGeom>
                    <a:noFill/>
                  </pic:spPr>
                </pic:pic>
              </a:graphicData>
            </a:graphic>
          </wp:anchor>
        </w:drawing>
      </w:r>
    </w:p>
    <w:p>
      <w:pPr>
        <w:ind w:left="360" w:right="1480" w:firstLine="153"/>
        <w:spacing w:after="0" w:line="291" w:lineRule="auto"/>
        <w:rPr>
          <w:sz w:val="20"/>
          <w:szCs w:val="20"/>
          <w:color w:val="auto"/>
        </w:rPr>
      </w:pPr>
      <w:r>
        <w:rPr>
          <w:rFonts w:ascii="Arial" w:cs="Arial" w:eastAsia="Arial" w:hAnsi="Arial"/>
          <w:sz w:val="11"/>
          <w:szCs w:val="11"/>
          <w:color w:val="auto"/>
        </w:rPr>
        <w:t>Although the company has provided for known environmental obligations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 Also, the company does not believe its obligations to make such expenditures have had, or will have, any significant impact on the company’s competitive position relative to other U.S. or international petroleum or chemical companies.</w:t>
      </w:r>
    </w:p>
    <w:p>
      <w:pPr>
        <w:spacing w:after="0" w:line="3" w:lineRule="exact"/>
        <w:rPr>
          <w:sz w:val="20"/>
          <w:szCs w:val="20"/>
          <w:color w:val="auto"/>
        </w:rPr>
      </w:pPr>
    </w:p>
    <w:p>
      <w:pPr>
        <w:ind w:left="360" w:right="1480" w:firstLine="158"/>
        <w:spacing w:after="0" w:line="250" w:lineRule="auto"/>
        <w:rPr>
          <w:sz w:val="20"/>
          <w:szCs w:val="20"/>
          <w:color w:val="auto"/>
        </w:rPr>
      </w:pPr>
      <w:r>
        <w:rPr>
          <w:rFonts w:ascii="Arial" w:cs="Arial" w:eastAsia="Arial" w:hAnsi="Arial"/>
          <w:sz w:val="13"/>
          <w:szCs w:val="13"/>
          <w:color w:val="auto"/>
        </w:rPr>
        <w:t>The following table displays the annual changes to the company’s before-tax environmental remediation reserves, including those for federal Superfund sites and analogous sites under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109"/>
        </w:trPr>
        <w:tc>
          <w:tcPr>
            <w:tcW w:w="246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Millions of dollars</w:t>
            </w:r>
          </w:p>
        </w:tc>
        <w:tc>
          <w:tcPr>
            <w:tcW w:w="15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color w:val="auto"/>
              </w:rPr>
              <w:t>2010</w:t>
            </w:r>
          </w:p>
        </w:tc>
        <w:tc>
          <w:tcPr>
            <w:tcW w:w="4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r>
      <w:tr>
        <w:trPr>
          <w:trHeight w:val="90"/>
        </w:trPr>
        <w:tc>
          <w:tcPr>
            <w:tcW w:w="246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50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w w:val="95"/>
              </w:rPr>
              <w:t>1,507</w:t>
            </w:r>
          </w:p>
        </w:tc>
        <w:tc>
          <w:tcPr>
            <w:tcW w:w="600" w:type="dxa"/>
            <w:vAlign w:val="bottom"/>
          </w:tcPr>
          <w:p>
            <w:pPr>
              <w:jc w:val="right"/>
              <w:ind w:right="130"/>
              <w:spacing w:after="0" w:line="91" w:lineRule="exact"/>
              <w:rPr>
                <w:sz w:val="20"/>
                <w:szCs w:val="20"/>
                <w:color w:val="auto"/>
              </w:rPr>
            </w:pPr>
            <w:r>
              <w:rPr>
                <w:rFonts w:ascii="Arial" w:cs="Arial" w:eastAsia="Arial" w:hAnsi="Arial"/>
                <w:sz w:val="10"/>
                <w:szCs w:val="10"/>
                <w:color w:val="auto"/>
              </w:rPr>
              <w:t>$ 1,700</w:t>
            </w:r>
          </w:p>
        </w:tc>
        <w:tc>
          <w:tcPr>
            <w:tcW w:w="460" w:type="dxa"/>
            <w:vAlign w:val="bottom"/>
          </w:tcPr>
          <w:p>
            <w:pPr>
              <w:jc w:val="right"/>
              <w:spacing w:after="0" w:line="91" w:lineRule="exact"/>
              <w:rPr>
                <w:sz w:val="20"/>
                <w:szCs w:val="20"/>
                <w:color w:val="auto"/>
              </w:rPr>
            </w:pPr>
            <w:r>
              <w:rPr>
                <w:rFonts w:ascii="Arial" w:cs="Arial" w:eastAsia="Arial" w:hAnsi="Arial"/>
                <w:sz w:val="10"/>
                <w:szCs w:val="10"/>
                <w:color w:val="auto"/>
              </w:rPr>
              <w:t>$ 1,818</w:t>
            </w:r>
          </w:p>
        </w:tc>
        <w:tc>
          <w:tcPr>
            <w:tcW w:w="40" w:type="dxa"/>
            <w:vAlign w:val="bottom"/>
          </w:tcPr>
          <w:p>
            <w:pPr>
              <w:spacing w:after="0"/>
              <w:rPr>
                <w:sz w:val="7"/>
                <w:szCs w:val="7"/>
                <w:color w:val="auto"/>
              </w:rPr>
            </w:pPr>
          </w:p>
        </w:tc>
      </w:tr>
      <w:tr>
        <w:trPr>
          <w:trHeight w:val="106"/>
        </w:trPr>
        <w:tc>
          <w:tcPr>
            <w:tcW w:w="2460" w:type="dxa"/>
            <w:vAlign w:val="bottom"/>
          </w:tcPr>
          <w:p>
            <w:pPr>
              <w:spacing w:after="0" w:line="106" w:lineRule="exact"/>
              <w:rPr>
                <w:sz w:val="20"/>
                <w:szCs w:val="20"/>
                <w:color w:val="auto"/>
              </w:rPr>
            </w:pPr>
            <w:r>
              <w:rPr>
                <w:rFonts w:ascii="Arial" w:cs="Arial" w:eastAsia="Arial" w:hAnsi="Arial"/>
                <w:sz w:val="10"/>
                <w:szCs w:val="10"/>
                <w:color w:val="auto"/>
              </w:rPr>
              <w:t>Net Additions</w:t>
            </w:r>
          </w:p>
        </w:tc>
        <w:tc>
          <w:tcPr>
            <w:tcW w:w="150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343</w:t>
            </w:r>
          </w:p>
        </w:tc>
        <w:tc>
          <w:tcPr>
            <w:tcW w:w="60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220</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351</w:t>
            </w:r>
          </w:p>
        </w:tc>
        <w:tc>
          <w:tcPr>
            <w:tcW w:w="40" w:type="dxa"/>
            <w:vAlign w:val="bottom"/>
          </w:tcPr>
          <w:p>
            <w:pPr>
              <w:spacing w:after="0"/>
              <w:rPr>
                <w:sz w:val="9"/>
                <w:szCs w:val="9"/>
                <w:color w:val="auto"/>
              </w:rPr>
            </w:pPr>
          </w:p>
        </w:tc>
      </w:tr>
      <w:tr>
        <w:trPr>
          <w:trHeight w:val="120"/>
        </w:trPr>
        <w:tc>
          <w:tcPr>
            <w:tcW w:w="2460" w:type="dxa"/>
            <w:vAlign w:val="bottom"/>
          </w:tcPr>
          <w:p>
            <w:pPr>
              <w:spacing w:after="0"/>
              <w:rPr>
                <w:sz w:val="20"/>
                <w:szCs w:val="20"/>
                <w:color w:val="auto"/>
              </w:rPr>
            </w:pPr>
            <w:r>
              <w:rPr>
                <w:rFonts w:ascii="Arial" w:cs="Arial" w:eastAsia="Arial" w:hAnsi="Arial"/>
                <w:sz w:val="10"/>
                <w:szCs w:val="10"/>
                <w:color w:val="auto"/>
              </w:rPr>
              <w:t>Expenditures</w:t>
            </w:r>
          </w:p>
        </w:tc>
        <w:tc>
          <w:tcPr>
            <w:tcW w:w="1500" w:type="dxa"/>
            <w:vAlign w:val="bottom"/>
          </w:tcPr>
          <w:p>
            <w:pPr>
              <w:spacing w:after="0"/>
              <w:rPr>
                <w:sz w:val="10"/>
                <w:szCs w:val="10"/>
                <w:color w:val="auto"/>
              </w:rPr>
            </w:pPr>
          </w:p>
        </w:tc>
        <w:tc>
          <w:tcPr>
            <w:tcW w:w="440" w:type="dxa"/>
            <w:vAlign w:val="bottom"/>
            <w:tcBorders>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(446)</w:t>
            </w: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(413)</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(469)</w:t>
            </w:r>
          </w:p>
        </w:tc>
      </w:tr>
      <w:tr>
        <w:trPr>
          <w:trHeight w:val="123"/>
        </w:trPr>
        <w:tc>
          <w:tcPr>
            <w:tcW w:w="2460" w:type="dxa"/>
            <w:vAlign w:val="bottom"/>
            <w:tcBorders>
              <w:top w:val="single" w:sz="8" w:color="0077C0"/>
              <w:bottom w:val="single" w:sz="8" w:color="0077C0"/>
            </w:tcBorders>
          </w:tcPr>
          <w:p>
            <w:pPr>
              <w:spacing w:after="0"/>
              <w:rPr>
                <w:sz w:val="20"/>
                <w:szCs w:val="20"/>
                <w:color w:val="auto"/>
              </w:rPr>
            </w:pPr>
            <w:r>
              <w:rPr>
                <w:rFonts w:ascii="Arial" w:cs="Arial" w:eastAsia="Arial" w:hAnsi="Arial"/>
                <w:sz w:val="10"/>
                <w:szCs w:val="10"/>
                <w:b w:val="1"/>
                <w:bCs w:val="1"/>
                <w:color w:val="auto"/>
              </w:rPr>
              <w:t>Balance at December 31</w:t>
            </w:r>
          </w:p>
        </w:tc>
        <w:tc>
          <w:tcPr>
            <w:tcW w:w="15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w w:val="95"/>
              </w:rPr>
              <w:t>1,404</w:t>
            </w:r>
          </w:p>
        </w:tc>
        <w:tc>
          <w:tcPr>
            <w:tcW w:w="600" w:type="dxa"/>
            <w:vAlign w:val="bottom"/>
            <w:tcBorders>
              <w:top w:val="single" w:sz="8" w:color="0077C0"/>
              <w:bottom w:val="single" w:sz="8" w:color="0077C0"/>
            </w:tcBorders>
          </w:tcPr>
          <w:p>
            <w:pPr>
              <w:jc w:val="right"/>
              <w:ind w:right="130"/>
              <w:spacing w:after="0"/>
              <w:rPr>
                <w:sz w:val="20"/>
                <w:szCs w:val="20"/>
                <w:color w:val="auto"/>
              </w:rPr>
            </w:pPr>
            <w:r>
              <w:rPr>
                <w:rFonts w:ascii="Arial" w:cs="Arial" w:eastAsia="Arial" w:hAnsi="Arial"/>
                <w:sz w:val="10"/>
                <w:szCs w:val="10"/>
                <w:color w:val="auto"/>
              </w:rPr>
              <w:t>$ 1,507</w:t>
            </w:r>
          </w:p>
        </w:tc>
        <w:tc>
          <w:tcPr>
            <w:tcW w:w="4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$ 1,700</w:t>
            </w:r>
          </w:p>
        </w:tc>
        <w:tc>
          <w:tcPr>
            <w:tcW w:w="40" w:type="dxa"/>
            <w:vAlign w:val="bottom"/>
          </w:tcPr>
          <w:p>
            <w:pPr>
              <w:spacing w:after="0"/>
              <w:rPr>
                <w:sz w:val="10"/>
                <w:szCs w:val="10"/>
                <w:color w:val="auto"/>
              </w:rPr>
            </w:pPr>
          </w:p>
        </w:tc>
      </w:tr>
    </w:tbl>
    <w:p>
      <w:pPr>
        <w:spacing w:after="0" w:line="68" w:lineRule="exact"/>
        <w:rPr>
          <w:sz w:val="20"/>
          <w:szCs w:val="20"/>
          <w:color w:val="auto"/>
        </w:rPr>
      </w:pPr>
    </w:p>
    <w:p>
      <w:pPr>
        <w:ind w:left="360" w:right="20" w:firstLine="160"/>
        <w:spacing w:after="0" w:line="272" w:lineRule="auto"/>
        <w:rPr>
          <w:sz w:val="20"/>
          <w:szCs w:val="20"/>
          <w:color w:val="auto"/>
        </w:rPr>
      </w:pPr>
      <w:r>
        <w:rPr>
          <w:rFonts w:ascii="Arial" w:cs="Arial" w:eastAsia="Arial" w:hAnsi="Arial"/>
          <w:sz w:val="12"/>
          <w:szCs w:val="12"/>
          <w:color w:val="auto"/>
        </w:rPr>
        <w:t>Included in the $1,404 million year-end 2011 reserve balance were remediation activities at approximately 180 sites for which the company had been identified as a potentially responsible party or otherwise involved in the remediation by the U.S. Environmental Protection Agency (EPA) or other regulatory agencies under the provisions of the federal Superfund law or analogous state laws. The company’s remediation reserve for these sites at year-end 2011 was $185 million. The federal Superfund law and analogous state laws provide for joint and several liability for all responsible parties. Any future actions by the EPA or other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296" w:lineRule="exact"/>
        <w:rPr>
          <w:sz w:val="20"/>
          <w:szCs w:val="20"/>
          <w:color w:val="auto"/>
        </w:rPr>
      </w:pPr>
    </w:p>
    <w:p>
      <w:pPr>
        <w:spacing w:after="0"/>
        <w:rPr>
          <w:sz w:val="20"/>
          <w:szCs w:val="20"/>
          <w:color w:val="auto"/>
        </w:rPr>
      </w:pPr>
      <w:r>
        <w:rPr>
          <w:rFonts w:ascii="Arial" w:cs="Arial" w:eastAsia="Arial" w:hAnsi="Arial"/>
          <w:sz w:val="10"/>
          <w:szCs w:val="10"/>
          <w:color w:val="auto"/>
        </w:rPr>
        <w:t>FS-14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60"/>
          </w:cols>
          <w:pgMar w:left="220" w:top="339"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firstLine="160"/>
        <w:spacing w:after="0" w:line="268" w:lineRule="auto"/>
        <w:rPr>
          <w:sz w:val="20"/>
          <w:szCs w:val="20"/>
          <w:color w:val="auto"/>
        </w:rPr>
      </w:pPr>
      <w:r>
        <w:rPr>
          <w:rFonts w:ascii="Arial" w:cs="Arial" w:eastAsia="Arial" w:hAnsi="Arial"/>
          <w:sz w:val="12"/>
          <w:szCs w:val="12"/>
          <w:color w:val="auto"/>
        </w:rPr>
        <w:t>Of the remaining year-end 2011 environmental reserves balance of $1,219 million, $675 million related to the company’s U.S. downstream operations, including refineries and other plants, marketing locations (i.e., service stations and terminals), chemical facilities, and pipelines. The remaining $544 million was associated with various sites in international downstream ($95 million), upstream ($368 million) and other businesses ($81 million). Liabilities at all sites, whether operating, closed or divested, were primarily associated with the company’s plans and activities to remediate soil or groundwater contamination or both. These and other activities include one or more of the following: site assessment; soil excavation; offsite disposal of contaminants; onsite containment, remediation and/or extraction of petroleum hydrocarbon liquid and vapor from soil; groundwater extraction and treatment; and monitoring of the natural attenuation of the contaminants.</w:t>
      </w:r>
    </w:p>
    <w:p>
      <w:pPr>
        <w:spacing w:after="0" w:line="5"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company manages environmental liabilities under specific sets of regulatory requirements, which in the United States include the Resource Conservation and Recovery Act and various state and local regulations. No single remediation site at year-end 2011 had a recorded liability that was material to the company’s results of operations, consolidated financial position or liquidity.</w:t>
      </w:r>
    </w:p>
    <w:p>
      <w:pPr>
        <w:spacing w:after="0" w:line="1"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It is likely that the company will continue to incur additional liabilities, beyond those recorded, for environmental remediation relating to past operations.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The company records asset retirement obligations when there is a legal obligation associated with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retirement of long-lived assets and the liability can be reasonably estimated. These asset retirement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obligations include costs related to environmental issues. The liability balance of approximately</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$12.8 billion for asset retirement obligations at year-end 2011 related primarily to upstream properties.</w:t>
      </w:r>
    </w:p>
    <w:p>
      <w:pPr>
        <w:spacing w:after="0" w:line="16"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For the company’s other ongoing operating assets, such as refineries and chemicals facilities, no provisions are made for exit or cleanup costs that may be required when such assets reach the end of their useful lives unless a decision to sell or otherwise abandon the facility has been made, as the indeterminate settlement dates for the asset retirements prevent estimation of the fair value of the asset retirement obligation.</w:t>
      </w:r>
    </w:p>
    <w:p>
      <w:pPr>
        <w:spacing w:after="0" w:line="3" w:lineRule="exact"/>
        <w:rPr>
          <w:sz w:val="20"/>
          <w:szCs w:val="20"/>
          <w:color w:val="auto"/>
        </w:rPr>
      </w:pPr>
    </w:p>
    <w:p>
      <w:pPr>
        <w:ind w:right="300" w:firstLine="160"/>
        <w:spacing w:after="0" w:line="246" w:lineRule="auto"/>
        <w:rPr>
          <w:sz w:val="20"/>
          <w:szCs w:val="20"/>
          <w:color w:val="auto"/>
        </w:rPr>
      </w:pPr>
      <w:r>
        <w:rPr>
          <w:rFonts w:ascii="Arial" w:cs="Arial" w:eastAsia="Arial" w:hAnsi="Arial"/>
          <w:sz w:val="13"/>
          <w:szCs w:val="13"/>
          <w:color w:val="auto"/>
        </w:rPr>
        <w:t>Refer also to Note 25 on page FS-58, related to the company’s asset retirement obligations and the discussion of “Environmental Matters” beginning on page FS-15.</w:t>
      </w:r>
    </w:p>
    <w:p>
      <w:pPr>
        <w:spacing w:after="0" w:line="1" w:lineRule="exact"/>
        <w:rPr>
          <w:sz w:val="20"/>
          <w:szCs w:val="20"/>
          <w:color w:val="auto"/>
        </w:rPr>
      </w:pPr>
    </w:p>
    <w:p>
      <w:pPr>
        <w:ind w:right="40" w:firstLine="160"/>
        <w:spacing w:after="0" w:line="248" w:lineRule="auto"/>
        <w:rPr>
          <w:sz w:val="20"/>
          <w:szCs w:val="20"/>
          <w:color w:val="auto"/>
        </w:rPr>
      </w:pPr>
      <w:r>
        <w:rPr>
          <w:rFonts w:ascii="Arial" w:cs="Arial" w:eastAsia="Arial" w:hAnsi="Arial"/>
          <w:sz w:val="13"/>
          <w:szCs w:val="13"/>
          <w:i w:val="1"/>
          <w:iCs w:val="1"/>
          <w:color w:val="E51837"/>
        </w:rPr>
        <w:t xml:space="preserve">Suspended Wells </w:t>
      </w:r>
      <w:r>
        <w:rPr>
          <w:rFonts w:ascii="Arial" w:cs="Arial" w:eastAsia="Arial" w:hAnsi="Arial"/>
          <w:sz w:val="13"/>
          <w:szCs w:val="13"/>
          <w:color w:val="000000"/>
        </w:rPr>
        <w:t>The company suspends the costs of exploratory wells pending a final determination of</w:t>
      </w:r>
      <w:r>
        <w:rPr>
          <w:rFonts w:ascii="Arial" w:cs="Arial" w:eastAsia="Arial" w:hAnsi="Arial"/>
          <w:sz w:val="13"/>
          <w:szCs w:val="13"/>
          <w:i w:val="1"/>
          <w:iCs w:val="1"/>
          <w:color w:val="E51837"/>
        </w:rPr>
        <w:t xml:space="preserve"> </w:t>
      </w:r>
      <w:r>
        <w:rPr>
          <w:rFonts w:ascii="Arial" w:cs="Arial" w:eastAsia="Arial" w:hAnsi="Arial"/>
          <w:sz w:val="13"/>
          <w:szCs w:val="13"/>
          <w:color w:val="000000"/>
        </w:rPr>
        <w:t>the commercial potential of the related crude oil and natural gas fields. The ultimate disposition of these well costs is dependent on the results of future drilling activity or development decisions or both. At December 31, 2011, the company had approximately $2.4 billion of suspended exploratory wells included in properties, plant and equipment, a decrease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of $284 million from 2010. The 2010 balance reflected an increase of $283 million from 2009.</w:t>
      </w:r>
    </w:p>
    <w:p>
      <w:pPr>
        <w:spacing w:after="0" w:line="13" w:lineRule="exact"/>
        <w:rPr>
          <w:sz w:val="20"/>
          <w:szCs w:val="20"/>
          <w:color w:val="auto"/>
        </w:rPr>
      </w:pPr>
    </w:p>
    <w:p>
      <w:pPr>
        <w:ind w:right="40" w:firstLine="158"/>
        <w:spacing w:after="0" w:line="267" w:lineRule="auto"/>
        <w:rPr>
          <w:sz w:val="20"/>
          <w:szCs w:val="20"/>
          <w:color w:val="auto"/>
        </w:rPr>
      </w:pPr>
      <w:r>
        <w:rPr>
          <w:rFonts w:ascii="Arial" w:cs="Arial" w:eastAsia="Arial" w:hAnsi="Arial"/>
          <w:sz w:val="12"/>
          <w:szCs w:val="12"/>
          <w:color w:val="auto"/>
        </w:rPr>
        <w:t>The future trend of the company’s exploration expenses can be affected by amounts associated with well write-offs, including wells that had been previously suspended pending determination as to whether the well had found reserves that could be classified as proved. The effect on exploration expenses in future periods of the $2.4 billion of suspended wells at year-end 2011 is uncertain pending future activities, including normal project evaluation and additional drilling.</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Refer to Note 19, beginning on page FS-47, for additional discussion of suspended wells.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1"/>
          <w:szCs w:val="11"/>
          <w:i w:val="1"/>
          <w:iCs w:val="1"/>
          <w:color w:val="E51837"/>
        </w:rPr>
        <w:t xml:space="preserve">Income Taxes </w:t>
      </w:r>
      <w:r>
        <w:rPr>
          <w:rFonts w:ascii="Arial" w:cs="Arial" w:eastAsia="Arial" w:hAnsi="Arial"/>
          <w:sz w:val="11"/>
          <w:szCs w:val="11"/>
          <w:color w:val="000000"/>
        </w:rPr>
        <w:t>Information related to income tax contingencies is included on pages FS-43 through FS-</w:t>
      </w:r>
    </w:p>
    <w:p>
      <w:pPr>
        <w:spacing w:after="0" w:line="27" w:lineRule="exact"/>
        <w:rPr>
          <w:sz w:val="20"/>
          <w:szCs w:val="20"/>
          <w:color w:val="auto"/>
        </w:rPr>
      </w:pPr>
    </w:p>
    <w:p>
      <w:pPr>
        <w:ind w:right="320"/>
        <w:spacing w:after="0" w:line="246" w:lineRule="auto"/>
        <w:rPr>
          <w:sz w:val="20"/>
          <w:szCs w:val="20"/>
          <w:color w:val="auto"/>
        </w:rPr>
      </w:pPr>
      <w:r>
        <w:rPr>
          <w:rFonts w:ascii="Arial" w:cs="Arial" w:eastAsia="Arial" w:hAnsi="Arial"/>
          <w:sz w:val="13"/>
          <w:szCs w:val="13"/>
          <w:color w:val="auto"/>
        </w:rPr>
        <w:t>45 in Note 15 and page FS-56 in Note 24 to the Consolidated Financial Statements under the heading “Income Taxes.”</w:t>
      </w:r>
    </w:p>
    <w:p>
      <w:pPr>
        <w:spacing w:after="0" w:line="1" w:lineRule="exact"/>
        <w:rPr>
          <w:sz w:val="20"/>
          <w:szCs w:val="20"/>
          <w:color w:val="auto"/>
        </w:rPr>
      </w:pPr>
    </w:p>
    <w:p>
      <w:pPr>
        <w:ind w:right="40" w:firstLine="160"/>
        <w:spacing w:after="0" w:line="294" w:lineRule="auto"/>
        <w:rPr>
          <w:sz w:val="20"/>
          <w:szCs w:val="20"/>
          <w:color w:val="auto"/>
        </w:rPr>
      </w:pPr>
      <w:r>
        <w:rPr>
          <w:rFonts w:ascii="Arial" w:cs="Arial" w:eastAsia="Arial" w:hAnsi="Arial"/>
          <w:sz w:val="12"/>
          <w:szCs w:val="12"/>
          <w:i w:val="1"/>
          <w:iCs w:val="1"/>
          <w:color w:val="E51837"/>
        </w:rPr>
        <w:t xml:space="preserve">Other Contingencies </w:t>
      </w:r>
      <w:r>
        <w:rPr>
          <w:rFonts w:ascii="Arial" w:cs="Arial" w:eastAsia="Arial" w:hAnsi="Arial"/>
          <w:sz w:val="12"/>
          <w:szCs w:val="12"/>
          <w:color w:val="000000"/>
        </w:rPr>
        <w:t>Information related to other contingencies is included on pages FS-57 through FS-58 in Note 24 to the Consolidated Financial Statements under the heading “Other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Environmental Matters</w:t>
      </w:r>
    </w:p>
    <w:p>
      <w:pPr>
        <w:spacing w:after="0" w:line="10"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Virtually all aspects of the businesses in which the company engages are subject to various federal, state and local environmental, health and safety laws and regulations. These regulatory requirements continue to increase in both number and complexity over time and govern not only the manner in which the company conducts its operations, but also the products it sells. Most of the costs of complying with laws and regulations pertaining to company operations and products are embedded in the normal costs of doing business.</w:t>
      </w:r>
    </w:p>
    <w:p>
      <w:pPr>
        <w:spacing w:after="0" w:line="2" w:lineRule="exact"/>
        <w:rPr>
          <w:sz w:val="20"/>
          <w:szCs w:val="20"/>
          <w:color w:val="auto"/>
        </w:rPr>
      </w:pPr>
    </w:p>
    <w:p>
      <w:pPr>
        <w:ind w:right="40" w:firstLine="153"/>
        <w:spacing w:after="0" w:line="267" w:lineRule="auto"/>
        <w:rPr>
          <w:sz w:val="20"/>
          <w:szCs w:val="20"/>
          <w:color w:val="auto"/>
        </w:rPr>
      </w:pPr>
      <w:r>
        <w:rPr>
          <w:rFonts w:ascii="Arial" w:cs="Arial" w:eastAsia="Arial" w:hAnsi="Arial"/>
          <w:sz w:val="12"/>
          <w:szCs w:val="12"/>
          <w:color w:val="auto"/>
        </w:rPr>
        <w:t>Accidental leaks and spills requiring cleanup may occur in the ordinary course of business. In addition to the costs for environmental protection associated with its ongoing operations and products, the company may incur expenses for corrective actions at various owned and previously owned facilities and at third-party-owned waste disposal sites used by the company. An obligation may arise when operations are closed or sold or at non-Chevron sites where company products have been handled or disposed of. Most of the expenditures to fulfill these obligations relate to facilities and sites where past operations followed practices and procedures that were considered acceptable at the time but now require investigative or remedial work or both to meet current standards.</w:t>
      </w:r>
    </w:p>
    <w:p>
      <w:pPr>
        <w:spacing w:after="0" w:line="2"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color w:val="auto"/>
        </w:rPr>
        <w:t>Using definitions and guidelines established by the American Petroleum Institute, Chevron estimated its worldwide environmental spending in 2011 at approximately $2.7 billion for its consolidated companies. Included in these expenditures were approximately $1.0 billion of environmental capital expenditures and $1.7 billion of costs associated with the prevention, control, abatement or elimination of hazardous substances and pollutants from operating, closed or divested sites, and the abandonment and restoration of sites.</w:t>
      </w:r>
    </w:p>
    <w:p>
      <w:pPr>
        <w:spacing w:after="0" w:line="3"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For 2012, total worldwide environmental capital expenditures are estimated at $1.0 billion. These capital costs are in addition to the ongoing costs of complying with environmental regulations and the costs to remediate previously contaminated sites.</w:t>
      </w:r>
    </w:p>
    <w:p>
      <w:pPr>
        <w:spacing w:after="0" w:line="200" w:lineRule="exact"/>
        <w:rPr>
          <w:sz w:val="20"/>
          <w:szCs w:val="20"/>
          <w:color w:val="auto"/>
        </w:rPr>
      </w:pPr>
    </w:p>
    <w:p>
      <w:pPr>
        <w:sectPr>
          <w:pgSz w:w="11900" w:h="16838" w:orient="portrait"/>
          <w:cols w:equalWidth="0" w:num="2">
            <w:col w:w="5500" w:space="460"/>
            <w:col w:w="5520"/>
          </w:cols>
          <w:pgMar w:left="220" w:top="339" w:right="199" w:bottom="1440" w:gutter="0" w:footer="0" w:header="0"/>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6286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80"/>
          </w:cols>
          <w:pgMar w:left="220"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firstLine="160"/>
        <w:spacing w:after="0" w:line="305" w:lineRule="auto"/>
        <w:rPr>
          <w:sz w:val="20"/>
          <w:szCs w:val="20"/>
          <w:color w:val="auto"/>
        </w:rPr>
      </w:pPr>
      <w:r>
        <w:rPr>
          <w:rFonts w:ascii="Arial" w:cs="Arial" w:eastAsia="Arial" w:hAnsi="Arial"/>
          <w:sz w:val="11"/>
          <w:szCs w:val="11"/>
          <w:color w:val="auto"/>
        </w:rPr>
        <w:t>It is not possible to predict with certainty the amount of additional investments in new or existing facilities or amounts of incremental operating costs to be incurred in the future to: prevent, control, reduce or eliminate releases of hazardous materials into the environment; comply with existing and new environmental laws or regulations; or remediate and restore areas damaged by prior releases of hazardous materials. Although these costs may be significant to the results of operations in any single period, the company does not expect them to have a material effect on the company’s liquidity or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0077C0"/>
        </w:rPr>
        <w:t>Critical Accounting Estimates and Assumptions</w:t>
      </w:r>
    </w:p>
    <w:p>
      <w:pPr>
        <w:spacing w:after="0" w:line="10"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Management makes many estimates and assumptions in the application of generally accepted accounting principles (GAAP) that may have a material impact on the company’s consolidated financial statements and related disclosures and on the comparability of such information over different reporting periods. All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1" w:lineRule="exact"/>
        <w:rPr>
          <w:sz w:val="20"/>
          <w:szCs w:val="20"/>
          <w:color w:val="auto"/>
        </w:rPr>
      </w:pPr>
    </w:p>
    <w:p>
      <w:pPr>
        <w:ind w:right="220" w:firstLine="158"/>
        <w:spacing w:after="0" w:line="267" w:lineRule="auto"/>
        <w:rPr>
          <w:sz w:val="20"/>
          <w:szCs w:val="20"/>
          <w:color w:val="auto"/>
        </w:rPr>
      </w:pPr>
      <w:r>
        <w:rPr>
          <w:rFonts w:ascii="Arial" w:cs="Arial" w:eastAsia="Arial" w:hAnsi="Arial"/>
          <w:sz w:val="12"/>
          <w:szCs w:val="12"/>
          <w:color w:val="auto"/>
        </w:rPr>
        <w:t>The discussion in this section of “critical” accounting estimates and assumptions is according to the disclosure guidelines of the Securities and Exchange Commission (SEC), wherein:</w:t>
      </w:r>
    </w:p>
    <w:p>
      <w:pPr>
        <w:ind w:left="420" w:right="40" w:hanging="212"/>
        <w:spacing w:after="0" w:line="246" w:lineRule="auto"/>
        <w:tabs>
          <w:tab w:leader="none" w:pos="4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nature of the estimates and assumptions is material due to the levels of subjectivity and judgment necessary to account for highly uncertain matters or the susceptibility of such matters to change; and</w:t>
      </w:r>
    </w:p>
    <w:p>
      <w:pPr>
        <w:spacing w:after="0" w:line="1" w:lineRule="exact"/>
        <w:rPr>
          <w:rFonts w:ascii="Arial" w:cs="Arial" w:eastAsia="Arial" w:hAnsi="Arial"/>
          <w:sz w:val="13"/>
          <w:szCs w:val="13"/>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impact of the estimates and assumptions on the company’s financial condition or operating</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performance is material.</w:t>
      </w:r>
    </w:p>
    <w:p>
      <w:pPr>
        <w:spacing w:after="0" w:line="4" w:lineRule="exact"/>
        <w:rPr>
          <w:sz w:val="20"/>
          <w:szCs w:val="20"/>
          <w:color w:val="auto"/>
        </w:rPr>
      </w:pPr>
    </w:p>
    <w:p>
      <w:pPr>
        <w:ind w:right="20" w:firstLine="160"/>
        <w:spacing w:after="0" w:line="267" w:lineRule="auto"/>
        <w:rPr>
          <w:sz w:val="20"/>
          <w:szCs w:val="20"/>
          <w:color w:val="auto"/>
        </w:rPr>
      </w:pPr>
      <w:r>
        <w:rPr>
          <w:rFonts w:ascii="Arial" w:cs="Arial" w:eastAsia="Arial" w:hAnsi="Arial"/>
          <w:sz w:val="12"/>
          <w:szCs w:val="12"/>
          <w:color w:val="auto"/>
        </w:rPr>
        <w:t>Besides those meeting these “critical” criteria, the company makes many other accounting estimates and assumptions in preparing its financial statements and related disclosures. Although not associated with “highly uncertain matters,” these estimates and assumptions are also subject to revision as circumstances warrant, and materially different results may sometimes occur.</w:t>
      </w:r>
    </w:p>
    <w:p>
      <w:pPr>
        <w:spacing w:after="0" w:line="1" w:lineRule="exact"/>
        <w:rPr>
          <w:sz w:val="20"/>
          <w:szCs w:val="20"/>
          <w:color w:val="auto"/>
        </w:rPr>
      </w:pPr>
    </w:p>
    <w:p>
      <w:pPr>
        <w:ind w:firstLine="160"/>
        <w:spacing w:after="0" w:line="309" w:lineRule="auto"/>
        <w:rPr>
          <w:sz w:val="20"/>
          <w:szCs w:val="20"/>
          <w:color w:val="auto"/>
        </w:rPr>
      </w:pPr>
      <w:r>
        <w:rPr>
          <w:rFonts w:ascii="Arial" w:cs="Arial" w:eastAsia="Arial" w:hAnsi="Arial"/>
          <w:sz w:val="11"/>
          <w:szCs w:val="11"/>
          <w:color w:val="auto"/>
        </w:rPr>
        <w:t>For example, the recording of deferred tax assets requires an assessment under the accounting rules that the future realization of the associated tax benefits be “more likely than not.” Another example is the estimation of crude oil and natural gas reserves under SEC rules, which require ”... by analysis of geosciences and engineering data, (the reserves) can be estimated with reasonable certainty to be economi-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93" w:lineRule="auto"/>
        <w:rPr>
          <w:sz w:val="20"/>
          <w:szCs w:val="20"/>
          <w:color w:val="auto"/>
        </w:rPr>
      </w:pPr>
      <w:r>
        <w:rPr>
          <w:rFonts w:ascii="Arial" w:cs="Arial" w:eastAsia="Arial" w:hAnsi="Arial"/>
          <w:sz w:val="11"/>
          <w:szCs w:val="11"/>
          <w:color w:val="auto"/>
        </w:rPr>
        <w:t>cally producible... under existing economic conditions” where existing economic conditions include prices based on the average price during the 12-month period prior to the end of the reporting period. Refer to Table V, “Reserve Quantity Information,” beginning on page FS-67, for the changes in these estimates for the three years ending December 31, 2011, and to Table VII, “Changes in the Standardized Measure of Discounted Future Net Cash Flows From Proved Reserves” on page FS-76 for estimates of proved-reserve values for each of the three years ended December 31, 2011. Note 1 to the Consolidated Financial Statements, beginning on page FS-28, includes a description of the “successful efforts” method of accounting for oil and gas exploration and production activities. The estimates of crude oil and natural gas reserves are important to the timing of expense recognition for costs incurred.</w:t>
      </w:r>
    </w:p>
    <w:p>
      <w:pPr>
        <w:spacing w:after="0" w:line="2"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discussion of the critical accounting policy for “Impairment of Properties, Plant and Equipment and Investments in Affiliates,” beginning on page FS-18, includes reference to conditions under which downward revisions of proved-reserve quantities could result in impairments of oil and gas properties. This commentary should be read in conjunction with disclosures elsewhere in this discussion and in the Notes to the Consolidated Financial Statements related to estimates, uncertainties, contingencies and new accounting standards. Significant accounting policies are discussed in Note 1 to the Consolidated Financial Statements, beginning on page FS-28. The development and selection of accounting estimates and assumptions, including those deemed “critical,” and the associated disclosures in this discussion have been discussed by management with the Audit Committee of the Board of Directors.</w:t>
      </w:r>
    </w:p>
    <w:p>
      <w:pPr>
        <w:spacing w:after="0" w:line="2" w:lineRule="exact"/>
        <w:rPr>
          <w:sz w:val="20"/>
          <w:szCs w:val="20"/>
          <w:color w:val="auto"/>
        </w:rPr>
      </w:pPr>
    </w:p>
    <w:p>
      <w:pPr>
        <w:ind w:right="120" w:firstLine="158"/>
        <w:spacing w:after="0" w:line="246" w:lineRule="auto"/>
        <w:rPr>
          <w:sz w:val="20"/>
          <w:szCs w:val="20"/>
          <w:color w:val="auto"/>
        </w:rPr>
      </w:pPr>
      <w:r>
        <w:rPr>
          <w:rFonts w:ascii="Arial" w:cs="Arial" w:eastAsia="Arial" w:hAnsi="Arial"/>
          <w:sz w:val="13"/>
          <w:szCs w:val="13"/>
          <w:color w:val="auto"/>
        </w:rPr>
        <w:t>The areas of accounting and the associated “critical” estimates and assumptions made by the company are as follows:</w:t>
      </w:r>
    </w:p>
    <w:p>
      <w:pPr>
        <w:spacing w:after="0" w:line="1" w:lineRule="exact"/>
        <w:rPr>
          <w:sz w:val="20"/>
          <w:szCs w:val="20"/>
          <w:color w:val="auto"/>
        </w:rPr>
      </w:pPr>
    </w:p>
    <w:p>
      <w:pPr>
        <w:ind w:right="120" w:firstLine="160"/>
        <w:spacing w:after="0" w:line="291" w:lineRule="auto"/>
        <w:rPr>
          <w:sz w:val="20"/>
          <w:szCs w:val="20"/>
          <w:color w:val="auto"/>
        </w:rPr>
      </w:pPr>
      <w:r>
        <w:rPr>
          <w:rFonts w:ascii="Arial" w:cs="Arial" w:eastAsia="Arial" w:hAnsi="Arial"/>
          <w:sz w:val="11"/>
          <w:szCs w:val="11"/>
          <w:i w:val="1"/>
          <w:iCs w:val="1"/>
          <w:color w:val="E51837"/>
        </w:rPr>
        <w:t xml:space="preserve">Pension and Other Postretirement Benefit Plans </w:t>
      </w:r>
      <w:r>
        <w:rPr>
          <w:rFonts w:ascii="Arial" w:cs="Arial" w:eastAsia="Arial" w:hAnsi="Arial"/>
          <w:sz w:val="11"/>
          <w:szCs w:val="11"/>
          <w:color w:val="000000"/>
        </w:rPr>
        <w:t>The determination of pension plan obligations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expense is based on a number of actuarial assumptions. Two critical assumptions are the expected long-term rate of return on plan assets and the discount rate applied to pension plan obligations. For other postretirement benefit (OPEB) plans, which provide for certain health care and life insurance benefits for qualifying retired employees and which are not funded, critical assumptions in determining OPEB obligations and expense are the discount rate and the assumed health care cost-trend rates.</w:t>
      </w:r>
    </w:p>
    <w:p>
      <w:pPr>
        <w:spacing w:after="0" w:line="2" w:lineRule="exact"/>
        <w:rPr>
          <w:sz w:val="20"/>
          <w:szCs w:val="20"/>
          <w:color w:val="auto"/>
        </w:rPr>
      </w:pPr>
    </w:p>
    <w:p>
      <w:pPr>
        <w:jc w:val="both"/>
        <w:ind w:right="60" w:firstLine="160"/>
        <w:spacing w:after="0" w:line="317" w:lineRule="auto"/>
        <w:rPr>
          <w:sz w:val="20"/>
          <w:szCs w:val="20"/>
          <w:color w:val="auto"/>
        </w:rPr>
      </w:pPr>
      <w:r>
        <w:rPr>
          <w:rFonts w:ascii="Arial" w:cs="Arial" w:eastAsia="Arial" w:hAnsi="Arial"/>
          <w:sz w:val="11"/>
          <w:szCs w:val="11"/>
          <w:color w:val="auto"/>
        </w:rPr>
        <w:t>Note 21, beginning on page FS-49, includes information on the funded status of the company’s pension and OPEB plans at the end of 2011 and 2010; the components of pension and OPEB expense for the three years ended December 31, 2011; and the underlying assumptions for those periods.</w:t>
      </w:r>
    </w:p>
    <w:p>
      <w:pPr>
        <w:spacing w:after="0" w:line="330" w:lineRule="exact"/>
        <w:rPr>
          <w:sz w:val="20"/>
          <w:szCs w:val="20"/>
          <w:color w:val="auto"/>
        </w:rPr>
      </w:pPr>
    </w:p>
    <w:p>
      <w:pPr>
        <w:sectPr>
          <w:pgSz w:w="11900" w:h="16838" w:orient="portrait"/>
          <w:cols w:equalWidth="0" w:num="2">
            <w:col w:w="5480" w:space="480"/>
            <w:col w:w="5520"/>
          </w:cols>
          <w:pgMar w:left="220" w:top="338" w:right="19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ind w:right="80" w:firstLine="160"/>
        <w:spacing w:after="0" w:line="293" w:lineRule="auto"/>
        <w:rPr>
          <w:sz w:val="20"/>
          <w:szCs w:val="20"/>
          <w:color w:val="auto"/>
        </w:rPr>
      </w:pPr>
      <w:r>
        <w:rPr>
          <w:rFonts w:ascii="Arial" w:cs="Arial" w:eastAsia="Arial" w:hAnsi="Arial"/>
          <w:sz w:val="11"/>
          <w:szCs w:val="11"/>
          <w:color w:val="auto"/>
        </w:rPr>
        <w:t>Pension and OPEB expense is reported on the Consolidated Statement of Income as “Operating expenses” or “Selling, general and administrative expenses” and applies to all business segments. The year-end 2011 and 2010 funded status, measured as the difference between plan assets and obligations, of each of the company’s pension and OPEB plans is recognized on the Consolidated Balance Sheet. The differences related to overfunded pension plans are reported as a long-term asset in “Deferred charges and other assets.” The differences associated with underfunded or unfunded pension and OPEB plans are reported as “Accrued liabilities” or “Reserves for employee benefit plans.” Amounts yet to be recognized as components of pension or OPEB expense are reported in “Accumulated other comprehensive loss.”</w:t>
      </w:r>
    </w:p>
    <w:p>
      <w:pPr>
        <w:spacing w:after="0" w:line="3" w:lineRule="exact"/>
        <w:rPr>
          <w:sz w:val="20"/>
          <w:szCs w:val="20"/>
          <w:color w:val="auto"/>
        </w:rPr>
      </w:pPr>
    </w:p>
    <w:p>
      <w:pPr>
        <w:ind w:right="20" w:firstLine="158"/>
        <w:spacing w:after="0" w:line="291" w:lineRule="auto"/>
        <w:rPr>
          <w:sz w:val="20"/>
          <w:szCs w:val="20"/>
          <w:color w:val="auto"/>
        </w:rPr>
      </w:pPr>
      <w:r>
        <w:rPr>
          <w:rFonts w:ascii="Arial" w:cs="Arial" w:eastAsia="Arial" w:hAnsi="Arial"/>
          <w:sz w:val="11"/>
          <w:szCs w:val="11"/>
          <w:color w:val="auto"/>
        </w:rPr>
        <w:t>To estimate the long-term rate of return on pension assets, the company uses a process that incorporates actual historical asset-class returns and an assessment of expected future performance and takes into consideration external actuarial advice and asset-class factors. Asset allocations are periodically updated using pension plan asset/liability studies, and the determination of the company’s estimates of long-term rates of return are consistent with these studies. The expected long-term rate of return on U.S. pension plan assets, which account for 70 percent of the company’s pension plan assets, has remained at 7.8 percent since 2002. For the 10 years ending December 31, 2011, actual asset returns averaged 5.0 percent for this plan. The actual return for 2011 was slightly negative and was associated with the broad decline in the financial markets in the second half of the year. Additionally, with the exception of two other years within this 10 year period, actual asset returns for this plan equaled or exceeded 7.8 percent.</w:t>
      </w:r>
    </w:p>
    <w:p>
      <w:pPr>
        <w:spacing w:after="0" w:line="4"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year-end market-related value of assets of the major U.S. pension plan used in the determination of pension expense was based on the market value in the preceding three months, as opposed to the maximum allowable period of five years under U.S. accounting rules. Management considers the three-month period long enough to minimize the effects of distortions from day-to-day market volatility and still be contemporaneous to the end of the year. For other plans, market value of assets as of year-end is used in calculating the pension expense.</w:t>
      </w:r>
    </w:p>
    <w:p>
      <w:pPr>
        <w:spacing w:after="0" w:line="1" w:lineRule="exact"/>
        <w:rPr>
          <w:sz w:val="20"/>
          <w:szCs w:val="20"/>
          <w:color w:val="auto"/>
        </w:rPr>
      </w:pPr>
    </w:p>
    <w:p>
      <w:pPr>
        <w:ind w:right="60" w:firstLine="158"/>
        <w:spacing w:after="0" w:line="267" w:lineRule="auto"/>
        <w:rPr>
          <w:sz w:val="20"/>
          <w:szCs w:val="20"/>
          <w:color w:val="auto"/>
        </w:rPr>
      </w:pPr>
      <w:r>
        <w:rPr>
          <w:rFonts w:ascii="Arial" w:cs="Arial" w:eastAsia="Arial" w:hAnsi="Arial"/>
          <w:sz w:val="12"/>
          <w:szCs w:val="12"/>
          <w:color w:val="auto"/>
        </w:rPr>
        <w:t>The discount rate assumptions used to determine U.S. and international pension and postretirement benefit plan obligations and expense reflect the prevailing rates available on high-quality fixed-income debt instruments. At December 31, 2011, the company selected a 3.8 percent discount rate for the major U.S. pension plan and 4.0 percent for its OPEB plan. These rates were selected based on a cash flow analysis that matched estimated future benefit payments to the Citigroup Pension Discount Yield Curve as of year-end 2011. The discount rates at the end of 2010 and 2009 were 4.8 percent and 5.3 percent, respectively, for the major U.S. pension plan, and 5.0 percent and 5.8 percent, respectively, for the company’s U.S. OPEB plan.</w:t>
      </w:r>
    </w:p>
    <w:p>
      <w:pPr>
        <w:spacing w:after="0" w:line="2" w:lineRule="exact"/>
        <w:rPr>
          <w:sz w:val="20"/>
          <w:szCs w:val="20"/>
          <w:color w:val="auto"/>
        </w:rPr>
      </w:pPr>
    </w:p>
    <w:p>
      <w:pPr>
        <w:ind w:right="140" w:firstLine="153"/>
        <w:spacing w:after="0" w:line="253" w:lineRule="auto"/>
        <w:rPr>
          <w:sz w:val="20"/>
          <w:szCs w:val="20"/>
          <w:color w:val="auto"/>
        </w:rPr>
      </w:pPr>
      <w:r>
        <w:rPr>
          <w:rFonts w:ascii="Arial" w:cs="Arial" w:eastAsia="Arial" w:hAnsi="Arial"/>
          <w:sz w:val="13"/>
          <w:szCs w:val="13"/>
          <w:color w:val="auto"/>
        </w:rPr>
        <w:t>An increase in the expected long-term return on plan assets or the discount rate would reduce pension plan expense, and vice versa. Total pension expense for 2011 was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120"/>
        <w:spacing w:after="0" w:line="249" w:lineRule="auto"/>
        <w:rPr>
          <w:sz w:val="20"/>
          <w:szCs w:val="20"/>
          <w:color w:val="auto"/>
        </w:rPr>
      </w:pPr>
      <w:r>
        <w:rPr>
          <w:rFonts w:ascii="Arial" w:cs="Arial" w:eastAsia="Arial" w:hAnsi="Arial"/>
          <w:sz w:val="13"/>
          <w:szCs w:val="13"/>
          <w:color w:val="auto"/>
        </w:rPr>
        <w:t>$1.2 billion. As an indication of the sensitivity of pension expense to the long-term rate of return assumption, a 1 percent increase in the expected rate of return on assets of the company’s primary U.S. pension plan would have reduced total pension plan expense for 2011 by approximately $75 million. A 1 percent increase in the discount rate for this same plan, which accounted for about 63 percent of the companywide pension obligation, would have reduced total pension plan expense for 2011 by approximately $145 million.</w:t>
      </w:r>
    </w:p>
    <w:p>
      <w:pPr>
        <w:ind w:firstLine="153"/>
        <w:spacing w:after="0" w:line="291" w:lineRule="auto"/>
        <w:rPr>
          <w:sz w:val="20"/>
          <w:szCs w:val="20"/>
          <w:color w:val="auto"/>
        </w:rPr>
      </w:pPr>
      <w:r>
        <w:rPr>
          <w:rFonts w:ascii="Arial" w:cs="Arial" w:eastAsia="Arial" w:hAnsi="Arial"/>
          <w:sz w:val="11"/>
          <w:szCs w:val="11"/>
          <w:color w:val="auto"/>
        </w:rPr>
        <w:t>An increase in the discount rate would decrease the pension obligation, thus changing the funded status of a plan reported on the Consolidated Balance Sheet. The aggregate funded status recognized on the Consolidated Balance Sheet at December 31, 2011, was a net liability of approximately $5.4 billion. As an indication of the sensitivity of pension liabilities to the discount rate assumption, a 0.25 percent increase in the discount rate applied to the company’s primary U.S. pension plan would have reduced the plan obligation by approximately $375 million, which would have decreased the plan’s underfunded status from approximately $2.5 billion to $2.1 billion. Other plans would be less underfunded as discount rates increase. The actual rates of return on plan assets and discount rates may vary significantly from estimates because of unanticipated changes in the world’s financial markets.</w:t>
      </w:r>
    </w:p>
    <w:p>
      <w:pPr>
        <w:spacing w:after="0" w:line="4"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In 2011, the company’s pension plan contributions were $1.5 billion (including $1.2 billion to the U.S. plans). In 2012, the company estimates contributions will be approximately $900 million. Actual contribution amounts are dependent upon investment results, changes in pension obligations, regulatory requirements and other economic factors. Additional funding may be required if investment returns are insufficient to offset increases in plan obligations.</w:t>
      </w:r>
    </w:p>
    <w:p>
      <w:pPr>
        <w:spacing w:after="0" w:line="3" w:lineRule="exact"/>
        <w:rPr>
          <w:sz w:val="20"/>
          <w:szCs w:val="20"/>
          <w:color w:val="auto"/>
        </w:rPr>
      </w:pPr>
    </w:p>
    <w:p>
      <w:pPr>
        <w:ind w:right="360" w:firstLine="160"/>
        <w:spacing w:after="0" w:line="267" w:lineRule="auto"/>
        <w:rPr>
          <w:sz w:val="20"/>
          <w:szCs w:val="20"/>
          <w:color w:val="auto"/>
        </w:rPr>
      </w:pPr>
      <w:r>
        <w:rPr>
          <w:rFonts w:ascii="Arial" w:cs="Arial" w:eastAsia="Arial" w:hAnsi="Arial"/>
          <w:sz w:val="12"/>
          <w:szCs w:val="12"/>
          <w:color w:val="auto"/>
        </w:rPr>
        <w:t>For the company’s OPEB plans, expense for 2011 was $220 million, and the total liability, which reflected the unfunded status of the plans at the end of 2011, was $3.8 billion.</w:t>
      </w:r>
    </w:p>
    <w:p>
      <w:pPr>
        <w:ind w:right="60" w:firstLine="153"/>
        <w:spacing w:after="0" w:line="291" w:lineRule="auto"/>
        <w:rPr>
          <w:sz w:val="20"/>
          <w:szCs w:val="20"/>
          <w:color w:val="auto"/>
        </w:rPr>
      </w:pPr>
      <w:r>
        <w:rPr>
          <w:rFonts w:ascii="Arial" w:cs="Arial" w:eastAsia="Arial" w:hAnsi="Arial"/>
          <w:sz w:val="11"/>
          <w:szCs w:val="11"/>
          <w:color w:val="auto"/>
        </w:rPr>
        <w:t>As an indication of discount rate sensitivity to the determination of OPEB expense in 2011, a 1 percent increase in the discount rate for the company’s primary U.S. OPEB plan, which accounted for about</w:t>
      </w:r>
    </w:p>
    <w:p>
      <w:pPr>
        <w:spacing w:after="0" w:line="1"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76 percent of the companywide OPEB expense, would have decreased OPEB expense by approximately $10 million. A 0.25 percent increase in the discount rate for the same plan, which accounted for about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81 percent of the companywide OPEB liabilities, would have decreased total OPEB liabilities at the end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2011 by approximately $75 million.</w:t>
      </w:r>
    </w:p>
    <w:p>
      <w:pPr>
        <w:spacing w:after="0" w:line="4" w:lineRule="exact"/>
        <w:rPr>
          <w:sz w:val="20"/>
          <w:szCs w:val="20"/>
          <w:color w:val="auto"/>
        </w:rPr>
      </w:pPr>
    </w:p>
    <w:p>
      <w:pPr>
        <w:ind w:right="60" w:firstLine="160"/>
        <w:spacing w:after="0" w:line="271" w:lineRule="auto"/>
        <w:rPr>
          <w:sz w:val="20"/>
          <w:szCs w:val="20"/>
          <w:color w:val="auto"/>
        </w:rPr>
      </w:pPr>
      <w:r>
        <w:rPr>
          <w:rFonts w:ascii="Arial" w:cs="Arial" w:eastAsia="Arial" w:hAnsi="Arial"/>
          <w:sz w:val="12"/>
          <w:szCs w:val="12"/>
          <w:color w:val="auto"/>
        </w:rPr>
        <w:t>For the main U.S. postretirement medical plan, the annual increase to company contributions is limited to 4 percent per year. For active employees and retirees under age 65 whose claims experiences are combined for rating purposes, the assumed health care cost-trend rates start with 8 percent in 2012 and gradually drop to 5 percent for 2023 and beyond. As an indication of the health care cost-trend rate sensitivity to the determination of OPEB expense in 2011, a 1 percent increase in the rates for the main U.S. OPEB plan, which accounted for 81 percent of the companywide OPEB liabilities, would have increased OPEB expense by $8 million.</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628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5990" cy="628650"/>
                    </a:xfrm>
                    <a:prstGeom prst="rect">
                      <a:avLst/>
                    </a:prstGeom>
                    <a:noFill/>
                  </pic:spPr>
                </pic:pic>
              </a:graphicData>
            </a:graphic>
          </wp:anchor>
        </w:drawing>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12"/>
          <w:szCs w:val="12"/>
          <w:color w:val="0077C0"/>
        </w:rPr>
        <w:t>Management’s Discussion and Analysis of</w:t>
      </w:r>
    </w:p>
    <w:p>
      <w:pPr>
        <w:ind w:left="140"/>
        <w:spacing w:after="0"/>
        <w:rPr>
          <w:sz w:val="20"/>
          <w:szCs w:val="20"/>
          <w:color w:val="auto"/>
        </w:rPr>
      </w:pPr>
      <w:r>
        <w:rPr>
          <w:rFonts w:ascii="Arial" w:cs="Arial" w:eastAsia="Arial" w:hAnsi="Arial"/>
          <w:sz w:val="10"/>
          <w:szCs w:val="10"/>
          <w:color w:val="0077C0"/>
        </w:rPr>
        <w:t>Financial Condition and Results of Operations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firstLine="160"/>
        <w:spacing w:after="0" w:line="269" w:lineRule="auto"/>
        <w:rPr>
          <w:sz w:val="20"/>
          <w:szCs w:val="20"/>
          <w:color w:val="auto"/>
        </w:rPr>
      </w:pPr>
      <w:r>
        <w:rPr>
          <w:rFonts w:ascii="Arial" w:cs="Arial" w:eastAsia="Arial" w:hAnsi="Arial"/>
          <w:sz w:val="12"/>
          <w:szCs w:val="12"/>
          <w:color w:val="auto"/>
        </w:rPr>
        <w:t>Differences between the various assumptions used to determine expense and the funded status of each plan and actual experience are not included in benefit plan costs in the year the difference occurs. Instead, the differences are included in actuarial gain/loss and unamortized amounts have been reflected in “Accumulated other comprehensive loss” on the Consolidated Balance Sheet. Refer to Note 21, beginning on page FS-49, for information on the $9.6 billion of before-tax actuarial losses recorded by the company as of December 31, 2011; a description of the method used to amortize those costs; and an estimate of the costs to be recognized in expense during 2012.</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Impairment of Properties, Plant and Equipment and Investments in Affiliates </w:t>
      </w:r>
      <w:r>
        <w:rPr>
          <w:rFonts w:ascii="Arial" w:cs="Arial" w:eastAsia="Arial" w:hAnsi="Arial"/>
          <w:sz w:val="12"/>
          <w:szCs w:val="12"/>
          <w:color w:val="000000"/>
        </w:rPr>
        <w:t>The company assesses its</w:t>
      </w:r>
      <w:r>
        <w:rPr>
          <w:rFonts w:ascii="Arial" w:cs="Arial" w:eastAsia="Arial" w:hAnsi="Arial"/>
          <w:sz w:val="12"/>
          <w:szCs w:val="12"/>
          <w:i w:val="1"/>
          <w:iCs w:val="1"/>
          <w:color w:val="E51837"/>
        </w:rPr>
        <w:t xml:space="preserve"> </w:t>
      </w:r>
      <w:r>
        <w:rPr>
          <w:rFonts w:ascii="Arial" w:cs="Arial" w:eastAsia="Arial" w:hAnsi="Arial"/>
          <w:sz w:val="12"/>
          <w:szCs w:val="12"/>
          <w:color w:val="000000"/>
        </w:rPr>
        <w:t>properties, plant and equipment (PP&amp;E) for possible impairment whenever events or changes in circumstances indicate that the carrying value of the assets may not be recoverable. Such indicators include changes in the company’s business plans, changes in commodity prices and, for crude oil and natural gas properties, significant downward revisions of estimated proved reserve quantities. If the carrying value of an asset exceeds the future undiscounted cash flows expected from the asset, an impairment charge is recorded for the excess of carrying value of the asset over its estimated fair value.</w:t>
      </w:r>
    </w:p>
    <w:p>
      <w:pPr>
        <w:spacing w:after="0" w:line="2" w:lineRule="exact"/>
        <w:rPr>
          <w:sz w:val="20"/>
          <w:szCs w:val="20"/>
          <w:color w:val="auto"/>
        </w:rPr>
      </w:pPr>
    </w:p>
    <w:p>
      <w:pPr>
        <w:ind w:right="40" w:firstLine="160"/>
        <w:spacing w:after="0" w:line="267" w:lineRule="auto"/>
        <w:rPr>
          <w:sz w:val="20"/>
          <w:szCs w:val="20"/>
          <w:color w:val="auto"/>
        </w:rPr>
      </w:pPr>
      <w:r>
        <w:rPr>
          <w:rFonts w:ascii="Arial" w:cs="Arial" w:eastAsia="Arial" w:hAnsi="Arial"/>
          <w:sz w:val="12"/>
          <w:szCs w:val="12"/>
          <w:color w:val="auto"/>
        </w:rPr>
        <w:t>Determination as to whether and how much an asset is impaired involves management estimates on highly uncertain matters, such as future commodity prices, the effects of inflation and technology improvements on operating expenses, production profiles, and the outlook for global or regional market supply-and-demand conditions for crude oil, natural gas, commodity chemicals and refined products. However, the impairment reviews and calculations are based on assumptions that are consistent with the company’s business plans and long-term investment decisions. Refer also to the discussion of impairments of properties, plant and equipment in Note 9 beginning on page FS-34.</w:t>
      </w:r>
    </w:p>
    <w:p>
      <w:pPr>
        <w:spacing w:after="0" w:line="2" w:lineRule="exact"/>
        <w:rPr>
          <w:sz w:val="20"/>
          <w:szCs w:val="20"/>
          <w:color w:val="auto"/>
        </w:rPr>
      </w:pPr>
    </w:p>
    <w:p>
      <w:pPr>
        <w:ind w:right="20" w:firstLine="160"/>
        <w:spacing w:after="0" w:line="247" w:lineRule="auto"/>
        <w:rPr>
          <w:sz w:val="20"/>
          <w:szCs w:val="20"/>
          <w:color w:val="auto"/>
        </w:rPr>
      </w:pPr>
      <w:r>
        <w:rPr>
          <w:rFonts w:ascii="Arial" w:cs="Arial" w:eastAsia="Arial" w:hAnsi="Arial"/>
          <w:sz w:val="13"/>
          <w:szCs w:val="13"/>
          <w:color w:val="auto"/>
        </w:rPr>
        <w:t>No major individual impairments of PP&amp;E and Investments were recorded for the three years ending December 31, 2011. A sensitivity analysis of the impact on earnings for these periods if other assumptions had been used in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firstLine="160"/>
        <w:spacing w:after="0" w:line="270" w:lineRule="auto"/>
        <w:rPr>
          <w:sz w:val="20"/>
          <w:szCs w:val="20"/>
          <w:color w:val="auto"/>
        </w:rPr>
      </w:pPr>
      <w:r>
        <w:rPr>
          <w:rFonts w:ascii="Arial" w:cs="Arial" w:eastAsia="Arial" w:hAnsi="Arial"/>
          <w:sz w:val="12"/>
          <w:szCs w:val="12"/>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When such a decline is deemed to be other than temporary, an impairment charge is recorded to the income statement for the difference between the investment’s carrying value and its estimated fair value at the time.</w:t>
      </w:r>
    </w:p>
    <w:p>
      <w:pPr>
        <w:spacing w:after="0" w:line="1"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Differing assumptions could affect whether an investment is impaired in any period or the amount of the impairment, and are not subject to sensitivity analysis.</w:t>
      </w:r>
    </w:p>
    <w:p>
      <w:pPr>
        <w:spacing w:after="0" w:line="3"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From time to time, the company performs impairment reviews and determines whether any write-down in the carrying value of an asset or asset group is required. For example, when significant downward revisions to crude oil and natural gas reserves are made for any single field or concession, an impairment review is performed to determine if the carrying value of the asset remains recoverable. Also, if the expectation of sale of a particular asset or asset group in any period has been deemed more likely than not, an impairment review is performed, and if the estimated net proceeds exceed the carrying value of the asset or asset group, no impairment charge is required. Such calculations are reviewed each period until the asset or asset group is disposed of. Assets that are not impaired on a held-and-used basis could possibly become impaired if a decision is made to sell such assets. That is, the assets would be impaired if they are classified as held-for-sale and the estimated proceeds from the sale, less costs to sell, are less than the assets’ associated carrying values.</w:t>
      </w:r>
    </w:p>
    <w:p>
      <w:pPr>
        <w:spacing w:after="0" w:line="3" w:lineRule="exact"/>
        <w:rPr>
          <w:sz w:val="20"/>
          <w:szCs w:val="20"/>
          <w:color w:val="auto"/>
        </w:rPr>
      </w:pPr>
    </w:p>
    <w:p>
      <w:pPr>
        <w:ind w:right="20" w:firstLine="160"/>
        <w:spacing w:after="0" w:line="291" w:lineRule="auto"/>
        <w:rPr>
          <w:sz w:val="20"/>
          <w:szCs w:val="20"/>
          <w:color w:val="auto"/>
        </w:rPr>
      </w:pPr>
      <w:r>
        <w:rPr>
          <w:rFonts w:ascii="Arial" w:cs="Arial" w:eastAsia="Arial" w:hAnsi="Arial"/>
          <w:sz w:val="11"/>
          <w:szCs w:val="11"/>
          <w:i w:val="1"/>
          <w:iCs w:val="1"/>
          <w:color w:val="E51837"/>
        </w:rPr>
        <w:t xml:space="preserve">Goodwill </w:t>
      </w:r>
      <w:r>
        <w:rPr>
          <w:rFonts w:ascii="Arial" w:cs="Arial" w:eastAsia="Arial" w:hAnsi="Arial"/>
          <w:sz w:val="11"/>
          <w:szCs w:val="11"/>
          <w:color w:val="000000"/>
        </w:rPr>
        <w:t>Goodwill resulting from a business combination is not subject to amortization. As required by</w:t>
      </w:r>
      <w:r>
        <w:rPr>
          <w:rFonts w:ascii="Arial" w:cs="Arial" w:eastAsia="Arial" w:hAnsi="Arial"/>
          <w:sz w:val="11"/>
          <w:szCs w:val="11"/>
          <w:i w:val="1"/>
          <w:iCs w:val="1"/>
          <w:color w:val="E51837"/>
        </w:rPr>
        <w:t xml:space="preserve"> </w:t>
      </w:r>
      <w:r>
        <w:rPr>
          <w:rFonts w:ascii="Arial" w:cs="Arial" w:eastAsia="Arial" w:hAnsi="Arial"/>
          <w:sz w:val="11"/>
          <w:szCs w:val="11"/>
          <w:color w:val="000000"/>
        </w:rPr>
        <w:t>accounting standards for goodwill (ASC 350), the company tests such goodwill at the reporting unit level for impairment on an annual basis and between annual tests if an event occurs or circumstances change that would more likely than not reduce the fair value of a reporting unit below its carrying amount.</w:t>
      </w:r>
    </w:p>
    <w:p>
      <w:pPr>
        <w:spacing w:after="0" w:line="2"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i w:val="1"/>
          <w:iCs w:val="1"/>
          <w:color w:val="E51837"/>
        </w:rPr>
        <w:t xml:space="preserve">Contingent Losses </w:t>
      </w:r>
      <w:r>
        <w:rPr>
          <w:rFonts w:ascii="Arial" w:cs="Arial" w:eastAsia="Arial" w:hAnsi="Arial"/>
          <w:sz w:val="13"/>
          <w:szCs w:val="13"/>
          <w:color w:val="000000"/>
        </w:rPr>
        <w:t>Management also makes judgments and estimates in recording liabilities for claims,</w:t>
      </w:r>
      <w:r>
        <w:rPr>
          <w:rFonts w:ascii="Arial" w:cs="Arial" w:eastAsia="Arial" w:hAnsi="Arial"/>
          <w:sz w:val="13"/>
          <w:szCs w:val="13"/>
          <w:i w:val="1"/>
          <w:iCs w:val="1"/>
          <w:color w:val="E51837"/>
        </w:rPr>
        <w:t xml:space="preserve"> </w:t>
      </w:r>
      <w:r>
        <w:rPr>
          <w:rFonts w:ascii="Arial" w:cs="Arial" w:eastAsia="Arial" w:hAnsi="Arial"/>
          <w:sz w:val="13"/>
          <w:szCs w:val="13"/>
          <w:color w:val="000000"/>
        </w:rPr>
        <w:t>litigation, tax matters and environmental remediation. Actual costs can frequently vary from estimates for a variety of reasons. For</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example, the costs from settlement of claims and litigation can vary from estimates based on differing interpretations of laws, opinions on culpability and assessments on the amount of damages.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2" w:lineRule="exact"/>
        <w:rPr>
          <w:sz w:val="20"/>
          <w:szCs w:val="20"/>
          <w:color w:val="auto"/>
        </w:rPr>
      </w:pPr>
    </w:p>
    <w:p>
      <w:pPr>
        <w:ind w:right="60" w:firstLine="160"/>
        <w:spacing w:after="0" w:line="272" w:lineRule="auto"/>
        <w:rPr>
          <w:sz w:val="20"/>
          <w:szCs w:val="20"/>
          <w:color w:val="auto"/>
        </w:rPr>
      </w:pPr>
      <w:r>
        <w:rPr>
          <w:rFonts w:ascii="Arial" w:cs="Arial" w:eastAsia="Arial" w:hAnsi="Arial"/>
          <w:sz w:val="12"/>
          <w:szCs w:val="12"/>
          <w:color w:val="auto"/>
        </w:rPr>
        <w:t>Under the accounting rules, a liability is generally recorded for these types of contingencies if management determines the loss to be both probable and estimable. The company generally reports these losses as “Operating expenses” or “Selling, general and administrative expenses” on the Consolidated Statement of Income. An exception to this handling is for income tax matters, for which benefits are recognized only if management determines the tax position is “more likely than not” (i.e., likelihood greater than 50 percent) to be allowed by the tax jurisdiction. For additional</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60"/>
        <w:spacing w:after="0" w:line="250" w:lineRule="auto"/>
        <w:rPr>
          <w:sz w:val="20"/>
          <w:szCs w:val="20"/>
          <w:color w:val="auto"/>
        </w:rPr>
      </w:pPr>
      <w:r>
        <w:rPr>
          <w:rFonts w:ascii="Arial" w:cs="Arial" w:eastAsia="Arial" w:hAnsi="Arial"/>
          <w:sz w:val="13"/>
          <w:szCs w:val="13"/>
          <w:color w:val="auto"/>
        </w:rPr>
        <w:t>discussion of income tax uncertainties, refer to Note 15 beginning on page FS-43. Refer also to the business segment discussions elsewhere in this section for the effect on earnings from losses associated with certain litigation, environmental remediation and tax matters for the three years ended December 31, 2011.</w:t>
      </w:r>
    </w:p>
    <w:p>
      <w:pPr>
        <w:spacing w:after="0" w:line="1" w:lineRule="exact"/>
        <w:rPr>
          <w:sz w:val="20"/>
          <w:szCs w:val="20"/>
          <w:color w:val="auto"/>
        </w:rPr>
      </w:pPr>
    </w:p>
    <w:p>
      <w:pPr>
        <w:ind w:left="360" w:firstLine="153"/>
        <w:spacing w:after="0" w:line="276" w:lineRule="auto"/>
        <w:rPr>
          <w:sz w:val="20"/>
          <w:szCs w:val="20"/>
          <w:color w:val="auto"/>
        </w:rPr>
      </w:pPr>
      <w:r>
        <w:rPr>
          <w:rFonts w:ascii="Arial" w:cs="Arial" w:eastAsia="Arial" w:hAnsi="Arial"/>
          <w:sz w:val="12"/>
          <w:szCs w:val="12"/>
          <w:color w:val="auto"/>
        </w:rPr>
        <w:t>An estimate as to the sensitivity to earnings for these periods if other assumptions had been used in recording these liabilities is not practicable because of the number of contingencies that must be assessed, the number of underlying assumptions and the wide range of reasonably possible outcomes, both in terms of the probability of loss and the estimates of such loss.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77C0"/>
        </w:rPr>
        <w:t>New Accounting Standards</w:t>
      </w:r>
    </w:p>
    <w:p>
      <w:pPr>
        <w:spacing w:after="0" w:line="10" w:lineRule="exact"/>
        <w:rPr>
          <w:sz w:val="20"/>
          <w:szCs w:val="20"/>
          <w:color w:val="auto"/>
        </w:rPr>
      </w:pPr>
    </w:p>
    <w:p>
      <w:pPr>
        <w:ind w:left="360" w:right="300"/>
        <w:spacing w:after="0" w:line="251" w:lineRule="auto"/>
        <w:rPr>
          <w:sz w:val="20"/>
          <w:szCs w:val="20"/>
          <w:color w:val="auto"/>
        </w:rPr>
      </w:pPr>
      <w:r>
        <w:rPr>
          <w:rFonts w:ascii="Arial" w:cs="Arial" w:eastAsia="Arial" w:hAnsi="Arial"/>
          <w:sz w:val="13"/>
          <w:szCs w:val="13"/>
          <w:color w:val="auto"/>
        </w:rPr>
        <w:t>Refer to Note 18, on page FS-47 in the Notes to Consolidated Financial Statements, for information regarding new accounting standards.</w:t>
      </w:r>
    </w:p>
    <w:p>
      <w:pPr>
        <w:spacing w:after="0" w:line="276" w:lineRule="exact"/>
        <w:rPr>
          <w:sz w:val="20"/>
          <w:szCs w:val="20"/>
          <w:color w:val="auto"/>
        </w:rPr>
      </w:pPr>
    </w:p>
    <w:p>
      <w:pPr>
        <w:spacing w:after="0"/>
        <w:rPr>
          <w:sz w:val="20"/>
          <w:szCs w:val="20"/>
          <w:color w:val="auto"/>
        </w:rPr>
      </w:pPr>
      <w:r>
        <w:rPr>
          <w:rFonts w:ascii="Arial" w:cs="Arial" w:eastAsia="Arial" w:hAnsi="Arial"/>
          <w:sz w:val="10"/>
          <w:szCs w:val="10"/>
          <w:color w:val="auto"/>
        </w:rPr>
        <w:t>FS-19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92710</wp:posOffset>
            </wp:positionV>
            <wp:extent cx="729297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40" w:space="160"/>
            <w:col w:w="5780"/>
          </w:cols>
          <w:pgMar w:left="220" w:top="339" w:right="29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Quarterly Results and Stock Market Data</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329805" cy="2886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805" cy="2886075"/>
                    </a:xfrm>
                    <a:prstGeom prst="rect">
                      <a:avLst/>
                    </a:prstGeom>
                    <a:noFill/>
                  </pic:spPr>
                </pic:pic>
              </a:graphicData>
            </a:graphic>
          </wp:anchor>
        </w:drawing>
      </w: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109"/>
        </w:trPr>
        <w:tc>
          <w:tcPr>
            <w:tcW w:w="2400" w:type="dxa"/>
            <w:vAlign w:val="bottom"/>
            <w:vMerge w:val="restart"/>
          </w:tcPr>
          <w:p>
            <w:pPr>
              <w:spacing w:after="0"/>
              <w:rPr>
                <w:sz w:val="20"/>
                <w:szCs w:val="20"/>
                <w:color w:val="auto"/>
              </w:rPr>
            </w:pPr>
            <w:r>
              <w:rPr>
                <w:rFonts w:ascii="Arial" w:cs="Arial" w:eastAsia="Arial" w:hAnsi="Arial"/>
                <w:sz w:val="9"/>
                <w:szCs w:val="9"/>
                <w:i w:val="1"/>
                <w:iCs w:val="1"/>
                <w:color w:val="auto"/>
              </w:rPr>
              <w:t>Millions of dollars, except per-share amounts</w:t>
            </w:r>
          </w:p>
        </w:tc>
        <w:tc>
          <w:tcPr>
            <w:tcW w:w="360" w:type="dxa"/>
            <w:vAlign w:val="bottom"/>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b w:val="1"/>
                <w:bCs w:val="1"/>
                <w:color w:val="auto"/>
              </w:rPr>
              <w:t>2011</w:t>
            </w:r>
          </w:p>
        </w:tc>
        <w:tc>
          <w:tcPr>
            <w:tcW w:w="40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86"/>
        </w:trPr>
        <w:tc>
          <w:tcPr>
            <w:tcW w:w="2400" w:type="dxa"/>
            <w:vAlign w:val="bottom"/>
            <w:tcBorders>
              <w:bottom w:val="single" w:sz="8" w:color="0077C0"/>
            </w:tcBorders>
            <w:vMerge w:val="continue"/>
          </w:tcPr>
          <w:p>
            <w:pPr>
              <w:spacing w:after="0"/>
              <w:rPr>
                <w:sz w:val="7"/>
                <w:szCs w:val="7"/>
                <w:color w:val="auto"/>
              </w:rPr>
            </w:pPr>
          </w:p>
        </w:tc>
        <w:tc>
          <w:tcPr>
            <w:tcW w:w="360" w:type="dxa"/>
            <w:vAlign w:val="bottom"/>
            <w:tcBorders>
              <w:bottom w:val="single" w:sz="8" w:color="0077C0"/>
            </w:tcBorders>
          </w:tcPr>
          <w:p>
            <w:pPr>
              <w:spacing w:after="0"/>
              <w:rPr>
                <w:sz w:val="7"/>
                <w:szCs w:val="7"/>
                <w:color w:val="auto"/>
              </w:rPr>
            </w:pPr>
          </w:p>
        </w:tc>
        <w:tc>
          <w:tcPr>
            <w:tcW w:w="220" w:type="dxa"/>
            <w:vAlign w:val="bottom"/>
            <w:tcBorders>
              <w:bottom w:val="single" w:sz="8" w:color="0077C0"/>
            </w:tcBorders>
          </w:tcPr>
          <w:p>
            <w:pPr>
              <w:spacing w:after="0"/>
              <w:rPr>
                <w:sz w:val="7"/>
                <w:szCs w:val="7"/>
                <w:color w:val="auto"/>
              </w:rPr>
            </w:pPr>
          </w:p>
        </w:tc>
        <w:tc>
          <w:tcPr>
            <w:tcW w:w="700" w:type="dxa"/>
            <w:vAlign w:val="bottom"/>
            <w:tcBorders>
              <w:bottom w:val="single" w:sz="8" w:color="0077C0"/>
            </w:tcBorders>
          </w:tcPr>
          <w:p>
            <w:pPr>
              <w:jc w:val="right"/>
              <w:ind w:right="190"/>
              <w:spacing w:after="0" w:line="86" w:lineRule="exact"/>
              <w:rPr>
                <w:sz w:val="20"/>
                <w:szCs w:val="20"/>
                <w:color w:val="auto"/>
              </w:rPr>
            </w:pPr>
            <w:r>
              <w:rPr>
                <w:rFonts w:ascii="Arial" w:cs="Arial" w:eastAsia="Arial" w:hAnsi="Arial"/>
                <w:sz w:val="9"/>
                <w:szCs w:val="9"/>
                <w:b w:val="1"/>
                <w:bCs w:val="1"/>
                <w:color w:val="auto"/>
              </w:rPr>
              <w:t>4th Q</w:t>
            </w:r>
          </w:p>
        </w:tc>
        <w:tc>
          <w:tcPr>
            <w:tcW w:w="460" w:type="dxa"/>
            <w:vAlign w:val="bottom"/>
            <w:tcBorders>
              <w:bottom w:val="single" w:sz="8" w:color="0077C0"/>
            </w:tcBorders>
          </w:tcPr>
          <w:p>
            <w:pPr>
              <w:spacing w:after="0"/>
              <w:rPr>
                <w:sz w:val="7"/>
                <w:szCs w:val="7"/>
                <w:color w:val="auto"/>
              </w:rPr>
            </w:pPr>
          </w:p>
        </w:tc>
        <w:tc>
          <w:tcPr>
            <w:tcW w:w="680" w:type="dxa"/>
            <w:vAlign w:val="bottom"/>
            <w:tcBorders>
              <w:bottom w:val="single" w:sz="8" w:color="0077C0"/>
            </w:tcBorders>
          </w:tcPr>
          <w:p>
            <w:pPr>
              <w:jc w:val="right"/>
              <w:ind w:right="170"/>
              <w:spacing w:after="0" w:line="86" w:lineRule="exact"/>
              <w:rPr>
                <w:sz w:val="20"/>
                <w:szCs w:val="20"/>
                <w:color w:val="auto"/>
              </w:rPr>
            </w:pPr>
            <w:r>
              <w:rPr>
                <w:rFonts w:ascii="Arial" w:cs="Arial" w:eastAsia="Arial" w:hAnsi="Arial"/>
                <w:sz w:val="9"/>
                <w:szCs w:val="9"/>
                <w:b w:val="1"/>
                <w:bCs w:val="1"/>
                <w:color w:val="auto"/>
              </w:rPr>
              <w:t>3rd Q</w:t>
            </w:r>
          </w:p>
        </w:tc>
        <w:tc>
          <w:tcPr>
            <w:tcW w:w="460" w:type="dxa"/>
            <w:vAlign w:val="bottom"/>
            <w:tcBorders>
              <w:bottom w:val="single" w:sz="8" w:color="0077C0"/>
            </w:tcBorders>
          </w:tcPr>
          <w:p>
            <w:pPr>
              <w:spacing w:after="0"/>
              <w:rPr>
                <w:sz w:val="7"/>
                <w:szCs w:val="7"/>
                <w:color w:val="auto"/>
              </w:rPr>
            </w:pPr>
          </w:p>
        </w:tc>
        <w:tc>
          <w:tcPr>
            <w:tcW w:w="700" w:type="dxa"/>
            <w:vAlign w:val="bottom"/>
            <w:tcBorders>
              <w:bottom w:val="single" w:sz="8" w:color="0077C0"/>
            </w:tcBorders>
          </w:tcPr>
          <w:p>
            <w:pPr>
              <w:jc w:val="right"/>
              <w:ind w:right="190"/>
              <w:spacing w:after="0" w:line="86" w:lineRule="exact"/>
              <w:rPr>
                <w:sz w:val="20"/>
                <w:szCs w:val="20"/>
                <w:color w:val="auto"/>
              </w:rPr>
            </w:pPr>
            <w:r>
              <w:rPr>
                <w:rFonts w:ascii="Arial" w:cs="Arial" w:eastAsia="Arial" w:hAnsi="Arial"/>
                <w:sz w:val="9"/>
                <w:szCs w:val="9"/>
                <w:b w:val="1"/>
                <w:bCs w:val="1"/>
                <w:color w:val="auto"/>
              </w:rPr>
              <w:t>2nd Q</w:t>
            </w:r>
          </w:p>
        </w:tc>
        <w:tc>
          <w:tcPr>
            <w:tcW w:w="460" w:type="dxa"/>
            <w:vAlign w:val="bottom"/>
            <w:tcBorders>
              <w:bottom w:val="single" w:sz="8" w:color="0077C0"/>
            </w:tcBorders>
          </w:tcPr>
          <w:p>
            <w:pPr>
              <w:spacing w:after="0"/>
              <w:rPr>
                <w:sz w:val="7"/>
                <w:szCs w:val="7"/>
                <w:color w:val="auto"/>
              </w:rPr>
            </w:pPr>
          </w:p>
        </w:tc>
        <w:tc>
          <w:tcPr>
            <w:tcW w:w="640" w:type="dxa"/>
            <w:vAlign w:val="bottom"/>
            <w:tcBorders>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1st Q</w:t>
            </w:r>
          </w:p>
        </w:tc>
        <w:tc>
          <w:tcPr>
            <w:tcW w:w="400" w:type="dxa"/>
            <w:vAlign w:val="bottom"/>
            <w:tcBorders>
              <w:bottom w:val="single" w:sz="8" w:color="0077C0"/>
            </w:tcBorders>
          </w:tcPr>
          <w:p>
            <w:pPr>
              <w:spacing w:after="0"/>
              <w:rPr>
                <w:sz w:val="7"/>
                <w:szCs w:val="7"/>
                <w:color w:val="auto"/>
              </w:rPr>
            </w:pPr>
          </w:p>
        </w:tc>
        <w:tc>
          <w:tcPr>
            <w:tcW w:w="700" w:type="dxa"/>
            <w:vAlign w:val="bottom"/>
            <w:tcBorders>
              <w:bottom w:val="single" w:sz="8" w:color="0077C0"/>
            </w:tcBorders>
          </w:tcPr>
          <w:p>
            <w:pPr>
              <w:jc w:val="right"/>
              <w:ind w:right="190"/>
              <w:spacing w:after="0" w:line="86" w:lineRule="exact"/>
              <w:rPr>
                <w:sz w:val="20"/>
                <w:szCs w:val="20"/>
                <w:color w:val="auto"/>
              </w:rPr>
            </w:pPr>
            <w:r>
              <w:rPr>
                <w:rFonts w:ascii="Arial" w:cs="Arial" w:eastAsia="Arial" w:hAnsi="Arial"/>
                <w:sz w:val="9"/>
                <w:szCs w:val="9"/>
                <w:color w:val="auto"/>
              </w:rPr>
              <w:t>4th Q</w:t>
            </w:r>
          </w:p>
        </w:tc>
        <w:tc>
          <w:tcPr>
            <w:tcW w:w="460" w:type="dxa"/>
            <w:vAlign w:val="bottom"/>
            <w:tcBorders>
              <w:bottom w:val="single" w:sz="8" w:color="0077C0"/>
            </w:tcBorders>
          </w:tcPr>
          <w:p>
            <w:pPr>
              <w:spacing w:after="0"/>
              <w:rPr>
                <w:sz w:val="7"/>
                <w:szCs w:val="7"/>
                <w:color w:val="auto"/>
              </w:rPr>
            </w:pPr>
          </w:p>
        </w:tc>
        <w:tc>
          <w:tcPr>
            <w:tcW w:w="700" w:type="dxa"/>
            <w:vAlign w:val="bottom"/>
            <w:tcBorders>
              <w:bottom w:val="single" w:sz="8" w:color="0077C0"/>
            </w:tcBorders>
          </w:tcPr>
          <w:p>
            <w:pPr>
              <w:jc w:val="right"/>
              <w:ind w:right="190"/>
              <w:spacing w:after="0" w:line="86" w:lineRule="exact"/>
              <w:rPr>
                <w:sz w:val="20"/>
                <w:szCs w:val="20"/>
                <w:color w:val="auto"/>
              </w:rPr>
            </w:pPr>
            <w:r>
              <w:rPr>
                <w:rFonts w:ascii="Arial" w:cs="Arial" w:eastAsia="Arial" w:hAnsi="Arial"/>
                <w:sz w:val="9"/>
                <w:szCs w:val="9"/>
                <w:color w:val="auto"/>
              </w:rPr>
              <w:t>3rd Q</w:t>
            </w:r>
          </w:p>
        </w:tc>
        <w:tc>
          <w:tcPr>
            <w:tcW w:w="440" w:type="dxa"/>
            <w:vAlign w:val="bottom"/>
            <w:tcBorders>
              <w:bottom w:val="single" w:sz="8" w:color="0077C0"/>
            </w:tcBorders>
          </w:tcPr>
          <w:p>
            <w:pPr>
              <w:spacing w:after="0"/>
              <w:rPr>
                <w:sz w:val="7"/>
                <w:szCs w:val="7"/>
                <w:color w:val="auto"/>
              </w:rPr>
            </w:pPr>
          </w:p>
        </w:tc>
        <w:tc>
          <w:tcPr>
            <w:tcW w:w="680" w:type="dxa"/>
            <w:vAlign w:val="bottom"/>
            <w:tcBorders>
              <w:bottom w:val="single" w:sz="8" w:color="0077C0"/>
            </w:tcBorders>
          </w:tcPr>
          <w:p>
            <w:pPr>
              <w:jc w:val="right"/>
              <w:ind w:right="170"/>
              <w:spacing w:after="0" w:line="86" w:lineRule="exact"/>
              <w:rPr>
                <w:sz w:val="20"/>
                <w:szCs w:val="20"/>
                <w:color w:val="auto"/>
              </w:rPr>
            </w:pPr>
            <w:r>
              <w:rPr>
                <w:rFonts w:ascii="Arial" w:cs="Arial" w:eastAsia="Arial" w:hAnsi="Arial"/>
                <w:sz w:val="9"/>
                <w:szCs w:val="9"/>
                <w:color w:val="auto"/>
              </w:rPr>
              <w:t>2nd Q</w:t>
            </w:r>
          </w:p>
        </w:tc>
        <w:tc>
          <w:tcPr>
            <w:tcW w:w="460" w:type="dxa"/>
            <w:vAlign w:val="bottom"/>
            <w:tcBorders>
              <w:bottom w:val="single" w:sz="8" w:color="0077C0"/>
            </w:tcBorders>
          </w:tcPr>
          <w:p>
            <w:pPr>
              <w:spacing w:after="0"/>
              <w:rPr>
                <w:sz w:val="7"/>
                <w:szCs w:val="7"/>
                <w:color w:val="auto"/>
              </w:rPr>
            </w:pPr>
          </w:p>
        </w:tc>
        <w:tc>
          <w:tcPr>
            <w:tcW w:w="44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1st Q</w:t>
            </w:r>
          </w:p>
        </w:tc>
        <w:tc>
          <w:tcPr>
            <w:tcW w:w="0" w:type="dxa"/>
            <w:vAlign w:val="bottom"/>
          </w:tcPr>
          <w:p>
            <w:pPr>
              <w:spacing w:after="0"/>
              <w:rPr>
                <w:sz w:val="1"/>
                <w:szCs w:val="1"/>
                <w:color w:val="auto"/>
              </w:rPr>
            </w:pPr>
          </w:p>
        </w:tc>
      </w:tr>
      <w:tr>
        <w:trPr>
          <w:trHeight w:val="105"/>
        </w:trPr>
        <w:tc>
          <w:tcPr>
            <w:tcW w:w="240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Revenues and Other Income</w:t>
            </w:r>
          </w:p>
        </w:tc>
        <w:tc>
          <w:tcPr>
            <w:tcW w:w="580" w:type="dxa"/>
            <w:vAlign w:val="bottom"/>
            <w:gridSpan w:val="2"/>
            <w:vMerge w:val="restart"/>
          </w:tcPr>
          <w:p>
            <w:pPr>
              <w:ind w:left="360"/>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58,027</w:t>
            </w:r>
          </w:p>
        </w:tc>
        <w:tc>
          <w:tcPr>
            <w:tcW w:w="46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61,261</w:t>
            </w:r>
          </w:p>
        </w:tc>
        <w:tc>
          <w:tcPr>
            <w:tcW w:w="4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66,671</w:t>
            </w:r>
          </w:p>
        </w:tc>
        <w:tc>
          <w:tcPr>
            <w:tcW w:w="4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58,412</w:t>
            </w:r>
          </w:p>
        </w:tc>
        <w:tc>
          <w:tcPr>
            <w:tcW w:w="400" w:type="dxa"/>
            <w:vAlign w:val="bottom"/>
            <w:vMerge w:val="restart"/>
          </w:tcPr>
          <w:p>
            <w:pPr>
              <w:ind w:left="160"/>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color w:val="auto"/>
              </w:rPr>
              <w:t>51,852</w:t>
            </w:r>
          </w:p>
        </w:tc>
        <w:tc>
          <w:tcPr>
            <w:tcW w:w="46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color w:val="auto"/>
              </w:rPr>
              <w:t>48,554</w:t>
            </w:r>
          </w:p>
        </w:tc>
        <w:tc>
          <w:tcPr>
            <w:tcW w:w="44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70"/>
              <w:spacing w:after="0"/>
              <w:rPr>
                <w:sz w:val="20"/>
                <w:szCs w:val="20"/>
                <w:color w:val="auto"/>
              </w:rPr>
            </w:pPr>
            <w:r>
              <w:rPr>
                <w:rFonts w:ascii="Arial" w:cs="Arial" w:eastAsia="Arial" w:hAnsi="Arial"/>
                <w:sz w:val="10"/>
                <w:szCs w:val="10"/>
                <w:color w:val="auto"/>
              </w:rPr>
              <w:t>51,051</w:t>
            </w:r>
          </w:p>
        </w:tc>
        <w:tc>
          <w:tcPr>
            <w:tcW w:w="460" w:type="dxa"/>
            <w:vAlign w:val="bottom"/>
            <w:vMerge w:val="restart"/>
          </w:tcPr>
          <w:p>
            <w:pPr>
              <w:ind w:left="22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46,741</w:t>
            </w:r>
          </w:p>
        </w:tc>
        <w:tc>
          <w:tcPr>
            <w:tcW w:w="0" w:type="dxa"/>
            <w:vAlign w:val="bottom"/>
          </w:tcPr>
          <w:p>
            <w:pPr>
              <w:spacing w:after="0"/>
              <w:rPr>
                <w:sz w:val="1"/>
                <w:szCs w:val="1"/>
                <w:color w:val="auto"/>
              </w:rPr>
            </w:pPr>
          </w:p>
        </w:tc>
      </w:tr>
      <w:tr>
        <w:trPr>
          <w:trHeight w:val="91"/>
        </w:trPr>
        <w:tc>
          <w:tcPr>
            <w:tcW w:w="2400" w:type="dxa"/>
            <w:vAlign w:val="bottom"/>
          </w:tcPr>
          <w:p>
            <w:pPr>
              <w:ind w:left="140"/>
              <w:spacing w:after="0" w:line="91" w:lineRule="exact"/>
              <w:rPr>
                <w:sz w:val="20"/>
                <w:szCs w:val="20"/>
                <w:color w:val="auto"/>
              </w:rPr>
            </w:pPr>
            <w:r>
              <w:rPr>
                <w:rFonts w:ascii="Arial" w:cs="Arial" w:eastAsia="Arial" w:hAnsi="Arial"/>
                <w:sz w:val="10"/>
                <w:szCs w:val="10"/>
                <w:color w:val="auto"/>
              </w:rPr>
              <w:t>Sales and other operating revenues</w:t>
            </w:r>
            <w:r>
              <w:rPr>
                <w:rFonts w:ascii="Arial" w:cs="Arial" w:eastAsia="Arial" w:hAnsi="Arial"/>
                <w:sz w:val="8"/>
                <w:szCs w:val="8"/>
                <w:color w:val="auto"/>
              </w:rPr>
              <w:t>1</w:t>
            </w: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Income from equity affiliates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1,567</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2,227</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1,882</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1,687</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1,510</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1,242</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1,650</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1,235</w:t>
            </w:r>
          </w:p>
        </w:tc>
        <w:tc>
          <w:tcPr>
            <w:tcW w:w="0" w:type="dxa"/>
            <w:vAlign w:val="bottom"/>
          </w:tcPr>
          <w:p>
            <w:pPr>
              <w:spacing w:after="0"/>
              <w:rPr>
                <w:sz w:val="1"/>
                <w:szCs w:val="1"/>
                <w:color w:val="auto"/>
              </w:rPr>
            </w:pPr>
          </w:p>
        </w:tc>
      </w:tr>
      <w:tr>
        <w:trPr>
          <w:trHeight w:val="120"/>
        </w:trPr>
        <w:tc>
          <w:tcPr>
            <w:tcW w:w="24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Other income</w:t>
            </w:r>
          </w:p>
        </w:tc>
        <w:tc>
          <w:tcPr>
            <w:tcW w:w="36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391</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944</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395</w:t>
            </w:r>
          </w:p>
        </w:tc>
        <w:tc>
          <w:tcPr>
            <w:tcW w:w="4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242</w:t>
            </w:r>
          </w:p>
        </w:tc>
        <w:tc>
          <w:tcPr>
            <w:tcW w:w="4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665</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(78)</w:t>
            </w:r>
          </w:p>
        </w:tc>
        <w:tc>
          <w:tcPr>
            <w:tcW w:w="4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303</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203</w:t>
            </w:r>
          </w:p>
        </w:tc>
        <w:tc>
          <w:tcPr>
            <w:tcW w:w="0" w:type="dxa"/>
            <w:vAlign w:val="bottom"/>
          </w:tcPr>
          <w:p>
            <w:pPr>
              <w:spacing w:after="0"/>
              <w:rPr>
                <w:sz w:val="1"/>
                <w:szCs w:val="1"/>
                <w:color w:val="auto"/>
              </w:rPr>
            </w:pPr>
          </w:p>
        </w:tc>
      </w:tr>
      <w:tr>
        <w:trPr>
          <w:trHeight w:val="105"/>
        </w:trPr>
        <w:tc>
          <w:tcPr>
            <w:tcW w:w="240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Revenues and Other Income</w:t>
            </w:r>
          </w:p>
        </w:tc>
        <w:tc>
          <w:tcPr>
            <w:tcW w:w="36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59,985</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64,432</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68,948</w:t>
            </w:r>
          </w:p>
        </w:tc>
        <w:tc>
          <w:tcPr>
            <w:tcW w:w="46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60,341</w:t>
            </w:r>
          </w:p>
        </w:tc>
        <w:tc>
          <w:tcPr>
            <w:tcW w:w="40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54,027</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49,718</w:t>
            </w:r>
          </w:p>
        </w:tc>
        <w:tc>
          <w:tcPr>
            <w:tcW w:w="44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53,004</w:t>
            </w:r>
          </w:p>
        </w:tc>
        <w:tc>
          <w:tcPr>
            <w:tcW w:w="4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48,179</w:t>
            </w:r>
          </w:p>
        </w:tc>
        <w:tc>
          <w:tcPr>
            <w:tcW w:w="0" w:type="dxa"/>
            <w:vAlign w:val="bottom"/>
          </w:tcPr>
          <w:p>
            <w:pPr>
              <w:spacing w:after="0"/>
              <w:rPr>
                <w:sz w:val="1"/>
                <w:szCs w:val="1"/>
                <w:color w:val="auto"/>
              </w:rPr>
            </w:pPr>
          </w:p>
        </w:tc>
      </w:tr>
      <w:tr>
        <w:trPr>
          <w:trHeight w:val="105"/>
        </w:trPr>
        <w:tc>
          <w:tcPr>
            <w:tcW w:w="240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Costs and Other Deductions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36,363</w:t>
            </w:r>
          </w:p>
        </w:tc>
        <w:tc>
          <w:tcPr>
            <w:tcW w:w="460" w:type="dxa"/>
            <w:vAlign w:val="bottom"/>
          </w:tcPr>
          <w:p>
            <w:pPr>
              <w:spacing w:after="0"/>
              <w:rPr>
                <w:sz w:val="9"/>
                <w:szCs w:val="9"/>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37,600</w:t>
            </w:r>
          </w:p>
        </w:tc>
        <w:tc>
          <w:tcPr>
            <w:tcW w:w="460" w:type="dxa"/>
            <w:vAlign w:val="bottom"/>
          </w:tcPr>
          <w:p>
            <w:pPr>
              <w:spacing w:after="0"/>
              <w:rPr>
                <w:sz w:val="9"/>
                <w:szCs w:val="9"/>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40,759</w:t>
            </w:r>
          </w:p>
        </w:tc>
        <w:tc>
          <w:tcPr>
            <w:tcW w:w="460" w:type="dxa"/>
            <w:vAlign w:val="bottom"/>
          </w:tcPr>
          <w:p>
            <w:pPr>
              <w:spacing w:after="0"/>
              <w:rPr>
                <w:sz w:val="9"/>
                <w:szCs w:val="9"/>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35,201</w:t>
            </w:r>
          </w:p>
        </w:tc>
        <w:tc>
          <w:tcPr>
            <w:tcW w:w="400" w:type="dxa"/>
            <w:vAlign w:val="bottom"/>
          </w:tcPr>
          <w:p>
            <w:pPr>
              <w:spacing w:after="0"/>
              <w:rPr>
                <w:sz w:val="9"/>
                <w:szCs w:val="9"/>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color w:val="auto"/>
              </w:rPr>
              <w:t>30,109</w:t>
            </w:r>
          </w:p>
        </w:tc>
        <w:tc>
          <w:tcPr>
            <w:tcW w:w="460" w:type="dxa"/>
            <w:vAlign w:val="bottom"/>
          </w:tcPr>
          <w:p>
            <w:pPr>
              <w:spacing w:after="0"/>
              <w:rPr>
                <w:sz w:val="9"/>
                <w:szCs w:val="9"/>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color w:val="auto"/>
              </w:rPr>
              <w:t>28,610</w:t>
            </w:r>
          </w:p>
        </w:tc>
        <w:tc>
          <w:tcPr>
            <w:tcW w:w="440" w:type="dxa"/>
            <w:vAlign w:val="bottom"/>
          </w:tcPr>
          <w:p>
            <w:pPr>
              <w:spacing w:after="0"/>
              <w:rPr>
                <w:sz w:val="9"/>
                <w:szCs w:val="9"/>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0"/>
                <w:szCs w:val="10"/>
                <w:color w:val="auto"/>
              </w:rPr>
              <w:t>30,604</w:t>
            </w:r>
          </w:p>
        </w:tc>
        <w:tc>
          <w:tcPr>
            <w:tcW w:w="46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rPr>
              <w:t>27,144</w:t>
            </w:r>
          </w:p>
        </w:tc>
        <w:tc>
          <w:tcPr>
            <w:tcW w:w="0" w:type="dxa"/>
            <w:vAlign w:val="bottom"/>
          </w:tcPr>
          <w:p>
            <w:pPr>
              <w:spacing w:after="0"/>
              <w:rPr>
                <w:sz w:val="1"/>
                <w:szCs w:val="1"/>
                <w:color w:val="auto"/>
              </w:rPr>
            </w:pPr>
          </w:p>
        </w:tc>
      </w:tr>
      <w:tr>
        <w:trPr>
          <w:trHeight w:val="91"/>
        </w:trPr>
        <w:tc>
          <w:tcPr>
            <w:tcW w:w="2400" w:type="dxa"/>
            <w:vAlign w:val="bottom"/>
          </w:tcPr>
          <w:p>
            <w:pPr>
              <w:ind w:left="140"/>
              <w:spacing w:after="0" w:line="91" w:lineRule="exact"/>
              <w:rPr>
                <w:sz w:val="20"/>
                <w:szCs w:val="20"/>
                <w:color w:val="auto"/>
              </w:rPr>
            </w:pPr>
            <w:r>
              <w:rPr>
                <w:rFonts w:ascii="Arial" w:cs="Arial" w:eastAsia="Arial" w:hAnsi="Arial"/>
                <w:sz w:val="10"/>
                <w:szCs w:val="10"/>
                <w:color w:val="auto"/>
              </w:rPr>
              <w:t>Purchased crude oil and products</w:t>
            </w: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Operating expenses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5,948</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5,378</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5,260</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5,063</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5,343</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4,665</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4,591</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4,589</w:t>
            </w: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Selling, general and administrative expenses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1,330</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1,115</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1,200</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1,100</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1,408</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1,181</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1,136</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1,042</w:t>
            </w: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Exploration expenses</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386</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240</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422</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168</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335</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420</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212</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Depreciation, depletion and amortization</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3,313</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3,215</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3,257</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3,126</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3,439</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3,401</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3,141</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3,082</w:t>
            </w:r>
          </w:p>
        </w:tc>
        <w:tc>
          <w:tcPr>
            <w:tcW w:w="0" w:type="dxa"/>
            <w:vAlign w:val="bottom"/>
          </w:tcPr>
          <w:p>
            <w:pPr>
              <w:spacing w:after="0"/>
              <w:rPr>
                <w:sz w:val="1"/>
                <w:szCs w:val="1"/>
                <w:color w:val="auto"/>
              </w:rPr>
            </w:pPr>
          </w:p>
        </w:tc>
      </w:tr>
      <w:tr>
        <w:trPr>
          <w:trHeight w:val="106"/>
        </w:trPr>
        <w:tc>
          <w:tcPr>
            <w:tcW w:w="2400" w:type="dxa"/>
            <w:vAlign w:val="bottom"/>
          </w:tcPr>
          <w:p>
            <w:pPr>
              <w:ind w:left="140"/>
              <w:spacing w:after="0" w:line="106" w:lineRule="exact"/>
              <w:rPr>
                <w:sz w:val="20"/>
                <w:szCs w:val="20"/>
                <w:color w:val="auto"/>
              </w:rPr>
            </w:pPr>
            <w:r>
              <w:rPr>
                <w:rFonts w:ascii="Arial" w:cs="Arial" w:eastAsia="Arial" w:hAnsi="Arial"/>
                <w:sz w:val="10"/>
                <w:szCs w:val="10"/>
                <w:color w:val="auto"/>
              </w:rPr>
              <w:t>Taxes other than on income</w:t>
            </w:r>
            <w:r>
              <w:rPr>
                <w:rFonts w:ascii="Arial" w:cs="Arial" w:eastAsia="Arial" w:hAnsi="Arial"/>
                <w:sz w:val="8"/>
                <w:szCs w:val="8"/>
                <w:color w:val="auto"/>
              </w:rPr>
              <w:t>1</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2,680</w:t>
            </w:r>
          </w:p>
        </w:tc>
        <w:tc>
          <w:tcPr>
            <w:tcW w:w="46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3,544</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4,843</w:t>
            </w:r>
          </w:p>
        </w:tc>
        <w:tc>
          <w:tcPr>
            <w:tcW w:w="460" w:type="dxa"/>
            <w:vAlign w:val="bottom"/>
          </w:tcPr>
          <w:p>
            <w:pPr>
              <w:spacing w:after="0"/>
              <w:rPr>
                <w:sz w:val="9"/>
                <w:szCs w:val="9"/>
                <w:color w:val="auto"/>
              </w:rPr>
            </w:pP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4,561</w:t>
            </w:r>
          </w:p>
        </w:tc>
        <w:tc>
          <w:tcPr>
            <w:tcW w:w="40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4,623</w:t>
            </w:r>
          </w:p>
        </w:tc>
        <w:tc>
          <w:tcPr>
            <w:tcW w:w="460" w:type="dxa"/>
            <w:vAlign w:val="bottom"/>
          </w:tcPr>
          <w:p>
            <w:pPr>
              <w:spacing w:after="0"/>
              <w:rPr>
                <w:sz w:val="9"/>
                <w:szCs w:val="9"/>
                <w:color w:val="auto"/>
              </w:rPr>
            </w:pP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4,559</w:t>
            </w:r>
          </w:p>
        </w:tc>
        <w:tc>
          <w:tcPr>
            <w:tcW w:w="440" w:type="dxa"/>
            <w:vAlign w:val="bottom"/>
          </w:tcPr>
          <w:p>
            <w:pPr>
              <w:spacing w:after="0"/>
              <w:rPr>
                <w:sz w:val="9"/>
                <w:szCs w:val="9"/>
                <w:color w:val="auto"/>
              </w:rPr>
            </w:pP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4,537</w:t>
            </w:r>
          </w:p>
        </w:tc>
        <w:tc>
          <w:tcPr>
            <w:tcW w:w="4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4,472</w:t>
            </w:r>
          </w:p>
        </w:tc>
        <w:tc>
          <w:tcPr>
            <w:tcW w:w="0" w:type="dxa"/>
            <w:vAlign w:val="bottom"/>
          </w:tcPr>
          <w:p>
            <w:pPr>
              <w:spacing w:after="0"/>
              <w:rPr>
                <w:sz w:val="1"/>
                <w:szCs w:val="1"/>
                <w:color w:val="auto"/>
              </w:rPr>
            </w:pPr>
          </w:p>
        </w:tc>
      </w:tr>
      <w:tr>
        <w:trPr>
          <w:trHeight w:val="120"/>
        </w:trPr>
        <w:tc>
          <w:tcPr>
            <w:tcW w:w="24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Interest and debt expense</w:t>
            </w:r>
          </w:p>
        </w:tc>
        <w:tc>
          <w:tcPr>
            <w:tcW w:w="36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4</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9</w:t>
            </w:r>
          </w:p>
        </w:tc>
        <w:tc>
          <w:tcPr>
            <w:tcW w:w="4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17</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05"/>
        </w:trPr>
        <w:tc>
          <w:tcPr>
            <w:tcW w:w="240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Costs and Other Deductions</w:t>
            </w:r>
          </w:p>
        </w:tc>
        <w:tc>
          <w:tcPr>
            <w:tcW w:w="36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50,020</w:t>
            </w: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51,092</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55,741</w:t>
            </w:r>
          </w:p>
        </w:tc>
        <w:tc>
          <w:tcPr>
            <w:tcW w:w="46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49,219</w:t>
            </w:r>
          </w:p>
        </w:tc>
        <w:tc>
          <w:tcPr>
            <w:tcW w:w="40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45,261</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42,845</w:t>
            </w:r>
          </w:p>
        </w:tc>
        <w:tc>
          <w:tcPr>
            <w:tcW w:w="44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44,238</w:t>
            </w:r>
          </w:p>
        </w:tc>
        <w:tc>
          <w:tcPr>
            <w:tcW w:w="4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40,529</w:t>
            </w:r>
          </w:p>
        </w:tc>
        <w:tc>
          <w:tcPr>
            <w:tcW w:w="0" w:type="dxa"/>
            <w:vAlign w:val="bottom"/>
          </w:tcPr>
          <w:p>
            <w:pPr>
              <w:spacing w:after="0"/>
              <w:rPr>
                <w:sz w:val="1"/>
                <w:szCs w:val="1"/>
                <w:color w:val="auto"/>
              </w:rPr>
            </w:pPr>
          </w:p>
        </w:tc>
      </w:tr>
      <w:tr>
        <w:trPr>
          <w:trHeight w:val="90"/>
        </w:trPr>
        <w:tc>
          <w:tcPr>
            <w:tcW w:w="2400" w:type="dxa"/>
            <w:vAlign w:val="bottom"/>
            <w:shd w:val="clear" w:color="auto" w:fill="E8EFF9"/>
          </w:tcPr>
          <w:p>
            <w:pPr>
              <w:spacing w:after="0" w:line="91" w:lineRule="exact"/>
              <w:rPr>
                <w:sz w:val="20"/>
                <w:szCs w:val="20"/>
                <w:color w:val="auto"/>
              </w:rPr>
            </w:pPr>
            <w:r>
              <w:rPr>
                <w:rFonts w:ascii="Arial" w:cs="Arial" w:eastAsia="Arial" w:hAnsi="Arial"/>
                <w:sz w:val="10"/>
                <w:szCs w:val="10"/>
                <w:b w:val="1"/>
                <w:bCs w:val="1"/>
                <w:color w:val="0077C0"/>
              </w:rPr>
              <w:t>Income Before Income Tax Expense</w:t>
            </w: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jc w:val="right"/>
              <w:ind w:right="190"/>
              <w:spacing w:after="0" w:line="91" w:lineRule="exact"/>
              <w:rPr>
                <w:sz w:val="20"/>
                <w:szCs w:val="20"/>
                <w:color w:val="auto"/>
              </w:rPr>
            </w:pPr>
            <w:r>
              <w:rPr>
                <w:rFonts w:ascii="Arial" w:cs="Arial" w:eastAsia="Arial" w:hAnsi="Arial"/>
                <w:sz w:val="10"/>
                <w:szCs w:val="10"/>
                <w:b w:val="1"/>
                <w:bCs w:val="1"/>
                <w:color w:val="auto"/>
              </w:rPr>
              <w:t>9,965</w:t>
            </w:r>
          </w:p>
        </w:tc>
        <w:tc>
          <w:tcPr>
            <w:tcW w:w="460" w:type="dxa"/>
            <w:vAlign w:val="bottom"/>
          </w:tcPr>
          <w:p>
            <w:pPr>
              <w:spacing w:after="0"/>
              <w:rPr>
                <w:sz w:val="7"/>
                <w:szCs w:val="7"/>
                <w:color w:val="auto"/>
              </w:rPr>
            </w:pPr>
          </w:p>
        </w:tc>
        <w:tc>
          <w:tcPr>
            <w:tcW w:w="680" w:type="dxa"/>
            <w:vAlign w:val="bottom"/>
          </w:tcPr>
          <w:p>
            <w:pPr>
              <w:jc w:val="right"/>
              <w:ind w:right="170"/>
              <w:spacing w:after="0" w:line="91" w:lineRule="exact"/>
              <w:rPr>
                <w:sz w:val="20"/>
                <w:szCs w:val="20"/>
                <w:color w:val="auto"/>
              </w:rPr>
            </w:pPr>
            <w:r>
              <w:rPr>
                <w:rFonts w:ascii="Arial" w:cs="Arial" w:eastAsia="Arial" w:hAnsi="Arial"/>
                <w:sz w:val="10"/>
                <w:szCs w:val="10"/>
                <w:b w:val="1"/>
                <w:bCs w:val="1"/>
                <w:color w:val="auto"/>
              </w:rPr>
              <w:t>13,340</w:t>
            </w:r>
          </w:p>
        </w:tc>
        <w:tc>
          <w:tcPr>
            <w:tcW w:w="460" w:type="dxa"/>
            <w:vAlign w:val="bottom"/>
          </w:tcPr>
          <w:p>
            <w:pPr>
              <w:spacing w:after="0"/>
              <w:rPr>
                <w:sz w:val="7"/>
                <w:szCs w:val="7"/>
                <w:color w:val="auto"/>
              </w:rPr>
            </w:pPr>
          </w:p>
        </w:tc>
        <w:tc>
          <w:tcPr>
            <w:tcW w:w="700" w:type="dxa"/>
            <w:vAlign w:val="bottom"/>
          </w:tcPr>
          <w:p>
            <w:pPr>
              <w:jc w:val="right"/>
              <w:ind w:right="190"/>
              <w:spacing w:after="0" w:line="91" w:lineRule="exact"/>
              <w:rPr>
                <w:sz w:val="20"/>
                <w:szCs w:val="20"/>
                <w:color w:val="auto"/>
              </w:rPr>
            </w:pPr>
            <w:r>
              <w:rPr>
                <w:rFonts w:ascii="Arial" w:cs="Arial" w:eastAsia="Arial" w:hAnsi="Arial"/>
                <w:sz w:val="10"/>
                <w:szCs w:val="10"/>
                <w:b w:val="1"/>
                <w:bCs w:val="1"/>
                <w:color w:val="auto"/>
              </w:rPr>
              <w:t>13,207</w:t>
            </w:r>
          </w:p>
        </w:tc>
        <w:tc>
          <w:tcPr>
            <w:tcW w:w="460" w:type="dxa"/>
            <w:vAlign w:val="bottom"/>
          </w:tcPr>
          <w:p>
            <w:pPr>
              <w:spacing w:after="0"/>
              <w:rPr>
                <w:sz w:val="7"/>
                <w:szCs w:val="7"/>
                <w:color w:val="auto"/>
              </w:rPr>
            </w:pPr>
          </w:p>
        </w:tc>
        <w:tc>
          <w:tcPr>
            <w:tcW w:w="640" w:type="dxa"/>
            <w:vAlign w:val="bottom"/>
          </w:tcPr>
          <w:p>
            <w:pPr>
              <w:jc w:val="right"/>
              <w:ind w:right="130"/>
              <w:spacing w:after="0" w:line="91" w:lineRule="exact"/>
              <w:rPr>
                <w:sz w:val="20"/>
                <w:szCs w:val="20"/>
                <w:color w:val="auto"/>
              </w:rPr>
            </w:pPr>
            <w:r>
              <w:rPr>
                <w:rFonts w:ascii="Arial" w:cs="Arial" w:eastAsia="Arial" w:hAnsi="Arial"/>
                <w:sz w:val="10"/>
                <w:szCs w:val="10"/>
                <w:b w:val="1"/>
                <w:bCs w:val="1"/>
                <w:color w:val="auto"/>
              </w:rPr>
              <w:t>11,122</w:t>
            </w:r>
          </w:p>
        </w:tc>
        <w:tc>
          <w:tcPr>
            <w:tcW w:w="400" w:type="dxa"/>
            <w:vAlign w:val="bottom"/>
          </w:tcPr>
          <w:p>
            <w:pPr>
              <w:spacing w:after="0"/>
              <w:rPr>
                <w:sz w:val="7"/>
                <w:szCs w:val="7"/>
                <w:color w:val="auto"/>
              </w:rPr>
            </w:pPr>
          </w:p>
        </w:tc>
        <w:tc>
          <w:tcPr>
            <w:tcW w:w="700" w:type="dxa"/>
            <w:vAlign w:val="bottom"/>
          </w:tcPr>
          <w:p>
            <w:pPr>
              <w:jc w:val="right"/>
              <w:ind w:right="190"/>
              <w:spacing w:after="0" w:line="91" w:lineRule="exact"/>
              <w:rPr>
                <w:sz w:val="20"/>
                <w:szCs w:val="20"/>
                <w:color w:val="auto"/>
              </w:rPr>
            </w:pPr>
            <w:r>
              <w:rPr>
                <w:rFonts w:ascii="Arial" w:cs="Arial" w:eastAsia="Arial" w:hAnsi="Arial"/>
                <w:sz w:val="10"/>
                <w:szCs w:val="10"/>
                <w:color w:val="auto"/>
              </w:rPr>
              <w:t>8,766</w:t>
            </w:r>
          </w:p>
        </w:tc>
        <w:tc>
          <w:tcPr>
            <w:tcW w:w="460" w:type="dxa"/>
            <w:vAlign w:val="bottom"/>
          </w:tcPr>
          <w:p>
            <w:pPr>
              <w:spacing w:after="0"/>
              <w:rPr>
                <w:sz w:val="7"/>
                <w:szCs w:val="7"/>
                <w:color w:val="auto"/>
              </w:rPr>
            </w:pPr>
          </w:p>
        </w:tc>
        <w:tc>
          <w:tcPr>
            <w:tcW w:w="700" w:type="dxa"/>
            <w:vAlign w:val="bottom"/>
          </w:tcPr>
          <w:p>
            <w:pPr>
              <w:jc w:val="right"/>
              <w:ind w:right="190"/>
              <w:spacing w:after="0" w:line="91" w:lineRule="exact"/>
              <w:rPr>
                <w:sz w:val="20"/>
                <w:szCs w:val="20"/>
                <w:color w:val="auto"/>
              </w:rPr>
            </w:pPr>
            <w:r>
              <w:rPr>
                <w:rFonts w:ascii="Arial" w:cs="Arial" w:eastAsia="Arial" w:hAnsi="Arial"/>
                <w:sz w:val="10"/>
                <w:szCs w:val="10"/>
                <w:color w:val="auto"/>
              </w:rPr>
              <w:t>6,873</w:t>
            </w:r>
          </w:p>
        </w:tc>
        <w:tc>
          <w:tcPr>
            <w:tcW w:w="440" w:type="dxa"/>
            <w:vAlign w:val="bottom"/>
          </w:tcPr>
          <w:p>
            <w:pPr>
              <w:spacing w:after="0"/>
              <w:rPr>
                <w:sz w:val="7"/>
                <w:szCs w:val="7"/>
                <w:color w:val="auto"/>
              </w:rPr>
            </w:pPr>
          </w:p>
        </w:tc>
        <w:tc>
          <w:tcPr>
            <w:tcW w:w="680" w:type="dxa"/>
            <w:vAlign w:val="bottom"/>
          </w:tcPr>
          <w:p>
            <w:pPr>
              <w:jc w:val="right"/>
              <w:ind w:right="170"/>
              <w:spacing w:after="0" w:line="91" w:lineRule="exact"/>
              <w:rPr>
                <w:sz w:val="20"/>
                <w:szCs w:val="20"/>
                <w:color w:val="auto"/>
              </w:rPr>
            </w:pPr>
            <w:r>
              <w:rPr>
                <w:rFonts w:ascii="Arial" w:cs="Arial" w:eastAsia="Arial" w:hAnsi="Arial"/>
                <w:sz w:val="10"/>
                <w:szCs w:val="10"/>
                <w:color w:val="auto"/>
              </w:rPr>
              <w:t>8,766</w:t>
            </w:r>
          </w:p>
        </w:tc>
        <w:tc>
          <w:tcPr>
            <w:tcW w:w="460" w:type="dxa"/>
            <w:vAlign w:val="bottom"/>
          </w:tcPr>
          <w:p>
            <w:pPr>
              <w:spacing w:after="0"/>
              <w:rPr>
                <w:sz w:val="7"/>
                <w:szCs w:val="7"/>
                <w:color w:val="auto"/>
              </w:rPr>
            </w:pPr>
          </w:p>
        </w:tc>
        <w:tc>
          <w:tcPr>
            <w:tcW w:w="440" w:type="dxa"/>
            <w:vAlign w:val="bottom"/>
          </w:tcPr>
          <w:p>
            <w:pPr>
              <w:jc w:val="right"/>
              <w:spacing w:after="0" w:line="91" w:lineRule="exact"/>
              <w:rPr>
                <w:sz w:val="20"/>
                <w:szCs w:val="20"/>
                <w:color w:val="auto"/>
              </w:rPr>
            </w:pPr>
            <w:r>
              <w:rPr>
                <w:rFonts w:ascii="Arial" w:cs="Arial" w:eastAsia="Arial" w:hAnsi="Arial"/>
                <w:sz w:val="10"/>
                <w:szCs w:val="10"/>
                <w:color w:val="auto"/>
              </w:rPr>
              <w:t>7,650</w:t>
            </w:r>
          </w:p>
        </w:tc>
        <w:tc>
          <w:tcPr>
            <w:tcW w:w="0" w:type="dxa"/>
            <w:vAlign w:val="bottom"/>
          </w:tcPr>
          <w:p>
            <w:pPr>
              <w:spacing w:after="0"/>
              <w:rPr>
                <w:sz w:val="1"/>
                <w:szCs w:val="1"/>
                <w:color w:val="auto"/>
              </w:rPr>
            </w:pPr>
          </w:p>
        </w:tc>
      </w:tr>
      <w:tr>
        <w:trPr>
          <w:trHeight w:val="120"/>
        </w:trPr>
        <w:tc>
          <w:tcPr>
            <w:tcW w:w="24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0"/>
                <w:szCs w:val="10"/>
                <w:b w:val="1"/>
                <w:bCs w:val="1"/>
                <w:color w:val="0077C0"/>
              </w:rPr>
              <w:t>Income Tax Expense</w:t>
            </w:r>
          </w:p>
        </w:tc>
        <w:tc>
          <w:tcPr>
            <w:tcW w:w="36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4,813</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5,483</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5,447</w:t>
            </w:r>
          </w:p>
        </w:tc>
        <w:tc>
          <w:tcPr>
            <w:tcW w:w="4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4,883</w:t>
            </w:r>
          </w:p>
        </w:tc>
        <w:tc>
          <w:tcPr>
            <w:tcW w:w="4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3,446</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3,081</w:t>
            </w:r>
          </w:p>
        </w:tc>
        <w:tc>
          <w:tcPr>
            <w:tcW w:w="4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3,322</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3,070</w:t>
            </w:r>
          </w:p>
        </w:tc>
        <w:tc>
          <w:tcPr>
            <w:tcW w:w="0" w:type="dxa"/>
            <w:vAlign w:val="bottom"/>
          </w:tcPr>
          <w:p>
            <w:pPr>
              <w:spacing w:after="0"/>
              <w:rPr>
                <w:sz w:val="1"/>
                <w:szCs w:val="1"/>
                <w:color w:val="auto"/>
              </w:rPr>
            </w:pPr>
          </w:p>
        </w:tc>
      </w:tr>
      <w:tr>
        <w:trPr>
          <w:trHeight w:val="105"/>
        </w:trPr>
        <w:tc>
          <w:tcPr>
            <w:tcW w:w="240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Income</w:t>
            </w:r>
          </w:p>
        </w:tc>
        <w:tc>
          <w:tcPr>
            <w:tcW w:w="580" w:type="dxa"/>
            <w:vAlign w:val="bottom"/>
            <w:tcBorders>
              <w:bottom w:val="single" w:sz="8" w:color="0077C0"/>
            </w:tcBorders>
            <w:gridSpan w:val="2"/>
          </w:tcPr>
          <w:p>
            <w:pPr>
              <w:ind w:left="36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5,152</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7,857</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7,760</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6,239</w:t>
            </w:r>
          </w:p>
        </w:tc>
        <w:tc>
          <w:tcPr>
            <w:tcW w:w="400" w:type="dxa"/>
            <w:vAlign w:val="bottom"/>
            <w:tcBorders>
              <w:bottom w:val="single" w:sz="8" w:color="0077C0"/>
            </w:tcBorders>
          </w:tcPr>
          <w:p>
            <w:pPr>
              <w:ind w:left="160"/>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5,320</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3,792</w:t>
            </w:r>
          </w:p>
        </w:tc>
        <w:tc>
          <w:tcPr>
            <w:tcW w:w="44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5,444</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4,580</w:t>
            </w:r>
          </w:p>
        </w:tc>
        <w:tc>
          <w:tcPr>
            <w:tcW w:w="0" w:type="dxa"/>
            <w:vAlign w:val="bottom"/>
          </w:tcPr>
          <w:p>
            <w:pPr>
              <w:spacing w:after="0"/>
              <w:rPr>
                <w:sz w:val="1"/>
                <w:szCs w:val="1"/>
                <w:color w:val="auto"/>
              </w:rPr>
            </w:pPr>
          </w:p>
        </w:tc>
      </w:tr>
      <w:tr>
        <w:trPr>
          <w:trHeight w:val="92"/>
        </w:trPr>
        <w:tc>
          <w:tcPr>
            <w:tcW w:w="2400" w:type="dxa"/>
            <w:vAlign w:val="bottom"/>
          </w:tcPr>
          <w:p>
            <w:pPr>
              <w:ind w:left="140"/>
              <w:spacing w:after="0" w:line="92" w:lineRule="exact"/>
              <w:rPr>
                <w:sz w:val="20"/>
                <w:szCs w:val="20"/>
                <w:color w:val="auto"/>
              </w:rPr>
            </w:pPr>
            <w:r>
              <w:rPr>
                <w:rFonts w:ascii="Arial" w:cs="Arial" w:eastAsia="Arial" w:hAnsi="Arial"/>
                <w:sz w:val="10"/>
                <w:szCs w:val="10"/>
                <w:color w:val="auto"/>
              </w:rPr>
              <w:t>Less: Net income attributable to</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29</w:t>
            </w:r>
          </w:p>
        </w:tc>
        <w:tc>
          <w:tcPr>
            <w:tcW w:w="460" w:type="dxa"/>
            <w:vAlign w:val="bottom"/>
          </w:tcPr>
          <w:p>
            <w:pPr>
              <w:spacing w:after="0"/>
              <w:rPr>
                <w:sz w:val="8"/>
                <w:szCs w:val="8"/>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28</w:t>
            </w:r>
          </w:p>
        </w:tc>
        <w:tc>
          <w:tcPr>
            <w:tcW w:w="460" w:type="dxa"/>
            <w:vAlign w:val="bottom"/>
          </w:tcPr>
          <w:p>
            <w:pPr>
              <w:spacing w:after="0"/>
              <w:rPr>
                <w:sz w:val="8"/>
                <w:szCs w:val="8"/>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28</w:t>
            </w:r>
          </w:p>
        </w:tc>
        <w:tc>
          <w:tcPr>
            <w:tcW w:w="460" w:type="dxa"/>
            <w:vAlign w:val="bottom"/>
          </w:tcPr>
          <w:p>
            <w:pPr>
              <w:spacing w:after="0"/>
              <w:rPr>
                <w:sz w:val="8"/>
                <w:szCs w:val="8"/>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28</w:t>
            </w: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400" w:type="dxa"/>
            <w:vAlign w:val="bottom"/>
            <w:tcBorders>
              <w:bottom w:val="single" w:sz="8" w:color="0077C0"/>
            </w:tcBorders>
          </w:tcPr>
          <w:p>
            <w:pPr>
              <w:ind w:left="280"/>
              <w:spacing w:after="0"/>
              <w:rPr>
                <w:sz w:val="20"/>
                <w:szCs w:val="20"/>
                <w:color w:val="auto"/>
              </w:rPr>
            </w:pPr>
            <w:r>
              <w:rPr>
                <w:rFonts w:ascii="Arial" w:cs="Arial" w:eastAsia="Arial" w:hAnsi="Arial"/>
                <w:sz w:val="10"/>
                <w:szCs w:val="10"/>
                <w:color w:val="auto"/>
              </w:rPr>
              <w:t>noncontrolling interests</w:t>
            </w:r>
          </w:p>
        </w:tc>
        <w:tc>
          <w:tcPr>
            <w:tcW w:w="36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vMerge w:val="continue"/>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vMerge w:val="continue"/>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vMerge w:val="continue"/>
          </w:tcPr>
          <w:p>
            <w:pPr>
              <w:spacing w:after="0"/>
              <w:rPr>
                <w:sz w:val="10"/>
                <w:szCs w:val="10"/>
                <w:color w:val="auto"/>
              </w:rPr>
            </w:pPr>
          </w:p>
        </w:tc>
        <w:tc>
          <w:tcPr>
            <w:tcW w:w="46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vMerge w:val="continue"/>
          </w:tcPr>
          <w:p>
            <w:pPr>
              <w:spacing w:after="0"/>
              <w:rPr>
                <w:sz w:val="10"/>
                <w:szCs w:val="10"/>
                <w:color w:val="auto"/>
              </w:rPr>
            </w:pPr>
          </w:p>
        </w:tc>
        <w:tc>
          <w:tcPr>
            <w:tcW w:w="40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25</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24</w:t>
            </w:r>
          </w:p>
        </w:tc>
        <w:tc>
          <w:tcPr>
            <w:tcW w:w="44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35</w:t>
            </w:r>
          </w:p>
        </w:tc>
        <w:tc>
          <w:tcPr>
            <w:tcW w:w="4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19"/>
        </w:trPr>
        <w:tc>
          <w:tcPr>
            <w:tcW w:w="240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Income Attributable to Chevron Corporation</w:t>
            </w:r>
          </w:p>
        </w:tc>
        <w:tc>
          <w:tcPr>
            <w:tcW w:w="580" w:type="dxa"/>
            <w:vAlign w:val="bottom"/>
            <w:tcBorders>
              <w:bottom w:val="single" w:sz="8" w:color="0077C0"/>
            </w:tcBorders>
            <w:gridSpan w:val="2"/>
          </w:tcPr>
          <w:p>
            <w:pPr>
              <w:ind w:left="36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5,123</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7,829</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7,732</w:t>
            </w:r>
          </w:p>
        </w:tc>
        <w:tc>
          <w:tcPr>
            <w:tcW w:w="460" w:type="dxa"/>
            <w:vAlign w:val="bottom"/>
            <w:tcBorders>
              <w:bottom w:val="single" w:sz="8" w:color="0077C0"/>
            </w:tcBorders>
          </w:tcPr>
          <w:p>
            <w:pPr>
              <w:ind w:left="240"/>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6,211</w:t>
            </w:r>
          </w:p>
        </w:tc>
        <w:tc>
          <w:tcPr>
            <w:tcW w:w="400" w:type="dxa"/>
            <w:vAlign w:val="bottom"/>
            <w:tcBorders>
              <w:bottom w:val="single" w:sz="8" w:color="0077C0"/>
            </w:tcBorders>
          </w:tcPr>
          <w:p>
            <w:pPr>
              <w:ind w:left="160"/>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5,295</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3,768</w:t>
            </w:r>
          </w:p>
        </w:tc>
        <w:tc>
          <w:tcPr>
            <w:tcW w:w="44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5,409</w:t>
            </w:r>
          </w:p>
        </w:tc>
        <w:tc>
          <w:tcPr>
            <w:tcW w:w="460" w:type="dxa"/>
            <w:vAlign w:val="bottom"/>
            <w:tcBorders>
              <w:bottom w:val="single" w:sz="8" w:color="0077C0"/>
            </w:tcBorders>
          </w:tcPr>
          <w:p>
            <w:pPr>
              <w:ind w:left="220"/>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4,552</w:t>
            </w:r>
          </w:p>
        </w:tc>
        <w:tc>
          <w:tcPr>
            <w:tcW w:w="0" w:type="dxa"/>
            <w:vAlign w:val="bottom"/>
          </w:tcPr>
          <w:p>
            <w:pPr>
              <w:spacing w:after="0"/>
              <w:rPr>
                <w:sz w:val="1"/>
                <w:szCs w:val="1"/>
                <w:color w:val="auto"/>
              </w:rPr>
            </w:pPr>
          </w:p>
        </w:tc>
      </w:tr>
      <w:tr>
        <w:trPr>
          <w:trHeight w:val="96"/>
        </w:trPr>
        <w:tc>
          <w:tcPr>
            <w:tcW w:w="2400" w:type="dxa"/>
            <w:vAlign w:val="bottom"/>
            <w:shd w:val="clear" w:color="auto" w:fill="E8EFF9"/>
          </w:tcPr>
          <w:p>
            <w:pPr>
              <w:spacing w:after="0" w:line="96" w:lineRule="exact"/>
              <w:rPr>
                <w:sz w:val="20"/>
                <w:szCs w:val="20"/>
                <w:color w:val="auto"/>
              </w:rPr>
            </w:pPr>
            <w:r>
              <w:rPr>
                <w:rFonts w:ascii="Arial" w:cs="Arial" w:eastAsia="Arial" w:hAnsi="Arial"/>
                <w:sz w:val="10"/>
                <w:szCs w:val="10"/>
                <w:b w:val="1"/>
                <w:bCs w:val="1"/>
                <w:color w:val="0077C0"/>
              </w:rPr>
              <w:t>Per Share of Common Stock</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40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b w:val="1"/>
                <w:bCs w:val="1"/>
                <w:color w:val="0077C0"/>
                <w:w w:val="98"/>
              </w:rPr>
              <w:t>Net Income Attributable to Chevron Corporation</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00" w:type="dxa"/>
            <w:vAlign w:val="bottom"/>
            <w:shd w:val="clear" w:color="auto" w:fill="E8EFF9"/>
          </w:tcPr>
          <w:p>
            <w:pPr>
              <w:ind w:left="280"/>
              <w:spacing w:after="0" w:line="106" w:lineRule="exact"/>
              <w:rPr>
                <w:sz w:val="20"/>
                <w:szCs w:val="20"/>
                <w:color w:val="auto"/>
              </w:rPr>
            </w:pPr>
            <w:r>
              <w:rPr>
                <w:rFonts w:ascii="Arial" w:cs="Arial" w:eastAsia="Arial" w:hAnsi="Arial"/>
                <w:sz w:val="10"/>
                <w:szCs w:val="10"/>
                <w:b w:val="1"/>
                <w:bCs w:val="1"/>
                <w:color w:val="0077C0"/>
              </w:rPr>
              <w:t>– Basic</w:t>
            </w:r>
          </w:p>
        </w:tc>
        <w:tc>
          <w:tcPr>
            <w:tcW w:w="580" w:type="dxa"/>
            <w:vAlign w:val="bottom"/>
            <w:gridSpan w:val="2"/>
          </w:tcPr>
          <w:p>
            <w:pPr>
              <w:ind w:left="36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2.61</w:t>
            </w:r>
          </w:p>
        </w:tc>
        <w:tc>
          <w:tcPr>
            <w:tcW w:w="460" w:type="dxa"/>
            <w:vAlign w:val="bottom"/>
          </w:tcPr>
          <w:p>
            <w:pPr>
              <w:ind w:left="22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3.94</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3.88</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3.11</w:t>
            </w:r>
          </w:p>
        </w:tc>
        <w:tc>
          <w:tcPr>
            <w:tcW w:w="400" w:type="dxa"/>
            <w:vAlign w:val="bottom"/>
          </w:tcPr>
          <w:p>
            <w:pPr>
              <w:ind w:left="16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2.65</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1.89</w:t>
            </w:r>
          </w:p>
        </w:tc>
        <w:tc>
          <w:tcPr>
            <w:tcW w:w="44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2.71</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2.28</w:t>
            </w:r>
          </w:p>
        </w:tc>
        <w:tc>
          <w:tcPr>
            <w:tcW w:w="0" w:type="dxa"/>
            <w:vAlign w:val="bottom"/>
          </w:tcPr>
          <w:p>
            <w:pPr>
              <w:spacing w:after="0"/>
              <w:rPr>
                <w:sz w:val="1"/>
                <w:szCs w:val="1"/>
                <w:color w:val="auto"/>
              </w:rPr>
            </w:pPr>
          </w:p>
        </w:tc>
      </w:tr>
      <w:tr>
        <w:trPr>
          <w:trHeight w:val="129"/>
        </w:trPr>
        <w:tc>
          <w:tcPr>
            <w:tcW w:w="2400" w:type="dxa"/>
            <w:vAlign w:val="bottom"/>
            <w:tcBorders>
              <w:bottom w:val="single" w:sz="8" w:color="0077C0"/>
            </w:tcBorders>
            <w:shd w:val="clear" w:color="auto" w:fill="E8EFF9"/>
          </w:tcPr>
          <w:p>
            <w:pPr>
              <w:ind w:left="280"/>
              <w:spacing w:after="0"/>
              <w:rPr>
                <w:sz w:val="20"/>
                <w:szCs w:val="20"/>
                <w:color w:val="auto"/>
              </w:rPr>
            </w:pPr>
            <w:r>
              <w:rPr>
                <w:rFonts w:ascii="Arial" w:cs="Arial" w:eastAsia="Arial" w:hAnsi="Arial"/>
                <w:sz w:val="10"/>
                <w:szCs w:val="10"/>
                <w:b w:val="1"/>
                <w:bCs w:val="1"/>
                <w:color w:val="0077C0"/>
              </w:rPr>
              <w:t>– Diluted</w:t>
            </w:r>
          </w:p>
        </w:tc>
        <w:tc>
          <w:tcPr>
            <w:tcW w:w="580" w:type="dxa"/>
            <w:vAlign w:val="bottom"/>
            <w:tcBorders>
              <w:bottom w:val="single" w:sz="8" w:color="0077C0"/>
            </w:tcBorders>
            <w:gridSpan w:val="2"/>
          </w:tcPr>
          <w:p>
            <w:pPr>
              <w:ind w:left="3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2.58</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3.92</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3.85</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3.09</w:t>
            </w:r>
          </w:p>
        </w:tc>
        <w:tc>
          <w:tcPr>
            <w:tcW w:w="400" w:type="dxa"/>
            <w:vAlign w:val="bottom"/>
            <w:tcBorders>
              <w:bottom w:val="single" w:sz="8" w:color="0077C0"/>
            </w:tcBorders>
          </w:tcPr>
          <w:p>
            <w:pPr>
              <w:ind w:left="16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2.64</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1.87</w:t>
            </w:r>
          </w:p>
        </w:tc>
        <w:tc>
          <w:tcPr>
            <w:tcW w:w="44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2.70</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2.27</w:t>
            </w:r>
          </w:p>
        </w:tc>
        <w:tc>
          <w:tcPr>
            <w:tcW w:w="0" w:type="dxa"/>
            <w:vAlign w:val="bottom"/>
          </w:tcPr>
          <w:p>
            <w:pPr>
              <w:spacing w:after="0"/>
              <w:rPr>
                <w:sz w:val="1"/>
                <w:szCs w:val="1"/>
                <w:color w:val="auto"/>
              </w:rPr>
            </w:pPr>
          </w:p>
        </w:tc>
      </w:tr>
      <w:tr>
        <w:trPr>
          <w:trHeight w:val="101"/>
        </w:trPr>
        <w:tc>
          <w:tcPr>
            <w:tcW w:w="2400" w:type="dxa"/>
            <w:vAlign w:val="bottom"/>
            <w:shd w:val="clear" w:color="auto" w:fill="E8EFF9"/>
          </w:tcPr>
          <w:p>
            <w:pPr>
              <w:ind w:left="140"/>
              <w:spacing w:after="0" w:line="101" w:lineRule="exact"/>
              <w:rPr>
                <w:sz w:val="20"/>
                <w:szCs w:val="20"/>
                <w:color w:val="auto"/>
              </w:rPr>
            </w:pPr>
            <w:r>
              <w:rPr>
                <w:rFonts w:ascii="Arial" w:cs="Arial" w:eastAsia="Arial" w:hAnsi="Arial"/>
                <w:sz w:val="10"/>
                <w:szCs w:val="10"/>
                <w:b w:val="1"/>
                <w:bCs w:val="1"/>
                <w:color w:val="0077C0"/>
              </w:rPr>
              <w:t>Dividends</w:t>
            </w:r>
          </w:p>
        </w:tc>
        <w:tc>
          <w:tcPr>
            <w:tcW w:w="580" w:type="dxa"/>
            <w:vAlign w:val="bottom"/>
            <w:gridSpan w:val="2"/>
          </w:tcPr>
          <w:p>
            <w:pPr>
              <w:ind w:left="360"/>
              <w:spacing w:after="0" w:line="101"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1" w:lineRule="exact"/>
              <w:rPr>
                <w:sz w:val="20"/>
                <w:szCs w:val="20"/>
                <w:color w:val="auto"/>
              </w:rPr>
            </w:pPr>
            <w:r>
              <w:rPr>
                <w:rFonts w:ascii="Arial" w:cs="Arial" w:eastAsia="Arial" w:hAnsi="Arial"/>
                <w:sz w:val="10"/>
                <w:szCs w:val="10"/>
                <w:b w:val="1"/>
                <w:bCs w:val="1"/>
                <w:color w:val="auto"/>
              </w:rPr>
              <w:t>0.81</w:t>
            </w:r>
          </w:p>
        </w:tc>
        <w:tc>
          <w:tcPr>
            <w:tcW w:w="460" w:type="dxa"/>
            <w:vAlign w:val="bottom"/>
          </w:tcPr>
          <w:p>
            <w:pPr>
              <w:ind w:left="220"/>
              <w:spacing w:after="0" w:line="101"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70"/>
              <w:spacing w:after="0" w:line="101" w:lineRule="exact"/>
              <w:rPr>
                <w:sz w:val="20"/>
                <w:szCs w:val="20"/>
                <w:color w:val="auto"/>
              </w:rPr>
            </w:pPr>
            <w:r>
              <w:rPr>
                <w:rFonts w:ascii="Arial" w:cs="Arial" w:eastAsia="Arial" w:hAnsi="Arial"/>
                <w:sz w:val="10"/>
                <w:szCs w:val="10"/>
                <w:b w:val="1"/>
                <w:bCs w:val="1"/>
                <w:color w:val="auto"/>
              </w:rPr>
              <w:t>0.78</w:t>
            </w:r>
          </w:p>
        </w:tc>
        <w:tc>
          <w:tcPr>
            <w:tcW w:w="460" w:type="dxa"/>
            <w:vAlign w:val="bottom"/>
          </w:tcPr>
          <w:p>
            <w:pPr>
              <w:ind w:left="240"/>
              <w:spacing w:after="0" w:line="101"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1" w:lineRule="exact"/>
              <w:rPr>
                <w:sz w:val="20"/>
                <w:szCs w:val="20"/>
                <w:color w:val="auto"/>
              </w:rPr>
            </w:pPr>
            <w:r>
              <w:rPr>
                <w:rFonts w:ascii="Arial" w:cs="Arial" w:eastAsia="Arial" w:hAnsi="Arial"/>
                <w:sz w:val="10"/>
                <w:szCs w:val="10"/>
                <w:b w:val="1"/>
                <w:bCs w:val="1"/>
                <w:color w:val="auto"/>
              </w:rPr>
              <w:t>0.78</w:t>
            </w:r>
          </w:p>
        </w:tc>
        <w:tc>
          <w:tcPr>
            <w:tcW w:w="460" w:type="dxa"/>
            <w:vAlign w:val="bottom"/>
          </w:tcPr>
          <w:p>
            <w:pPr>
              <w:ind w:left="240"/>
              <w:spacing w:after="0" w:line="101" w:lineRule="exact"/>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130"/>
              <w:spacing w:after="0" w:line="101" w:lineRule="exact"/>
              <w:rPr>
                <w:sz w:val="20"/>
                <w:szCs w:val="20"/>
                <w:color w:val="auto"/>
              </w:rPr>
            </w:pPr>
            <w:r>
              <w:rPr>
                <w:rFonts w:ascii="Arial" w:cs="Arial" w:eastAsia="Arial" w:hAnsi="Arial"/>
                <w:sz w:val="10"/>
                <w:szCs w:val="10"/>
                <w:b w:val="1"/>
                <w:bCs w:val="1"/>
                <w:color w:val="auto"/>
              </w:rPr>
              <w:t>0.72</w:t>
            </w:r>
          </w:p>
        </w:tc>
        <w:tc>
          <w:tcPr>
            <w:tcW w:w="400" w:type="dxa"/>
            <w:vAlign w:val="bottom"/>
          </w:tcPr>
          <w:p>
            <w:pPr>
              <w:ind w:left="160"/>
              <w:spacing w:after="0" w:line="101"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1" w:lineRule="exact"/>
              <w:rPr>
                <w:sz w:val="20"/>
                <w:szCs w:val="20"/>
                <w:color w:val="auto"/>
              </w:rPr>
            </w:pPr>
            <w:r>
              <w:rPr>
                <w:rFonts w:ascii="Arial" w:cs="Arial" w:eastAsia="Arial" w:hAnsi="Arial"/>
                <w:sz w:val="10"/>
                <w:szCs w:val="10"/>
                <w:color w:val="auto"/>
              </w:rPr>
              <w:t>0.72</w:t>
            </w:r>
          </w:p>
        </w:tc>
        <w:tc>
          <w:tcPr>
            <w:tcW w:w="460" w:type="dxa"/>
            <w:vAlign w:val="bottom"/>
          </w:tcPr>
          <w:p>
            <w:pPr>
              <w:ind w:left="220"/>
              <w:spacing w:after="0" w:line="101"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1" w:lineRule="exact"/>
              <w:rPr>
                <w:sz w:val="20"/>
                <w:szCs w:val="20"/>
                <w:color w:val="auto"/>
              </w:rPr>
            </w:pPr>
            <w:r>
              <w:rPr>
                <w:rFonts w:ascii="Arial" w:cs="Arial" w:eastAsia="Arial" w:hAnsi="Arial"/>
                <w:sz w:val="10"/>
                <w:szCs w:val="10"/>
                <w:color w:val="auto"/>
              </w:rPr>
              <w:t>0.72</w:t>
            </w:r>
          </w:p>
        </w:tc>
        <w:tc>
          <w:tcPr>
            <w:tcW w:w="440" w:type="dxa"/>
            <w:vAlign w:val="bottom"/>
          </w:tcPr>
          <w:p>
            <w:pPr>
              <w:ind w:left="220"/>
              <w:spacing w:after="0" w:line="101"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70"/>
              <w:spacing w:after="0" w:line="101" w:lineRule="exact"/>
              <w:rPr>
                <w:sz w:val="20"/>
                <w:szCs w:val="20"/>
                <w:color w:val="auto"/>
              </w:rPr>
            </w:pPr>
            <w:r>
              <w:rPr>
                <w:rFonts w:ascii="Arial" w:cs="Arial" w:eastAsia="Arial" w:hAnsi="Arial"/>
                <w:sz w:val="10"/>
                <w:szCs w:val="10"/>
                <w:color w:val="auto"/>
              </w:rPr>
              <w:t>0.72</w:t>
            </w:r>
          </w:p>
        </w:tc>
        <w:tc>
          <w:tcPr>
            <w:tcW w:w="460" w:type="dxa"/>
            <w:vAlign w:val="bottom"/>
          </w:tcPr>
          <w:p>
            <w:pPr>
              <w:ind w:left="220"/>
              <w:spacing w:after="0" w:line="101"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10"/>
                <w:szCs w:val="10"/>
                <w:color w:val="auto"/>
              </w:rPr>
              <w:t>0.68</w:t>
            </w:r>
          </w:p>
        </w:tc>
        <w:tc>
          <w:tcPr>
            <w:tcW w:w="0" w:type="dxa"/>
            <w:vAlign w:val="bottom"/>
          </w:tcPr>
          <w:p>
            <w:pPr>
              <w:spacing w:after="0"/>
              <w:rPr>
                <w:sz w:val="1"/>
                <w:szCs w:val="1"/>
                <w:color w:val="auto"/>
              </w:rPr>
            </w:pPr>
          </w:p>
        </w:tc>
      </w:tr>
      <w:tr>
        <w:trPr>
          <w:trHeight w:val="106"/>
        </w:trPr>
        <w:tc>
          <w:tcPr>
            <w:tcW w:w="240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b w:val="1"/>
                <w:bCs w:val="1"/>
                <w:color w:val="0077C0"/>
              </w:rPr>
              <w:t>Common Stock Price Range – High</w:t>
            </w:r>
            <w:r>
              <w:rPr>
                <w:rFonts w:ascii="Arial" w:cs="Arial" w:eastAsia="Arial" w:hAnsi="Arial"/>
                <w:sz w:val="8"/>
                <w:szCs w:val="8"/>
                <w:b w:val="1"/>
                <w:bCs w:val="1"/>
                <w:color w:val="0077C0"/>
              </w:rPr>
              <w:t>2</w:t>
            </w:r>
          </w:p>
        </w:tc>
        <w:tc>
          <w:tcPr>
            <w:tcW w:w="580" w:type="dxa"/>
            <w:vAlign w:val="bottom"/>
            <w:gridSpan w:val="2"/>
          </w:tcPr>
          <w:p>
            <w:pPr>
              <w:ind w:left="36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110.01</w:t>
            </w:r>
          </w:p>
        </w:tc>
        <w:tc>
          <w:tcPr>
            <w:tcW w:w="460" w:type="dxa"/>
            <w:vAlign w:val="bottom"/>
          </w:tcPr>
          <w:p>
            <w:pPr>
              <w:ind w:left="220"/>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109.75</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b w:val="1"/>
                <w:bCs w:val="1"/>
                <w:color w:val="auto"/>
              </w:rPr>
              <w:t>109.94</w:t>
            </w:r>
          </w:p>
        </w:tc>
        <w:tc>
          <w:tcPr>
            <w:tcW w:w="460" w:type="dxa"/>
            <w:vAlign w:val="bottom"/>
          </w:tcPr>
          <w:p>
            <w:pPr>
              <w:ind w:left="240"/>
              <w:spacing w:after="0" w:line="106" w:lineRule="exact"/>
              <w:rPr>
                <w:sz w:val="20"/>
                <w:szCs w:val="20"/>
                <w:color w:val="auto"/>
              </w:rPr>
            </w:pPr>
            <w:r>
              <w:rPr>
                <w:rFonts w:ascii="Arial" w:cs="Arial" w:eastAsia="Arial" w:hAnsi="Arial"/>
                <w:sz w:val="10"/>
                <w:szCs w:val="10"/>
                <w:b w:val="1"/>
                <w:bCs w:val="1"/>
                <w:color w:val="auto"/>
              </w:rPr>
              <w:t>$</w:t>
            </w:r>
          </w:p>
        </w:tc>
        <w:tc>
          <w:tcPr>
            <w:tcW w:w="640" w:type="dxa"/>
            <w:vAlign w:val="bottom"/>
          </w:tcPr>
          <w:p>
            <w:pPr>
              <w:jc w:val="right"/>
              <w:ind w:right="130"/>
              <w:spacing w:after="0" w:line="106" w:lineRule="exact"/>
              <w:rPr>
                <w:sz w:val="20"/>
                <w:szCs w:val="20"/>
                <w:color w:val="auto"/>
              </w:rPr>
            </w:pPr>
            <w:r>
              <w:rPr>
                <w:rFonts w:ascii="Arial" w:cs="Arial" w:eastAsia="Arial" w:hAnsi="Arial"/>
                <w:sz w:val="10"/>
                <w:szCs w:val="10"/>
                <w:b w:val="1"/>
                <w:bCs w:val="1"/>
                <w:color w:val="auto"/>
              </w:rPr>
              <w:t>109.65</w:t>
            </w:r>
          </w:p>
        </w:tc>
        <w:tc>
          <w:tcPr>
            <w:tcW w:w="400" w:type="dxa"/>
            <w:vAlign w:val="bottom"/>
          </w:tcPr>
          <w:p>
            <w:pPr>
              <w:ind w:left="16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92.39</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82.19</w:t>
            </w:r>
          </w:p>
        </w:tc>
        <w:tc>
          <w:tcPr>
            <w:tcW w:w="44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83.41</w:t>
            </w:r>
          </w:p>
        </w:tc>
        <w:tc>
          <w:tcPr>
            <w:tcW w:w="460" w:type="dxa"/>
            <w:vAlign w:val="bottom"/>
          </w:tcPr>
          <w:p>
            <w:pPr>
              <w:ind w:left="220"/>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81.09</w:t>
            </w:r>
          </w:p>
        </w:tc>
        <w:tc>
          <w:tcPr>
            <w:tcW w:w="0" w:type="dxa"/>
            <w:vAlign w:val="bottom"/>
          </w:tcPr>
          <w:p>
            <w:pPr>
              <w:spacing w:after="0"/>
              <w:rPr>
                <w:sz w:val="1"/>
                <w:szCs w:val="1"/>
                <w:color w:val="auto"/>
              </w:rPr>
            </w:pPr>
          </w:p>
        </w:tc>
      </w:tr>
      <w:tr>
        <w:trPr>
          <w:trHeight w:val="129"/>
        </w:trPr>
        <w:tc>
          <w:tcPr>
            <w:tcW w:w="2400" w:type="dxa"/>
            <w:vAlign w:val="bottom"/>
            <w:tcBorders>
              <w:bottom w:val="single" w:sz="8" w:color="0077C0"/>
            </w:tcBorders>
            <w:shd w:val="clear" w:color="auto" w:fill="E8EFF9"/>
          </w:tcPr>
          <w:p>
            <w:pPr>
              <w:ind w:left="1400"/>
              <w:spacing w:after="0"/>
              <w:rPr>
                <w:sz w:val="20"/>
                <w:szCs w:val="20"/>
                <w:color w:val="auto"/>
              </w:rPr>
            </w:pPr>
            <w:r>
              <w:rPr>
                <w:rFonts w:ascii="Arial" w:cs="Arial" w:eastAsia="Arial" w:hAnsi="Arial"/>
                <w:sz w:val="10"/>
                <w:szCs w:val="10"/>
                <w:b w:val="1"/>
                <w:bCs w:val="1"/>
                <w:color w:val="0077C0"/>
              </w:rPr>
              <w:t>– Low</w:t>
            </w:r>
            <w:r>
              <w:rPr>
                <w:rFonts w:ascii="Arial" w:cs="Arial" w:eastAsia="Arial" w:hAnsi="Arial"/>
                <w:sz w:val="8"/>
                <w:szCs w:val="8"/>
                <w:b w:val="1"/>
                <w:bCs w:val="1"/>
                <w:color w:val="0077C0"/>
              </w:rPr>
              <w:t>2</w:t>
            </w:r>
          </w:p>
        </w:tc>
        <w:tc>
          <w:tcPr>
            <w:tcW w:w="580" w:type="dxa"/>
            <w:vAlign w:val="bottom"/>
            <w:tcBorders>
              <w:bottom w:val="single" w:sz="8" w:color="0077C0"/>
            </w:tcBorders>
            <w:gridSpan w:val="2"/>
          </w:tcPr>
          <w:p>
            <w:pPr>
              <w:ind w:left="36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86.68</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87.30</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97.00</w:t>
            </w:r>
          </w:p>
        </w:tc>
        <w:tc>
          <w:tcPr>
            <w:tcW w:w="460" w:type="dxa"/>
            <w:vAlign w:val="bottom"/>
            <w:tcBorders>
              <w:bottom w:val="single" w:sz="8" w:color="0077C0"/>
            </w:tcBorders>
          </w:tcPr>
          <w:p>
            <w:pPr>
              <w:ind w:left="240"/>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90.12</w:t>
            </w:r>
          </w:p>
        </w:tc>
        <w:tc>
          <w:tcPr>
            <w:tcW w:w="400" w:type="dxa"/>
            <w:vAlign w:val="bottom"/>
            <w:tcBorders>
              <w:bottom w:val="single" w:sz="8" w:color="0077C0"/>
            </w:tcBorders>
          </w:tcPr>
          <w:p>
            <w:pPr>
              <w:ind w:left="16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80.41</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color w:val="auto"/>
              </w:rPr>
              <w:t>66.83</w:t>
            </w:r>
          </w:p>
        </w:tc>
        <w:tc>
          <w:tcPr>
            <w:tcW w:w="44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67.80</w:t>
            </w:r>
          </w:p>
        </w:tc>
        <w:tc>
          <w:tcPr>
            <w:tcW w:w="460" w:type="dxa"/>
            <w:vAlign w:val="bottom"/>
            <w:tcBorders>
              <w:bottom w:val="single" w:sz="8" w:color="0077C0"/>
            </w:tcBorders>
          </w:tcPr>
          <w:p>
            <w:pPr>
              <w:ind w:lef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69.55</w:t>
            </w:r>
          </w:p>
        </w:tc>
        <w:tc>
          <w:tcPr>
            <w:tcW w:w="0" w:type="dxa"/>
            <w:vAlign w:val="bottom"/>
          </w:tcPr>
          <w:p>
            <w:pPr>
              <w:spacing w:after="0"/>
              <w:rPr>
                <w:sz w:val="1"/>
                <w:szCs w:val="1"/>
                <w:color w:val="auto"/>
              </w:rPr>
            </w:pPr>
          </w:p>
        </w:tc>
      </w:tr>
      <w:tr>
        <w:trPr>
          <w:trHeight w:val="114"/>
        </w:trPr>
        <w:tc>
          <w:tcPr>
            <w:tcW w:w="2400" w:type="dxa"/>
            <w:vAlign w:val="bottom"/>
          </w:tcPr>
          <w:p>
            <w:pPr>
              <w:spacing w:after="0"/>
              <w:rPr>
                <w:sz w:val="20"/>
                <w:szCs w:val="20"/>
                <w:color w:val="auto"/>
              </w:rPr>
            </w:pPr>
            <w:r>
              <w:rPr>
                <w:rFonts w:ascii="Arial" w:cs="Arial" w:eastAsia="Arial" w:hAnsi="Arial"/>
                <w:sz w:val="8"/>
                <w:szCs w:val="8"/>
                <w:color w:val="auto"/>
              </w:rPr>
              <w:t>1 Includes excise, value-added and similar taxes:</w:t>
            </w:r>
          </w:p>
        </w:tc>
        <w:tc>
          <w:tcPr>
            <w:tcW w:w="580" w:type="dxa"/>
            <w:vAlign w:val="bottom"/>
            <w:gridSpan w:val="2"/>
          </w:tcPr>
          <w:p>
            <w:pPr>
              <w:ind w:left="36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190"/>
              <w:spacing w:after="0"/>
              <w:rPr>
                <w:sz w:val="20"/>
                <w:szCs w:val="20"/>
                <w:color w:val="auto"/>
              </w:rPr>
            </w:pPr>
            <w:r>
              <w:rPr>
                <w:rFonts w:ascii="Arial" w:cs="Arial" w:eastAsia="Arial" w:hAnsi="Arial"/>
                <w:sz w:val="8"/>
                <w:szCs w:val="8"/>
                <w:b w:val="1"/>
                <w:bCs w:val="1"/>
                <w:color w:val="auto"/>
              </w:rPr>
              <w:t>1,713</w:t>
            </w:r>
          </w:p>
        </w:tc>
        <w:tc>
          <w:tcPr>
            <w:tcW w:w="460" w:type="dxa"/>
            <w:vAlign w:val="bottom"/>
          </w:tcPr>
          <w:p>
            <w:pPr>
              <w:ind w:left="220"/>
              <w:spacing w:after="0"/>
              <w:rPr>
                <w:sz w:val="20"/>
                <w:szCs w:val="20"/>
                <w:color w:val="auto"/>
              </w:rPr>
            </w:pPr>
            <w:r>
              <w:rPr>
                <w:rFonts w:ascii="Arial" w:cs="Arial" w:eastAsia="Arial" w:hAnsi="Arial"/>
                <w:sz w:val="8"/>
                <w:szCs w:val="8"/>
                <w:b w:val="1"/>
                <w:bCs w:val="1"/>
                <w:color w:val="auto"/>
              </w:rPr>
              <w:t>$</w:t>
            </w:r>
          </w:p>
        </w:tc>
        <w:tc>
          <w:tcPr>
            <w:tcW w:w="680" w:type="dxa"/>
            <w:vAlign w:val="bottom"/>
          </w:tcPr>
          <w:p>
            <w:pPr>
              <w:jc w:val="right"/>
              <w:ind w:right="170"/>
              <w:spacing w:after="0"/>
              <w:rPr>
                <w:sz w:val="20"/>
                <w:szCs w:val="20"/>
                <w:color w:val="auto"/>
              </w:rPr>
            </w:pPr>
            <w:r>
              <w:rPr>
                <w:rFonts w:ascii="Arial" w:cs="Arial" w:eastAsia="Arial" w:hAnsi="Arial"/>
                <w:sz w:val="8"/>
                <w:szCs w:val="8"/>
                <w:b w:val="1"/>
                <w:bCs w:val="1"/>
                <w:color w:val="auto"/>
              </w:rPr>
              <w:t>1,974</w:t>
            </w:r>
          </w:p>
        </w:tc>
        <w:tc>
          <w:tcPr>
            <w:tcW w:w="460" w:type="dxa"/>
            <w:vAlign w:val="bottom"/>
          </w:tcPr>
          <w:p>
            <w:pPr>
              <w:ind w:left="24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190"/>
              <w:spacing w:after="0"/>
              <w:rPr>
                <w:sz w:val="20"/>
                <w:szCs w:val="20"/>
                <w:color w:val="auto"/>
              </w:rPr>
            </w:pPr>
            <w:r>
              <w:rPr>
                <w:rFonts w:ascii="Arial" w:cs="Arial" w:eastAsia="Arial" w:hAnsi="Arial"/>
                <w:sz w:val="8"/>
                <w:szCs w:val="8"/>
                <w:b w:val="1"/>
                <w:bCs w:val="1"/>
                <w:color w:val="auto"/>
              </w:rPr>
              <w:t>2,264</w:t>
            </w:r>
          </w:p>
        </w:tc>
        <w:tc>
          <w:tcPr>
            <w:tcW w:w="460" w:type="dxa"/>
            <w:vAlign w:val="bottom"/>
          </w:tcPr>
          <w:p>
            <w:pPr>
              <w:ind w:left="240"/>
              <w:spacing w:after="0"/>
              <w:rPr>
                <w:sz w:val="20"/>
                <w:szCs w:val="20"/>
                <w:color w:val="auto"/>
              </w:rPr>
            </w:pPr>
            <w:r>
              <w:rPr>
                <w:rFonts w:ascii="Arial" w:cs="Arial" w:eastAsia="Arial" w:hAnsi="Arial"/>
                <w:sz w:val="8"/>
                <w:szCs w:val="8"/>
                <w:b w:val="1"/>
                <w:bCs w:val="1"/>
                <w:color w:val="auto"/>
              </w:rPr>
              <w:t>$</w:t>
            </w:r>
          </w:p>
        </w:tc>
        <w:tc>
          <w:tcPr>
            <w:tcW w:w="640" w:type="dxa"/>
            <w:vAlign w:val="bottom"/>
          </w:tcPr>
          <w:p>
            <w:pPr>
              <w:jc w:val="right"/>
              <w:ind w:right="130"/>
              <w:spacing w:after="0"/>
              <w:rPr>
                <w:sz w:val="20"/>
                <w:szCs w:val="20"/>
                <w:color w:val="auto"/>
              </w:rPr>
            </w:pPr>
            <w:r>
              <w:rPr>
                <w:rFonts w:ascii="Arial" w:cs="Arial" w:eastAsia="Arial" w:hAnsi="Arial"/>
                <w:sz w:val="8"/>
                <w:szCs w:val="8"/>
                <w:b w:val="1"/>
                <w:bCs w:val="1"/>
                <w:color w:val="auto"/>
              </w:rPr>
              <w:t>2,134</w:t>
            </w:r>
          </w:p>
        </w:tc>
        <w:tc>
          <w:tcPr>
            <w:tcW w:w="400" w:type="dxa"/>
            <w:vAlign w:val="bottom"/>
          </w:tcPr>
          <w:p>
            <w:pPr>
              <w:ind w:left="160"/>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190"/>
              <w:spacing w:after="0"/>
              <w:rPr>
                <w:sz w:val="20"/>
                <w:szCs w:val="20"/>
                <w:color w:val="auto"/>
              </w:rPr>
            </w:pPr>
            <w:r>
              <w:rPr>
                <w:rFonts w:ascii="Arial" w:cs="Arial" w:eastAsia="Arial" w:hAnsi="Arial"/>
                <w:sz w:val="8"/>
                <w:szCs w:val="8"/>
                <w:color w:val="auto"/>
              </w:rPr>
              <w:t>2,136</w:t>
            </w:r>
          </w:p>
        </w:tc>
        <w:tc>
          <w:tcPr>
            <w:tcW w:w="460" w:type="dxa"/>
            <w:vAlign w:val="bottom"/>
          </w:tcPr>
          <w:p>
            <w:pPr>
              <w:ind w:left="220"/>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190"/>
              <w:spacing w:after="0"/>
              <w:rPr>
                <w:sz w:val="20"/>
                <w:szCs w:val="20"/>
                <w:color w:val="auto"/>
              </w:rPr>
            </w:pPr>
            <w:r>
              <w:rPr>
                <w:rFonts w:ascii="Arial" w:cs="Arial" w:eastAsia="Arial" w:hAnsi="Arial"/>
                <w:sz w:val="8"/>
                <w:szCs w:val="8"/>
                <w:color w:val="auto"/>
              </w:rPr>
              <w:t>2,182</w:t>
            </w:r>
          </w:p>
        </w:tc>
        <w:tc>
          <w:tcPr>
            <w:tcW w:w="440" w:type="dxa"/>
            <w:vAlign w:val="bottom"/>
          </w:tcPr>
          <w:p>
            <w:pPr>
              <w:ind w:left="220"/>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0"/>
              <w:spacing w:after="0"/>
              <w:rPr>
                <w:sz w:val="20"/>
                <w:szCs w:val="20"/>
                <w:color w:val="auto"/>
              </w:rPr>
            </w:pPr>
            <w:r>
              <w:rPr>
                <w:rFonts w:ascii="Arial" w:cs="Arial" w:eastAsia="Arial" w:hAnsi="Arial"/>
                <w:sz w:val="8"/>
                <w:szCs w:val="8"/>
                <w:color w:val="auto"/>
              </w:rPr>
              <w:t>2,201</w:t>
            </w:r>
          </w:p>
        </w:tc>
        <w:tc>
          <w:tcPr>
            <w:tcW w:w="460" w:type="dxa"/>
            <w:vAlign w:val="bottom"/>
          </w:tcPr>
          <w:p>
            <w:pPr>
              <w:ind w:left="220"/>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2,072</w:t>
            </w:r>
          </w:p>
        </w:tc>
        <w:tc>
          <w:tcPr>
            <w:tcW w:w="0" w:type="dxa"/>
            <w:vAlign w:val="bottom"/>
          </w:tcPr>
          <w:p>
            <w:pPr>
              <w:spacing w:after="0"/>
              <w:rPr>
                <w:sz w:val="1"/>
                <w:szCs w:val="1"/>
                <w:color w:val="auto"/>
              </w:rPr>
            </w:pPr>
          </w:p>
        </w:tc>
      </w:tr>
      <w:tr>
        <w:trPr>
          <w:trHeight w:val="114"/>
        </w:trPr>
        <w:tc>
          <w:tcPr>
            <w:tcW w:w="2400" w:type="dxa"/>
            <w:vAlign w:val="bottom"/>
          </w:tcPr>
          <w:p>
            <w:pPr>
              <w:spacing w:after="0"/>
              <w:rPr>
                <w:sz w:val="20"/>
                <w:szCs w:val="20"/>
                <w:color w:val="auto"/>
              </w:rPr>
            </w:pPr>
            <w:r>
              <w:rPr>
                <w:rFonts w:ascii="Arial" w:cs="Arial" w:eastAsia="Arial" w:hAnsi="Arial"/>
                <w:sz w:val="8"/>
                <w:szCs w:val="8"/>
                <w:color w:val="auto"/>
              </w:rPr>
              <w:t>2 Intraday price.</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00" w:right="420"/>
        <w:spacing w:after="0" w:line="267" w:lineRule="auto"/>
        <w:rPr>
          <w:sz w:val="20"/>
          <w:szCs w:val="20"/>
          <w:color w:val="auto"/>
        </w:rPr>
      </w:pPr>
      <w:r>
        <w:rPr>
          <w:rFonts w:ascii="Arial" w:cs="Arial" w:eastAsia="Arial" w:hAnsi="Arial"/>
          <w:sz w:val="13"/>
          <w:szCs w:val="13"/>
          <w:color w:val="auto"/>
        </w:rPr>
        <w:t>The company’s common stock is listed on the New York Stock Exchange (trading symbol: CVX). As of February 13, 2012, stockholders of record numbered approximately 178,000. There are no restrictions on the company’s ability to pay dividends.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FS-20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29297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329805" cy="3752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29805" cy="3752850"/>
                    </a:xfrm>
                    <a:prstGeom prst="rect">
                      <a:avLst/>
                    </a:prstGeom>
                    <a:noFill/>
                  </pic:spPr>
                </pic:pic>
              </a:graphicData>
            </a:graphic>
          </wp:anchor>
        </w:drawing>
      </w:r>
    </w:p>
    <w:p>
      <w:pPr>
        <w:spacing w:after="0" w:line="368"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Management’s Responsibility for Financial Statements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0077C0"/>
        </w:rPr>
        <w:t>To the Stockholders of Chevron Corporation</w:t>
      </w:r>
    </w:p>
    <w:p>
      <w:pPr>
        <w:spacing w:after="0" w:line="9" w:lineRule="exact"/>
        <w:rPr>
          <w:sz w:val="20"/>
          <w:szCs w:val="20"/>
          <w:color w:val="auto"/>
        </w:rPr>
      </w:pPr>
    </w:p>
    <w:p>
      <w:pPr>
        <w:ind w:left="100" w:right="180"/>
        <w:spacing w:after="0" w:line="248" w:lineRule="auto"/>
        <w:rPr>
          <w:sz w:val="20"/>
          <w:szCs w:val="20"/>
          <w:color w:val="auto"/>
        </w:rPr>
      </w:pPr>
      <w:r>
        <w:rPr>
          <w:rFonts w:ascii="Arial" w:cs="Arial" w:eastAsia="Arial" w:hAnsi="Arial"/>
          <w:sz w:val="13"/>
          <w:szCs w:val="13"/>
          <w:color w:val="auto"/>
        </w:rPr>
        <w:t>Management of Chevron is responsible for preparing the accompanying consolidated financial statements and the related information appearing in this report.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w:t>
      </w:r>
    </w:p>
    <w:p>
      <w:pPr>
        <w:spacing w:after="0" w:line="2" w:lineRule="exact"/>
        <w:rPr>
          <w:sz w:val="20"/>
          <w:szCs w:val="20"/>
          <w:color w:val="auto"/>
        </w:rPr>
      </w:pPr>
    </w:p>
    <w:p>
      <w:pPr>
        <w:ind w:left="100" w:right="80" w:firstLine="153"/>
        <w:spacing w:after="0" w:line="246" w:lineRule="auto"/>
        <w:rPr>
          <w:sz w:val="20"/>
          <w:szCs w:val="20"/>
          <w:color w:val="auto"/>
        </w:rPr>
      </w:pPr>
      <w:r>
        <w:rPr>
          <w:rFonts w:ascii="Arial" w:cs="Arial" w:eastAsia="Arial" w:hAnsi="Arial"/>
          <w:sz w:val="13"/>
          <w:szCs w:val="13"/>
          <w:color w:val="auto"/>
        </w:rPr>
        <w:t>As stated in its report included herein, the independent registered public accounting firm of PricewaterhouseCoopers LLP has audited the company’s consolidated financial statements in accordance with the standards of the Public Company Accounting Oversight Board (United States).</w:t>
      </w:r>
    </w:p>
    <w:p>
      <w:pPr>
        <w:spacing w:after="0" w:line="1" w:lineRule="exact"/>
        <w:rPr>
          <w:sz w:val="20"/>
          <w:szCs w:val="20"/>
          <w:color w:val="auto"/>
        </w:rPr>
      </w:pPr>
    </w:p>
    <w:p>
      <w:pPr>
        <w:ind w:left="100" w:firstLine="158"/>
        <w:spacing w:after="0" w:line="250" w:lineRule="auto"/>
        <w:rPr>
          <w:sz w:val="20"/>
          <w:szCs w:val="20"/>
          <w:color w:val="auto"/>
        </w:rPr>
      </w:pPr>
      <w:r>
        <w:rPr>
          <w:rFonts w:ascii="Arial" w:cs="Arial" w:eastAsia="Arial" w:hAnsi="Arial"/>
          <w:sz w:val="13"/>
          <w:szCs w:val="13"/>
          <w:color w:val="auto"/>
        </w:rPr>
        <w:t>The Board of Directors of Chevron has an Audit Committee composed of directors who are not officers or employees of the company. The Audit Committee meets regularly with members of management, the internal auditors and the independent registered public accounting firm to review accounting, internal control, auditing and financial reporting matters. Both the internal auditors and the independent registered public accounting firm have free and direct access to the Audit Committee without the presence of management.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77" w:lineRule="exact"/>
        <w:rPr>
          <w:sz w:val="20"/>
          <w:szCs w:val="20"/>
          <w:color w:val="auto"/>
        </w:rPr>
      </w:pPr>
    </w:p>
    <w:p>
      <w:pPr>
        <w:ind w:left="100"/>
        <w:spacing w:after="0" w:line="250" w:lineRule="auto"/>
        <w:rPr>
          <w:sz w:val="20"/>
          <w:szCs w:val="20"/>
          <w:color w:val="auto"/>
        </w:rPr>
      </w:pPr>
      <w:r>
        <w:rPr>
          <w:rFonts w:ascii="Arial" w:cs="Arial" w:eastAsia="Arial" w:hAnsi="Arial"/>
          <w:sz w:val="13"/>
          <w:szCs w:val="13"/>
          <w:color w:val="auto"/>
        </w:rPr>
        <w:t xml:space="preserve">The company’s management is responsible for establishing and maintaining adequate internal control over financial reporting, as such term is defined in Exchange Act Rule 13a-15(f).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Based on the results of this evaluation, the company’s management concluded that internal control over financial reporting was effective as of December 31, 2011.</w:t>
      </w:r>
    </w:p>
    <w:p>
      <w:pPr>
        <w:spacing w:after="0" w:line="1" w:lineRule="exact"/>
        <w:rPr>
          <w:sz w:val="20"/>
          <w:szCs w:val="20"/>
          <w:color w:val="auto"/>
        </w:rPr>
      </w:pPr>
    </w:p>
    <w:p>
      <w:pPr>
        <w:ind w:left="100" w:right="100" w:firstLine="158"/>
        <w:spacing w:after="0" w:line="253" w:lineRule="auto"/>
        <w:rPr>
          <w:sz w:val="20"/>
          <w:szCs w:val="20"/>
          <w:color w:val="auto"/>
        </w:rPr>
      </w:pPr>
      <w:r>
        <w:rPr>
          <w:rFonts w:ascii="Arial" w:cs="Arial" w:eastAsia="Arial" w:hAnsi="Arial"/>
          <w:sz w:val="13"/>
          <w:szCs w:val="13"/>
          <w:color w:val="auto"/>
        </w:rPr>
        <w:t>The effectiveness of the company’s internal control over financial reporting as of December 31, 2011, has been audited by PricewaterhouseCoopers LLP, an independent registered public accounting firm, as stated in its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ind w:left="100"/>
              <w:spacing w:after="0"/>
              <w:rPr>
                <w:sz w:val="20"/>
                <w:szCs w:val="20"/>
                <w:color w:val="auto"/>
              </w:rPr>
            </w:pPr>
            <w:r>
              <w:rPr>
                <w:rFonts w:ascii="Arial" w:cs="Arial" w:eastAsia="Arial" w:hAnsi="Arial"/>
                <w:sz w:val="13"/>
                <w:szCs w:val="13"/>
                <w:color w:val="auto"/>
              </w:rPr>
              <w:t>John S. Watson</w:t>
            </w:r>
          </w:p>
        </w:tc>
        <w:tc>
          <w:tcPr>
            <w:tcW w:w="4680" w:type="dxa"/>
            <w:vAlign w:val="bottom"/>
          </w:tcPr>
          <w:p>
            <w:pPr>
              <w:ind w:left="1420"/>
              <w:spacing w:after="0"/>
              <w:rPr>
                <w:sz w:val="20"/>
                <w:szCs w:val="20"/>
                <w:color w:val="auto"/>
              </w:rPr>
            </w:pPr>
            <w:r>
              <w:rPr>
                <w:rFonts w:ascii="Arial" w:cs="Arial" w:eastAsia="Arial" w:hAnsi="Arial"/>
                <w:sz w:val="13"/>
                <w:szCs w:val="13"/>
                <w:color w:val="auto"/>
              </w:rPr>
              <w:t>Patricia E. Yarrington</w:t>
            </w:r>
          </w:p>
        </w:tc>
        <w:tc>
          <w:tcPr>
            <w:tcW w:w="3860" w:type="dxa"/>
            <w:vAlign w:val="bottom"/>
          </w:tcPr>
          <w:p>
            <w:pPr>
              <w:ind w:left="1660"/>
              <w:spacing w:after="0"/>
              <w:rPr>
                <w:sz w:val="20"/>
                <w:szCs w:val="20"/>
                <w:color w:val="auto"/>
              </w:rPr>
            </w:pPr>
            <w:r>
              <w:rPr>
                <w:rFonts w:ascii="Arial" w:cs="Arial" w:eastAsia="Arial" w:hAnsi="Arial"/>
                <w:sz w:val="13"/>
                <w:szCs w:val="13"/>
                <w:color w:val="auto"/>
              </w:rPr>
              <w:t>Matthew J. Foehr</w:t>
            </w:r>
          </w:p>
        </w:tc>
      </w:tr>
      <w:tr>
        <w:trPr>
          <w:trHeight w:val="154"/>
        </w:trPr>
        <w:tc>
          <w:tcPr>
            <w:tcW w:w="2940" w:type="dxa"/>
            <w:vAlign w:val="bottom"/>
          </w:tcPr>
          <w:p>
            <w:pPr>
              <w:ind w:left="100"/>
              <w:spacing w:after="0"/>
              <w:rPr>
                <w:sz w:val="20"/>
                <w:szCs w:val="20"/>
                <w:color w:val="auto"/>
              </w:rPr>
            </w:pPr>
            <w:r>
              <w:rPr>
                <w:rFonts w:ascii="Arial" w:cs="Arial" w:eastAsia="Arial" w:hAnsi="Arial"/>
                <w:sz w:val="13"/>
                <w:szCs w:val="13"/>
                <w:color w:val="auto"/>
              </w:rPr>
              <w:t>Chairman of the Board</w:t>
            </w:r>
          </w:p>
        </w:tc>
        <w:tc>
          <w:tcPr>
            <w:tcW w:w="4680" w:type="dxa"/>
            <w:vAlign w:val="bottom"/>
          </w:tcPr>
          <w:p>
            <w:pPr>
              <w:ind w:left="1420"/>
              <w:spacing w:after="0"/>
              <w:rPr>
                <w:sz w:val="20"/>
                <w:szCs w:val="20"/>
                <w:color w:val="auto"/>
              </w:rPr>
            </w:pPr>
            <w:r>
              <w:rPr>
                <w:rFonts w:ascii="Arial" w:cs="Arial" w:eastAsia="Arial" w:hAnsi="Arial"/>
                <w:sz w:val="13"/>
                <w:szCs w:val="13"/>
                <w:color w:val="auto"/>
              </w:rPr>
              <w:t>Vice President</w:t>
            </w:r>
          </w:p>
        </w:tc>
        <w:tc>
          <w:tcPr>
            <w:tcW w:w="3860" w:type="dxa"/>
            <w:vAlign w:val="bottom"/>
          </w:tcPr>
          <w:p>
            <w:pPr>
              <w:ind w:left="1660"/>
              <w:spacing w:after="0"/>
              <w:rPr>
                <w:sz w:val="20"/>
                <w:szCs w:val="20"/>
                <w:color w:val="auto"/>
              </w:rPr>
            </w:pPr>
            <w:r>
              <w:rPr>
                <w:rFonts w:ascii="Arial" w:cs="Arial" w:eastAsia="Arial" w:hAnsi="Arial"/>
                <w:sz w:val="13"/>
                <w:szCs w:val="13"/>
                <w:color w:val="auto"/>
              </w:rPr>
              <w:t>Vice President</w:t>
            </w:r>
          </w:p>
        </w:tc>
      </w:tr>
      <w:tr>
        <w:trPr>
          <w:trHeight w:val="162"/>
        </w:trPr>
        <w:tc>
          <w:tcPr>
            <w:tcW w:w="2940" w:type="dxa"/>
            <w:vAlign w:val="bottom"/>
          </w:tcPr>
          <w:p>
            <w:pPr>
              <w:ind w:left="100"/>
              <w:spacing w:after="0"/>
              <w:rPr>
                <w:sz w:val="20"/>
                <w:szCs w:val="20"/>
                <w:color w:val="auto"/>
              </w:rPr>
            </w:pPr>
            <w:r>
              <w:rPr>
                <w:rFonts w:ascii="Arial" w:cs="Arial" w:eastAsia="Arial" w:hAnsi="Arial"/>
                <w:sz w:val="13"/>
                <w:szCs w:val="13"/>
                <w:color w:val="auto"/>
              </w:rPr>
              <w:t>and Chief Executive Officer</w:t>
            </w:r>
          </w:p>
        </w:tc>
        <w:tc>
          <w:tcPr>
            <w:tcW w:w="4680" w:type="dxa"/>
            <w:vAlign w:val="bottom"/>
          </w:tcPr>
          <w:p>
            <w:pPr>
              <w:ind w:left="1420"/>
              <w:spacing w:after="0"/>
              <w:rPr>
                <w:sz w:val="20"/>
                <w:szCs w:val="20"/>
                <w:color w:val="auto"/>
              </w:rPr>
            </w:pPr>
            <w:r>
              <w:rPr>
                <w:rFonts w:ascii="Arial" w:cs="Arial" w:eastAsia="Arial" w:hAnsi="Arial"/>
                <w:sz w:val="13"/>
                <w:szCs w:val="13"/>
                <w:color w:val="auto"/>
              </w:rPr>
              <w:t>and Chief Financial Officer</w:t>
            </w:r>
          </w:p>
        </w:tc>
        <w:tc>
          <w:tcPr>
            <w:tcW w:w="3860" w:type="dxa"/>
            <w:vAlign w:val="bottom"/>
          </w:tcPr>
          <w:p>
            <w:pPr>
              <w:ind w:left="1660"/>
              <w:spacing w:after="0"/>
              <w:rPr>
                <w:sz w:val="20"/>
                <w:szCs w:val="20"/>
                <w:color w:val="auto"/>
              </w:rPr>
            </w:pPr>
            <w:r>
              <w:rPr>
                <w:rFonts w:ascii="Arial" w:cs="Arial" w:eastAsia="Arial" w:hAnsi="Arial"/>
                <w:sz w:val="13"/>
                <w:szCs w:val="13"/>
                <w:color w:val="auto"/>
              </w:rPr>
              <w:t>and Comptroller</w:t>
            </w:r>
          </w:p>
        </w:tc>
      </w:tr>
      <w:tr>
        <w:trPr>
          <w:trHeight w:val="308"/>
        </w:trPr>
        <w:tc>
          <w:tcPr>
            <w:tcW w:w="2940" w:type="dxa"/>
            <w:vAlign w:val="bottom"/>
          </w:tcPr>
          <w:p>
            <w:pPr>
              <w:ind w:left="100"/>
              <w:spacing w:after="0"/>
              <w:rPr>
                <w:sz w:val="20"/>
                <w:szCs w:val="20"/>
                <w:color w:val="auto"/>
              </w:rPr>
            </w:pPr>
            <w:r>
              <w:rPr>
                <w:rFonts w:ascii="Arial" w:cs="Arial" w:eastAsia="Arial" w:hAnsi="Arial"/>
                <w:sz w:val="13"/>
                <w:szCs w:val="13"/>
                <w:color w:val="0077C0"/>
              </w:rPr>
              <w:t>February 23, 2012</w:t>
            </w:r>
          </w:p>
        </w:tc>
        <w:tc>
          <w:tcPr>
            <w:tcW w:w="46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2"/>
        </w:trPr>
        <w:tc>
          <w:tcPr>
            <w:tcW w:w="2940" w:type="dxa"/>
            <w:vAlign w:val="bottom"/>
          </w:tcPr>
          <w:p>
            <w:pPr>
              <w:spacing w:after="0"/>
              <w:rPr>
                <w:sz w:val="20"/>
                <w:szCs w:val="20"/>
                <w:color w:val="auto"/>
              </w:rPr>
            </w:pPr>
          </w:p>
        </w:tc>
        <w:tc>
          <w:tcPr>
            <w:tcW w:w="4680" w:type="dxa"/>
            <w:vAlign w:val="bottom"/>
          </w:tcPr>
          <w:p>
            <w:pPr>
              <w:ind w:left="2740"/>
              <w:spacing w:after="0"/>
              <w:rPr>
                <w:sz w:val="20"/>
                <w:szCs w:val="20"/>
                <w:color w:val="auto"/>
              </w:rPr>
            </w:pPr>
            <w:r>
              <w:rPr>
                <w:rFonts w:ascii="Arial" w:cs="Arial" w:eastAsia="Arial" w:hAnsi="Arial"/>
                <w:sz w:val="10"/>
                <w:szCs w:val="10"/>
                <w:color w:val="auto"/>
              </w:rPr>
              <w:t>FS-21</w:t>
            </w:r>
          </w:p>
        </w:tc>
        <w:tc>
          <w:tcPr>
            <w:tcW w:w="3860" w:type="dxa"/>
            <w:vAlign w:val="bottom"/>
          </w:tcPr>
          <w:p>
            <w:pPr>
              <w:spacing w:after="0"/>
              <w:rPr>
                <w:sz w:val="20"/>
                <w:szCs w:val="20"/>
                <w:color w:val="auto"/>
              </w:rPr>
            </w:pPr>
          </w:p>
        </w:tc>
      </w:tr>
      <w:tr>
        <w:trPr>
          <w:trHeight w:val="340"/>
        </w:trPr>
        <w:tc>
          <w:tcPr>
            <w:tcW w:w="294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20"/>
          </w:cols>
          <w:pgMar w:left="220" w:top="339" w:right="15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1"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423545</wp:posOffset>
            </wp:positionV>
            <wp:extent cx="7329805" cy="3374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29805" cy="3374390"/>
                    </a:xfrm>
                    <a:prstGeom prst="rect">
                      <a:avLst/>
                    </a:prstGeom>
                    <a:noFill/>
                  </pic:spPr>
                </pic:pic>
              </a:graphicData>
            </a:graphic>
          </wp:anchor>
        </w:drawing>
      </w:r>
    </w:p>
    <w:p>
      <w:pPr>
        <w:sectPr>
          <w:pgSz w:w="11900" w:h="16838" w:orient="portrait"/>
          <w:cols w:equalWidth="0" w:num="1">
            <w:col w:w="11540"/>
          </w:cols>
          <w:pgMar w:left="220" w:top="33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0077C0"/>
        </w:rPr>
        <w:t>To the Stockholders and the Board of Directors of Chevron Corporation:</w:t>
      </w:r>
    </w:p>
    <w:p>
      <w:pPr>
        <w:spacing w:after="0" w:line="158" w:lineRule="exact"/>
        <w:rPr>
          <w:sz w:val="20"/>
          <w:szCs w:val="20"/>
          <w:color w:val="auto"/>
        </w:rPr>
      </w:pPr>
    </w:p>
    <w:p>
      <w:pPr>
        <w:ind w:left="100"/>
        <w:spacing w:after="0" w:line="269" w:lineRule="auto"/>
        <w:rPr>
          <w:sz w:val="20"/>
          <w:szCs w:val="20"/>
          <w:color w:val="auto"/>
        </w:rPr>
      </w:pPr>
      <w:r>
        <w:rPr>
          <w:rFonts w:ascii="Arial" w:cs="Arial" w:eastAsia="Arial" w:hAnsi="Arial"/>
          <w:sz w:val="12"/>
          <w:szCs w:val="12"/>
          <w:color w:val="auto"/>
        </w:rPr>
        <w:t xml:space="preserve">In our opinion, the accompanying consolidated balance sheet and the related consolidated statements of income, comprehensive income, equity and of cash flows present fairly, in all material respects, the financial position of Chevron Corporation and its subsidiaries at December 31, 2011, and December 31,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ind w:right="20" w:firstLine="153"/>
        <w:spacing w:after="0" w:line="267"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60" w:firstLine="160"/>
        <w:spacing w:after="0" w:line="24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San Francisco, California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February 23, 2012</w:t>
      </w:r>
    </w:p>
    <w:p>
      <w:pPr>
        <w:spacing w:after="0" w:line="200" w:lineRule="exact"/>
        <w:rPr>
          <w:sz w:val="20"/>
          <w:szCs w:val="20"/>
          <w:color w:val="auto"/>
        </w:rPr>
      </w:pPr>
    </w:p>
    <w:p>
      <w:pPr>
        <w:sectPr>
          <w:pgSz w:w="11900" w:h="16838" w:orient="portrait"/>
          <w:cols w:equalWidth="0" w:num="2">
            <w:col w:w="5600" w:space="460"/>
            <w:col w:w="5480"/>
          </w:cols>
          <w:pgMar w:left="220" w:top="339" w:right="139" w:bottom="1440" w:gutter="0" w:footer="0" w:header="0"/>
          <w:type w:val="continuous"/>
        </w:sectPr>
      </w:pP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FS-22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29297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540"/>
          </w:cols>
          <w:pgMar w:left="220" w:top="339" w:right="139" w:bottom="1440" w:gutter="0" w:footer="0" w:header="0"/>
          <w:type w:val="continuous"/>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Consolidated Statement of Income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100" w:type="dxa"/>
            <w:vAlign w:val="bottom"/>
            <w:shd w:val="clear" w:color="auto" w:fill="E8EFF9"/>
          </w:tcPr>
          <w:p>
            <w:pPr>
              <w:spacing w:after="0"/>
              <w:rPr>
                <w:sz w:val="24"/>
                <w:szCs w:val="24"/>
                <w:color w:val="auto"/>
              </w:rPr>
            </w:pPr>
          </w:p>
        </w:tc>
        <w:tc>
          <w:tcPr>
            <w:tcW w:w="4020" w:type="dxa"/>
            <w:vAlign w:val="bottom"/>
            <w:shd w:val="clear" w:color="auto" w:fill="E8EFF9"/>
          </w:tcPr>
          <w:p>
            <w:pPr>
              <w:spacing w:after="0"/>
              <w:rPr>
                <w:sz w:val="24"/>
                <w:szCs w:val="24"/>
                <w:color w:val="auto"/>
              </w:rPr>
            </w:pPr>
          </w:p>
        </w:tc>
        <w:tc>
          <w:tcPr>
            <w:tcW w:w="3440" w:type="dxa"/>
            <w:vAlign w:val="bottom"/>
            <w:shd w:val="clear" w:color="auto" w:fill="E8EFF9"/>
          </w:tcPr>
          <w:p>
            <w:pPr>
              <w:spacing w:after="0"/>
              <w:rPr>
                <w:sz w:val="24"/>
                <w:szCs w:val="24"/>
                <w:color w:val="auto"/>
              </w:rPr>
            </w:pPr>
          </w:p>
        </w:tc>
        <w:tc>
          <w:tcPr>
            <w:tcW w:w="58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840" w:type="dxa"/>
            <w:vAlign w:val="bottom"/>
            <w:tcBorders>
              <w:right w:val="single" w:sz="8" w:color="E8EFF9"/>
            </w:tcBorders>
            <w:shd w:val="clear" w:color="auto" w:fill="E8EFF9"/>
          </w:tcPr>
          <w:p>
            <w:pPr>
              <w:spacing w:after="0"/>
              <w:rPr>
                <w:sz w:val="24"/>
                <w:szCs w:val="24"/>
                <w:color w:val="auto"/>
              </w:rPr>
            </w:pPr>
          </w:p>
        </w:tc>
        <w:tc>
          <w:tcPr>
            <w:tcW w:w="440" w:type="dxa"/>
            <w:vAlign w:val="bottom"/>
            <w:shd w:val="clear" w:color="auto" w:fill="E8EFF9"/>
          </w:tcPr>
          <w:p>
            <w:pPr>
              <w:spacing w:after="0"/>
              <w:rPr>
                <w:sz w:val="24"/>
                <w:szCs w:val="24"/>
                <w:color w:val="auto"/>
              </w:rPr>
            </w:pPr>
          </w:p>
        </w:tc>
        <w:tc>
          <w:tcPr>
            <w:tcW w:w="700" w:type="dxa"/>
            <w:vAlign w:val="bottom"/>
            <w:shd w:val="clear" w:color="auto" w:fill="E8EFF9"/>
          </w:tcPr>
          <w:p>
            <w:pPr>
              <w:spacing w:after="0"/>
              <w:rPr>
                <w:sz w:val="24"/>
                <w:szCs w:val="24"/>
                <w:color w:val="auto"/>
              </w:rPr>
            </w:pPr>
          </w:p>
        </w:tc>
        <w:tc>
          <w:tcPr>
            <w:tcW w:w="1220" w:type="dxa"/>
            <w:vAlign w:val="bottom"/>
            <w:gridSpan w:val="4"/>
            <w:shd w:val="clear" w:color="auto" w:fill="E8EFF9"/>
          </w:tcPr>
          <w:p>
            <w:pPr>
              <w:ind w:left="240"/>
              <w:spacing w:after="0"/>
              <w:rPr>
                <w:sz w:val="20"/>
                <w:szCs w:val="20"/>
                <w:color w:val="auto"/>
              </w:rPr>
            </w:pPr>
            <w:r>
              <w:rPr>
                <w:rFonts w:ascii="Arial" w:cs="Arial" w:eastAsia="Arial" w:hAnsi="Arial"/>
                <w:sz w:val="9"/>
                <w:szCs w:val="9"/>
                <w:color w:val="auto"/>
                <w:w w:val="93"/>
              </w:rPr>
              <w:t>Year ended December 31</w:t>
            </w:r>
          </w:p>
        </w:tc>
        <w:tc>
          <w:tcPr>
            <w:tcW w:w="0" w:type="dxa"/>
            <w:vAlign w:val="bottom"/>
          </w:tcPr>
          <w:p>
            <w:pPr>
              <w:spacing w:after="0"/>
              <w:rPr>
                <w:sz w:val="1"/>
                <w:szCs w:val="1"/>
                <w:color w:val="auto"/>
              </w:rPr>
            </w:pPr>
          </w:p>
        </w:tc>
      </w:tr>
      <w:tr>
        <w:trPr>
          <w:trHeight w:val="86"/>
        </w:trPr>
        <w:tc>
          <w:tcPr>
            <w:tcW w:w="100" w:type="dxa"/>
            <w:vAlign w:val="bottom"/>
            <w:tcBorders>
              <w:top w:val="single" w:sz="8" w:color="E8EFF9"/>
              <w:bottom w:val="single" w:sz="8" w:color="E8EFF9"/>
            </w:tcBorders>
            <w:shd w:val="clear" w:color="auto" w:fill="E8EFF9"/>
          </w:tcPr>
          <w:p>
            <w:pPr>
              <w:spacing w:after="0"/>
              <w:rPr>
                <w:sz w:val="7"/>
                <w:szCs w:val="7"/>
                <w:color w:val="auto"/>
              </w:rPr>
            </w:pPr>
          </w:p>
        </w:tc>
        <w:tc>
          <w:tcPr>
            <w:tcW w:w="4020" w:type="dxa"/>
            <w:vAlign w:val="bottom"/>
            <w:tcBorders>
              <w:top w:val="single" w:sz="8" w:color="E8EFF9"/>
              <w:bottom w:val="single" w:sz="8" w:color="0077C0"/>
            </w:tcBorders>
            <w:shd w:val="clear" w:color="auto" w:fill="E8EFF9"/>
          </w:tcPr>
          <w:p>
            <w:pPr>
              <w:spacing w:after="0"/>
              <w:rPr>
                <w:sz w:val="7"/>
                <w:szCs w:val="7"/>
                <w:color w:val="auto"/>
              </w:rPr>
            </w:pPr>
          </w:p>
        </w:tc>
        <w:tc>
          <w:tcPr>
            <w:tcW w:w="3440" w:type="dxa"/>
            <w:vAlign w:val="bottom"/>
            <w:tcBorders>
              <w:top w:val="single" w:sz="8" w:color="E8EFF9"/>
              <w:bottom w:val="single" w:sz="8" w:color="0077C0"/>
            </w:tcBorders>
            <w:shd w:val="clear" w:color="auto" w:fill="E8EFF9"/>
          </w:tcPr>
          <w:p>
            <w:pPr>
              <w:spacing w:after="0"/>
              <w:rPr>
                <w:sz w:val="7"/>
                <w:szCs w:val="7"/>
                <w:color w:val="auto"/>
              </w:rPr>
            </w:pPr>
          </w:p>
        </w:tc>
        <w:tc>
          <w:tcPr>
            <w:tcW w:w="580" w:type="dxa"/>
            <w:vAlign w:val="bottom"/>
            <w:tcBorders>
              <w:top w:val="single" w:sz="8" w:color="E8EFF9"/>
              <w:bottom w:val="single" w:sz="8" w:color="0077C0"/>
            </w:tcBorders>
            <w:shd w:val="clear" w:color="auto" w:fill="E8EFF9"/>
          </w:tcPr>
          <w:p>
            <w:pPr>
              <w:spacing w:after="0"/>
              <w:rPr>
                <w:sz w:val="7"/>
                <w:szCs w:val="7"/>
                <w:color w:val="auto"/>
              </w:rPr>
            </w:pPr>
          </w:p>
        </w:tc>
        <w:tc>
          <w:tcPr>
            <w:tcW w:w="200" w:type="dxa"/>
            <w:vAlign w:val="bottom"/>
            <w:tcBorders>
              <w:top w:val="single" w:sz="8" w:color="0077C0"/>
              <w:bottom w:val="single" w:sz="8" w:color="0077C0"/>
            </w:tcBorders>
            <w:shd w:val="clear" w:color="auto" w:fill="E8EFF9"/>
          </w:tcPr>
          <w:p>
            <w:pPr>
              <w:spacing w:after="0"/>
              <w:rPr>
                <w:sz w:val="7"/>
                <w:szCs w:val="7"/>
                <w:color w:val="auto"/>
              </w:rPr>
            </w:pPr>
          </w:p>
        </w:tc>
        <w:tc>
          <w:tcPr>
            <w:tcW w:w="840" w:type="dxa"/>
            <w:vAlign w:val="bottom"/>
            <w:tcBorders>
              <w:top w:val="single" w:sz="8" w:color="0077C0"/>
              <w:bottom w:val="single" w:sz="8" w:color="0077C0"/>
              <w:right w:val="single" w:sz="8" w:color="E8EFF9"/>
            </w:tcBorders>
            <w:shd w:val="clear" w:color="auto" w:fill="E8EFF9"/>
          </w:tcPr>
          <w:p>
            <w:pPr>
              <w:jc w:val="right"/>
              <w:ind w:right="309"/>
              <w:spacing w:after="0" w:line="86" w:lineRule="exact"/>
              <w:rPr>
                <w:sz w:val="20"/>
                <w:szCs w:val="20"/>
                <w:color w:val="auto"/>
              </w:rPr>
            </w:pPr>
            <w:r>
              <w:rPr>
                <w:rFonts w:ascii="Arial" w:cs="Arial" w:eastAsia="Arial" w:hAnsi="Arial"/>
                <w:sz w:val="9"/>
                <w:szCs w:val="9"/>
                <w:b w:val="1"/>
                <w:bCs w:val="1"/>
                <w:color w:val="auto"/>
              </w:rPr>
              <w:t>2011</w:t>
            </w:r>
          </w:p>
        </w:tc>
        <w:tc>
          <w:tcPr>
            <w:tcW w:w="440" w:type="dxa"/>
            <w:vAlign w:val="bottom"/>
            <w:tcBorders>
              <w:top w:val="single" w:sz="8" w:color="0077C0"/>
              <w:bottom w:val="single" w:sz="8" w:color="0077C0"/>
            </w:tcBorders>
            <w:shd w:val="clear" w:color="auto" w:fill="E8EFF9"/>
          </w:tcPr>
          <w:p>
            <w:pPr>
              <w:spacing w:after="0"/>
              <w:rPr>
                <w:sz w:val="7"/>
                <w:szCs w:val="7"/>
                <w:color w:val="auto"/>
              </w:rPr>
            </w:pPr>
          </w:p>
        </w:tc>
        <w:tc>
          <w:tcPr>
            <w:tcW w:w="700" w:type="dxa"/>
            <w:vAlign w:val="bottom"/>
            <w:tcBorders>
              <w:top w:val="single" w:sz="8" w:color="0077C0"/>
              <w:bottom w:val="single" w:sz="8" w:color="0077C0"/>
            </w:tcBorders>
            <w:shd w:val="clear" w:color="auto" w:fill="E8EFF9"/>
          </w:tcPr>
          <w:p>
            <w:pPr>
              <w:jc w:val="right"/>
              <w:ind w:right="169"/>
              <w:spacing w:after="0" w:line="86" w:lineRule="exact"/>
              <w:rPr>
                <w:sz w:val="20"/>
                <w:szCs w:val="20"/>
                <w:color w:val="auto"/>
              </w:rPr>
            </w:pPr>
            <w:r>
              <w:rPr>
                <w:rFonts w:ascii="Arial" w:cs="Arial" w:eastAsia="Arial" w:hAnsi="Arial"/>
                <w:sz w:val="9"/>
                <w:szCs w:val="9"/>
                <w:color w:val="auto"/>
              </w:rPr>
              <w:t>2010</w:t>
            </w:r>
          </w:p>
        </w:tc>
        <w:tc>
          <w:tcPr>
            <w:tcW w:w="660" w:type="dxa"/>
            <w:vAlign w:val="bottom"/>
            <w:tcBorders>
              <w:top w:val="single" w:sz="8" w:color="0077C0"/>
              <w:bottom w:val="single" w:sz="8" w:color="0077C0"/>
            </w:tcBorders>
            <w:shd w:val="clear" w:color="auto" w:fill="E8EFF9"/>
          </w:tcPr>
          <w:p>
            <w:pPr>
              <w:spacing w:after="0"/>
              <w:rPr>
                <w:sz w:val="7"/>
                <w:szCs w:val="7"/>
                <w:color w:val="auto"/>
              </w:rPr>
            </w:pPr>
          </w:p>
        </w:tc>
        <w:tc>
          <w:tcPr>
            <w:tcW w:w="480" w:type="dxa"/>
            <w:vAlign w:val="bottom"/>
            <w:tcBorders>
              <w:top w:val="single" w:sz="8" w:color="0077C0"/>
              <w:bottom w:val="single" w:sz="8" w:color="0077C0"/>
            </w:tcBorders>
            <w:shd w:val="clear" w:color="auto" w:fill="E8EFF9"/>
          </w:tcPr>
          <w:p>
            <w:pPr>
              <w:jc w:val="right"/>
              <w:spacing w:after="0" w:line="86" w:lineRule="exact"/>
              <w:rPr>
                <w:sz w:val="20"/>
                <w:szCs w:val="20"/>
                <w:color w:val="auto"/>
              </w:rPr>
            </w:pPr>
            <w:r>
              <w:rPr>
                <w:rFonts w:ascii="Arial" w:cs="Arial" w:eastAsia="Arial" w:hAnsi="Arial"/>
                <w:sz w:val="9"/>
                <w:szCs w:val="9"/>
                <w:color w:val="auto"/>
              </w:rPr>
              <w:t>2009</w:t>
            </w:r>
          </w:p>
        </w:tc>
        <w:tc>
          <w:tcPr>
            <w:tcW w:w="20" w:type="dxa"/>
            <w:vAlign w:val="bottom"/>
            <w:tcBorders>
              <w:top w:val="single" w:sz="8" w:color="E8EFF9"/>
              <w:bottom w:val="single" w:sz="8" w:color="E8EFF9"/>
            </w:tcBorders>
            <w:shd w:val="clear" w:color="auto" w:fill="E8EFF9"/>
          </w:tcPr>
          <w:p>
            <w:pPr>
              <w:spacing w:after="0"/>
              <w:rPr>
                <w:sz w:val="7"/>
                <w:szCs w:val="7"/>
                <w:color w:val="auto"/>
              </w:rPr>
            </w:pPr>
          </w:p>
        </w:tc>
        <w:tc>
          <w:tcPr>
            <w:tcW w:w="60" w:type="dxa"/>
            <w:vAlign w:val="bottom"/>
            <w:tcBorders>
              <w:top w:val="single" w:sz="8" w:color="E8EFF9"/>
              <w:bottom w:val="single" w:sz="8" w:color="E8EFF9"/>
            </w:tcBorders>
            <w:shd w:val="clear" w:color="auto" w:fill="E8EFF9"/>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0" w:type="dxa"/>
            <w:vAlign w:val="bottom"/>
            <w:shd w:val="clear" w:color="auto" w:fill="E8EFF9"/>
          </w:tcPr>
          <w:p>
            <w:pPr>
              <w:spacing w:after="0"/>
              <w:rPr>
                <w:sz w:val="8"/>
                <w:szCs w:val="8"/>
                <w:color w:val="auto"/>
              </w:rPr>
            </w:pPr>
          </w:p>
        </w:tc>
        <w:tc>
          <w:tcPr>
            <w:tcW w:w="4020" w:type="dxa"/>
            <w:vAlign w:val="bottom"/>
            <w:shd w:val="clear" w:color="auto" w:fill="E8EFF9"/>
          </w:tcPr>
          <w:p>
            <w:pPr>
              <w:spacing w:after="0" w:line="92" w:lineRule="exact"/>
              <w:rPr>
                <w:sz w:val="20"/>
                <w:szCs w:val="20"/>
                <w:color w:val="auto"/>
              </w:rPr>
            </w:pPr>
            <w:r>
              <w:rPr>
                <w:rFonts w:ascii="Arial" w:cs="Arial" w:eastAsia="Arial" w:hAnsi="Arial"/>
                <w:sz w:val="10"/>
                <w:szCs w:val="10"/>
                <w:b w:val="1"/>
                <w:bCs w:val="1"/>
                <w:color w:val="0077C0"/>
              </w:rPr>
              <w:t>Revenues and Other Income</w:t>
            </w:r>
          </w:p>
        </w:tc>
        <w:tc>
          <w:tcPr>
            <w:tcW w:w="3440" w:type="dxa"/>
            <w:vAlign w:val="bottom"/>
            <w:shd w:val="clear" w:color="auto" w:fill="E8EFF9"/>
          </w:tcPr>
          <w:p>
            <w:pPr>
              <w:spacing w:after="0"/>
              <w:rPr>
                <w:sz w:val="8"/>
                <w:szCs w:val="8"/>
                <w:color w:val="auto"/>
              </w:rPr>
            </w:pPr>
          </w:p>
        </w:tc>
        <w:tc>
          <w:tcPr>
            <w:tcW w:w="780" w:type="dxa"/>
            <w:vAlign w:val="bottom"/>
            <w:gridSpan w:val="2"/>
            <w:vMerge w:val="restart"/>
            <w:shd w:val="clear" w:color="auto" w:fill="E8EFF9"/>
          </w:tcPr>
          <w:p>
            <w:pPr>
              <w:ind w:left="580"/>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244,371</w:t>
            </w:r>
          </w:p>
        </w:tc>
        <w:tc>
          <w:tcPr>
            <w:tcW w:w="440" w:type="dxa"/>
            <w:vAlign w:val="bottom"/>
            <w:shd w:val="clear" w:color="auto" w:fill="E8EFF9"/>
          </w:tcPr>
          <w:p>
            <w:pPr>
              <w:spacing w:after="0"/>
              <w:rPr>
                <w:sz w:val="8"/>
                <w:szCs w:val="8"/>
                <w:color w:val="auto"/>
              </w:rPr>
            </w:pPr>
          </w:p>
        </w:tc>
        <w:tc>
          <w:tcPr>
            <w:tcW w:w="700" w:type="dxa"/>
            <w:vAlign w:val="bottom"/>
            <w:shd w:val="clear" w:color="auto" w:fill="E8EFF9"/>
          </w:tcPr>
          <w:p>
            <w:pPr>
              <w:spacing w:after="0"/>
              <w:rPr>
                <w:sz w:val="8"/>
                <w:szCs w:val="8"/>
                <w:color w:val="auto"/>
              </w:rPr>
            </w:pPr>
          </w:p>
        </w:tc>
        <w:tc>
          <w:tcPr>
            <w:tcW w:w="660" w:type="dxa"/>
            <w:vAlign w:val="bottom"/>
            <w:shd w:val="clear" w:color="auto" w:fill="E8EFF9"/>
          </w:tcPr>
          <w:p>
            <w:pPr>
              <w:spacing w:after="0"/>
              <w:rPr>
                <w:sz w:val="8"/>
                <w:szCs w:val="8"/>
                <w:color w:val="auto"/>
              </w:rPr>
            </w:pPr>
          </w:p>
        </w:tc>
        <w:tc>
          <w:tcPr>
            <w:tcW w:w="480" w:type="dxa"/>
            <w:vAlign w:val="bottom"/>
            <w:shd w:val="clear" w:color="auto" w:fill="E8EFF9"/>
          </w:tcPr>
          <w:p>
            <w:pPr>
              <w:spacing w:after="0"/>
              <w:rPr>
                <w:sz w:val="8"/>
                <w:szCs w:val="8"/>
                <w:color w:val="auto"/>
              </w:rPr>
            </w:pPr>
          </w:p>
        </w:tc>
        <w:tc>
          <w:tcPr>
            <w:tcW w:w="20" w:type="dxa"/>
            <w:vAlign w:val="bottom"/>
            <w:shd w:val="clear" w:color="auto" w:fill="E8EFF9"/>
          </w:tcPr>
          <w:p>
            <w:pPr>
              <w:spacing w:after="0"/>
              <w:rPr>
                <w:sz w:val="8"/>
                <w:szCs w:val="8"/>
                <w:color w:val="auto"/>
              </w:rPr>
            </w:pPr>
          </w:p>
        </w:tc>
        <w:tc>
          <w:tcPr>
            <w:tcW w:w="60" w:type="dxa"/>
            <w:vAlign w:val="bottom"/>
            <w:shd w:val="clear" w:color="auto" w:fill="E8EFF9"/>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4" w:lineRule="exact"/>
              <w:rPr>
                <w:sz w:val="20"/>
                <w:szCs w:val="20"/>
                <w:color w:val="auto"/>
              </w:rPr>
            </w:pPr>
            <w:r>
              <w:rPr>
                <w:rFonts w:ascii="Arial" w:cs="Arial" w:eastAsia="Arial" w:hAnsi="Arial"/>
                <w:sz w:val="10"/>
                <w:szCs w:val="10"/>
                <w:color w:val="auto"/>
              </w:rPr>
              <w:t>Sales and other operating revenues*</w:t>
            </w:r>
          </w:p>
        </w:tc>
        <w:tc>
          <w:tcPr>
            <w:tcW w:w="3440" w:type="dxa"/>
            <w:vAlign w:val="bottom"/>
            <w:shd w:val="clear" w:color="auto" w:fill="E8EFF9"/>
          </w:tcPr>
          <w:p>
            <w:pPr>
              <w:spacing w:after="0"/>
              <w:rPr>
                <w:sz w:val="9"/>
                <w:szCs w:val="9"/>
                <w:color w:val="auto"/>
              </w:rPr>
            </w:pPr>
          </w:p>
        </w:tc>
        <w:tc>
          <w:tcPr>
            <w:tcW w:w="780" w:type="dxa"/>
            <w:vAlign w:val="bottom"/>
            <w:gridSpan w:val="2"/>
            <w:vMerge w:val="continue"/>
            <w:shd w:val="clear" w:color="auto" w:fill="E8EFF9"/>
          </w:tcPr>
          <w:p>
            <w:pPr>
              <w:spacing w:after="0"/>
              <w:rPr>
                <w:sz w:val="9"/>
                <w:szCs w:val="9"/>
                <w:color w:val="auto"/>
              </w:rPr>
            </w:pPr>
          </w:p>
        </w:tc>
        <w:tc>
          <w:tcPr>
            <w:tcW w:w="840" w:type="dxa"/>
            <w:vAlign w:val="bottom"/>
            <w:tcBorders>
              <w:right w:val="single" w:sz="8" w:color="0077C0"/>
            </w:tcBorders>
            <w:vMerge w:val="continue"/>
            <w:shd w:val="clear" w:color="auto" w:fill="E8EFF9"/>
          </w:tcPr>
          <w:p>
            <w:pPr>
              <w:spacing w:after="0"/>
              <w:rPr>
                <w:sz w:val="9"/>
                <w:szCs w:val="9"/>
                <w:color w:val="auto"/>
              </w:rPr>
            </w:pPr>
          </w:p>
        </w:tc>
        <w:tc>
          <w:tcPr>
            <w:tcW w:w="440" w:type="dxa"/>
            <w:vAlign w:val="bottom"/>
            <w:shd w:val="clear" w:color="auto" w:fill="E8EFF9"/>
          </w:tcPr>
          <w:p>
            <w:pPr>
              <w:ind w:left="220"/>
              <w:spacing w:after="0" w:line="104" w:lineRule="exact"/>
              <w:rPr>
                <w:sz w:val="20"/>
                <w:szCs w:val="20"/>
                <w:color w:val="auto"/>
              </w:rPr>
            </w:pPr>
            <w:r>
              <w:rPr>
                <w:rFonts w:ascii="Arial" w:cs="Arial" w:eastAsia="Arial" w:hAnsi="Arial"/>
                <w:sz w:val="10"/>
                <w:szCs w:val="10"/>
                <w:color w:val="auto"/>
              </w:rPr>
              <w:t>$</w:t>
            </w:r>
          </w:p>
        </w:tc>
        <w:tc>
          <w:tcPr>
            <w:tcW w:w="700" w:type="dxa"/>
            <w:vAlign w:val="bottom"/>
            <w:shd w:val="clear" w:color="auto" w:fill="E8EFF9"/>
          </w:tcPr>
          <w:p>
            <w:pPr>
              <w:jc w:val="right"/>
              <w:ind w:right="169"/>
              <w:spacing w:after="0" w:line="104" w:lineRule="exact"/>
              <w:rPr>
                <w:sz w:val="20"/>
                <w:szCs w:val="20"/>
                <w:color w:val="auto"/>
              </w:rPr>
            </w:pPr>
            <w:r>
              <w:rPr>
                <w:rFonts w:ascii="Arial" w:cs="Arial" w:eastAsia="Arial" w:hAnsi="Arial"/>
                <w:sz w:val="10"/>
                <w:szCs w:val="10"/>
                <w:color w:val="auto"/>
              </w:rPr>
              <w:t>198,198</w:t>
            </w:r>
          </w:p>
        </w:tc>
        <w:tc>
          <w:tcPr>
            <w:tcW w:w="660" w:type="dxa"/>
            <w:vAlign w:val="bottom"/>
            <w:shd w:val="clear" w:color="auto" w:fill="E8EFF9"/>
          </w:tcPr>
          <w:p>
            <w:pPr>
              <w:ind w:left="460"/>
              <w:spacing w:after="0" w:line="104" w:lineRule="exact"/>
              <w:rPr>
                <w:sz w:val="20"/>
                <w:szCs w:val="20"/>
                <w:color w:val="auto"/>
              </w:rPr>
            </w:pPr>
            <w:r>
              <w:rPr>
                <w:rFonts w:ascii="Arial" w:cs="Arial" w:eastAsia="Arial" w:hAnsi="Arial"/>
                <w:sz w:val="10"/>
                <w:szCs w:val="10"/>
                <w:color w:val="auto"/>
              </w:rPr>
              <w:t>$</w:t>
            </w:r>
          </w:p>
        </w:tc>
        <w:tc>
          <w:tcPr>
            <w:tcW w:w="480" w:type="dxa"/>
            <w:vAlign w:val="bottom"/>
            <w:shd w:val="clear" w:color="auto" w:fill="E8EFF9"/>
          </w:tcPr>
          <w:p>
            <w:pPr>
              <w:jc w:val="right"/>
              <w:spacing w:after="0" w:line="104" w:lineRule="exact"/>
              <w:rPr>
                <w:sz w:val="20"/>
                <w:szCs w:val="20"/>
                <w:color w:val="auto"/>
              </w:rPr>
            </w:pPr>
            <w:r>
              <w:rPr>
                <w:rFonts w:ascii="Arial" w:cs="Arial" w:eastAsia="Arial" w:hAnsi="Arial"/>
                <w:sz w:val="10"/>
                <w:szCs w:val="10"/>
                <w:color w:val="auto"/>
              </w:rPr>
              <w:t>167,402</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Income from equity affiliates</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7,363</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5,637</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3,316</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E8EFF9"/>
            </w:tcBorders>
            <w:shd w:val="clear" w:color="auto" w:fill="E8EFF9"/>
          </w:tcPr>
          <w:p>
            <w:pPr>
              <w:spacing w:after="0"/>
              <w:rPr>
                <w:sz w:val="10"/>
                <w:szCs w:val="10"/>
                <w:color w:val="auto"/>
              </w:rPr>
            </w:pPr>
          </w:p>
        </w:tc>
        <w:tc>
          <w:tcPr>
            <w:tcW w:w="40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0"/>
                <w:szCs w:val="10"/>
                <w:color w:val="auto"/>
              </w:rPr>
              <w:t>Other income</w:t>
            </w:r>
          </w:p>
        </w:tc>
        <w:tc>
          <w:tcPr>
            <w:tcW w:w="3440" w:type="dxa"/>
            <w:vAlign w:val="bottom"/>
            <w:tcBorders>
              <w:bottom w:val="single" w:sz="8" w:color="0077C0"/>
            </w:tcBorders>
            <w:shd w:val="clear" w:color="auto" w:fill="E8EFF9"/>
          </w:tcPr>
          <w:p>
            <w:pPr>
              <w:spacing w:after="0"/>
              <w:rPr>
                <w:sz w:val="10"/>
                <w:szCs w:val="10"/>
                <w:color w:val="auto"/>
              </w:rPr>
            </w:pPr>
          </w:p>
        </w:tc>
        <w:tc>
          <w:tcPr>
            <w:tcW w:w="580" w:type="dxa"/>
            <w:vAlign w:val="bottom"/>
            <w:tcBorders>
              <w:bottom w:val="single" w:sz="8" w:color="0077C0"/>
            </w:tcBorders>
            <w:shd w:val="clear" w:color="auto" w:fill="E8EFF9"/>
          </w:tcPr>
          <w:p>
            <w:pPr>
              <w:spacing w:after="0"/>
              <w:rPr>
                <w:sz w:val="10"/>
                <w:szCs w:val="10"/>
                <w:color w:val="auto"/>
              </w:rPr>
            </w:pPr>
          </w:p>
        </w:tc>
        <w:tc>
          <w:tcPr>
            <w:tcW w:w="200" w:type="dxa"/>
            <w:vAlign w:val="bottom"/>
            <w:tcBorders>
              <w:bottom w:val="single" w:sz="8" w:color="0077C0"/>
            </w:tcBorders>
            <w:shd w:val="clear" w:color="auto" w:fill="E8EFF9"/>
          </w:tcPr>
          <w:p>
            <w:pPr>
              <w:spacing w:after="0"/>
              <w:rPr>
                <w:sz w:val="10"/>
                <w:szCs w:val="10"/>
                <w:color w:val="auto"/>
              </w:rPr>
            </w:pP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1,972</w:t>
            </w:r>
          </w:p>
        </w:tc>
        <w:tc>
          <w:tcPr>
            <w:tcW w:w="440" w:type="dxa"/>
            <w:vAlign w:val="bottom"/>
            <w:tcBorders>
              <w:bottom w:val="single" w:sz="8" w:color="0077C0"/>
            </w:tcBorders>
            <w:shd w:val="clear" w:color="auto" w:fill="E8EFF9"/>
          </w:tcPr>
          <w:p>
            <w:pPr>
              <w:spacing w:after="0"/>
              <w:rPr>
                <w:sz w:val="10"/>
                <w:szCs w:val="10"/>
                <w:color w:val="auto"/>
              </w:rPr>
            </w:pP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1,093</w:t>
            </w:r>
          </w:p>
        </w:tc>
        <w:tc>
          <w:tcPr>
            <w:tcW w:w="660" w:type="dxa"/>
            <w:vAlign w:val="bottom"/>
            <w:tcBorders>
              <w:bottom w:val="single" w:sz="8" w:color="0077C0"/>
            </w:tcBorders>
            <w:shd w:val="clear" w:color="auto" w:fill="E8EFF9"/>
          </w:tcPr>
          <w:p>
            <w:pPr>
              <w:spacing w:after="0"/>
              <w:rPr>
                <w:sz w:val="10"/>
                <w:szCs w:val="10"/>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918</w:t>
            </w:r>
          </w:p>
        </w:tc>
        <w:tc>
          <w:tcPr>
            <w:tcW w:w="20" w:type="dxa"/>
            <w:vAlign w:val="bottom"/>
            <w:tcBorders>
              <w:bottom w:val="single" w:sz="8" w:color="E8EFF9"/>
            </w:tcBorders>
            <w:shd w:val="clear" w:color="auto" w:fill="E8EFF9"/>
          </w:tcPr>
          <w:p>
            <w:pPr>
              <w:spacing w:after="0"/>
              <w:rPr>
                <w:sz w:val="10"/>
                <w:szCs w:val="10"/>
                <w:color w:val="auto"/>
              </w:rPr>
            </w:pPr>
          </w:p>
        </w:tc>
        <w:tc>
          <w:tcPr>
            <w:tcW w:w="60" w:type="dxa"/>
            <w:vAlign w:val="bottom"/>
            <w:tcBorders>
              <w:bottom w:val="single" w:sz="8" w:color="E8EFF9"/>
            </w:tcBorders>
            <w:shd w:val="clear" w:color="auto" w:fill="E8EFF9"/>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tcBorders>
              <w:bottom w:val="single" w:sz="8" w:color="E8EFF9"/>
            </w:tcBorders>
            <w:shd w:val="clear" w:color="auto" w:fill="E8EFF9"/>
          </w:tcPr>
          <w:p>
            <w:pPr>
              <w:spacing w:after="0"/>
              <w:rPr>
                <w:sz w:val="9"/>
                <w:szCs w:val="9"/>
                <w:color w:val="auto"/>
              </w:rPr>
            </w:pPr>
          </w:p>
        </w:tc>
        <w:tc>
          <w:tcPr>
            <w:tcW w:w="402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Revenues and Other Income</w:t>
            </w:r>
          </w:p>
        </w:tc>
        <w:tc>
          <w:tcPr>
            <w:tcW w:w="3440" w:type="dxa"/>
            <w:vAlign w:val="bottom"/>
            <w:tcBorders>
              <w:bottom w:val="single" w:sz="8" w:color="0077C0"/>
            </w:tcBorders>
            <w:shd w:val="clear" w:color="auto" w:fill="E8EFF9"/>
          </w:tcPr>
          <w:p>
            <w:pPr>
              <w:spacing w:after="0"/>
              <w:rPr>
                <w:sz w:val="9"/>
                <w:szCs w:val="9"/>
                <w:color w:val="auto"/>
              </w:rPr>
            </w:pPr>
          </w:p>
        </w:tc>
        <w:tc>
          <w:tcPr>
            <w:tcW w:w="580" w:type="dxa"/>
            <w:vAlign w:val="bottom"/>
            <w:tcBorders>
              <w:bottom w:val="single" w:sz="8" w:color="0077C0"/>
            </w:tcBorders>
            <w:shd w:val="clear" w:color="auto" w:fill="E8EFF9"/>
          </w:tcPr>
          <w:p>
            <w:pPr>
              <w:spacing w:after="0"/>
              <w:rPr>
                <w:sz w:val="9"/>
                <w:szCs w:val="9"/>
                <w:color w:val="auto"/>
              </w:rPr>
            </w:pPr>
          </w:p>
        </w:tc>
        <w:tc>
          <w:tcPr>
            <w:tcW w:w="200" w:type="dxa"/>
            <w:vAlign w:val="bottom"/>
            <w:tcBorders>
              <w:bottom w:val="single" w:sz="8" w:color="0077C0"/>
            </w:tcBorders>
            <w:shd w:val="clear" w:color="auto" w:fill="E8EFF9"/>
          </w:tcPr>
          <w:p>
            <w:pPr>
              <w:spacing w:after="0"/>
              <w:rPr>
                <w:sz w:val="9"/>
                <w:szCs w:val="9"/>
                <w:color w:val="auto"/>
              </w:rPr>
            </w:pPr>
          </w:p>
        </w:tc>
        <w:tc>
          <w:tcPr>
            <w:tcW w:w="840" w:type="dxa"/>
            <w:vAlign w:val="bottom"/>
            <w:tcBorders>
              <w:bottom w:val="single" w:sz="8" w:color="0077C0"/>
              <w:right w:val="single" w:sz="8" w:color="0077C0"/>
            </w:tcBorders>
            <w:shd w:val="clear" w:color="auto" w:fill="E8EFF9"/>
          </w:tcPr>
          <w:p>
            <w:pPr>
              <w:jc w:val="right"/>
              <w:ind w:right="309"/>
              <w:spacing w:after="0" w:line="105" w:lineRule="exact"/>
              <w:rPr>
                <w:sz w:val="20"/>
                <w:szCs w:val="20"/>
                <w:color w:val="auto"/>
              </w:rPr>
            </w:pPr>
            <w:r>
              <w:rPr>
                <w:rFonts w:ascii="Arial" w:cs="Arial" w:eastAsia="Arial" w:hAnsi="Arial"/>
                <w:sz w:val="10"/>
                <w:szCs w:val="10"/>
                <w:b w:val="1"/>
                <w:bCs w:val="1"/>
                <w:color w:val="auto"/>
              </w:rPr>
              <w:t>253,706</w:t>
            </w:r>
          </w:p>
        </w:tc>
        <w:tc>
          <w:tcPr>
            <w:tcW w:w="440" w:type="dxa"/>
            <w:vAlign w:val="bottom"/>
            <w:tcBorders>
              <w:bottom w:val="single" w:sz="8" w:color="0077C0"/>
            </w:tcBorders>
            <w:shd w:val="clear" w:color="auto" w:fill="E8EFF9"/>
          </w:tcPr>
          <w:p>
            <w:pPr>
              <w:spacing w:after="0"/>
              <w:rPr>
                <w:sz w:val="9"/>
                <w:szCs w:val="9"/>
                <w:color w:val="auto"/>
              </w:rPr>
            </w:pPr>
          </w:p>
        </w:tc>
        <w:tc>
          <w:tcPr>
            <w:tcW w:w="700" w:type="dxa"/>
            <w:vAlign w:val="bottom"/>
            <w:tcBorders>
              <w:bottom w:val="single" w:sz="8" w:color="0077C0"/>
            </w:tcBorders>
            <w:shd w:val="clear" w:color="auto" w:fill="E8EFF9"/>
          </w:tcPr>
          <w:p>
            <w:pPr>
              <w:jc w:val="right"/>
              <w:ind w:right="169"/>
              <w:spacing w:after="0" w:line="105" w:lineRule="exact"/>
              <w:rPr>
                <w:sz w:val="20"/>
                <w:szCs w:val="20"/>
                <w:color w:val="auto"/>
              </w:rPr>
            </w:pPr>
            <w:r>
              <w:rPr>
                <w:rFonts w:ascii="Arial" w:cs="Arial" w:eastAsia="Arial" w:hAnsi="Arial"/>
                <w:sz w:val="10"/>
                <w:szCs w:val="10"/>
                <w:color w:val="auto"/>
              </w:rPr>
              <w:t>204,928</w:t>
            </w:r>
          </w:p>
        </w:tc>
        <w:tc>
          <w:tcPr>
            <w:tcW w:w="660" w:type="dxa"/>
            <w:vAlign w:val="bottom"/>
            <w:tcBorders>
              <w:bottom w:val="single" w:sz="8" w:color="0077C0"/>
            </w:tcBorders>
            <w:shd w:val="clear" w:color="auto" w:fill="E8EFF9"/>
          </w:tcPr>
          <w:p>
            <w:pPr>
              <w:spacing w:after="0"/>
              <w:rPr>
                <w:sz w:val="9"/>
                <w:szCs w:val="9"/>
                <w:color w:val="auto"/>
              </w:rPr>
            </w:pPr>
          </w:p>
        </w:tc>
        <w:tc>
          <w:tcPr>
            <w:tcW w:w="480" w:type="dxa"/>
            <w:vAlign w:val="bottom"/>
            <w:tcBorders>
              <w:bottom w:val="single" w:sz="8" w:color="0077C0"/>
            </w:tcBorders>
            <w:shd w:val="clear" w:color="auto" w:fill="E8EFF9"/>
          </w:tcPr>
          <w:p>
            <w:pPr>
              <w:jc w:val="right"/>
              <w:spacing w:after="0" w:line="105" w:lineRule="exact"/>
              <w:rPr>
                <w:sz w:val="20"/>
                <w:szCs w:val="20"/>
                <w:color w:val="auto"/>
              </w:rPr>
            </w:pPr>
            <w:r>
              <w:rPr>
                <w:rFonts w:ascii="Arial" w:cs="Arial" w:eastAsia="Arial" w:hAnsi="Arial"/>
                <w:sz w:val="10"/>
                <w:szCs w:val="10"/>
                <w:color w:val="auto"/>
              </w:rPr>
              <w:t>171,636</w:t>
            </w:r>
          </w:p>
        </w:tc>
        <w:tc>
          <w:tcPr>
            <w:tcW w:w="20" w:type="dxa"/>
            <w:vAlign w:val="bottom"/>
            <w:tcBorders>
              <w:bottom w:val="single" w:sz="8" w:color="E8EFF9"/>
            </w:tcBorders>
            <w:shd w:val="clear" w:color="auto" w:fill="E8EFF9"/>
          </w:tcPr>
          <w:p>
            <w:pPr>
              <w:spacing w:after="0"/>
              <w:rPr>
                <w:sz w:val="9"/>
                <w:szCs w:val="9"/>
                <w:color w:val="auto"/>
              </w:rPr>
            </w:pPr>
          </w:p>
        </w:tc>
        <w:tc>
          <w:tcPr>
            <w:tcW w:w="60" w:type="dxa"/>
            <w:vAlign w:val="bottom"/>
            <w:tcBorders>
              <w:bottom w:val="single" w:sz="8" w:color="E8EFF9"/>
            </w:tcBorders>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00" w:type="dxa"/>
            <w:vAlign w:val="bottom"/>
            <w:shd w:val="clear" w:color="auto" w:fill="E8EFF9"/>
          </w:tcPr>
          <w:p>
            <w:pPr>
              <w:spacing w:after="0"/>
              <w:rPr>
                <w:sz w:val="8"/>
                <w:szCs w:val="8"/>
                <w:color w:val="auto"/>
              </w:rPr>
            </w:pPr>
          </w:p>
        </w:tc>
        <w:tc>
          <w:tcPr>
            <w:tcW w:w="4020" w:type="dxa"/>
            <w:vAlign w:val="bottom"/>
            <w:shd w:val="clear" w:color="auto" w:fill="E8EFF9"/>
          </w:tcPr>
          <w:p>
            <w:pPr>
              <w:spacing w:after="0" w:line="92" w:lineRule="exact"/>
              <w:rPr>
                <w:sz w:val="20"/>
                <w:szCs w:val="20"/>
                <w:color w:val="auto"/>
              </w:rPr>
            </w:pPr>
            <w:r>
              <w:rPr>
                <w:rFonts w:ascii="Arial" w:cs="Arial" w:eastAsia="Arial" w:hAnsi="Arial"/>
                <w:sz w:val="10"/>
                <w:szCs w:val="10"/>
                <w:b w:val="1"/>
                <w:bCs w:val="1"/>
                <w:color w:val="0077C0"/>
              </w:rPr>
              <w:t>Costs and Other Deductions</w:t>
            </w:r>
          </w:p>
        </w:tc>
        <w:tc>
          <w:tcPr>
            <w:tcW w:w="3440" w:type="dxa"/>
            <w:vAlign w:val="bottom"/>
            <w:shd w:val="clear" w:color="auto" w:fill="E8EFF9"/>
          </w:tcPr>
          <w:p>
            <w:pPr>
              <w:spacing w:after="0"/>
              <w:rPr>
                <w:sz w:val="8"/>
                <w:szCs w:val="8"/>
                <w:color w:val="auto"/>
              </w:rPr>
            </w:pPr>
          </w:p>
        </w:tc>
        <w:tc>
          <w:tcPr>
            <w:tcW w:w="580" w:type="dxa"/>
            <w:vAlign w:val="bottom"/>
            <w:shd w:val="clear" w:color="auto" w:fill="E8EFF9"/>
          </w:tcPr>
          <w:p>
            <w:pPr>
              <w:spacing w:after="0"/>
              <w:rPr>
                <w:sz w:val="8"/>
                <w:szCs w:val="8"/>
                <w:color w:val="auto"/>
              </w:rPr>
            </w:pPr>
          </w:p>
        </w:tc>
        <w:tc>
          <w:tcPr>
            <w:tcW w:w="200" w:type="dxa"/>
            <w:vAlign w:val="bottom"/>
            <w:shd w:val="clear" w:color="auto" w:fill="E8EFF9"/>
          </w:tcPr>
          <w:p>
            <w:pPr>
              <w:spacing w:after="0"/>
              <w:rPr>
                <w:sz w:val="8"/>
                <w:szCs w:val="8"/>
                <w:color w:val="auto"/>
              </w:rPr>
            </w:pPr>
          </w:p>
        </w:tc>
        <w:tc>
          <w:tcPr>
            <w:tcW w:w="840" w:type="dxa"/>
            <w:vAlign w:val="bottom"/>
            <w:tcBorders>
              <w:right w:val="single" w:sz="8" w:color="0077C0"/>
            </w:tcBorders>
            <w:vMerge w:val="restart"/>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149,923</w:t>
            </w:r>
          </w:p>
        </w:tc>
        <w:tc>
          <w:tcPr>
            <w:tcW w:w="440" w:type="dxa"/>
            <w:vAlign w:val="bottom"/>
            <w:shd w:val="clear" w:color="auto" w:fill="E8EFF9"/>
          </w:tcPr>
          <w:p>
            <w:pPr>
              <w:spacing w:after="0"/>
              <w:rPr>
                <w:sz w:val="8"/>
                <w:szCs w:val="8"/>
                <w:color w:val="auto"/>
              </w:rPr>
            </w:pPr>
          </w:p>
        </w:tc>
        <w:tc>
          <w:tcPr>
            <w:tcW w:w="700" w:type="dxa"/>
            <w:vAlign w:val="bottom"/>
            <w:shd w:val="clear" w:color="auto" w:fill="E8EFF9"/>
          </w:tcPr>
          <w:p>
            <w:pPr>
              <w:spacing w:after="0"/>
              <w:rPr>
                <w:sz w:val="8"/>
                <w:szCs w:val="8"/>
                <w:color w:val="auto"/>
              </w:rPr>
            </w:pPr>
          </w:p>
        </w:tc>
        <w:tc>
          <w:tcPr>
            <w:tcW w:w="660" w:type="dxa"/>
            <w:vAlign w:val="bottom"/>
            <w:shd w:val="clear" w:color="auto" w:fill="E8EFF9"/>
          </w:tcPr>
          <w:p>
            <w:pPr>
              <w:spacing w:after="0"/>
              <w:rPr>
                <w:sz w:val="8"/>
                <w:szCs w:val="8"/>
                <w:color w:val="auto"/>
              </w:rPr>
            </w:pPr>
          </w:p>
        </w:tc>
        <w:tc>
          <w:tcPr>
            <w:tcW w:w="480" w:type="dxa"/>
            <w:vAlign w:val="bottom"/>
            <w:shd w:val="clear" w:color="auto" w:fill="E8EFF9"/>
          </w:tcPr>
          <w:p>
            <w:pPr>
              <w:spacing w:after="0"/>
              <w:rPr>
                <w:sz w:val="8"/>
                <w:szCs w:val="8"/>
                <w:color w:val="auto"/>
              </w:rPr>
            </w:pPr>
          </w:p>
        </w:tc>
        <w:tc>
          <w:tcPr>
            <w:tcW w:w="20" w:type="dxa"/>
            <w:vAlign w:val="bottom"/>
            <w:shd w:val="clear" w:color="auto" w:fill="E8EFF9"/>
          </w:tcPr>
          <w:p>
            <w:pPr>
              <w:spacing w:after="0"/>
              <w:rPr>
                <w:sz w:val="8"/>
                <w:szCs w:val="8"/>
                <w:color w:val="auto"/>
              </w:rPr>
            </w:pPr>
          </w:p>
        </w:tc>
        <w:tc>
          <w:tcPr>
            <w:tcW w:w="60" w:type="dxa"/>
            <w:vAlign w:val="bottom"/>
            <w:shd w:val="clear" w:color="auto" w:fill="E8EFF9"/>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4" w:lineRule="exact"/>
              <w:rPr>
                <w:sz w:val="20"/>
                <w:szCs w:val="20"/>
                <w:color w:val="auto"/>
              </w:rPr>
            </w:pPr>
            <w:r>
              <w:rPr>
                <w:rFonts w:ascii="Arial" w:cs="Arial" w:eastAsia="Arial" w:hAnsi="Arial"/>
                <w:sz w:val="10"/>
                <w:szCs w:val="10"/>
                <w:color w:val="auto"/>
              </w:rPr>
              <w:t>Purchased crude oil and products</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vMerge w:val="continue"/>
            <w:shd w:val="clear" w:color="auto" w:fill="E8EFF9"/>
          </w:tcPr>
          <w:p>
            <w:pPr>
              <w:spacing w:after="0"/>
              <w:rPr>
                <w:sz w:val="9"/>
                <w:szCs w:val="9"/>
                <w:color w:val="auto"/>
              </w:rPr>
            </w:pP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4" w:lineRule="exact"/>
              <w:rPr>
                <w:sz w:val="20"/>
                <w:szCs w:val="20"/>
                <w:color w:val="auto"/>
              </w:rPr>
            </w:pPr>
            <w:r>
              <w:rPr>
                <w:rFonts w:ascii="Arial" w:cs="Arial" w:eastAsia="Arial" w:hAnsi="Arial"/>
                <w:sz w:val="10"/>
                <w:szCs w:val="10"/>
                <w:color w:val="auto"/>
              </w:rPr>
              <w:t>116,467</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4" w:lineRule="exact"/>
              <w:rPr>
                <w:sz w:val="20"/>
                <w:szCs w:val="20"/>
                <w:color w:val="auto"/>
              </w:rPr>
            </w:pPr>
            <w:r>
              <w:rPr>
                <w:rFonts w:ascii="Arial" w:cs="Arial" w:eastAsia="Arial" w:hAnsi="Arial"/>
                <w:sz w:val="10"/>
                <w:szCs w:val="10"/>
                <w:color w:val="auto"/>
              </w:rPr>
              <w:t>99,653</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Operating expenses</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21,649</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19,188</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17,857</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Selling, general and administrative expenses</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4,745</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4,767</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4,527</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Exploration expenses</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1,216</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1,147</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1,342</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Depreciation, depletion and amortization</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12,911</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13,063</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12,110</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color w:val="auto"/>
              </w:rPr>
              <w:t>Taxes other than on income*</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15,628</w:t>
            </w: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18,191</w:t>
            </w: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17,591</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E8EFF9"/>
            </w:tcBorders>
            <w:shd w:val="clear" w:color="auto" w:fill="E8EFF9"/>
          </w:tcPr>
          <w:p>
            <w:pPr>
              <w:spacing w:after="0"/>
              <w:rPr>
                <w:sz w:val="10"/>
                <w:szCs w:val="10"/>
                <w:color w:val="auto"/>
              </w:rPr>
            </w:pPr>
          </w:p>
        </w:tc>
        <w:tc>
          <w:tcPr>
            <w:tcW w:w="40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0"/>
                <w:szCs w:val="10"/>
                <w:color w:val="auto"/>
              </w:rPr>
              <w:t>Interest and debt expense</w:t>
            </w:r>
          </w:p>
        </w:tc>
        <w:tc>
          <w:tcPr>
            <w:tcW w:w="3440" w:type="dxa"/>
            <w:vAlign w:val="bottom"/>
            <w:tcBorders>
              <w:bottom w:val="single" w:sz="8" w:color="0077C0"/>
            </w:tcBorders>
            <w:shd w:val="clear" w:color="auto" w:fill="E8EFF9"/>
          </w:tcPr>
          <w:p>
            <w:pPr>
              <w:spacing w:after="0"/>
              <w:rPr>
                <w:sz w:val="10"/>
                <w:szCs w:val="10"/>
                <w:color w:val="auto"/>
              </w:rPr>
            </w:pPr>
          </w:p>
        </w:tc>
        <w:tc>
          <w:tcPr>
            <w:tcW w:w="580" w:type="dxa"/>
            <w:vAlign w:val="bottom"/>
            <w:tcBorders>
              <w:bottom w:val="single" w:sz="8" w:color="0077C0"/>
            </w:tcBorders>
            <w:shd w:val="clear" w:color="auto" w:fill="E8EFF9"/>
          </w:tcPr>
          <w:p>
            <w:pPr>
              <w:spacing w:after="0"/>
              <w:rPr>
                <w:sz w:val="10"/>
                <w:szCs w:val="10"/>
                <w:color w:val="auto"/>
              </w:rPr>
            </w:pPr>
          </w:p>
        </w:tc>
        <w:tc>
          <w:tcPr>
            <w:tcW w:w="200" w:type="dxa"/>
            <w:vAlign w:val="bottom"/>
            <w:tcBorders>
              <w:bottom w:val="single" w:sz="8" w:color="0077C0"/>
            </w:tcBorders>
            <w:shd w:val="clear" w:color="auto" w:fill="E8EFF9"/>
          </w:tcPr>
          <w:p>
            <w:pPr>
              <w:spacing w:after="0"/>
              <w:rPr>
                <w:sz w:val="10"/>
                <w:szCs w:val="10"/>
                <w:color w:val="auto"/>
              </w:rPr>
            </w:pP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shd w:val="clear" w:color="auto" w:fill="E8EFF9"/>
          </w:tcPr>
          <w:p>
            <w:pPr>
              <w:spacing w:after="0"/>
              <w:rPr>
                <w:sz w:val="10"/>
                <w:szCs w:val="10"/>
                <w:color w:val="auto"/>
              </w:rPr>
            </w:pP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50</w:t>
            </w:r>
          </w:p>
        </w:tc>
        <w:tc>
          <w:tcPr>
            <w:tcW w:w="660" w:type="dxa"/>
            <w:vAlign w:val="bottom"/>
            <w:tcBorders>
              <w:bottom w:val="single" w:sz="8" w:color="0077C0"/>
            </w:tcBorders>
            <w:shd w:val="clear" w:color="auto" w:fill="E8EFF9"/>
          </w:tcPr>
          <w:p>
            <w:pPr>
              <w:spacing w:after="0"/>
              <w:rPr>
                <w:sz w:val="10"/>
                <w:szCs w:val="10"/>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28</w:t>
            </w:r>
          </w:p>
        </w:tc>
        <w:tc>
          <w:tcPr>
            <w:tcW w:w="20" w:type="dxa"/>
            <w:vAlign w:val="bottom"/>
            <w:tcBorders>
              <w:bottom w:val="single" w:sz="8" w:color="E8EFF9"/>
            </w:tcBorders>
            <w:shd w:val="clear" w:color="auto" w:fill="E8EFF9"/>
          </w:tcPr>
          <w:p>
            <w:pPr>
              <w:spacing w:after="0"/>
              <w:rPr>
                <w:sz w:val="10"/>
                <w:szCs w:val="10"/>
                <w:color w:val="auto"/>
              </w:rPr>
            </w:pPr>
          </w:p>
        </w:tc>
        <w:tc>
          <w:tcPr>
            <w:tcW w:w="60" w:type="dxa"/>
            <w:vAlign w:val="bottom"/>
            <w:tcBorders>
              <w:bottom w:val="single" w:sz="8" w:color="E8EFF9"/>
            </w:tcBorders>
            <w:shd w:val="clear" w:color="auto" w:fill="E8EFF9"/>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0" w:type="dxa"/>
            <w:vAlign w:val="bottom"/>
            <w:tcBorders>
              <w:bottom w:val="single" w:sz="8" w:color="E8EFF9"/>
            </w:tcBorders>
            <w:shd w:val="clear" w:color="auto" w:fill="E8EFF9"/>
          </w:tcPr>
          <w:p>
            <w:pPr>
              <w:spacing w:after="0"/>
              <w:rPr>
                <w:sz w:val="9"/>
                <w:szCs w:val="9"/>
                <w:color w:val="auto"/>
              </w:rPr>
            </w:pPr>
          </w:p>
        </w:tc>
        <w:tc>
          <w:tcPr>
            <w:tcW w:w="402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Costs and Other Deductions</w:t>
            </w:r>
          </w:p>
        </w:tc>
        <w:tc>
          <w:tcPr>
            <w:tcW w:w="3440" w:type="dxa"/>
            <w:vAlign w:val="bottom"/>
            <w:tcBorders>
              <w:bottom w:val="single" w:sz="8" w:color="0077C0"/>
            </w:tcBorders>
            <w:shd w:val="clear" w:color="auto" w:fill="E8EFF9"/>
          </w:tcPr>
          <w:p>
            <w:pPr>
              <w:spacing w:after="0"/>
              <w:rPr>
                <w:sz w:val="9"/>
                <w:szCs w:val="9"/>
                <w:color w:val="auto"/>
              </w:rPr>
            </w:pPr>
          </w:p>
        </w:tc>
        <w:tc>
          <w:tcPr>
            <w:tcW w:w="580" w:type="dxa"/>
            <w:vAlign w:val="bottom"/>
            <w:tcBorders>
              <w:bottom w:val="single" w:sz="8" w:color="0077C0"/>
            </w:tcBorders>
            <w:shd w:val="clear" w:color="auto" w:fill="E8EFF9"/>
          </w:tcPr>
          <w:p>
            <w:pPr>
              <w:spacing w:after="0"/>
              <w:rPr>
                <w:sz w:val="9"/>
                <w:szCs w:val="9"/>
                <w:color w:val="auto"/>
              </w:rPr>
            </w:pPr>
          </w:p>
        </w:tc>
        <w:tc>
          <w:tcPr>
            <w:tcW w:w="200" w:type="dxa"/>
            <w:vAlign w:val="bottom"/>
            <w:tcBorders>
              <w:bottom w:val="single" w:sz="8" w:color="0077C0"/>
            </w:tcBorders>
            <w:shd w:val="clear" w:color="auto" w:fill="E8EFF9"/>
          </w:tcPr>
          <w:p>
            <w:pPr>
              <w:spacing w:after="0"/>
              <w:rPr>
                <w:sz w:val="9"/>
                <w:szCs w:val="9"/>
                <w:color w:val="auto"/>
              </w:rPr>
            </w:pPr>
          </w:p>
        </w:tc>
        <w:tc>
          <w:tcPr>
            <w:tcW w:w="840" w:type="dxa"/>
            <w:vAlign w:val="bottom"/>
            <w:tcBorders>
              <w:bottom w:val="single" w:sz="8" w:color="0077C0"/>
              <w:right w:val="single" w:sz="8" w:color="0077C0"/>
            </w:tcBorders>
            <w:shd w:val="clear" w:color="auto" w:fill="E8EFF9"/>
          </w:tcPr>
          <w:p>
            <w:pPr>
              <w:jc w:val="right"/>
              <w:ind w:right="309"/>
              <w:spacing w:after="0" w:line="105" w:lineRule="exact"/>
              <w:rPr>
                <w:sz w:val="20"/>
                <w:szCs w:val="20"/>
                <w:color w:val="auto"/>
              </w:rPr>
            </w:pPr>
            <w:r>
              <w:rPr>
                <w:rFonts w:ascii="Arial" w:cs="Arial" w:eastAsia="Arial" w:hAnsi="Arial"/>
                <w:sz w:val="10"/>
                <w:szCs w:val="10"/>
                <w:b w:val="1"/>
                <w:bCs w:val="1"/>
                <w:color w:val="auto"/>
              </w:rPr>
              <w:t>206,072</w:t>
            </w:r>
          </w:p>
        </w:tc>
        <w:tc>
          <w:tcPr>
            <w:tcW w:w="440" w:type="dxa"/>
            <w:vAlign w:val="bottom"/>
            <w:tcBorders>
              <w:bottom w:val="single" w:sz="8" w:color="0077C0"/>
            </w:tcBorders>
            <w:shd w:val="clear" w:color="auto" w:fill="E8EFF9"/>
          </w:tcPr>
          <w:p>
            <w:pPr>
              <w:spacing w:after="0"/>
              <w:rPr>
                <w:sz w:val="9"/>
                <w:szCs w:val="9"/>
                <w:color w:val="auto"/>
              </w:rPr>
            </w:pPr>
          </w:p>
        </w:tc>
        <w:tc>
          <w:tcPr>
            <w:tcW w:w="700" w:type="dxa"/>
            <w:vAlign w:val="bottom"/>
            <w:tcBorders>
              <w:bottom w:val="single" w:sz="8" w:color="0077C0"/>
            </w:tcBorders>
            <w:shd w:val="clear" w:color="auto" w:fill="E8EFF9"/>
          </w:tcPr>
          <w:p>
            <w:pPr>
              <w:jc w:val="right"/>
              <w:ind w:right="169"/>
              <w:spacing w:after="0" w:line="105" w:lineRule="exact"/>
              <w:rPr>
                <w:sz w:val="20"/>
                <w:szCs w:val="20"/>
                <w:color w:val="auto"/>
              </w:rPr>
            </w:pPr>
            <w:r>
              <w:rPr>
                <w:rFonts w:ascii="Arial" w:cs="Arial" w:eastAsia="Arial" w:hAnsi="Arial"/>
                <w:sz w:val="10"/>
                <w:szCs w:val="10"/>
                <w:color w:val="auto"/>
              </w:rPr>
              <w:t>172,873</w:t>
            </w:r>
          </w:p>
        </w:tc>
        <w:tc>
          <w:tcPr>
            <w:tcW w:w="660" w:type="dxa"/>
            <w:vAlign w:val="bottom"/>
            <w:tcBorders>
              <w:bottom w:val="single" w:sz="8" w:color="0077C0"/>
            </w:tcBorders>
            <w:shd w:val="clear" w:color="auto" w:fill="E8EFF9"/>
          </w:tcPr>
          <w:p>
            <w:pPr>
              <w:spacing w:after="0"/>
              <w:rPr>
                <w:sz w:val="9"/>
                <w:szCs w:val="9"/>
                <w:color w:val="auto"/>
              </w:rPr>
            </w:pPr>
          </w:p>
        </w:tc>
        <w:tc>
          <w:tcPr>
            <w:tcW w:w="480" w:type="dxa"/>
            <w:vAlign w:val="bottom"/>
            <w:tcBorders>
              <w:bottom w:val="single" w:sz="8" w:color="0077C0"/>
            </w:tcBorders>
            <w:shd w:val="clear" w:color="auto" w:fill="E8EFF9"/>
          </w:tcPr>
          <w:p>
            <w:pPr>
              <w:jc w:val="right"/>
              <w:spacing w:after="0" w:line="105" w:lineRule="exact"/>
              <w:rPr>
                <w:sz w:val="20"/>
                <w:szCs w:val="20"/>
                <w:color w:val="auto"/>
              </w:rPr>
            </w:pPr>
            <w:r>
              <w:rPr>
                <w:rFonts w:ascii="Arial" w:cs="Arial" w:eastAsia="Arial" w:hAnsi="Arial"/>
                <w:sz w:val="10"/>
                <w:szCs w:val="10"/>
                <w:color w:val="auto"/>
              </w:rPr>
              <w:t>153,108</w:t>
            </w:r>
          </w:p>
        </w:tc>
        <w:tc>
          <w:tcPr>
            <w:tcW w:w="20" w:type="dxa"/>
            <w:vAlign w:val="bottom"/>
            <w:tcBorders>
              <w:bottom w:val="single" w:sz="8" w:color="E8EFF9"/>
            </w:tcBorders>
            <w:shd w:val="clear" w:color="auto" w:fill="E8EFF9"/>
          </w:tcPr>
          <w:p>
            <w:pPr>
              <w:spacing w:after="0"/>
              <w:rPr>
                <w:sz w:val="9"/>
                <w:szCs w:val="9"/>
                <w:color w:val="auto"/>
              </w:rPr>
            </w:pPr>
          </w:p>
        </w:tc>
        <w:tc>
          <w:tcPr>
            <w:tcW w:w="60" w:type="dxa"/>
            <w:vAlign w:val="bottom"/>
            <w:tcBorders>
              <w:bottom w:val="single" w:sz="8" w:color="E8EFF9"/>
            </w:tcBorders>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0" w:type="dxa"/>
            <w:vAlign w:val="bottom"/>
            <w:shd w:val="clear" w:color="auto" w:fill="E8EFF9"/>
          </w:tcPr>
          <w:p>
            <w:pPr>
              <w:spacing w:after="0"/>
              <w:rPr>
                <w:sz w:val="7"/>
                <w:szCs w:val="7"/>
                <w:color w:val="auto"/>
              </w:rPr>
            </w:pPr>
          </w:p>
        </w:tc>
        <w:tc>
          <w:tcPr>
            <w:tcW w:w="4020" w:type="dxa"/>
            <w:vAlign w:val="bottom"/>
            <w:shd w:val="clear" w:color="auto" w:fill="E8EFF9"/>
          </w:tcPr>
          <w:p>
            <w:pPr>
              <w:spacing w:after="0" w:line="91" w:lineRule="exact"/>
              <w:rPr>
                <w:sz w:val="20"/>
                <w:szCs w:val="20"/>
                <w:color w:val="auto"/>
              </w:rPr>
            </w:pPr>
            <w:r>
              <w:rPr>
                <w:rFonts w:ascii="Arial" w:cs="Arial" w:eastAsia="Arial" w:hAnsi="Arial"/>
                <w:sz w:val="10"/>
                <w:szCs w:val="10"/>
                <w:b w:val="1"/>
                <w:bCs w:val="1"/>
                <w:color w:val="0077C0"/>
              </w:rPr>
              <w:t>Income Before Income Tax Expense</w:t>
            </w:r>
          </w:p>
        </w:tc>
        <w:tc>
          <w:tcPr>
            <w:tcW w:w="3440" w:type="dxa"/>
            <w:vAlign w:val="bottom"/>
            <w:shd w:val="clear" w:color="auto" w:fill="E8EFF9"/>
          </w:tcPr>
          <w:p>
            <w:pPr>
              <w:spacing w:after="0"/>
              <w:rPr>
                <w:sz w:val="7"/>
                <w:szCs w:val="7"/>
                <w:color w:val="auto"/>
              </w:rPr>
            </w:pPr>
          </w:p>
        </w:tc>
        <w:tc>
          <w:tcPr>
            <w:tcW w:w="580" w:type="dxa"/>
            <w:vAlign w:val="bottom"/>
            <w:shd w:val="clear" w:color="auto" w:fill="E8EFF9"/>
          </w:tcPr>
          <w:p>
            <w:pPr>
              <w:spacing w:after="0"/>
              <w:rPr>
                <w:sz w:val="7"/>
                <w:szCs w:val="7"/>
                <w:color w:val="auto"/>
              </w:rPr>
            </w:pPr>
          </w:p>
        </w:tc>
        <w:tc>
          <w:tcPr>
            <w:tcW w:w="200" w:type="dxa"/>
            <w:vAlign w:val="bottom"/>
            <w:shd w:val="clear" w:color="auto" w:fill="E8EFF9"/>
          </w:tcPr>
          <w:p>
            <w:pPr>
              <w:spacing w:after="0"/>
              <w:rPr>
                <w:sz w:val="7"/>
                <w:szCs w:val="7"/>
                <w:color w:val="auto"/>
              </w:rPr>
            </w:pPr>
          </w:p>
        </w:tc>
        <w:tc>
          <w:tcPr>
            <w:tcW w:w="840" w:type="dxa"/>
            <w:vAlign w:val="bottom"/>
            <w:tcBorders>
              <w:right w:val="single" w:sz="8" w:color="0077C0"/>
            </w:tcBorders>
            <w:shd w:val="clear" w:color="auto" w:fill="E8EFF9"/>
          </w:tcPr>
          <w:p>
            <w:pPr>
              <w:jc w:val="right"/>
              <w:ind w:right="309"/>
              <w:spacing w:after="0" w:line="91" w:lineRule="exact"/>
              <w:rPr>
                <w:sz w:val="20"/>
                <w:szCs w:val="20"/>
                <w:color w:val="auto"/>
              </w:rPr>
            </w:pPr>
            <w:r>
              <w:rPr>
                <w:rFonts w:ascii="Arial" w:cs="Arial" w:eastAsia="Arial" w:hAnsi="Arial"/>
                <w:sz w:val="10"/>
                <w:szCs w:val="10"/>
                <w:b w:val="1"/>
                <w:bCs w:val="1"/>
                <w:color w:val="auto"/>
              </w:rPr>
              <w:t>47,634</w:t>
            </w:r>
          </w:p>
        </w:tc>
        <w:tc>
          <w:tcPr>
            <w:tcW w:w="440" w:type="dxa"/>
            <w:vAlign w:val="bottom"/>
            <w:shd w:val="clear" w:color="auto" w:fill="E8EFF9"/>
          </w:tcPr>
          <w:p>
            <w:pPr>
              <w:spacing w:after="0"/>
              <w:rPr>
                <w:sz w:val="7"/>
                <w:szCs w:val="7"/>
                <w:color w:val="auto"/>
              </w:rPr>
            </w:pPr>
          </w:p>
        </w:tc>
        <w:tc>
          <w:tcPr>
            <w:tcW w:w="700" w:type="dxa"/>
            <w:vAlign w:val="bottom"/>
            <w:shd w:val="clear" w:color="auto" w:fill="E8EFF9"/>
          </w:tcPr>
          <w:p>
            <w:pPr>
              <w:jc w:val="right"/>
              <w:ind w:right="169"/>
              <w:spacing w:after="0" w:line="91" w:lineRule="exact"/>
              <w:rPr>
                <w:sz w:val="20"/>
                <w:szCs w:val="20"/>
                <w:color w:val="auto"/>
              </w:rPr>
            </w:pPr>
            <w:r>
              <w:rPr>
                <w:rFonts w:ascii="Arial" w:cs="Arial" w:eastAsia="Arial" w:hAnsi="Arial"/>
                <w:sz w:val="10"/>
                <w:szCs w:val="10"/>
                <w:color w:val="auto"/>
              </w:rPr>
              <w:t>32,055</w:t>
            </w:r>
          </w:p>
        </w:tc>
        <w:tc>
          <w:tcPr>
            <w:tcW w:w="660" w:type="dxa"/>
            <w:vAlign w:val="bottom"/>
            <w:shd w:val="clear" w:color="auto" w:fill="E8EFF9"/>
          </w:tcPr>
          <w:p>
            <w:pPr>
              <w:spacing w:after="0"/>
              <w:rPr>
                <w:sz w:val="7"/>
                <w:szCs w:val="7"/>
                <w:color w:val="auto"/>
              </w:rPr>
            </w:pPr>
          </w:p>
        </w:tc>
        <w:tc>
          <w:tcPr>
            <w:tcW w:w="480" w:type="dxa"/>
            <w:vAlign w:val="bottom"/>
            <w:shd w:val="clear" w:color="auto" w:fill="E8EFF9"/>
          </w:tcPr>
          <w:p>
            <w:pPr>
              <w:jc w:val="right"/>
              <w:spacing w:after="0" w:line="91" w:lineRule="exact"/>
              <w:rPr>
                <w:sz w:val="20"/>
                <w:szCs w:val="20"/>
                <w:color w:val="auto"/>
              </w:rPr>
            </w:pPr>
            <w:r>
              <w:rPr>
                <w:rFonts w:ascii="Arial" w:cs="Arial" w:eastAsia="Arial" w:hAnsi="Arial"/>
                <w:sz w:val="10"/>
                <w:szCs w:val="10"/>
                <w:color w:val="auto"/>
              </w:rPr>
              <w:t>18,528</w:t>
            </w:r>
          </w:p>
        </w:tc>
        <w:tc>
          <w:tcPr>
            <w:tcW w:w="20" w:type="dxa"/>
            <w:vAlign w:val="bottom"/>
            <w:shd w:val="clear" w:color="auto" w:fill="E8EFF9"/>
          </w:tcPr>
          <w:p>
            <w:pPr>
              <w:spacing w:after="0"/>
              <w:rPr>
                <w:sz w:val="7"/>
                <w:szCs w:val="7"/>
                <w:color w:val="auto"/>
              </w:rPr>
            </w:pPr>
          </w:p>
        </w:tc>
        <w:tc>
          <w:tcPr>
            <w:tcW w:w="60" w:type="dxa"/>
            <w:vAlign w:val="bottom"/>
            <w:shd w:val="clear" w:color="auto" w:fill="E8EFF9"/>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E8EFF9"/>
            </w:tcBorders>
            <w:shd w:val="clear" w:color="auto" w:fill="E8EFF9"/>
          </w:tcPr>
          <w:p>
            <w:pPr>
              <w:spacing w:after="0"/>
              <w:rPr>
                <w:sz w:val="10"/>
                <w:szCs w:val="10"/>
                <w:color w:val="auto"/>
              </w:rPr>
            </w:pPr>
          </w:p>
        </w:tc>
        <w:tc>
          <w:tcPr>
            <w:tcW w:w="402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0"/>
                <w:szCs w:val="10"/>
                <w:b w:val="1"/>
                <w:bCs w:val="1"/>
                <w:color w:val="0077C0"/>
              </w:rPr>
              <w:t>Income Tax Expense</w:t>
            </w:r>
          </w:p>
        </w:tc>
        <w:tc>
          <w:tcPr>
            <w:tcW w:w="3440" w:type="dxa"/>
            <w:vAlign w:val="bottom"/>
            <w:tcBorders>
              <w:bottom w:val="single" w:sz="8" w:color="0077C0"/>
            </w:tcBorders>
            <w:shd w:val="clear" w:color="auto" w:fill="E8EFF9"/>
          </w:tcPr>
          <w:p>
            <w:pPr>
              <w:spacing w:after="0"/>
              <w:rPr>
                <w:sz w:val="10"/>
                <w:szCs w:val="10"/>
                <w:color w:val="auto"/>
              </w:rPr>
            </w:pPr>
          </w:p>
        </w:tc>
        <w:tc>
          <w:tcPr>
            <w:tcW w:w="580" w:type="dxa"/>
            <w:vAlign w:val="bottom"/>
            <w:tcBorders>
              <w:bottom w:val="single" w:sz="8" w:color="0077C0"/>
            </w:tcBorders>
            <w:shd w:val="clear" w:color="auto" w:fill="E8EFF9"/>
          </w:tcPr>
          <w:p>
            <w:pPr>
              <w:spacing w:after="0"/>
              <w:rPr>
                <w:sz w:val="10"/>
                <w:szCs w:val="10"/>
                <w:color w:val="auto"/>
              </w:rPr>
            </w:pPr>
          </w:p>
        </w:tc>
        <w:tc>
          <w:tcPr>
            <w:tcW w:w="200" w:type="dxa"/>
            <w:vAlign w:val="bottom"/>
            <w:tcBorders>
              <w:bottom w:val="single" w:sz="8" w:color="0077C0"/>
            </w:tcBorders>
            <w:shd w:val="clear" w:color="auto" w:fill="E8EFF9"/>
          </w:tcPr>
          <w:p>
            <w:pPr>
              <w:spacing w:after="0"/>
              <w:rPr>
                <w:sz w:val="10"/>
                <w:szCs w:val="10"/>
                <w:color w:val="auto"/>
              </w:rPr>
            </w:pP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20,626</w:t>
            </w:r>
          </w:p>
        </w:tc>
        <w:tc>
          <w:tcPr>
            <w:tcW w:w="440" w:type="dxa"/>
            <w:vAlign w:val="bottom"/>
            <w:tcBorders>
              <w:bottom w:val="single" w:sz="8" w:color="0077C0"/>
            </w:tcBorders>
            <w:shd w:val="clear" w:color="auto" w:fill="E8EFF9"/>
          </w:tcPr>
          <w:p>
            <w:pPr>
              <w:spacing w:after="0"/>
              <w:rPr>
                <w:sz w:val="10"/>
                <w:szCs w:val="10"/>
                <w:color w:val="auto"/>
              </w:rPr>
            </w:pP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12,919</w:t>
            </w:r>
          </w:p>
        </w:tc>
        <w:tc>
          <w:tcPr>
            <w:tcW w:w="660" w:type="dxa"/>
            <w:vAlign w:val="bottom"/>
            <w:tcBorders>
              <w:bottom w:val="single" w:sz="8" w:color="0077C0"/>
            </w:tcBorders>
            <w:shd w:val="clear" w:color="auto" w:fill="E8EFF9"/>
          </w:tcPr>
          <w:p>
            <w:pPr>
              <w:spacing w:after="0"/>
              <w:rPr>
                <w:sz w:val="10"/>
                <w:szCs w:val="10"/>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7,965</w:t>
            </w:r>
          </w:p>
        </w:tc>
        <w:tc>
          <w:tcPr>
            <w:tcW w:w="20" w:type="dxa"/>
            <w:vAlign w:val="bottom"/>
            <w:tcBorders>
              <w:bottom w:val="single" w:sz="8" w:color="E8EFF9"/>
            </w:tcBorders>
            <w:shd w:val="clear" w:color="auto" w:fill="E8EFF9"/>
          </w:tcPr>
          <w:p>
            <w:pPr>
              <w:spacing w:after="0"/>
              <w:rPr>
                <w:sz w:val="10"/>
                <w:szCs w:val="10"/>
                <w:color w:val="auto"/>
              </w:rPr>
            </w:pPr>
          </w:p>
        </w:tc>
        <w:tc>
          <w:tcPr>
            <w:tcW w:w="60" w:type="dxa"/>
            <w:vAlign w:val="bottom"/>
            <w:tcBorders>
              <w:bottom w:val="single" w:sz="8" w:color="E8EFF9"/>
            </w:tcBorders>
            <w:shd w:val="clear" w:color="auto" w:fill="E8EFF9"/>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shd w:val="clear" w:color="auto" w:fill="E8EFF9"/>
          </w:tcPr>
          <w:p>
            <w:pPr>
              <w:spacing w:after="0"/>
              <w:rPr>
                <w:sz w:val="7"/>
                <w:szCs w:val="7"/>
                <w:color w:val="auto"/>
              </w:rPr>
            </w:pPr>
          </w:p>
        </w:tc>
        <w:tc>
          <w:tcPr>
            <w:tcW w:w="4020" w:type="dxa"/>
            <w:vAlign w:val="bottom"/>
            <w:shd w:val="clear" w:color="auto" w:fill="E8EFF9"/>
          </w:tcPr>
          <w:p>
            <w:pPr>
              <w:spacing w:after="0" w:line="91" w:lineRule="exact"/>
              <w:rPr>
                <w:sz w:val="20"/>
                <w:szCs w:val="20"/>
                <w:color w:val="auto"/>
              </w:rPr>
            </w:pPr>
            <w:r>
              <w:rPr>
                <w:rFonts w:ascii="Arial" w:cs="Arial" w:eastAsia="Arial" w:hAnsi="Arial"/>
                <w:sz w:val="10"/>
                <w:szCs w:val="10"/>
                <w:b w:val="1"/>
                <w:bCs w:val="1"/>
                <w:color w:val="0077C0"/>
              </w:rPr>
              <w:t>Net Income</w:t>
            </w:r>
          </w:p>
        </w:tc>
        <w:tc>
          <w:tcPr>
            <w:tcW w:w="3440" w:type="dxa"/>
            <w:vAlign w:val="bottom"/>
            <w:shd w:val="clear" w:color="auto" w:fill="E8EFF9"/>
          </w:tcPr>
          <w:p>
            <w:pPr>
              <w:spacing w:after="0"/>
              <w:rPr>
                <w:sz w:val="7"/>
                <w:szCs w:val="7"/>
                <w:color w:val="auto"/>
              </w:rPr>
            </w:pPr>
          </w:p>
        </w:tc>
        <w:tc>
          <w:tcPr>
            <w:tcW w:w="580" w:type="dxa"/>
            <w:vAlign w:val="bottom"/>
            <w:shd w:val="clear" w:color="auto" w:fill="E8EFF9"/>
          </w:tcPr>
          <w:p>
            <w:pPr>
              <w:spacing w:after="0"/>
              <w:rPr>
                <w:sz w:val="7"/>
                <w:szCs w:val="7"/>
                <w:color w:val="auto"/>
              </w:rPr>
            </w:pPr>
          </w:p>
        </w:tc>
        <w:tc>
          <w:tcPr>
            <w:tcW w:w="200" w:type="dxa"/>
            <w:vAlign w:val="bottom"/>
            <w:shd w:val="clear" w:color="auto" w:fill="E8EFF9"/>
          </w:tcPr>
          <w:p>
            <w:pPr>
              <w:spacing w:after="0"/>
              <w:rPr>
                <w:sz w:val="7"/>
                <w:szCs w:val="7"/>
                <w:color w:val="auto"/>
              </w:rPr>
            </w:pPr>
          </w:p>
        </w:tc>
        <w:tc>
          <w:tcPr>
            <w:tcW w:w="840" w:type="dxa"/>
            <w:vAlign w:val="bottom"/>
            <w:tcBorders>
              <w:right w:val="single" w:sz="8" w:color="0077C0"/>
            </w:tcBorders>
            <w:shd w:val="clear" w:color="auto" w:fill="E8EFF9"/>
          </w:tcPr>
          <w:p>
            <w:pPr>
              <w:jc w:val="right"/>
              <w:ind w:right="309"/>
              <w:spacing w:after="0" w:line="91" w:lineRule="exact"/>
              <w:rPr>
                <w:sz w:val="20"/>
                <w:szCs w:val="20"/>
                <w:color w:val="auto"/>
              </w:rPr>
            </w:pPr>
            <w:r>
              <w:rPr>
                <w:rFonts w:ascii="Arial" w:cs="Arial" w:eastAsia="Arial" w:hAnsi="Arial"/>
                <w:sz w:val="10"/>
                <w:szCs w:val="10"/>
                <w:b w:val="1"/>
                <w:bCs w:val="1"/>
                <w:color w:val="auto"/>
              </w:rPr>
              <w:t>27,008</w:t>
            </w:r>
          </w:p>
        </w:tc>
        <w:tc>
          <w:tcPr>
            <w:tcW w:w="440" w:type="dxa"/>
            <w:vAlign w:val="bottom"/>
            <w:shd w:val="clear" w:color="auto" w:fill="E8EFF9"/>
          </w:tcPr>
          <w:p>
            <w:pPr>
              <w:spacing w:after="0"/>
              <w:rPr>
                <w:sz w:val="7"/>
                <w:szCs w:val="7"/>
                <w:color w:val="auto"/>
              </w:rPr>
            </w:pPr>
          </w:p>
        </w:tc>
        <w:tc>
          <w:tcPr>
            <w:tcW w:w="700" w:type="dxa"/>
            <w:vAlign w:val="bottom"/>
            <w:shd w:val="clear" w:color="auto" w:fill="E8EFF9"/>
          </w:tcPr>
          <w:p>
            <w:pPr>
              <w:jc w:val="right"/>
              <w:ind w:right="169"/>
              <w:spacing w:after="0" w:line="91" w:lineRule="exact"/>
              <w:rPr>
                <w:sz w:val="20"/>
                <w:szCs w:val="20"/>
                <w:color w:val="auto"/>
              </w:rPr>
            </w:pPr>
            <w:r>
              <w:rPr>
                <w:rFonts w:ascii="Arial" w:cs="Arial" w:eastAsia="Arial" w:hAnsi="Arial"/>
                <w:sz w:val="10"/>
                <w:szCs w:val="10"/>
                <w:color w:val="auto"/>
              </w:rPr>
              <w:t>19,136</w:t>
            </w:r>
          </w:p>
        </w:tc>
        <w:tc>
          <w:tcPr>
            <w:tcW w:w="660" w:type="dxa"/>
            <w:vAlign w:val="bottom"/>
            <w:shd w:val="clear" w:color="auto" w:fill="E8EFF9"/>
          </w:tcPr>
          <w:p>
            <w:pPr>
              <w:spacing w:after="0"/>
              <w:rPr>
                <w:sz w:val="7"/>
                <w:szCs w:val="7"/>
                <w:color w:val="auto"/>
              </w:rPr>
            </w:pPr>
          </w:p>
        </w:tc>
        <w:tc>
          <w:tcPr>
            <w:tcW w:w="480" w:type="dxa"/>
            <w:vAlign w:val="bottom"/>
            <w:shd w:val="clear" w:color="auto" w:fill="E8EFF9"/>
          </w:tcPr>
          <w:p>
            <w:pPr>
              <w:jc w:val="right"/>
              <w:spacing w:after="0" w:line="91" w:lineRule="exact"/>
              <w:rPr>
                <w:sz w:val="20"/>
                <w:szCs w:val="20"/>
                <w:color w:val="auto"/>
              </w:rPr>
            </w:pPr>
            <w:r>
              <w:rPr>
                <w:rFonts w:ascii="Arial" w:cs="Arial" w:eastAsia="Arial" w:hAnsi="Arial"/>
                <w:sz w:val="10"/>
                <w:szCs w:val="10"/>
                <w:color w:val="auto"/>
              </w:rPr>
              <w:t>10,563</w:t>
            </w:r>
          </w:p>
        </w:tc>
        <w:tc>
          <w:tcPr>
            <w:tcW w:w="20" w:type="dxa"/>
            <w:vAlign w:val="bottom"/>
            <w:shd w:val="clear" w:color="auto" w:fill="E8EFF9"/>
          </w:tcPr>
          <w:p>
            <w:pPr>
              <w:spacing w:after="0"/>
              <w:rPr>
                <w:sz w:val="7"/>
                <w:szCs w:val="7"/>
                <w:color w:val="auto"/>
              </w:rPr>
            </w:pPr>
          </w:p>
        </w:tc>
        <w:tc>
          <w:tcPr>
            <w:tcW w:w="60" w:type="dxa"/>
            <w:vAlign w:val="bottom"/>
            <w:shd w:val="clear" w:color="auto" w:fill="E8EFF9"/>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E8EFF9"/>
            </w:tcBorders>
            <w:shd w:val="clear" w:color="auto" w:fill="E8EFF9"/>
          </w:tcPr>
          <w:p>
            <w:pPr>
              <w:spacing w:after="0"/>
              <w:rPr>
                <w:sz w:val="11"/>
                <w:szCs w:val="11"/>
                <w:color w:val="auto"/>
              </w:rPr>
            </w:pPr>
          </w:p>
        </w:tc>
        <w:tc>
          <w:tcPr>
            <w:tcW w:w="40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0"/>
                <w:szCs w:val="10"/>
                <w:color w:val="auto"/>
              </w:rPr>
              <w:t>Less: Net income attributable to noncontrolling interests</w:t>
            </w:r>
          </w:p>
        </w:tc>
        <w:tc>
          <w:tcPr>
            <w:tcW w:w="3440" w:type="dxa"/>
            <w:vAlign w:val="bottom"/>
            <w:tcBorders>
              <w:bottom w:val="single" w:sz="8" w:color="0077C0"/>
            </w:tcBorders>
            <w:shd w:val="clear" w:color="auto" w:fill="E8EFF9"/>
          </w:tcPr>
          <w:p>
            <w:pPr>
              <w:spacing w:after="0"/>
              <w:rPr>
                <w:sz w:val="11"/>
                <w:szCs w:val="11"/>
                <w:color w:val="auto"/>
              </w:rPr>
            </w:pPr>
          </w:p>
        </w:tc>
        <w:tc>
          <w:tcPr>
            <w:tcW w:w="580" w:type="dxa"/>
            <w:vAlign w:val="bottom"/>
            <w:tcBorders>
              <w:bottom w:val="single" w:sz="8" w:color="0077C0"/>
            </w:tcBorders>
            <w:shd w:val="clear" w:color="auto" w:fill="E8EFF9"/>
          </w:tcPr>
          <w:p>
            <w:pPr>
              <w:spacing w:after="0"/>
              <w:rPr>
                <w:sz w:val="11"/>
                <w:szCs w:val="11"/>
                <w:color w:val="auto"/>
              </w:rPr>
            </w:pPr>
          </w:p>
        </w:tc>
        <w:tc>
          <w:tcPr>
            <w:tcW w:w="200" w:type="dxa"/>
            <w:vAlign w:val="bottom"/>
            <w:tcBorders>
              <w:bottom w:val="single" w:sz="8" w:color="0077C0"/>
            </w:tcBorders>
            <w:shd w:val="clear" w:color="auto" w:fill="E8EFF9"/>
          </w:tcPr>
          <w:p>
            <w:pPr>
              <w:spacing w:after="0"/>
              <w:rPr>
                <w:sz w:val="11"/>
                <w:szCs w:val="11"/>
                <w:color w:val="auto"/>
              </w:rPr>
            </w:pP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113</w:t>
            </w:r>
          </w:p>
        </w:tc>
        <w:tc>
          <w:tcPr>
            <w:tcW w:w="440" w:type="dxa"/>
            <w:vAlign w:val="bottom"/>
            <w:tcBorders>
              <w:bottom w:val="single" w:sz="8" w:color="0077C0"/>
            </w:tcBorders>
            <w:shd w:val="clear" w:color="auto" w:fill="E8EFF9"/>
          </w:tcPr>
          <w:p>
            <w:pPr>
              <w:spacing w:after="0"/>
              <w:rPr>
                <w:sz w:val="11"/>
                <w:szCs w:val="11"/>
                <w:color w:val="auto"/>
              </w:rPr>
            </w:pP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112</w:t>
            </w:r>
          </w:p>
        </w:tc>
        <w:tc>
          <w:tcPr>
            <w:tcW w:w="660" w:type="dxa"/>
            <w:vAlign w:val="bottom"/>
            <w:tcBorders>
              <w:bottom w:val="single" w:sz="8" w:color="0077C0"/>
            </w:tcBorders>
            <w:shd w:val="clear" w:color="auto" w:fill="E8EFF9"/>
          </w:tcPr>
          <w:p>
            <w:pPr>
              <w:spacing w:after="0"/>
              <w:rPr>
                <w:sz w:val="11"/>
                <w:szCs w:val="11"/>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80</w:t>
            </w:r>
          </w:p>
        </w:tc>
        <w:tc>
          <w:tcPr>
            <w:tcW w:w="20" w:type="dxa"/>
            <w:vAlign w:val="bottom"/>
            <w:tcBorders>
              <w:bottom w:val="single" w:sz="8" w:color="E8EFF9"/>
            </w:tcBorders>
            <w:shd w:val="clear" w:color="auto" w:fill="E8EFF9"/>
          </w:tcPr>
          <w:p>
            <w:pPr>
              <w:spacing w:after="0"/>
              <w:rPr>
                <w:sz w:val="11"/>
                <w:szCs w:val="11"/>
                <w:color w:val="auto"/>
              </w:rPr>
            </w:pPr>
          </w:p>
        </w:tc>
        <w:tc>
          <w:tcPr>
            <w:tcW w:w="60" w:type="dxa"/>
            <w:vAlign w:val="bottom"/>
            <w:tcBorders>
              <w:bottom w:val="single" w:sz="8" w:color="E8EFF9"/>
            </w:tcBorders>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 w:type="dxa"/>
            <w:vAlign w:val="bottom"/>
            <w:tcBorders>
              <w:bottom w:val="single" w:sz="8" w:color="E8EFF9"/>
            </w:tcBorders>
            <w:shd w:val="clear" w:color="auto" w:fill="E8EFF9"/>
          </w:tcPr>
          <w:p>
            <w:pPr>
              <w:spacing w:after="0"/>
              <w:rPr>
                <w:sz w:val="10"/>
                <w:szCs w:val="10"/>
                <w:color w:val="auto"/>
              </w:rPr>
            </w:pPr>
          </w:p>
        </w:tc>
        <w:tc>
          <w:tcPr>
            <w:tcW w:w="402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0"/>
                <w:szCs w:val="10"/>
                <w:b w:val="1"/>
                <w:bCs w:val="1"/>
                <w:color w:val="0077C0"/>
              </w:rPr>
              <w:t>Net Income Attributable to Chevron Corporation</w:t>
            </w:r>
          </w:p>
        </w:tc>
        <w:tc>
          <w:tcPr>
            <w:tcW w:w="3440" w:type="dxa"/>
            <w:vAlign w:val="bottom"/>
            <w:tcBorders>
              <w:bottom w:val="single" w:sz="8" w:color="0077C0"/>
            </w:tcBorders>
            <w:shd w:val="clear" w:color="auto" w:fill="E8EFF9"/>
          </w:tcPr>
          <w:p>
            <w:pPr>
              <w:spacing w:after="0"/>
              <w:rPr>
                <w:sz w:val="10"/>
                <w:szCs w:val="10"/>
                <w:color w:val="auto"/>
              </w:rPr>
            </w:pPr>
          </w:p>
        </w:tc>
        <w:tc>
          <w:tcPr>
            <w:tcW w:w="780" w:type="dxa"/>
            <w:vAlign w:val="bottom"/>
            <w:tcBorders>
              <w:bottom w:val="single" w:sz="8" w:color="0077C0"/>
            </w:tcBorders>
            <w:gridSpan w:val="2"/>
            <w:shd w:val="clear" w:color="auto" w:fill="E8EFF9"/>
          </w:tcPr>
          <w:p>
            <w:pPr>
              <w:ind w:left="58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26,895</w:t>
            </w:r>
          </w:p>
        </w:tc>
        <w:tc>
          <w:tcPr>
            <w:tcW w:w="440" w:type="dxa"/>
            <w:vAlign w:val="bottom"/>
            <w:tcBorders>
              <w:bottom w:val="single" w:sz="8" w:color="0077C0"/>
            </w:tcBorders>
            <w:shd w:val="clear" w:color="auto" w:fill="E8EFF9"/>
          </w:tcPr>
          <w:p>
            <w:pPr>
              <w:ind w:lef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19,024</w:t>
            </w:r>
          </w:p>
        </w:tc>
        <w:tc>
          <w:tcPr>
            <w:tcW w:w="660" w:type="dxa"/>
            <w:vAlign w:val="bottom"/>
            <w:tcBorders>
              <w:bottom w:val="single" w:sz="8" w:color="0077C0"/>
            </w:tcBorders>
            <w:shd w:val="clear" w:color="auto" w:fill="E8EFF9"/>
          </w:tcPr>
          <w:p>
            <w:pPr>
              <w:ind w:left="46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10,483</w:t>
            </w:r>
          </w:p>
        </w:tc>
        <w:tc>
          <w:tcPr>
            <w:tcW w:w="20" w:type="dxa"/>
            <w:vAlign w:val="bottom"/>
            <w:tcBorders>
              <w:bottom w:val="single" w:sz="8" w:color="E8EFF9"/>
            </w:tcBorders>
            <w:shd w:val="clear" w:color="auto" w:fill="E8EFF9"/>
          </w:tcPr>
          <w:p>
            <w:pPr>
              <w:spacing w:after="0"/>
              <w:rPr>
                <w:sz w:val="10"/>
                <w:szCs w:val="10"/>
                <w:color w:val="auto"/>
              </w:rPr>
            </w:pPr>
          </w:p>
        </w:tc>
        <w:tc>
          <w:tcPr>
            <w:tcW w:w="60" w:type="dxa"/>
            <w:vAlign w:val="bottom"/>
            <w:tcBorders>
              <w:bottom w:val="single" w:sz="8" w:color="E8EFF9"/>
            </w:tcBorders>
            <w:shd w:val="clear" w:color="auto" w:fill="E8EFF9"/>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shd w:val="clear" w:color="auto" w:fill="E8EFF9"/>
          </w:tcPr>
          <w:p>
            <w:pPr>
              <w:spacing w:after="0"/>
              <w:rPr>
                <w:sz w:val="8"/>
                <w:szCs w:val="8"/>
                <w:color w:val="auto"/>
              </w:rPr>
            </w:pPr>
          </w:p>
        </w:tc>
        <w:tc>
          <w:tcPr>
            <w:tcW w:w="4020" w:type="dxa"/>
            <w:vAlign w:val="bottom"/>
            <w:shd w:val="clear" w:color="auto" w:fill="E8EFF9"/>
          </w:tcPr>
          <w:p>
            <w:pPr>
              <w:spacing w:after="0" w:line="101" w:lineRule="exact"/>
              <w:rPr>
                <w:sz w:val="20"/>
                <w:szCs w:val="20"/>
                <w:color w:val="auto"/>
              </w:rPr>
            </w:pPr>
            <w:r>
              <w:rPr>
                <w:rFonts w:ascii="Arial" w:cs="Arial" w:eastAsia="Arial" w:hAnsi="Arial"/>
                <w:sz w:val="10"/>
                <w:szCs w:val="10"/>
                <w:b w:val="1"/>
                <w:bCs w:val="1"/>
                <w:color w:val="0077C0"/>
              </w:rPr>
              <w:t>Per Share of Common Stock</w:t>
            </w:r>
          </w:p>
        </w:tc>
        <w:tc>
          <w:tcPr>
            <w:tcW w:w="3440" w:type="dxa"/>
            <w:vAlign w:val="bottom"/>
            <w:shd w:val="clear" w:color="auto" w:fill="E8EFF9"/>
          </w:tcPr>
          <w:p>
            <w:pPr>
              <w:spacing w:after="0"/>
              <w:rPr>
                <w:sz w:val="8"/>
                <w:szCs w:val="8"/>
                <w:color w:val="auto"/>
              </w:rPr>
            </w:pPr>
          </w:p>
        </w:tc>
        <w:tc>
          <w:tcPr>
            <w:tcW w:w="580" w:type="dxa"/>
            <w:vAlign w:val="bottom"/>
            <w:shd w:val="clear" w:color="auto" w:fill="E8EFF9"/>
          </w:tcPr>
          <w:p>
            <w:pPr>
              <w:spacing w:after="0"/>
              <w:rPr>
                <w:sz w:val="8"/>
                <w:szCs w:val="8"/>
                <w:color w:val="auto"/>
              </w:rPr>
            </w:pPr>
          </w:p>
        </w:tc>
        <w:tc>
          <w:tcPr>
            <w:tcW w:w="200" w:type="dxa"/>
            <w:vAlign w:val="bottom"/>
            <w:shd w:val="clear" w:color="auto" w:fill="E8EFF9"/>
          </w:tcPr>
          <w:p>
            <w:pPr>
              <w:spacing w:after="0"/>
              <w:rPr>
                <w:sz w:val="8"/>
                <w:szCs w:val="8"/>
                <w:color w:val="auto"/>
              </w:rPr>
            </w:pPr>
          </w:p>
        </w:tc>
        <w:tc>
          <w:tcPr>
            <w:tcW w:w="840" w:type="dxa"/>
            <w:vAlign w:val="bottom"/>
            <w:tcBorders>
              <w:right w:val="single" w:sz="8" w:color="0077C0"/>
            </w:tcBorders>
            <w:shd w:val="clear" w:color="auto" w:fill="E8EFF9"/>
          </w:tcPr>
          <w:p>
            <w:pPr>
              <w:spacing w:after="0"/>
              <w:rPr>
                <w:sz w:val="8"/>
                <w:szCs w:val="8"/>
                <w:color w:val="auto"/>
              </w:rPr>
            </w:pPr>
          </w:p>
        </w:tc>
        <w:tc>
          <w:tcPr>
            <w:tcW w:w="440" w:type="dxa"/>
            <w:vAlign w:val="bottom"/>
            <w:shd w:val="clear" w:color="auto" w:fill="E8EFF9"/>
          </w:tcPr>
          <w:p>
            <w:pPr>
              <w:spacing w:after="0"/>
              <w:rPr>
                <w:sz w:val="8"/>
                <w:szCs w:val="8"/>
                <w:color w:val="auto"/>
              </w:rPr>
            </w:pPr>
          </w:p>
        </w:tc>
        <w:tc>
          <w:tcPr>
            <w:tcW w:w="700" w:type="dxa"/>
            <w:vAlign w:val="bottom"/>
            <w:shd w:val="clear" w:color="auto" w:fill="E8EFF9"/>
          </w:tcPr>
          <w:p>
            <w:pPr>
              <w:spacing w:after="0"/>
              <w:rPr>
                <w:sz w:val="8"/>
                <w:szCs w:val="8"/>
                <w:color w:val="auto"/>
              </w:rPr>
            </w:pPr>
          </w:p>
        </w:tc>
        <w:tc>
          <w:tcPr>
            <w:tcW w:w="660" w:type="dxa"/>
            <w:vAlign w:val="bottom"/>
            <w:shd w:val="clear" w:color="auto" w:fill="E8EFF9"/>
          </w:tcPr>
          <w:p>
            <w:pPr>
              <w:spacing w:after="0"/>
              <w:rPr>
                <w:sz w:val="8"/>
                <w:szCs w:val="8"/>
                <w:color w:val="auto"/>
              </w:rPr>
            </w:pPr>
          </w:p>
        </w:tc>
        <w:tc>
          <w:tcPr>
            <w:tcW w:w="480" w:type="dxa"/>
            <w:vAlign w:val="bottom"/>
            <w:shd w:val="clear" w:color="auto" w:fill="E8EFF9"/>
          </w:tcPr>
          <w:p>
            <w:pPr>
              <w:spacing w:after="0"/>
              <w:rPr>
                <w:sz w:val="8"/>
                <w:szCs w:val="8"/>
                <w:color w:val="auto"/>
              </w:rPr>
            </w:pPr>
          </w:p>
        </w:tc>
        <w:tc>
          <w:tcPr>
            <w:tcW w:w="20" w:type="dxa"/>
            <w:vAlign w:val="bottom"/>
            <w:shd w:val="clear" w:color="auto" w:fill="E8EFF9"/>
          </w:tcPr>
          <w:p>
            <w:pPr>
              <w:spacing w:after="0"/>
              <w:rPr>
                <w:sz w:val="8"/>
                <w:szCs w:val="8"/>
                <w:color w:val="auto"/>
              </w:rPr>
            </w:pPr>
          </w:p>
        </w:tc>
        <w:tc>
          <w:tcPr>
            <w:tcW w:w="60" w:type="dxa"/>
            <w:vAlign w:val="bottom"/>
            <w:shd w:val="clear" w:color="auto" w:fill="E8EFF9"/>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b w:val="1"/>
                <w:bCs w:val="1"/>
                <w:color w:val="0077C0"/>
              </w:rPr>
              <w:t>Net Income Attributable to Chevron Corporation</w:t>
            </w:r>
          </w:p>
        </w:tc>
        <w:tc>
          <w:tcPr>
            <w:tcW w:w="3440" w:type="dxa"/>
            <w:vAlign w:val="bottom"/>
            <w:shd w:val="clear" w:color="auto" w:fill="E8EFF9"/>
          </w:tcPr>
          <w:p>
            <w:pPr>
              <w:spacing w:after="0"/>
              <w:rPr>
                <w:sz w:val="9"/>
                <w:szCs w:val="9"/>
                <w:color w:val="auto"/>
              </w:rPr>
            </w:pPr>
          </w:p>
        </w:tc>
        <w:tc>
          <w:tcPr>
            <w:tcW w:w="580" w:type="dxa"/>
            <w:vAlign w:val="bottom"/>
            <w:shd w:val="clear" w:color="auto" w:fill="E8EFF9"/>
          </w:tcPr>
          <w:p>
            <w:pPr>
              <w:spacing w:after="0"/>
              <w:rPr>
                <w:sz w:val="9"/>
                <w:szCs w:val="9"/>
                <w:color w:val="auto"/>
              </w:rPr>
            </w:pPr>
          </w:p>
        </w:tc>
        <w:tc>
          <w:tcPr>
            <w:tcW w:w="200" w:type="dxa"/>
            <w:vAlign w:val="bottom"/>
            <w:shd w:val="clear" w:color="auto" w:fill="E8EFF9"/>
          </w:tcPr>
          <w:p>
            <w:pPr>
              <w:spacing w:after="0"/>
              <w:rPr>
                <w:sz w:val="9"/>
                <w:szCs w:val="9"/>
                <w:color w:val="auto"/>
              </w:rPr>
            </w:pPr>
          </w:p>
        </w:tc>
        <w:tc>
          <w:tcPr>
            <w:tcW w:w="840" w:type="dxa"/>
            <w:vAlign w:val="bottom"/>
            <w:tcBorders>
              <w:right w:val="single" w:sz="8" w:color="0077C0"/>
            </w:tcBorders>
            <w:shd w:val="clear" w:color="auto" w:fill="E8EFF9"/>
          </w:tcPr>
          <w:p>
            <w:pPr>
              <w:spacing w:after="0"/>
              <w:rPr>
                <w:sz w:val="9"/>
                <w:szCs w:val="9"/>
                <w:color w:val="auto"/>
              </w:rPr>
            </w:pPr>
          </w:p>
        </w:tc>
        <w:tc>
          <w:tcPr>
            <w:tcW w:w="440" w:type="dxa"/>
            <w:vAlign w:val="bottom"/>
            <w:shd w:val="clear" w:color="auto" w:fill="E8EFF9"/>
          </w:tcPr>
          <w:p>
            <w:pPr>
              <w:spacing w:after="0"/>
              <w:rPr>
                <w:sz w:val="9"/>
                <w:szCs w:val="9"/>
                <w:color w:val="auto"/>
              </w:rPr>
            </w:pPr>
          </w:p>
        </w:tc>
        <w:tc>
          <w:tcPr>
            <w:tcW w:w="700" w:type="dxa"/>
            <w:vAlign w:val="bottom"/>
            <w:shd w:val="clear" w:color="auto" w:fill="E8EFF9"/>
          </w:tcPr>
          <w:p>
            <w:pPr>
              <w:spacing w:after="0"/>
              <w:rPr>
                <w:sz w:val="9"/>
                <w:szCs w:val="9"/>
                <w:color w:val="auto"/>
              </w:rPr>
            </w:pPr>
          </w:p>
        </w:tc>
        <w:tc>
          <w:tcPr>
            <w:tcW w:w="660" w:type="dxa"/>
            <w:vAlign w:val="bottom"/>
            <w:shd w:val="clear" w:color="auto" w:fill="E8EFF9"/>
          </w:tcPr>
          <w:p>
            <w:pPr>
              <w:spacing w:after="0"/>
              <w:rPr>
                <w:sz w:val="9"/>
                <w:szCs w:val="9"/>
                <w:color w:val="auto"/>
              </w:rPr>
            </w:pPr>
          </w:p>
        </w:tc>
        <w:tc>
          <w:tcPr>
            <w:tcW w:w="480" w:type="dxa"/>
            <w:vAlign w:val="bottom"/>
            <w:shd w:val="clear" w:color="auto" w:fill="E8EFF9"/>
          </w:tcPr>
          <w:p>
            <w:pPr>
              <w:spacing w:after="0"/>
              <w:rPr>
                <w:sz w:val="9"/>
                <w:szCs w:val="9"/>
                <w:color w:val="auto"/>
              </w:rPr>
            </w:pP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0" w:type="dxa"/>
            <w:vAlign w:val="bottom"/>
            <w:shd w:val="clear" w:color="auto" w:fill="E8EFF9"/>
          </w:tcPr>
          <w:p>
            <w:pPr>
              <w:spacing w:after="0"/>
              <w:rPr>
                <w:sz w:val="9"/>
                <w:szCs w:val="9"/>
                <w:color w:val="auto"/>
              </w:rPr>
            </w:pPr>
          </w:p>
        </w:tc>
        <w:tc>
          <w:tcPr>
            <w:tcW w:w="4020" w:type="dxa"/>
            <w:vAlign w:val="bottom"/>
            <w:shd w:val="clear" w:color="auto" w:fill="E8EFF9"/>
          </w:tcPr>
          <w:p>
            <w:pPr>
              <w:ind w:left="140"/>
              <w:spacing w:after="0" w:line="106" w:lineRule="exact"/>
              <w:rPr>
                <w:sz w:val="20"/>
                <w:szCs w:val="20"/>
                <w:color w:val="auto"/>
              </w:rPr>
            </w:pPr>
            <w:r>
              <w:rPr>
                <w:rFonts w:ascii="Arial" w:cs="Arial" w:eastAsia="Arial" w:hAnsi="Arial"/>
                <w:sz w:val="10"/>
                <w:szCs w:val="10"/>
                <w:b w:val="1"/>
                <w:bCs w:val="1"/>
                <w:color w:val="0077C0"/>
              </w:rPr>
              <w:t>– Basic</w:t>
            </w:r>
          </w:p>
        </w:tc>
        <w:tc>
          <w:tcPr>
            <w:tcW w:w="3440" w:type="dxa"/>
            <w:vAlign w:val="bottom"/>
            <w:shd w:val="clear" w:color="auto" w:fill="E8EFF9"/>
          </w:tcPr>
          <w:p>
            <w:pPr>
              <w:spacing w:after="0"/>
              <w:rPr>
                <w:sz w:val="9"/>
                <w:szCs w:val="9"/>
                <w:color w:val="auto"/>
              </w:rPr>
            </w:pPr>
          </w:p>
        </w:tc>
        <w:tc>
          <w:tcPr>
            <w:tcW w:w="780" w:type="dxa"/>
            <w:vAlign w:val="bottom"/>
            <w:gridSpan w:val="2"/>
            <w:shd w:val="clear" w:color="auto" w:fill="E8EFF9"/>
          </w:tcPr>
          <w:p>
            <w:pPr>
              <w:ind w:left="580"/>
              <w:spacing w:after="0" w:line="106" w:lineRule="exact"/>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shd w:val="clear" w:color="auto" w:fill="E8EFF9"/>
          </w:tcPr>
          <w:p>
            <w:pPr>
              <w:jc w:val="right"/>
              <w:ind w:right="309"/>
              <w:spacing w:after="0" w:line="106" w:lineRule="exact"/>
              <w:rPr>
                <w:sz w:val="20"/>
                <w:szCs w:val="20"/>
                <w:color w:val="auto"/>
              </w:rPr>
            </w:pPr>
            <w:r>
              <w:rPr>
                <w:rFonts w:ascii="Arial" w:cs="Arial" w:eastAsia="Arial" w:hAnsi="Arial"/>
                <w:sz w:val="10"/>
                <w:szCs w:val="10"/>
                <w:b w:val="1"/>
                <w:bCs w:val="1"/>
                <w:color w:val="auto"/>
              </w:rPr>
              <w:t>13.54</w:t>
            </w:r>
          </w:p>
        </w:tc>
        <w:tc>
          <w:tcPr>
            <w:tcW w:w="440" w:type="dxa"/>
            <w:vAlign w:val="bottom"/>
            <w:shd w:val="clear" w:color="auto" w:fill="E8EFF9"/>
          </w:tcPr>
          <w:p>
            <w:pPr>
              <w:ind w:left="220"/>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E8EFF9"/>
          </w:tcPr>
          <w:p>
            <w:pPr>
              <w:jc w:val="right"/>
              <w:ind w:right="169"/>
              <w:spacing w:after="0" w:line="106" w:lineRule="exact"/>
              <w:rPr>
                <w:sz w:val="20"/>
                <w:szCs w:val="20"/>
                <w:color w:val="auto"/>
              </w:rPr>
            </w:pPr>
            <w:r>
              <w:rPr>
                <w:rFonts w:ascii="Arial" w:cs="Arial" w:eastAsia="Arial" w:hAnsi="Arial"/>
                <w:sz w:val="10"/>
                <w:szCs w:val="10"/>
                <w:color w:val="auto"/>
              </w:rPr>
              <w:t>9.53</w:t>
            </w:r>
          </w:p>
        </w:tc>
        <w:tc>
          <w:tcPr>
            <w:tcW w:w="660" w:type="dxa"/>
            <w:vAlign w:val="bottom"/>
            <w:shd w:val="clear" w:color="auto" w:fill="E8EFF9"/>
          </w:tcPr>
          <w:p>
            <w:pPr>
              <w:ind w:left="460"/>
              <w:spacing w:after="0" w:line="106" w:lineRule="exact"/>
              <w:rPr>
                <w:sz w:val="20"/>
                <w:szCs w:val="20"/>
                <w:color w:val="auto"/>
              </w:rPr>
            </w:pPr>
            <w:r>
              <w:rPr>
                <w:rFonts w:ascii="Arial" w:cs="Arial" w:eastAsia="Arial" w:hAnsi="Arial"/>
                <w:sz w:val="10"/>
                <w:szCs w:val="10"/>
                <w:color w:val="auto"/>
              </w:rPr>
              <w:t>$</w:t>
            </w:r>
          </w:p>
        </w:tc>
        <w:tc>
          <w:tcPr>
            <w:tcW w:w="480" w:type="dxa"/>
            <w:vAlign w:val="bottom"/>
            <w:shd w:val="clear" w:color="auto" w:fill="E8EFF9"/>
          </w:tcPr>
          <w:p>
            <w:pPr>
              <w:jc w:val="right"/>
              <w:spacing w:after="0" w:line="106" w:lineRule="exact"/>
              <w:rPr>
                <w:sz w:val="20"/>
                <w:szCs w:val="20"/>
                <w:color w:val="auto"/>
              </w:rPr>
            </w:pPr>
            <w:r>
              <w:rPr>
                <w:rFonts w:ascii="Arial" w:cs="Arial" w:eastAsia="Arial" w:hAnsi="Arial"/>
                <w:sz w:val="10"/>
                <w:szCs w:val="10"/>
                <w:color w:val="auto"/>
              </w:rPr>
              <w:t>5.26</w:t>
            </w:r>
          </w:p>
        </w:tc>
        <w:tc>
          <w:tcPr>
            <w:tcW w:w="20" w:type="dxa"/>
            <w:vAlign w:val="bottom"/>
            <w:shd w:val="clear" w:color="auto" w:fill="E8EFF9"/>
          </w:tcPr>
          <w:p>
            <w:pPr>
              <w:spacing w:after="0"/>
              <w:rPr>
                <w:sz w:val="9"/>
                <w:szCs w:val="9"/>
                <w:color w:val="auto"/>
              </w:rPr>
            </w:pPr>
          </w:p>
        </w:tc>
        <w:tc>
          <w:tcPr>
            <w:tcW w:w="60" w:type="dxa"/>
            <w:vAlign w:val="bottom"/>
            <w:shd w:val="clear" w:color="auto" w:fill="E8EFF9"/>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E8EFF9"/>
            </w:tcBorders>
            <w:shd w:val="clear" w:color="auto" w:fill="E8EFF9"/>
          </w:tcPr>
          <w:p>
            <w:pPr>
              <w:spacing w:after="0"/>
              <w:rPr>
                <w:sz w:val="11"/>
                <w:szCs w:val="11"/>
                <w:color w:val="auto"/>
              </w:rPr>
            </w:pPr>
          </w:p>
        </w:tc>
        <w:tc>
          <w:tcPr>
            <w:tcW w:w="40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0"/>
                <w:szCs w:val="10"/>
                <w:b w:val="1"/>
                <w:bCs w:val="1"/>
                <w:color w:val="0077C0"/>
              </w:rPr>
              <w:t>– Diluted</w:t>
            </w:r>
          </w:p>
        </w:tc>
        <w:tc>
          <w:tcPr>
            <w:tcW w:w="3440" w:type="dxa"/>
            <w:vAlign w:val="bottom"/>
            <w:tcBorders>
              <w:bottom w:val="single" w:sz="8" w:color="0077C0"/>
            </w:tcBorders>
            <w:shd w:val="clear" w:color="auto" w:fill="E8EFF9"/>
          </w:tcPr>
          <w:p>
            <w:pPr>
              <w:spacing w:after="0"/>
              <w:rPr>
                <w:sz w:val="11"/>
                <w:szCs w:val="11"/>
                <w:color w:val="auto"/>
              </w:rPr>
            </w:pPr>
          </w:p>
        </w:tc>
        <w:tc>
          <w:tcPr>
            <w:tcW w:w="780" w:type="dxa"/>
            <w:vAlign w:val="bottom"/>
            <w:tcBorders>
              <w:bottom w:val="single" w:sz="8" w:color="0077C0"/>
            </w:tcBorders>
            <w:gridSpan w:val="2"/>
            <w:shd w:val="clear" w:color="auto" w:fill="E8EFF9"/>
          </w:tcPr>
          <w:p>
            <w:pPr>
              <w:ind w:left="58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shd w:val="clear" w:color="auto" w:fill="E8EFF9"/>
          </w:tcPr>
          <w:p>
            <w:pPr>
              <w:jc w:val="right"/>
              <w:ind w:right="309"/>
              <w:spacing w:after="0"/>
              <w:rPr>
                <w:sz w:val="20"/>
                <w:szCs w:val="20"/>
                <w:color w:val="auto"/>
              </w:rPr>
            </w:pPr>
            <w:r>
              <w:rPr>
                <w:rFonts w:ascii="Arial" w:cs="Arial" w:eastAsia="Arial" w:hAnsi="Arial"/>
                <w:sz w:val="10"/>
                <w:szCs w:val="10"/>
                <w:b w:val="1"/>
                <w:bCs w:val="1"/>
                <w:color w:val="auto"/>
              </w:rPr>
              <w:t>13.44</w:t>
            </w:r>
          </w:p>
        </w:tc>
        <w:tc>
          <w:tcPr>
            <w:tcW w:w="440" w:type="dxa"/>
            <w:vAlign w:val="bottom"/>
            <w:tcBorders>
              <w:bottom w:val="single" w:sz="8" w:color="0077C0"/>
            </w:tcBorders>
            <w:shd w:val="clear" w:color="auto" w:fill="E8EFF9"/>
          </w:tcPr>
          <w:p>
            <w:pPr>
              <w:ind w:lef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shd w:val="clear" w:color="auto" w:fill="E8EFF9"/>
          </w:tcPr>
          <w:p>
            <w:pPr>
              <w:jc w:val="right"/>
              <w:ind w:right="169"/>
              <w:spacing w:after="0"/>
              <w:rPr>
                <w:sz w:val="20"/>
                <w:szCs w:val="20"/>
                <w:color w:val="auto"/>
              </w:rPr>
            </w:pPr>
            <w:r>
              <w:rPr>
                <w:rFonts w:ascii="Arial" w:cs="Arial" w:eastAsia="Arial" w:hAnsi="Arial"/>
                <w:sz w:val="10"/>
                <w:szCs w:val="10"/>
                <w:color w:val="auto"/>
              </w:rPr>
              <w:t>9.48</w:t>
            </w:r>
          </w:p>
        </w:tc>
        <w:tc>
          <w:tcPr>
            <w:tcW w:w="660" w:type="dxa"/>
            <w:vAlign w:val="bottom"/>
            <w:tcBorders>
              <w:bottom w:val="single" w:sz="8" w:color="0077C0"/>
            </w:tcBorders>
            <w:shd w:val="clear" w:color="auto" w:fill="E8EFF9"/>
          </w:tcPr>
          <w:p>
            <w:pPr>
              <w:ind w:left="46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0"/>
                <w:szCs w:val="10"/>
                <w:color w:val="auto"/>
              </w:rPr>
              <w:t>5.24</w:t>
            </w:r>
          </w:p>
        </w:tc>
        <w:tc>
          <w:tcPr>
            <w:tcW w:w="20" w:type="dxa"/>
            <w:vAlign w:val="bottom"/>
            <w:tcBorders>
              <w:bottom w:val="single" w:sz="8" w:color="E8EFF9"/>
            </w:tcBorders>
            <w:shd w:val="clear" w:color="auto" w:fill="E8EFF9"/>
          </w:tcPr>
          <w:p>
            <w:pPr>
              <w:spacing w:after="0"/>
              <w:rPr>
                <w:sz w:val="11"/>
                <w:szCs w:val="11"/>
                <w:color w:val="auto"/>
              </w:rPr>
            </w:pPr>
          </w:p>
        </w:tc>
        <w:tc>
          <w:tcPr>
            <w:tcW w:w="60" w:type="dxa"/>
            <w:vAlign w:val="bottom"/>
            <w:tcBorders>
              <w:bottom w:val="single" w:sz="8" w:color="E8EFF9"/>
            </w:tcBorders>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shd w:val="clear" w:color="auto" w:fill="E8EFF9"/>
          </w:tcPr>
          <w:p>
            <w:pPr>
              <w:spacing w:after="0"/>
              <w:rPr>
                <w:sz w:val="13"/>
                <w:szCs w:val="13"/>
                <w:color w:val="auto"/>
              </w:rPr>
            </w:pPr>
          </w:p>
        </w:tc>
        <w:tc>
          <w:tcPr>
            <w:tcW w:w="4020" w:type="dxa"/>
            <w:vAlign w:val="bottom"/>
            <w:shd w:val="clear" w:color="auto" w:fill="E8EFF9"/>
          </w:tcPr>
          <w:p>
            <w:pPr>
              <w:spacing w:after="0"/>
              <w:rPr>
                <w:sz w:val="20"/>
                <w:szCs w:val="20"/>
                <w:color w:val="auto"/>
              </w:rPr>
            </w:pPr>
            <w:r>
              <w:rPr>
                <w:rFonts w:ascii="Arial" w:cs="Arial" w:eastAsia="Arial" w:hAnsi="Arial"/>
                <w:sz w:val="9"/>
                <w:szCs w:val="9"/>
                <w:color w:val="auto"/>
              </w:rPr>
              <w:t>*Includes excise, value-added and similar taxes.</w:t>
            </w:r>
          </w:p>
        </w:tc>
        <w:tc>
          <w:tcPr>
            <w:tcW w:w="4220" w:type="dxa"/>
            <w:vAlign w:val="bottom"/>
            <w:gridSpan w:val="3"/>
            <w:shd w:val="clear" w:color="auto" w:fill="E8EFF9"/>
          </w:tcPr>
          <w:p>
            <w:pPr>
              <w:ind w:left="4020"/>
              <w:spacing w:after="0"/>
              <w:rPr>
                <w:sz w:val="20"/>
                <w:szCs w:val="20"/>
                <w:color w:val="auto"/>
              </w:rPr>
            </w:pPr>
            <w:r>
              <w:rPr>
                <w:rFonts w:ascii="Arial" w:cs="Arial" w:eastAsia="Arial" w:hAnsi="Arial"/>
                <w:sz w:val="9"/>
                <w:szCs w:val="9"/>
                <w:b w:val="1"/>
                <w:bCs w:val="1"/>
                <w:color w:val="auto"/>
              </w:rPr>
              <w:t>$</w:t>
            </w:r>
          </w:p>
        </w:tc>
        <w:tc>
          <w:tcPr>
            <w:tcW w:w="840" w:type="dxa"/>
            <w:vAlign w:val="bottom"/>
            <w:tcBorders>
              <w:right w:val="single" w:sz="8" w:color="E8EFF9"/>
            </w:tcBorders>
            <w:shd w:val="clear" w:color="auto" w:fill="E8EFF9"/>
          </w:tcPr>
          <w:p>
            <w:pPr>
              <w:jc w:val="right"/>
              <w:ind w:right="309"/>
              <w:spacing w:after="0"/>
              <w:rPr>
                <w:sz w:val="20"/>
                <w:szCs w:val="20"/>
                <w:color w:val="auto"/>
              </w:rPr>
            </w:pPr>
            <w:r>
              <w:rPr>
                <w:rFonts w:ascii="Arial" w:cs="Arial" w:eastAsia="Arial" w:hAnsi="Arial"/>
                <w:sz w:val="9"/>
                <w:szCs w:val="9"/>
                <w:b w:val="1"/>
                <w:bCs w:val="1"/>
                <w:color w:val="auto"/>
              </w:rPr>
              <w:t>8,085</w:t>
            </w:r>
          </w:p>
        </w:tc>
        <w:tc>
          <w:tcPr>
            <w:tcW w:w="440" w:type="dxa"/>
            <w:vAlign w:val="bottom"/>
            <w:shd w:val="clear" w:color="auto" w:fill="E8EFF9"/>
          </w:tcPr>
          <w:p>
            <w:pPr>
              <w:ind w:left="220"/>
              <w:spacing w:after="0"/>
              <w:rPr>
                <w:sz w:val="20"/>
                <w:szCs w:val="20"/>
                <w:color w:val="auto"/>
              </w:rPr>
            </w:pPr>
            <w:r>
              <w:rPr>
                <w:rFonts w:ascii="Arial" w:cs="Arial" w:eastAsia="Arial" w:hAnsi="Arial"/>
                <w:sz w:val="9"/>
                <w:szCs w:val="9"/>
                <w:color w:val="auto"/>
              </w:rPr>
              <w:t>$</w:t>
            </w:r>
          </w:p>
        </w:tc>
        <w:tc>
          <w:tcPr>
            <w:tcW w:w="700" w:type="dxa"/>
            <w:vAlign w:val="bottom"/>
            <w:shd w:val="clear" w:color="auto" w:fill="E8EFF9"/>
          </w:tcPr>
          <w:p>
            <w:pPr>
              <w:jc w:val="right"/>
              <w:ind w:right="169"/>
              <w:spacing w:after="0"/>
              <w:rPr>
                <w:sz w:val="20"/>
                <w:szCs w:val="20"/>
                <w:color w:val="auto"/>
              </w:rPr>
            </w:pPr>
            <w:r>
              <w:rPr>
                <w:rFonts w:ascii="Arial" w:cs="Arial" w:eastAsia="Arial" w:hAnsi="Arial"/>
                <w:sz w:val="9"/>
                <w:szCs w:val="9"/>
                <w:color w:val="auto"/>
              </w:rPr>
              <w:t>8,591</w:t>
            </w:r>
          </w:p>
        </w:tc>
        <w:tc>
          <w:tcPr>
            <w:tcW w:w="660" w:type="dxa"/>
            <w:vAlign w:val="bottom"/>
            <w:shd w:val="clear" w:color="auto" w:fill="E8EFF9"/>
          </w:tcPr>
          <w:p>
            <w:pPr>
              <w:ind w:left="460"/>
              <w:spacing w:after="0"/>
              <w:rPr>
                <w:sz w:val="20"/>
                <w:szCs w:val="20"/>
                <w:color w:val="auto"/>
              </w:rPr>
            </w:pPr>
            <w:r>
              <w:rPr>
                <w:rFonts w:ascii="Arial" w:cs="Arial" w:eastAsia="Arial" w:hAnsi="Arial"/>
                <w:sz w:val="9"/>
                <w:szCs w:val="9"/>
                <w:color w:val="auto"/>
              </w:rPr>
              <w:t>$</w:t>
            </w:r>
          </w:p>
        </w:tc>
        <w:tc>
          <w:tcPr>
            <w:tcW w:w="480" w:type="dxa"/>
            <w:vAlign w:val="bottom"/>
            <w:shd w:val="clear" w:color="auto" w:fill="E8EFF9"/>
          </w:tcPr>
          <w:p>
            <w:pPr>
              <w:jc w:val="right"/>
              <w:spacing w:after="0"/>
              <w:rPr>
                <w:sz w:val="20"/>
                <w:szCs w:val="20"/>
                <w:color w:val="auto"/>
              </w:rPr>
            </w:pPr>
            <w:r>
              <w:rPr>
                <w:rFonts w:ascii="Arial" w:cs="Arial" w:eastAsia="Arial" w:hAnsi="Arial"/>
                <w:sz w:val="9"/>
                <w:szCs w:val="9"/>
                <w:color w:val="auto"/>
              </w:rPr>
              <w:t>8,109</w:t>
            </w:r>
          </w:p>
        </w:tc>
        <w:tc>
          <w:tcPr>
            <w:tcW w:w="20" w:type="dxa"/>
            <w:vAlign w:val="bottom"/>
            <w:shd w:val="clear" w:color="auto" w:fill="E8EFF9"/>
          </w:tcPr>
          <w:p>
            <w:pPr>
              <w:spacing w:after="0"/>
              <w:rPr>
                <w:sz w:val="13"/>
                <w:szCs w:val="13"/>
                <w:color w:val="auto"/>
              </w:rPr>
            </w:pPr>
          </w:p>
        </w:tc>
        <w:tc>
          <w:tcPr>
            <w:tcW w:w="60" w:type="dxa"/>
            <w:vAlign w:val="bottom"/>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 w:type="dxa"/>
            <w:vAlign w:val="bottom"/>
            <w:shd w:val="clear" w:color="auto" w:fill="E8EFF9"/>
          </w:tcPr>
          <w:p>
            <w:pPr>
              <w:spacing w:after="0"/>
              <w:rPr>
                <w:sz w:val="15"/>
                <w:szCs w:val="15"/>
                <w:color w:val="auto"/>
              </w:rPr>
            </w:pPr>
          </w:p>
        </w:tc>
        <w:tc>
          <w:tcPr>
            <w:tcW w:w="4020" w:type="dxa"/>
            <w:vAlign w:val="bottom"/>
            <w:shd w:val="clear" w:color="auto" w:fill="E8EFF9"/>
          </w:tcPr>
          <w:p>
            <w:pPr>
              <w:spacing w:after="0"/>
              <w:rPr>
                <w:sz w:val="20"/>
                <w:szCs w:val="20"/>
                <w:color w:val="auto"/>
              </w:rPr>
            </w:pPr>
            <w:r>
              <w:rPr>
                <w:rFonts w:ascii="Arial" w:cs="Arial" w:eastAsia="Arial" w:hAnsi="Arial"/>
                <w:sz w:val="9"/>
                <w:szCs w:val="9"/>
                <w:color w:val="auto"/>
              </w:rPr>
              <w:t>See accompanying Notes to the Consolidated Financial Statements.</w:t>
            </w:r>
          </w:p>
        </w:tc>
        <w:tc>
          <w:tcPr>
            <w:tcW w:w="3440" w:type="dxa"/>
            <w:vAlign w:val="bottom"/>
            <w:shd w:val="clear" w:color="auto" w:fill="E8EFF9"/>
          </w:tcPr>
          <w:p>
            <w:pPr>
              <w:spacing w:after="0"/>
              <w:rPr>
                <w:sz w:val="15"/>
                <w:szCs w:val="15"/>
                <w:color w:val="auto"/>
              </w:rPr>
            </w:pPr>
          </w:p>
        </w:tc>
        <w:tc>
          <w:tcPr>
            <w:tcW w:w="580" w:type="dxa"/>
            <w:vAlign w:val="bottom"/>
            <w:shd w:val="clear" w:color="auto" w:fill="E8EFF9"/>
          </w:tcPr>
          <w:p>
            <w:pPr>
              <w:spacing w:after="0"/>
              <w:rPr>
                <w:sz w:val="15"/>
                <w:szCs w:val="15"/>
                <w:color w:val="auto"/>
              </w:rPr>
            </w:pPr>
          </w:p>
        </w:tc>
        <w:tc>
          <w:tcPr>
            <w:tcW w:w="200" w:type="dxa"/>
            <w:vAlign w:val="bottom"/>
            <w:shd w:val="clear" w:color="auto" w:fill="E8EFF9"/>
          </w:tcPr>
          <w:p>
            <w:pPr>
              <w:spacing w:after="0"/>
              <w:rPr>
                <w:sz w:val="15"/>
                <w:szCs w:val="15"/>
                <w:color w:val="auto"/>
              </w:rPr>
            </w:pPr>
          </w:p>
        </w:tc>
        <w:tc>
          <w:tcPr>
            <w:tcW w:w="840" w:type="dxa"/>
            <w:vAlign w:val="bottom"/>
            <w:tcBorders>
              <w:right w:val="single" w:sz="8" w:color="E8EFF9"/>
            </w:tcBorders>
            <w:shd w:val="clear" w:color="auto" w:fill="E8EFF9"/>
          </w:tcPr>
          <w:p>
            <w:pPr>
              <w:spacing w:after="0"/>
              <w:rPr>
                <w:sz w:val="15"/>
                <w:szCs w:val="15"/>
                <w:color w:val="auto"/>
              </w:rPr>
            </w:pPr>
          </w:p>
        </w:tc>
        <w:tc>
          <w:tcPr>
            <w:tcW w:w="440" w:type="dxa"/>
            <w:vAlign w:val="bottom"/>
            <w:shd w:val="clear" w:color="auto" w:fill="E8EFF9"/>
          </w:tcPr>
          <w:p>
            <w:pPr>
              <w:spacing w:after="0"/>
              <w:rPr>
                <w:sz w:val="15"/>
                <w:szCs w:val="15"/>
                <w:color w:val="auto"/>
              </w:rPr>
            </w:pPr>
          </w:p>
        </w:tc>
        <w:tc>
          <w:tcPr>
            <w:tcW w:w="700" w:type="dxa"/>
            <w:vAlign w:val="bottom"/>
            <w:shd w:val="clear" w:color="auto" w:fill="E8EFF9"/>
          </w:tcPr>
          <w:p>
            <w:pPr>
              <w:spacing w:after="0"/>
              <w:rPr>
                <w:sz w:val="15"/>
                <w:szCs w:val="15"/>
                <w:color w:val="auto"/>
              </w:rPr>
            </w:pPr>
          </w:p>
        </w:tc>
        <w:tc>
          <w:tcPr>
            <w:tcW w:w="660" w:type="dxa"/>
            <w:vAlign w:val="bottom"/>
            <w:shd w:val="clear" w:color="auto" w:fill="E8EFF9"/>
          </w:tcPr>
          <w:p>
            <w:pPr>
              <w:spacing w:after="0"/>
              <w:rPr>
                <w:sz w:val="15"/>
                <w:szCs w:val="15"/>
                <w:color w:val="auto"/>
              </w:rPr>
            </w:pPr>
          </w:p>
        </w:tc>
        <w:tc>
          <w:tcPr>
            <w:tcW w:w="480" w:type="dxa"/>
            <w:vAlign w:val="bottom"/>
            <w:shd w:val="clear" w:color="auto" w:fill="E8EFF9"/>
          </w:tcPr>
          <w:p>
            <w:pPr>
              <w:spacing w:after="0"/>
              <w:rPr>
                <w:sz w:val="15"/>
                <w:szCs w:val="15"/>
                <w:color w:val="auto"/>
              </w:rPr>
            </w:pPr>
          </w:p>
        </w:tc>
        <w:tc>
          <w:tcPr>
            <w:tcW w:w="20" w:type="dxa"/>
            <w:vAlign w:val="bottom"/>
            <w:shd w:val="clear" w:color="auto" w:fill="E8EFF9"/>
          </w:tcPr>
          <w:p>
            <w:pPr>
              <w:spacing w:after="0"/>
              <w:rPr>
                <w:sz w:val="15"/>
                <w:szCs w:val="15"/>
                <w:color w:val="auto"/>
              </w:rPr>
            </w:pPr>
          </w:p>
        </w:tc>
        <w:tc>
          <w:tcPr>
            <w:tcW w:w="60" w:type="dxa"/>
            <w:vAlign w:val="bottom"/>
            <w:shd w:val="clear" w:color="auto" w:fill="E8EFF9"/>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 w:type="dxa"/>
            <w:vAlign w:val="bottom"/>
            <w:shd w:val="clear" w:color="auto" w:fill="E8EFF9"/>
          </w:tcPr>
          <w:p>
            <w:pPr>
              <w:spacing w:after="0"/>
              <w:rPr>
                <w:sz w:val="19"/>
                <w:szCs w:val="19"/>
                <w:color w:val="auto"/>
              </w:rPr>
            </w:pPr>
          </w:p>
        </w:tc>
        <w:tc>
          <w:tcPr>
            <w:tcW w:w="4020" w:type="dxa"/>
            <w:vAlign w:val="bottom"/>
            <w:shd w:val="clear" w:color="auto" w:fill="E8EFF9"/>
          </w:tcPr>
          <w:p>
            <w:pPr>
              <w:spacing w:after="0"/>
              <w:rPr>
                <w:sz w:val="19"/>
                <w:szCs w:val="19"/>
                <w:color w:val="auto"/>
              </w:rPr>
            </w:pPr>
          </w:p>
        </w:tc>
        <w:tc>
          <w:tcPr>
            <w:tcW w:w="4220" w:type="dxa"/>
            <w:vAlign w:val="bottom"/>
            <w:gridSpan w:val="3"/>
            <w:shd w:val="clear" w:color="auto" w:fill="E8EFF9"/>
          </w:tcPr>
          <w:p>
            <w:pPr>
              <w:ind w:left="1560"/>
              <w:spacing w:after="0"/>
              <w:rPr>
                <w:sz w:val="20"/>
                <w:szCs w:val="20"/>
                <w:color w:val="auto"/>
              </w:rPr>
            </w:pPr>
            <w:r>
              <w:rPr>
                <w:rFonts w:ascii="Arial" w:cs="Arial" w:eastAsia="Arial" w:hAnsi="Arial"/>
                <w:sz w:val="10"/>
                <w:szCs w:val="10"/>
                <w:color w:val="auto"/>
              </w:rPr>
              <w:t>FS-23</w:t>
            </w:r>
          </w:p>
        </w:tc>
        <w:tc>
          <w:tcPr>
            <w:tcW w:w="840" w:type="dxa"/>
            <w:vAlign w:val="bottom"/>
            <w:tcBorders>
              <w:right w:val="single" w:sz="8" w:color="E8EFF9"/>
            </w:tcBorders>
            <w:shd w:val="clear" w:color="auto" w:fill="E8EFF9"/>
          </w:tcPr>
          <w:p>
            <w:pPr>
              <w:spacing w:after="0"/>
              <w:rPr>
                <w:sz w:val="19"/>
                <w:szCs w:val="19"/>
                <w:color w:val="auto"/>
              </w:rPr>
            </w:pPr>
          </w:p>
        </w:tc>
        <w:tc>
          <w:tcPr>
            <w:tcW w:w="440" w:type="dxa"/>
            <w:vAlign w:val="bottom"/>
            <w:shd w:val="clear" w:color="auto" w:fill="E8EFF9"/>
          </w:tcPr>
          <w:p>
            <w:pPr>
              <w:spacing w:after="0"/>
              <w:rPr>
                <w:sz w:val="19"/>
                <w:szCs w:val="19"/>
                <w:color w:val="auto"/>
              </w:rPr>
            </w:pPr>
          </w:p>
        </w:tc>
        <w:tc>
          <w:tcPr>
            <w:tcW w:w="700" w:type="dxa"/>
            <w:vAlign w:val="bottom"/>
            <w:shd w:val="clear" w:color="auto" w:fill="E8EFF9"/>
          </w:tcPr>
          <w:p>
            <w:pPr>
              <w:spacing w:after="0"/>
              <w:rPr>
                <w:sz w:val="19"/>
                <w:szCs w:val="19"/>
                <w:color w:val="auto"/>
              </w:rPr>
            </w:pPr>
          </w:p>
        </w:tc>
        <w:tc>
          <w:tcPr>
            <w:tcW w:w="660" w:type="dxa"/>
            <w:vAlign w:val="bottom"/>
            <w:shd w:val="clear" w:color="auto" w:fill="E8EFF9"/>
          </w:tcPr>
          <w:p>
            <w:pPr>
              <w:spacing w:after="0"/>
              <w:rPr>
                <w:sz w:val="19"/>
                <w:szCs w:val="19"/>
                <w:color w:val="auto"/>
              </w:rPr>
            </w:pPr>
          </w:p>
        </w:tc>
        <w:tc>
          <w:tcPr>
            <w:tcW w:w="480" w:type="dxa"/>
            <w:vAlign w:val="bottom"/>
            <w:shd w:val="clear" w:color="auto" w:fill="E8EFF9"/>
          </w:tcPr>
          <w:p>
            <w:pPr>
              <w:spacing w:after="0"/>
              <w:rPr>
                <w:sz w:val="19"/>
                <w:szCs w:val="19"/>
                <w:color w:val="auto"/>
              </w:rPr>
            </w:pPr>
          </w:p>
        </w:tc>
        <w:tc>
          <w:tcPr>
            <w:tcW w:w="20" w:type="dxa"/>
            <w:vAlign w:val="bottom"/>
            <w:shd w:val="clear" w:color="auto" w:fill="E8EFF9"/>
          </w:tcPr>
          <w:p>
            <w:pPr>
              <w:spacing w:after="0"/>
              <w:rPr>
                <w:sz w:val="19"/>
                <w:szCs w:val="19"/>
                <w:color w:val="auto"/>
              </w:rPr>
            </w:pPr>
          </w:p>
        </w:tc>
        <w:tc>
          <w:tcPr>
            <w:tcW w:w="60" w:type="dxa"/>
            <w:vAlign w:val="bottom"/>
            <w:shd w:val="clear" w:color="auto" w:fill="E8EFF9"/>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0" w:type="dxa"/>
            <w:vAlign w:val="bottom"/>
            <w:shd w:val="clear" w:color="auto" w:fill="E8EFF9"/>
          </w:tcPr>
          <w:p>
            <w:pPr>
              <w:spacing w:after="0"/>
              <w:rPr>
                <w:sz w:val="15"/>
                <w:szCs w:val="15"/>
                <w:color w:val="auto"/>
              </w:rPr>
            </w:pPr>
          </w:p>
        </w:tc>
        <w:tc>
          <w:tcPr>
            <w:tcW w:w="4020" w:type="dxa"/>
            <w:vAlign w:val="bottom"/>
            <w:shd w:val="clear" w:color="auto" w:fill="E8EFF9"/>
          </w:tcPr>
          <w:p>
            <w:pPr>
              <w:spacing w:after="0"/>
              <w:rPr>
                <w:sz w:val="15"/>
                <w:szCs w:val="15"/>
                <w:color w:val="auto"/>
              </w:rPr>
            </w:pPr>
          </w:p>
        </w:tc>
        <w:tc>
          <w:tcPr>
            <w:tcW w:w="3440" w:type="dxa"/>
            <w:vAlign w:val="bottom"/>
            <w:shd w:val="clear" w:color="auto" w:fill="E8EFF9"/>
          </w:tcPr>
          <w:p>
            <w:pPr>
              <w:spacing w:after="0"/>
              <w:rPr>
                <w:sz w:val="15"/>
                <w:szCs w:val="15"/>
                <w:color w:val="auto"/>
              </w:rPr>
            </w:pPr>
          </w:p>
        </w:tc>
        <w:tc>
          <w:tcPr>
            <w:tcW w:w="580" w:type="dxa"/>
            <w:vAlign w:val="bottom"/>
            <w:shd w:val="clear" w:color="auto" w:fill="E8EFF9"/>
          </w:tcPr>
          <w:p>
            <w:pPr>
              <w:spacing w:after="0"/>
              <w:rPr>
                <w:sz w:val="15"/>
                <w:szCs w:val="15"/>
                <w:color w:val="auto"/>
              </w:rPr>
            </w:pPr>
          </w:p>
        </w:tc>
        <w:tc>
          <w:tcPr>
            <w:tcW w:w="200" w:type="dxa"/>
            <w:vAlign w:val="bottom"/>
            <w:shd w:val="clear" w:color="auto" w:fill="E8EFF9"/>
          </w:tcPr>
          <w:p>
            <w:pPr>
              <w:spacing w:after="0"/>
              <w:rPr>
                <w:sz w:val="15"/>
                <w:szCs w:val="15"/>
                <w:color w:val="auto"/>
              </w:rPr>
            </w:pPr>
          </w:p>
        </w:tc>
        <w:tc>
          <w:tcPr>
            <w:tcW w:w="840" w:type="dxa"/>
            <w:vAlign w:val="bottom"/>
            <w:tcBorders>
              <w:right w:val="single" w:sz="8" w:color="E8EFF9"/>
            </w:tcBorders>
            <w:shd w:val="clear" w:color="auto" w:fill="E8EFF9"/>
          </w:tcPr>
          <w:p>
            <w:pPr>
              <w:spacing w:after="0"/>
              <w:rPr>
                <w:sz w:val="15"/>
                <w:szCs w:val="15"/>
                <w:color w:val="auto"/>
              </w:rPr>
            </w:pPr>
          </w:p>
        </w:tc>
        <w:tc>
          <w:tcPr>
            <w:tcW w:w="440" w:type="dxa"/>
            <w:vAlign w:val="bottom"/>
            <w:shd w:val="clear" w:color="auto" w:fill="E8EFF9"/>
          </w:tcPr>
          <w:p>
            <w:pPr>
              <w:spacing w:after="0"/>
              <w:rPr>
                <w:sz w:val="15"/>
                <w:szCs w:val="15"/>
                <w:color w:val="auto"/>
              </w:rPr>
            </w:pPr>
          </w:p>
        </w:tc>
        <w:tc>
          <w:tcPr>
            <w:tcW w:w="700" w:type="dxa"/>
            <w:vAlign w:val="bottom"/>
            <w:shd w:val="clear" w:color="auto" w:fill="E8EFF9"/>
          </w:tcPr>
          <w:p>
            <w:pPr>
              <w:spacing w:after="0"/>
              <w:rPr>
                <w:sz w:val="15"/>
                <w:szCs w:val="15"/>
                <w:color w:val="auto"/>
              </w:rPr>
            </w:pPr>
          </w:p>
        </w:tc>
        <w:tc>
          <w:tcPr>
            <w:tcW w:w="660" w:type="dxa"/>
            <w:vAlign w:val="bottom"/>
            <w:shd w:val="clear" w:color="auto" w:fill="E8EFF9"/>
          </w:tcPr>
          <w:p>
            <w:pPr>
              <w:spacing w:after="0"/>
              <w:rPr>
                <w:sz w:val="15"/>
                <w:szCs w:val="15"/>
                <w:color w:val="auto"/>
              </w:rPr>
            </w:pPr>
          </w:p>
        </w:tc>
        <w:tc>
          <w:tcPr>
            <w:tcW w:w="480" w:type="dxa"/>
            <w:vAlign w:val="bottom"/>
            <w:shd w:val="clear" w:color="auto" w:fill="E8EFF9"/>
          </w:tcPr>
          <w:p>
            <w:pPr>
              <w:spacing w:after="0"/>
              <w:rPr>
                <w:sz w:val="15"/>
                <w:szCs w:val="15"/>
                <w:color w:val="auto"/>
              </w:rPr>
            </w:pPr>
          </w:p>
        </w:tc>
        <w:tc>
          <w:tcPr>
            <w:tcW w:w="20" w:type="dxa"/>
            <w:vAlign w:val="bottom"/>
            <w:shd w:val="clear" w:color="auto" w:fill="E8EFF9"/>
          </w:tcPr>
          <w:p>
            <w:pPr>
              <w:spacing w:after="0"/>
              <w:rPr>
                <w:sz w:val="15"/>
                <w:szCs w:val="15"/>
                <w:color w:val="auto"/>
              </w:rPr>
            </w:pPr>
          </w:p>
        </w:tc>
        <w:tc>
          <w:tcPr>
            <w:tcW w:w="60" w:type="dxa"/>
            <w:vAlign w:val="bottom"/>
            <w:shd w:val="clear" w:color="auto" w:fill="E8EFF9"/>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808080"/>
            </w:tcBorders>
          </w:tcPr>
          <w:p>
            <w:pPr>
              <w:spacing w:after="0"/>
              <w:rPr>
                <w:sz w:val="13"/>
                <w:szCs w:val="13"/>
                <w:color w:val="auto"/>
              </w:rPr>
            </w:pPr>
          </w:p>
        </w:tc>
        <w:tc>
          <w:tcPr>
            <w:tcW w:w="4020" w:type="dxa"/>
            <w:vAlign w:val="bottom"/>
            <w:tcBorders>
              <w:bottom w:val="single" w:sz="8" w:color="808080"/>
            </w:tcBorders>
          </w:tcPr>
          <w:p>
            <w:pPr>
              <w:spacing w:after="0"/>
              <w:rPr>
                <w:sz w:val="13"/>
                <w:szCs w:val="13"/>
                <w:color w:val="auto"/>
              </w:rPr>
            </w:pPr>
          </w:p>
        </w:tc>
        <w:tc>
          <w:tcPr>
            <w:tcW w:w="3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39" w:right="1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2398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805"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107"/>
        </w:trPr>
        <w:tc>
          <w:tcPr>
            <w:tcW w:w="7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7460" w:type="dxa"/>
            <w:vAlign w:val="bottom"/>
            <w:tcBorders>
              <w:bottom w:val="single" w:sz="8" w:color="0077C0"/>
            </w:tcBorders>
          </w:tcPr>
          <w:p>
            <w:pPr>
              <w:spacing w:after="0"/>
              <w:rPr>
                <w:sz w:val="7"/>
                <w:szCs w:val="7"/>
                <w:color w:val="auto"/>
              </w:rPr>
            </w:pPr>
          </w:p>
        </w:tc>
        <w:tc>
          <w:tcPr>
            <w:tcW w:w="580" w:type="dxa"/>
            <w:vAlign w:val="bottom"/>
            <w:tcBorders>
              <w:bottom w:val="single" w:sz="8" w:color="0077C0"/>
            </w:tcBorders>
          </w:tcPr>
          <w:p>
            <w:pPr>
              <w:spacing w:after="0"/>
              <w:rPr>
                <w:sz w:val="7"/>
                <w:szCs w:val="7"/>
                <w:color w:val="auto"/>
              </w:rPr>
            </w:pPr>
          </w:p>
        </w:tc>
        <w:tc>
          <w:tcPr>
            <w:tcW w:w="22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09"/>
              <w:spacing w:after="0" w:line="86" w:lineRule="exact"/>
              <w:rPr>
                <w:sz w:val="20"/>
                <w:szCs w:val="20"/>
                <w:color w:val="auto"/>
              </w:rPr>
            </w:pPr>
            <w:r>
              <w:rPr>
                <w:rFonts w:ascii="Arial" w:cs="Arial" w:eastAsia="Arial" w:hAnsi="Arial"/>
                <w:sz w:val="9"/>
                <w:szCs w:val="9"/>
                <w:b w:val="1"/>
                <w:bCs w:val="1"/>
                <w:color w:val="auto"/>
              </w:rPr>
              <w:t>2011</w:t>
            </w:r>
          </w:p>
        </w:tc>
        <w:tc>
          <w:tcPr>
            <w:tcW w:w="460" w:type="dxa"/>
            <w:vAlign w:val="bottom"/>
            <w:tcBorders>
              <w:top w:val="single" w:sz="8" w:color="0077C0"/>
              <w:bottom w:val="single" w:sz="8" w:color="0077C0"/>
            </w:tcBorders>
          </w:tcPr>
          <w:p>
            <w:pPr>
              <w:spacing w:after="0"/>
              <w:rPr>
                <w:sz w:val="7"/>
                <w:szCs w:val="7"/>
                <w:color w:val="auto"/>
              </w:rPr>
            </w:pPr>
          </w:p>
        </w:tc>
        <w:tc>
          <w:tcPr>
            <w:tcW w:w="70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2010</w:t>
            </w:r>
          </w:p>
        </w:tc>
        <w:tc>
          <w:tcPr>
            <w:tcW w:w="68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gridSpan w:val="2"/>
          </w:tcPr>
          <w:p>
            <w:pPr>
              <w:jc w:val="right"/>
              <w:ind w:right="20"/>
              <w:spacing w:after="0" w:line="8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6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Income</w:t>
            </w:r>
          </w:p>
        </w:tc>
        <w:tc>
          <w:tcPr>
            <w:tcW w:w="8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27,008</w:t>
            </w:r>
          </w:p>
        </w:tc>
        <w:tc>
          <w:tcPr>
            <w:tcW w:w="460" w:type="dxa"/>
            <w:vAlign w:val="bottom"/>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19,136</w:t>
            </w:r>
          </w:p>
        </w:tc>
        <w:tc>
          <w:tcPr>
            <w:tcW w:w="680" w:type="dxa"/>
            <w:vAlign w:val="bottom"/>
          </w:tcPr>
          <w:p>
            <w:pPr>
              <w:jc w:val="right"/>
              <w:ind w:right="131"/>
              <w:spacing w:after="0" w:line="105"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10,563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74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Currency translation adjustment</w:t>
            </w:r>
          </w:p>
        </w:tc>
        <w:tc>
          <w:tcPr>
            <w:tcW w:w="5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820" w:type="dxa"/>
            <w:vAlign w:val="bottom"/>
            <w:tcBorders>
              <w:top w:val="single" w:sz="8" w:color="0077C0"/>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17</w:t>
            </w:r>
          </w:p>
        </w:tc>
        <w:tc>
          <w:tcPr>
            <w:tcW w:w="46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460" w:type="dxa"/>
            <w:vAlign w:val="bottom"/>
          </w:tcPr>
          <w:p>
            <w:pPr>
              <w:ind w:left="140"/>
              <w:spacing w:after="0"/>
              <w:rPr>
                <w:sz w:val="20"/>
                <w:szCs w:val="20"/>
                <w:color w:val="auto"/>
              </w:rPr>
            </w:pPr>
            <w:r>
              <w:rPr>
                <w:rFonts w:ascii="Arial" w:cs="Arial" w:eastAsia="Arial" w:hAnsi="Arial"/>
                <w:sz w:val="10"/>
                <w:szCs w:val="10"/>
                <w:color w:val="auto"/>
              </w:rPr>
              <w:t>Unrealized net change arising during period</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right w:val="single" w:sz="8" w:color="0077C0"/>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jc w:val="right"/>
              <w:ind w:right="189"/>
              <w:spacing w:after="0"/>
              <w:rPr>
                <w:sz w:val="20"/>
                <w:szCs w:val="20"/>
                <w:color w:val="auto"/>
              </w:rPr>
            </w:pPr>
            <w:r>
              <w:rPr>
                <w:rFonts w:ascii="Arial" w:cs="Arial" w:eastAsia="Arial" w:hAnsi="Arial"/>
                <w:sz w:val="10"/>
                <w:szCs w:val="10"/>
                <w:color w:val="auto"/>
              </w:rPr>
              <w:t>6</w:t>
            </w:r>
          </w:p>
        </w:tc>
        <w:tc>
          <w:tcPr>
            <w:tcW w:w="68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4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Unrealized holding (loss) gain on securities</w:t>
            </w:r>
          </w:p>
        </w:tc>
        <w:tc>
          <w:tcPr>
            <w:tcW w:w="5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820" w:type="dxa"/>
            <w:vAlign w:val="bottom"/>
            <w:tcBorders>
              <w:top w:val="single" w:sz="8" w:color="0077C0"/>
              <w:right w:val="single" w:sz="8" w:color="0077C0"/>
            </w:tcBorders>
            <w:vMerge w:val="restart"/>
          </w:tcPr>
          <w:p>
            <w:pPr>
              <w:jc w:val="right"/>
              <w:ind w:right="269"/>
              <w:spacing w:after="0"/>
              <w:rPr>
                <w:sz w:val="20"/>
                <w:szCs w:val="20"/>
                <w:color w:val="auto"/>
              </w:rPr>
            </w:pPr>
            <w:r>
              <w:rPr>
                <w:rFonts w:ascii="Arial" w:cs="Arial" w:eastAsia="Arial" w:hAnsi="Arial"/>
                <w:sz w:val="10"/>
                <w:szCs w:val="10"/>
                <w:b w:val="1"/>
                <w:bCs w:val="1"/>
                <w:color w:val="auto"/>
              </w:rPr>
              <w:t>(11)</w:t>
            </w:r>
          </w:p>
        </w:tc>
        <w:tc>
          <w:tcPr>
            <w:tcW w:w="46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460" w:type="dxa"/>
            <w:vAlign w:val="bottom"/>
          </w:tcPr>
          <w:p>
            <w:pPr>
              <w:ind w:left="140"/>
              <w:spacing w:after="0"/>
              <w:rPr>
                <w:sz w:val="20"/>
                <w:szCs w:val="20"/>
                <w:color w:val="auto"/>
              </w:rPr>
            </w:pPr>
            <w:r>
              <w:rPr>
                <w:rFonts w:ascii="Arial" w:cs="Arial" w:eastAsia="Arial" w:hAnsi="Arial"/>
                <w:sz w:val="10"/>
                <w:szCs w:val="10"/>
                <w:color w:val="auto"/>
              </w:rPr>
              <w:t>Net (loss) gain arising during period</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right w:val="single" w:sz="8" w:color="0077C0"/>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jc w:val="right"/>
              <w:ind w:right="149"/>
              <w:spacing w:after="0"/>
              <w:rPr>
                <w:sz w:val="20"/>
                <w:szCs w:val="20"/>
                <w:color w:val="auto"/>
              </w:rPr>
            </w:pPr>
            <w:r>
              <w:rPr>
                <w:rFonts w:ascii="Arial" w:cs="Arial" w:eastAsia="Arial" w:hAnsi="Arial"/>
                <w:sz w:val="10"/>
                <w:szCs w:val="10"/>
                <w:color w:val="auto"/>
              </w:rPr>
              <w:t>(4)</w:t>
            </w:r>
          </w:p>
        </w:tc>
        <w:tc>
          <w:tcPr>
            <w:tcW w:w="68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4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Derivatives</w:t>
            </w:r>
          </w:p>
        </w:tc>
        <w:tc>
          <w:tcPr>
            <w:tcW w:w="5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820" w:type="dxa"/>
            <w:vAlign w:val="bottom"/>
            <w:tcBorders>
              <w:top w:val="single" w:sz="8" w:color="0077C0"/>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20</w:t>
            </w:r>
          </w:p>
        </w:tc>
        <w:tc>
          <w:tcPr>
            <w:tcW w:w="46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460" w:type="dxa"/>
            <w:vAlign w:val="bottom"/>
          </w:tcPr>
          <w:p>
            <w:pPr>
              <w:ind w:left="140"/>
              <w:spacing w:after="0" w:line="104" w:lineRule="exact"/>
              <w:rPr>
                <w:sz w:val="20"/>
                <w:szCs w:val="20"/>
                <w:color w:val="auto"/>
              </w:rPr>
            </w:pPr>
            <w:r>
              <w:rPr>
                <w:rFonts w:ascii="Arial" w:cs="Arial" w:eastAsia="Arial" w:hAnsi="Arial"/>
                <w:sz w:val="10"/>
                <w:szCs w:val="10"/>
                <w:color w:val="auto"/>
              </w:rPr>
              <w:t>Net derivatives gain (loss) on hedge transactions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25</w:t>
            </w:r>
          </w:p>
        </w:tc>
        <w:tc>
          <w:tcPr>
            <w:tcW w:w="680" w:type="dxa"/>
            <w:vAlign w:val="bottom"/>
          </w:tcPr>
          <w:p>
            <w:pPr>
              <w:spacing w:after="0"/>
              <w:rPr>
                <w:sz w:val="9"/>
                <w:szCs w:val="9"/>
                <w:color w:val="auto"/>
              </w:rPr>
            </w:pPr>
          </w:p>
        </w:tc>
        <w:tc>
          <w:tcPr>
            <w:tcW w:w="480" w:type="dxa"/>
            <w:vAlign w:val="bottom"/>
            <w:gridSpan w:val="3"/>
          </w:tcPr>
          <w:p>
            <w:pPr>
              <w:jc w:val="right"/>
              <w:spacing w:after="0" w:line="104" w:lineRule="exact"/>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Reclassification to net income of net realized loss (gain)</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9</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w:t>
            </w:r>
          </w:p>
        </w:tc>
        <w:tc>
          <w:tcPr>
            <w:tcW w:w="680" w:type="dxa"/>
            <w:vAlign w:val="bottom"/>
          </w:tcPr>
          <w:p>
            <w:pPr>
              <w:spacing w:after="0"/>
              <w:rPr>
                <w:sz w:val="9"/>
                <w:szCs w:val="9"/>
                <w:color w:val="auto"/>
              </w:rPr>
            </w:pPr>
          </w:p>
        </w:tc>
        <w:tc>
          <w:tcPr>
            <w:tcW w:w="4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20"/>
        </w:trPr>
        <w:tc>
          <w:tcPr>
            <w:tcW w:w="74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Income taxes on derivatives transactions</w:t>
            </w:r>
          </w:p>
        </w:tc>
        <w:tc>
          <w:tcPr>
            <w:tcW w:w="5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(10)</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(10)</w:t>
            </w:r>
          </w:p>
        </w:tc>
        <w:tc>
          <w:tcPr>
            <w:tcW w:w="6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60" w:type="dxa"/>
            <w:vAlign w:val="bottom"/>
          </w:tcPr>
          <w:p>
            <w:pPr>
              <w:ind w:left="140"/>
              <w:spacing w:after="0" w:line="105" w:lineRule="exact"/>
              <w:rPr>
                <w:sz w:val="20"/>
                <w:szCs w:val="20"/>
                <w:color w:val="auto"/>
              </w:rPr>
            </w:pPr>
            <w:r>
              <w:rPr>
                <w:rFonts w:ascii="Arial" w:cs="Arial" w:eastAsia="Arial" w:hAnsi="Arial"/>
                <w:sz w:val="10"/>
                <w:szCs w:val="10"/>
                <w:color w:val="auto"/>
              </w:rPr>
              <w:t>Total</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19</w:t>
            </w:r>
          </w:p>
        </w:tc>
        <w:tc>
          <w:tcPr>
            <w:tcW w:w="460" w:type="dxa"/>
            <w:vAlign w:val="bottom"/>
          </w:tcPr>
          <w:p>
            <w:pPr>
              <w:spacing w:after="0"/>
              <w:rPr>
                <w:sz w:val="9"/>
                <w:szCs w:val="9"/>
                <w:color w:val="auto"/>
              </w:rPr>
            </w:pPr>
          </w:p>
        </w:tc>
        <w:tc>
          <w:tcPr>
            <w:tcW w:w="70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20</w:t>
            </w:r>
          </w:p>
        </w:tc>
        <w:tc>
          <w:tcPr>
            <w:tcW w:w="680" w:type="dxa"/>
            <w:vAlign w:val="bottom"/>
          </w:tcPr>
          <w:p>
            <w:pPr>
              <w:spacing w:after="0"/>
              <w:rPr>
                <w:sz w:val="9"/>
                <w:szCs w:val="9"/>
                <w:color w:val="auto"/>
              </w:rPr>
            </w:pPr>
          </w:p>
        </w:tc>
        <w:tc>
          <w:tcPr>
            <w:tcW w:w="4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74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Defined benefit plans</w:t>
            </w:r>
          </w:p>
        </w:tc>
        <w:tc>
          <w:tcPr>
            <w:tcW w:w="580" w:type="dxa"/>
            <w:vAlign w:val="bottom"/>
            <w:tcBorders>
              <w:top w:val="single" w:sz="8" w:color="0077C0"/>
            </w:tcBorders>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820" w:type="dxa"/>
            <w:vAlign w:val="bottom"/>
            <w:tcBorders>
              <w:top w:val="single" w:sz="8" w:color="0077C0"/>
              <w:right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70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Actuarial loss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773</w:t>
            </w: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60" w:type="dxa"/>
            <w:vAlign w:val="bottom"/>
          </w:tcPr>
          <w:p>
            <w:pPr>
              <w:ind w:left="280"/>
              <w:spacing w:after="0" w:line="104" w:lineRule="exact"/>
              <w:rPr>
                <w:sz w:val="20"/>
                <w:szCs w:val="20"/>
                <w:color w:val="auto"/>
              </w:rPr>
            </w:pPr>
            <w:r>
              <w:rPr>
                <w:rFonts w:ascii="Arial" w:cs="Arial" w:eastAsia="Arial" w:hAnsi="Arial"/>
                <w:sz w:val="10"/>
                <w:szCs w:val="10"/>
                <w:color w:val="auto"/>
              </w:rPr>
              <w:t>Amortization to net income of net actuarial loss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635</w:t>
            </w:r>
          </w:p>
        </w:tc>
        <w:tc>
          <w:tcPr>
            <w:tcW w:w="680" w:type="dxa"/>
            <w:vAlign w:val="bottom"/>
          </w:tcPr>
          <w:p>
            <w:pPr>
              <w:spacing w:after="0"/>
              <w:rPr>
                <w:sz w:val="9"/>
                <w:szCs w:val="9"/>
                <w:color w:val="auto"/>
              </w:rPr>
            </w:pPr>
          </w:p>
        </w:tc>
        <w:tc>
          <w:tcPr>
            <w:tcW w:w="4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575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60" w:type="dxa"/>
            <w:vAlign w:val="bottom"/>
          </w:tcPr>
          <w:p>
            <w:pPr>
              <w:ind w:left="280"/>
              <w:spacing w:after="0" w:line="108" w:lineRule="exact"/>
              <w:rPr>
                <w:sz w:val="20"/>
                <w:szCs w:val="20"/>
                <w:color w:val="auto"/>
              </w:rPr>
            </w:pPr>
            <w:r>
              <w:rPr>
                <w:rFonts w:ascii="Arial" w:cs="Arial" w:eastAsia="Arial" w:hAnsi="Arial"/>
                <w:sz w:val="10"/>
                <w:szCs w:val="10"/>
                <w:color w:val="auto"/>
              </w:rPr>
              <w:t>Actuarial loss arising during period</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8" w:lineRule="exact"/>
              <w:rPr>
                <w:sz w:val="20"/>
                <w:szCs w:val="20"/>
                <w:color w:val="auto"/>
              </w:rPr>
            </w:pPr>
            <w:r>
              <w:rPr>
                <w:rFonts w:ascii="Arial" w:cs="Arial" w:eastAsia="Arial" w:hAnsi="Arial"/>
                <w:sz w:val="10"/>
                <w:szCs w:val="10"/>
                <w:b w:val="1"/>
                <w:bCs w:val="1"/>
                <w:color w:val="auto"/>
              </w:rPr>
              <w:t>(3,250)</w:t>
            </w:r>
          </w:p>
        </w:tc>
        <w:tc>
          <w:tcPr>
            <w:tcW w:w="460" w:type="dxa"/>
            <w:vAlign w:val="bottom"/>
          </w:tcPr>
          <w:p>
            <w:pPr>
              <w:spacing w:after="0"/>
              <w:rPr>
                <w:sz w:val="9"/>
                <w:szCs w:val="9"/>
                <w:color w:val="auto"/>
              </w:rPr>
            </w:pPr>
          </w:p>
        </w:tc>
        <w:tc>
          <w:tcPr>
            <w:tcW w:w="700" w:type="dxa"/>
            <w:vAlign w:val="bottom"/>
          </w:tcPr>
          <w:p>
            <w:pPr>
              <w:jc w:val="right"/>
              <w:ind w:right="149"/>
              <w:spacing w:after="0" w:line="108" w:lineRule="exact"/>
              <w:rPr>
                <w:sz w:val="20"/>
                <w:szCs w:val="20"/>
                <w:color w:val="auto"/>
              </w:rPr>
            </w:pPr>
            <w:r>
              <w:rPr>
                <w:rFonts w:ascii="Arial" w:cs="Arial" w:eastAsia="Arial" w:hAnsi="Arial"/>
                <w:sz w:val="10"/>
                <w:szCs w:val="10"/>
                <w:color w:val="auto"/>
              </w:rPr>
              <w:t>(857)</w:t>
            </w:r>
          </w:p>
        </w:tc>
        <w:tc>
          <w:tcPr>
            <w:tcW w:w="680" w:type="dxa"/>
            <w:vAlign w:val="bottom"/>
          </w:tcPr>
          <w:p>
            <w:pPr>
              <w:spacing w:after="0"/>
              <w:rPr>
                <w:sz w:val="9"/>
                <w:szCs w:val="9"/>
                <w:color w:val="auto"/>
              </w:rPr>
            </w:pPr>
          </w:p>
        </w:tc>
        <w:tc>
          <w:tcPr>
            <w:tcW w:w="480" w:type="dxa"/>
            <w:vAlign w:val="bottom"/>
            <w:gridSpan w:val="3"/>
          </w:tcPr>
          <w:p>
            <w:pPr>
              <w:jc w:val="right"/>
              <w:spacing w:after="0" w:line="108" w:lineRule="exact"/>
              <w:rPr>
                <w:sz w:val="20"/>
                <w:szCs w:val="20"/>
                <w:color w:val="auto"/>
              </w:rPr>
            </w:pPr>
            <w:r>
              <w:rPr>
                <w:rFonts w:ascii="Arial" w:cs="Arial" w:eastAsia="Arial" w:hAnsi="Arial"/>
                <w:sz w:val="10"/>
                <w:szCs w:val="10"/>
                <w:color w:val="auto"/>
              </w:rPr>
              <w:t>(1,099)</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Prior service cost</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269"/>
              <w:spacing w:after="0"/>
              <w:rPr>
                <w:sz w:val="20"/>
                <w:szCs w:val="20"/>
                <w:color w:val="auto"/>
              </w:rPr>
            </w:pPr>
            <w:r>
              <w:rPr>
                <w:rFonts w:ascii="Arial" w:cs="Arial" w:eastAsia="Arial" w:hAnsi="Arial"/>
                <w:sz w:val="10"/>
                <w:szCs w:val="10"/>
                <w:b w:val="1"/>
                <w:bCs w:val="1"/>
                <w:color w:val="auto"/>
              </w:rPr>
              <w:t>(26)</w:t>
            </w: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60" w:type="dxa"/>
            <w:vAlign w:val="bottom"/>
          </w:tcPr>
          <w:p>
            <w:pPr>
              <w:ind w:left="280"/>
              <w:spacing w:after="0" w:line="104" w:lineRule="exact"/>
              <w:rPr>
                <w:sz w:val="20"/>
                <w:szCs w:val="20"/>
                <w:color w:val="auto"/>
              </w:rPr>
            </w:pPr>
            <w:r>
              <w:rPr>
                <w:rFonts w:ascii="Arial" w:cs="Arial" w:eastAsia="Arial" w:hAnsi="Arial"/>
                <w:sz w:val="10"/>
                <w:szCs w:val="10"/>
                <w:color w:val="auto"/>
              </w:rPr>
              <w:t>Amortization to net income of net prior service credits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(61)</w:t>
            </w:r>
          </w:p>
        </w:tc>
        <w:tc>
          <w:tcPr>
            <w:tcW w:w="680" w:type="dxa"/>
            <w:vAlign w:val="bottom"/>
          </w:tcPr>
          <w:p>
            <w:pPr>
              <w:spacing w:after="0"/>
              <w:rPr>
                <w:sz w:val="9"/>
                <w:szCs w:val="9"/>
                <w:color w:val="auto"/>
              </w:rPr>
            </w:pPr>
          </w:p>
        </w:tc>
        <w:tc>
          <w:tcPr>
            <w:tcW w:w="480" w:type="dxa"/>
            <w:vAlign w:val="bottom"/>
            <w:gridSpan w:val="3"/>
          </w:tcPr>
          <w:p>
            <w:pPr>
              <w:jc w:val="right"/>
              <w:spacing w:after="0" w:line="104" w:lineRule="exact"/>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Prior service cost arising during period</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(27)</w:t>
            </w:r>
          </w:p>
        </w:tc>
        <w:tc>
          <w:tcPr>
            <w:tcW w:w="46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w:t>
            </w:r>
          </w:p>
        </w:tc>
        <w:tc>
          <w:tcPr>
            <w:tcW w:w="680" w:type="dxa"/>
            <w:vAlign w:val="bottom"/>
          </w:tcPr>
          <w:p>
            <w:pPr>
              <w:spacing w:after="0"/>
              <w:rPr>
                <w:sz w:val="9"/>
                <w:szCs w:val="9"/>
                <w:color w:val="auto"/>
              </w:rPr>
            </w:pPr>
          </w:p>
        </w:tc>
        <w:tc>
          <w:tcPr>
            <w:tcW w:w="4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Defined benefit plans sponsored by equity affiliates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(81)</w:t>
            </w:r>
          </w:p>
        </w:tc>
        <w:tc>
          <w:tcPr>
            <w:tcW w:w="460" w:type="dxa"/>
            <w:vAlign w:val="bottom"/>
          </w:tcPr>
          <w:p>
            <w:pPr>
              <w:spacing w:after="0"/>
              <w:rPr>
                <w:sz w:val="9"/>
                <w:szCs w:val="9"/>
                <w:color w:val="auto"/>
              </w:rPr>
            </w:pPr>
          </w:p>
        </w:tc>
        <w:tc>
          <w:tcPr>
            <w:tcW w:w="7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w:t>
            </w:r>
          </w:p>
        </w:tc>
        <w:tc>
          <w:tcPr>
            <w:tcW w:w="68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4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Income taxes on defined benefit plans</w:t>
            </w:r>
          </w:p>
        </w:tc>
        <w:tc>
          <w:tcPr>
            <w:tcW w:w="5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1,030</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140</w:t>
            </w:r>
          </w:p>
        </w:tc>
        <w:tc>
          <w:tcPr>
            <w:tcW w:w="6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60" w:type="dxa"/>
            <w:vAlign w:val="bottom"/>
          </w:tcPr>
          <w:p>
            <w:pPr>
              <w:ind w:left="140"/>
              <w:spacing w:after="0" w:line="105" w:lineRule="exact"/>
              <w:rPr>
                <w:sz w:val="20"/>
                <w:szCs w:val="20"/>
                <w:color w:val="auto"/>
              </w:rPr>
            </w:pPr>
            <w:r>
              <w:rPr>
                <w:rFonts w:ascii="Arial" w:cs="Arial" w:eastAsia="Arial" w:hAnsi="Arial"/>
                <w:sz w:val="10"/>
                <w:szCs w:val="10"/>
                <w:color w:val="auto"/>
              </w:rPr>
              <w:t>Total</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(1,581)</w:t>
            </w:r>
          </w:p>
        </w:tc>
        <w:tc>
          <w:tcPr>
            <w:tcW w:w="460" w:type="dxa"/>
            <w:vAlign w:val="bottom"/>
          </w:tcPr>
          <w:p>
            <w:pPr>
              <w:spacing w:after="0"/>
              <w:rPr>
                <w:sz w:val="9"/>
                <w:szCs w:val="9"/>
                <w:color w:val="auto"/>
              </w:rPr>
            </w:pPr>
          </w:p>
        </w:tc>
        <w:tc>
          <w:tcPr>
            <w:tcW w:w="70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(167)</w:t>
            </w:r>
          </w:p>
        </w:tc>
        <w:tc>
          <w:tcPr>
            <w:tcW w:w="680" w:type="dxa"/>
            <w:vAlign w:val="bottom"/>
          </w:tcPr>
          <w:p>
            <w:pPr>
              <w:spacing w:after="0"/>
              <w:rPr>
                <w:sz w:val="9"/>
                <w:szCs w:val="9"/>
                <w:color w:val="auto"/>
              </w:rPr>
            </w:pPr>
          </w:p>
        </w:tc>
        <w:tc>
          <w:tcPr>
            <w:tcW w:w="46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(399)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60" w:type="dxa"/>
            <w:vAlign w:val="bottom"/>
            <w:tcBorders>
              <w:top w:val="single" w:sz="8" w:color="0077C0"/>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Other Comprehensive Loss, Net of Tax</w:t>
            </w:r>
          </w:p>
        </w:tc>
        <w:tc>
          <w:tcPr>
            <w:tcW w:w="580" w:type="dxa"/>
            <w:vAlign w:val="bottom"/>
            <w:tcBorders>
              <w:top w:val="single" w:sz="8" w:color="0077C0"/>
              <w:bottom w:val="single" w:sz="8" w:color="0077C0"/>
            </w:tcBorders>
          </w:tcPr>
          <w:p>
            <w:pPr>
              <w:spacing w:after="0"/>
              <w:rPr>
                <w:sz w:val="9"/>
                <w:szCs w:val="9"/>
                <w:color w:val="auto"/>
              </w:rPr>
            </w:pPr>
          </w:p>
        </w:tc>
        <w:tc>
          <w:tcPr>
            <w:tcW w:w="22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(1,556)</w:t>
            </w:r>
          </w:p>
        </w:tc>
        <w:tc>
          <w:tcPr>
            <w:tcW w:w="460" w:type="dxa"/>
            <w:vAlign w:val="bottom"/>
            <w:tcBorders>
              <w:top w:val="single" w:sz="8" w:color="0077C0"/>
              <w:bottom w:val="single" w:sz="8" w:color="0077C0"/>
            </w:tcBorders>
          </w:tcPr>
          <w:p>
            <w:pPr>
              <w:spacing w:after="0"/>
              <w:rPr>
                <w:sz w:val="9"/>
                <w:szCs w:val="9"/>
                <w:color w:val="auto"/>
              </w:rPr>
            </w:pPr>
          </w:p>
        </w:tc>
        <w:tc>
          <w:tcPr>
            <w:tcW w:w="70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(145)</w:t>
            </w:r>
          </w:p>
        </w:tc>
        <w:tc>
          <w:tcPr>
            <w:tcW w:w="68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(397)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6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Comprehensive Income</w:t>
            </w:r>
          </w:p>
        </w:tc>
        <w:tc>
          <w:tcPr>
            <w:tcW w:w="5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820" w:type="dxa"/>
            <w:vAlign w:val="bottom"/>
            <w:tcBorders>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25,452</w:t>
            </w:r>
          </w:p>
        </w:tc>
        <w:tc>
          <w:tcPr>
            <w:tcW w:w="460" w:type="dxa"/>
            <w:vAlign w:val="bottom"/>
            <w:tcBorders>
              <w:bottom w:val="single" w:sz="8" w:color="0077C0"/>
            </w:tcBorders>
          </w:tcPr>
          <w:p>
            <w:pPr>
              <w:spacing w:after="0"/>
              <w:rPr>
                <w:sz w:val="9"/>
                <w:szCs w:val="9"/>
                <w:color w:val="auto"/>
              </w:rPr>
            </w:pP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18,991</w:t>
            </w:r>
          </w:p>
        </w:tc>
        <w:tc>
          <w:tcPr>
            <w:tcW w:w="6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10,166</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60" w:type="dxa"/>
            <w:vAlign w:val="bottom"/>
          </w:tcPr>
          <w:p>
            <w:pPr>
              <w:spacing w:after="0" w:line="105" w:lineRule="exact"/>
              <w:rPr>
                <w:sz w:val="20"/>
                <w:szCs w:val="20"/>
                <w:color w:val="auto"/>
              </w:rPr>
            </w:pPr>
            <w:r>
              <w:rPr>
                <w:rFonts w:ascii="Arial" w:cs="Arial" w:eastAsia="Arial" w:hAnsi="Arial"/>
                <w:sz w:val="10"/>
                <w:szCs w:val="10"/>
                <w:color w:val="auto"/>
              </w:rPr>
              <w:t>Comprehensive income attributable to noncontrolling interests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(113)</w:t>
            </w:r>
          </w:p>
        </w:tc>
        <w:tc>
          <w:tcPr>
            <w:tcW w:w="460" w:type="dxa"/>
            <w:vAlign w:val="bottom"/>
          </w:tcPr>
          <w:p>
            <w:pPr>
              <w:spacing w:after="0"/>
              <w:rPr>
                <w:sz w:val="9"/>
                <w:szCs w:val="9"/>
                <w:color w:val="auto"/>
              </w:rPr>
            </w:pPr>
          </w:p>
        </w:tc>
        <w:tc>
          <w:tcPr>
            <w:tcW w:w="70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(112)</w:t>
            </w:r>
          </w:p>
        </w:tc>
        <w:tc>
          <w:tcPr>
            <w:tcW w:w="680" w:type="dxa"/>
            <w:vAlign w:val="bottom"/>
          </w:tcPr>
          <w:p>
            <w:pPr>
              <w:spacing w:after="0"/>
              <w:rPr>
                <w:sz w:val="9"/>
                <w:szCs w:val="9"/>
                <w:color w:val="auto"/>
              </w:rPr>
            </w:pPr>
          </w:p>
        </w:tc>
        <w:tc>
          <w:tcPr>
            <w:tcW w:w="440" w:type="dxa"/>
            <w:vAlign w:val="bottom"/>
          </w:tcPr>
          <w:p>
            <w:pPr>
              <w:jc w:val="right"/>
              <w:spacing w:after="0" w:line="105" w:lineRule="exact"/>
              <w:rPr>
                <w:sz w:val="20"/>
                <w:szCs w:val="20"/>
                <w:color w:val="auto"/>
              </w:rPr>
            </w:pPr>
            <w:r>
              <w:rPr>
                <w:rFonts w:ascii="Arial" w:cs="Arial" w:eastAsia="Arial" w:hAnsi="Arial"/>
                <w:sz w:val="10"/>
                <w:szCs w:val="10"/>
                <w:color w:val="auto"/>
              </w:rPr>
              <w:t>(80)</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460" w:type="dxa"/>
            <w:vAlign w:val="bottom"/>
            <w:tcBorders>
              <w:top w:val="single" w:sz="8" w:color="0077C0"/>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Comprehensive Income Attributable to Chevron Corporation</w:t>
            </w:r>
          </w:p>
        </w:tc>
        <w:tc>
          <w:tcPr>
            <w:tcW w:w="800" w:type="dxa"/>
            <w:vAlign w:val="bottom"/>
            <w:tcBorders>
              <w:top w:val="single" w:sz="8" w:color="0077C0"/>
              <w:bottom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25,339</w:t>
            </w:r>
          </w:p>
        </w:tc>
        <w:tc>
          <w:tcPr>
            <w:tcW w:w="460" w:type="dxa"/>
            <w:vAlign w:val="bottom"/>
            <w:tcBorders>
              <w:top w:val="single" w:sz="8" w:color="0077C0"/>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7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18,879</w:t>
            </w:r>
          </w:p>
        </w:tc>
        <w:tc>
          <w:tcPr>
            <w:tcW w:w="680" w:type="dxa"/>
            <w:vAlign w:val="bottom"/>
            <w:tcBorders>
              <w:top w:val="single" w:sz="8" w:color="0077C0"/>
              <w:bottom w:val="single" w:sz="8" w:color="0077C0"/>
            </w:tcBorders>
          </w:tcPr>
          <w:p>
            <w:pPr>
              <w:jc w:val="right"/>
              <w:ind w:right="131"/>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10,086</w:t>
            </w:r>
          </w:p>
        </w:tc>
        <w:tc>
          <w:tcPr>
            <w:tcW w:w="20" w:type="dxa"/>
            <w:vAlign w:val="bottom"/>
            <w:tcBorders>
              <w:top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FS-24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500"/>
          </w:cols>
          <w:pgMar w:left="220" w:top="339" w:right="17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Consolidated Balance Sheet</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3832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805" cy="383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107"/>
        </w:trPr>
        <w:tc>
          <w:tcPr>
            <w:tcW w:w="8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9"/>
                <w:szCs w:val="9"/>
                <w:color w:val="auto"/>
                <w:w w:val="92"/>
              </w:rPr>
              <w:t>At December 31</w:t>
            </w:r>
          </w:p>
        </w:tc>
        <w:tc>
          <w:tcPr>
            <w:tcW w:w="0" w:type="dxa"/>
            <w:vAlign w:val="bottom"/>
          </w:tcPr>
          <w:p>
            <w:pPr>
              <w:spacing w:after="0"/>
              <w:rPr>
                <w:sz w:val="1"/>
                <w:szCs w:val="1"/>
                <w:color w:val="auto"/>
              </w:rPr>
            </w:pPr>
          </w:p>
        </w:tc>
      </w:tr>
      <w:tr>
        <w:trPr>
          <w:trHeight w:val="86"/>
        </w:trPr>
        <w:tc>
          <w:tcPr>
            <w:tcW w:w="8840" w:type="dxa"/>
            <w:vAlign w:val="bottom"/>
            <w:tcBorders>
              <w:bottom w:val="single" w:sz="8" w:color="0077C0"/>
            </w:tcBorders>
          </w:tcPr>
          <w:p>
            <w:pPr>
              <w:spacing w:after="0"/>
              <w:rPr>
                <w:sz w:val="7"/>
                <w:szCs w:val="7"/>
                <w:color w:val="auto"/>
              </w:rPr>
            </w:pPr>
          </w:p>
        </w:tc>
        <w:tc>
          <w:tcPr>
            <w:tcW w:w="580" w:type="dxa"/>
            <w:vAlign w:val="bottom"/>
            <w:tcBorders>
              <w:bottom w:val="single" w:sz="8" w:color="0077C0"/>
            </w:tcBorders>
          </w:tcPr>
          <w:p>
            <w:pPr>
              <w:spacing w:after="0"/>
              <w:rPr>
                <w:sz w:val="7"/>
                <w:szCs w:val="7"/>
                <w:color w:val="auto"/>
              </w:rPr>
            </w:pPr>
          </w:p>
        </w:tc>
        <w:tc>
          <w:tcPr>
            <w:tcW w:w="200" w:type="dxa"/>
            <w:vAlign w:val="bottom"/>
            <w:tcBorders>
              <w:top w:val="single" w:sz="8" w:color="0077C0"/>
              <w:bottom w:val="single" w:sz="8" w:color="0077C0"/>
            </w:tcBorders>
          </w:tcPr>
          <w:p>
            <w:pPr>
              <w:spacing w:after="0"/>
              <w:rPr>
                <w:sz w:val="7"/>
                <w:szCs w:val="7"/>
                <w:color w:val="auto"/>
              </w:rPr>
            </w:pPr>
          </w:p>
        </w:tc>
        <w:tc>
          <w:tcPr>
            <w:tcW w:w="840" w:type="dxa"/>
            <w:vAlign w:val="bottom"/>
            <w:tcBorders>
              <w:top w:val="single" w:sz="8" w:color="0077C0"/>
              <w:bottom w:val="single" w:sz="8" w:color="0077C0"/>
            </w:tcBorders>
          </w:tcPr>
          <w:p>
            <w:pPr>
              <w:jc w:val="right"/>
              <w:ind w:right="309"/>
              <w:spacing w:after="0" w:line="86" w:lineRule="exact"/>
              <w:rPr>
                <w:sz w:val="20"/>
                <w:szCs w:val="20"/>
                <w:color w:val="auto"/>
              </w:rPr>
            </w:pPr>
            <w:r>
              <w:rPr>
                <w:rFonts w:ascii="Arial" w:cs="Arial" w:eastAsia="Arial" w:hAnsi="Arial"/>
                <w:sz w:val="9"/>
                <w:szCs w:val="9"/>
                <w:b w:val="1"/>
                <w:bCs w:val="1"/>
                <w:color w:val="auto"/>
              </w:rPr>
              <w:t>2011</w:t>
            </w:r>
          </w:p>
        </w:tc>
        <w:tc>
          <w:tcPr>
            <w:tcW w:w="280" w:type="dxa"/>
            <w:vAlign w:val="bottom"/>
            <w:tcBorders>
              <w:top w:val="single" w:sz="8" w:color="0077C0"/>
              <w:bottom w:val="single" w:sz="8" w:color="0077C0"/>
            </w:tcBorders>
          </w:tcPr>
          <w:p>
            <w:pPr>
              <w:spacing w:after="0"/>
              <w:rPr>
                <w:sz w:val="7"/>
                <w:szCs w:val="7"/>
                <w:color w:val="auto"/>
              </w:rPr>
            </w:pPr>
          </w:p>
        </w:tc>
        <w:tc>
          <w:tcPr>
            <w:tcW w:w="62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20" w:type="dxa"/>
            <w:vAlign w:val="bottom"/>
            <w:tcBorders>
              <w:top w:val="single" w:sz="8" w:color="0077C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Assets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15,864</w:t>
            </w:r>
          </w:p>
        </w:tc>
        <w:tc>
          <w:tcPr>
            <w:tcW w:w="2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14,060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840" w:type="dxa"/>
            <w:vAlign w:val="bottom"/>
          </w:tcPr>
          <w:p>
            <w:pPr>
              <w:ind w:left="140"/>
              <w:spacing w:after="0" w:line="91" w:lineRule="exact"/>
              <w:rPr>
                <w:sz w:val="20"/>
                <w:szCs w:val="20"/>
                <w:color w:val="auto"/>
              </w:rPr>
            </w:pPr>
            <w:r>
              <w:rPr>
                <w:rFonts w:ascii="Arial" w:cs="Arial" w:eastAsia="Arial" w:hAnsi="Arial"/>
                <w:sz w:val="10"/>
                <w:szCs w:val="10"/>
                <w:color w:val="auto"/>
              </w:rPr>
              <w:t>Cash and cash equivalents</w:t>
            </w:r>
          </w:p>
        </w:tc>
        <w:tc>
          <w:tcPr>
            <w:tcW w:w="780" w:type="dxa"/>
            <w:vAlign w:val="bottom"/>
            <w:gridSpan w:val="2"/>
            <w:vMerge w:val="continue"/>
          </w:tcPr>
          <w:p>
            <w:pPr>
              <w:spacing w:after="0"/>
              <w:rPr>
                <w:sz w:val="7"/>
                <w:szCs w:val="7"/>
                <w:color w:val="auto"/>
              </w:rPr>
            </w:pPr>
          </w:p>
        </w:tc>
        <w:tc>
          <w:tcPr>
            <w:tcW w:w="840" w:type="dxa"/>
            <w:vAlign w:val="bottom"/>
            <w:tcBorders>
              <w:right w:val="single" w:sz="8" w:color="0077C0"/>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Time deposits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3,958</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2,855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Marketable securities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249</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40" w:type="dxa"/>
            <w:vAlign w:val="bottom"/>
          </w:tcPr>
          <w:p>
            <w:pPr>
              <w:ind w:left="140"/>
              <w:spacing w:after="0" w:line="108" w:lineRule="exact"/>
              <w:rPr>
                <w:sz w:val="20"/>
                <w:szCs w:val="20"/>
                <w:color w:val="auto"/>
              </w:rPr>
            </w:pPr>
            <w:r>
              <w:rPr>
                <w:rFonts w:ascii="Arial" w:cs="Arial" w:eastAsia="Arial" w:hAnsi="Arial"/>
                <w:sz w:val="10"/>
                <w:szCs w:val="10"/>
                <w:color w:val="auto"/>
              </w:rPr>
              <w:t>Accounts and notes receivable (less allowance: 2011 – $98; 2010 – $184)</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8" w:lineRule="exact"/>
              <w:rPr>
                <w:sz w:val="20"/>
                <w:szCs w:val="20"/>
                <w:color w:val="auto"/>
              </w:rPr>
            </w:pPr>
            <w:r>
              <w:rPr>
                <w:rFonts w:ascii="Arial" w:cs="Arial" w:eastAsia="Arial" w:hAnsi="Arial"/>
                <w:sz w:val="10"/>
                <w:szCs w:val="10"/>
                <w:b w:val="1"/>
                <w:bCs w:val="1"/>
                <w:color w:val="auto"/>
              </w:rPr>
              <w:t>21,793</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20,759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Inventories: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3,420</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840" w:type="dxa"/>
            <w:vAlign w:val="bottom"/>
          </w:tcPr>
          <w:p>
            <w:pPr>
              <w:ind w:left="280"/>
              <w:spacing w:after="0" w:line="104" w:lineRule="exact"/>
              <w:rPr>
                <w:sz w:val="20"/>
                <w:szCs w:val="20"/>
                <w:color w:val="auto"/>
              </w:rPr>
            </w:pPr>
            <w:r>
              <w:rPr>
                <w:rFonts w:ascii="Arial" w:cs="Arial" w:eastAsia="Arial" w:hAnsi="Arial"/>
                <w:sz w:val="10"/>
                <w:szCs w:val="10"/>
                <w:color w:val="auto"/>
              </w:rPr>
              <w:t>Crude oil and petroleum products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3,589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280"/>
              <w:spacing w:after="0" w:line="106" w:lineRule="exact"/>
              <w:rPr>
                <w:sz w:val="20"/>
                <w:szCs w:val="20"/>
                <w:color w:val="auto"/>
              </w:rPr>
            </w:pPr>
            <w:r>
              <w:rPr>
                <w:rFonts w:ascii="Arial" w:cs="Arial" w:eastAsia="Arial" w:hAnsi="Arial"/>
                <w:sz w:val="10"/>
                <w:szCs w:val="10"/>
                <w:color w:val="auto"/>
              </w:rPr>
              <w:t>Chemicals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502</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395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40" w:type="dxa"/>
            <w:vAlign w:val="bottom"/>
          </w:tcPr>
          <w:p>
            <w:pPr>
              <w:ind w:left="280"/>
              <w:spacing w:after="0"/>
              <w:rPr>
                <w:sz w:val="20"/>
                <w:szCs w:val="20"/>
                <w:color w:val="auto"/>
              </w:rPr>
            </w:pPr>
            <w:r>
              <w:rPr>
                <w:rFonts w:ascii="Arial" w:cs="Arial" w:eastAsia="Arial" w:hAnsi="Arial"/>
                <w:sz w:val="10"/>
                <w:szCs w:val="10"/>
                <w:color w:val="auto"/>
              </w:rPr>
              <w:t>Materials, supplies and other</w:t>
            </w:r>
          </w:p>
        </w:tc>
        <w:tc>
          <w:tcPr>
            <w:tcW w:w="580" w:type="dxa"/>
            <w:vAlign w:val="bottom"/>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1,621</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1,509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40" w:type="dxa"/>
            <w:vAlign w:val="bottom"/>
          </w:tcPr>
          <w:p>
            <w:pPr>
              <w:ind w:left="420"/>
              <w:spacing w:after="0" w:line="91" w:lineRule="exact"/>
              <w:rPr>
                <w:sz w:val="20"/>
                <w:szCs w:val="20"/>
                <w:color w:val="auto"/>
              </w:rPr>
            </w:pPr>
            <w:r>
              <w:rPr>
                <w:rFonts w:ascii="Arial" w:cs="Arial" w:eastAsia="Arial" w:hAnsi="Arial"/>
                <w:sz w:val="10"/>
                <w:szCs w:val="10"/>
                <w:color w:val="auto"/>
              </w:rPr>
              <w:t>Total inventories</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right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5,543</w:t>
            </w:r>
          </w:p>
        </w:tc>
        <w:tc>
          <w:tcPr>
            <w:tcW w:w="280" w:type="dxa"/>
            <w:vAlign w:val="bottom"/>
          </w:tcPr>
          <w:p>
            <w:pPr>
              <w:spacing w:after="0"/>
              <w:rPr>
                <w:sz w:val="7"/>
                <w:szCs w:val="7"/>
                <w:color w:val="auto"/>
              </w:rPr>
            </w:pPr>
          </w:p>
        </w:tc>
        <w:tc>
          <w:tcPr>
            <w:tcW w:w="6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5,493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Prepaid expenses and other current assets</w:t>
            </w:r>
          </w:p>
        </w:tc>
        <w:tc>
          <w:tcPr>
            <w:tcW w:w="58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5,827</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5,519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ind w:left="140"/>
              <w:spacing w:after="0" w:line="91" w:lineRule="exact"/>
              <w:rPr>
                <w:sz w:val="20"/>
                <w:szCs w:val="20"/>
                <w:color w:val="auto"/>
              </w:rPr>
            </w:pPr>
            <w:r>
              <w:rPr>
                <w:rFonts w:ascii="Arial" w:cs="Arial" w:eastAsia="Arial" w:hAnsi="Arial"/>
                <w:sz w:val="10"/>
                <w:szCs w:val="10"/>
                <w:b w:val="1"/>
                <w:bCs w:val="1"/>
                <w:color w:val="0077C0"/>
              </w:rPr>
              <w:t>Total Current Assets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1" w:lineRule="exact"/>
              <w:rPr>
                <w:sz w:val="20"/>
                <w:szCs w:val="20"/>
                <w:color w:val="auto"/>
              </w:rPr>
            </w:pPr>
            <w:r>
              <w:rPr>
                <w:rFonts w:ascii="Arial" w:cs="Arial" w:eastAsia="Arial" w:hAnsi="Arial"/>
                <w:sz w:val="10"/>
                <w:szCs w:val="10"/>
                <w:b w:val="1"/>
                <w:bCs w:val="1"/>
                <w:color w:val="auto"/>
              </w:rPr>
              <w:t>53,234</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48,841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840" w:type="dxa"/>
            <w:vAlign w:val="bottom"/>
          </w:tcPr>
          <w:p>
            <w:pPr>
              <w:ind w:left="140"/>
              <w:spacing w:after="0" w:line="91" w:lineRule="exact"/>
              <w:rPr>
                <w:sz w:val="20"/>
                <w:szCs w:val="20"/>
                <w:color w:val="auto"/>
              </w:rPr>
            </w:pPr>
            <w:r>
              <w:rPr>
                <w:rFonts w:ascii="Arial" w:cs="Arial" w:eastAsia="Arial" w:hAnsi="Arial"/>
                <w:sz w:val="10"/>
                <w:szCs w:val="10"/>
                <w:color w:val="auto"/>
              </w:rPr>
              <w:t>Long-term receivables, net</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right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2,233</w:t>
            </w:r>
          </w:p>
        </w:tc>
        <w:tc>
          <w:tcPr>
            <w:tcW w:w="280" w:type="dxa"/>
            <w:vAlign w:val="bottom"/>
          </w:tcPr>
          <w:p>
            <w:pPr>
              <w:spacing w:after="0"/>
              <w:rPr>
                <w:sz w:val="7"/>
                <w:szCs w:val="7"/>
                <w:color w:val="auto"/>
              </w:rPr>
            </w:pPr>
          </w:p>
        </w:tc>
        <w:tc>
          <w:tcPr>
            <w:tcW w:w="6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2,077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Investments and advances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22,868</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21,520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Properties, plant and equipment, at cost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233,432</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207,367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40" w:type="dxa"/>
            <w:vAlign w:val="bottom"/>
          </w:tcPr>
          <w:p>
            <w:pPr>
              <w:ind w:left="140"/>
              <w:spacing w:after="0"/>
              <w:rPr>
                <w:sz w:val="20"/>
                <w:szCs w:val="20"/>
                <w:color w:val="auto"/>
              </w:rPr>
            </w:pPr>
            <w:r>
              <w:rPr>
                <w:rFonts w:ascii="Arial" w:cs="Arial" w:eastAsia="Arial" w:hAnsi="Arial"/>
                <w:sz w:val="10"/>
                <w:szCs w:val="10"/>
                <w:color w:val="auto"/>
              </w:rPr>
              <w:t>Less: Accumulated depreciation, depletion and amortization</w:t>
            </w:r>
          </w:p>
        </w:tc>
        <w:tc>
          <w:tcPr>
            <w:tcW w:w="580" w:type="dxa"/>
            <w:vAlign w:val="bottom"/>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110,824</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102,863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840" w:type="dxa"/>
            <w:vAlign w:val="bottom"/>
          </w:tcPr>
          <w:p>
            <w:pPr>
              <w:ind w:left="280"/>
              <w:spacing w:after="0" w:line="91" w:lineRule="exact"/>
              <w:rPr>
                <w:sz w:val="20"/>
                <w:szCs w:val="20"/>
                <w:color w:val="auto"/>
              </w:rPr>
            </w:pPr>
            <w:r>
              <w:rPr>
                <w:rFonts w:ascii="Arial" w:cs="Arial" w:eastAsia="Arial" w:hAnsi="Arial"/>
                <w:sz w:val="10"/>
                <w:szCs w:val="10"/>
                <w:color w:val="auto"/>
              </w:rPr>
              <w:t>Properties, plant and equipment, net</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right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122,608</w:t>
            </w:r>
          </w:p>
        </w:tc>
        <w:tc>
          <w:tcPr>
            <w:tcW w:w="280" w:type="dxa"/>
            <w:vAlign w:val="bottom"/>
          </w:tcPr>
          <w:p>
            <w:pPr>
              <w:spacing w:after="0"/>
              <w:rPr>
                <w:sz w:val="7"/>
                <w:szCs w:val="7"/>
                <w:color w:val="auto"/>
              </w:rPr>
            </w:pPr>
          </w:p>
        </w:tc>
        <w:tc>
          <w:tcPr>
            <w:tcW w:w="6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104,504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Deferred charges and other assets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3,889</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3,210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Goodwill</w:t>
            </w:r>
          </w:p>
        </w:tc>
        <w:tc>
          <w:tcPr>
            <w:tcW w:w="58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4,642</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4,617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4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Assets</w:t>
            </w:r>
          </w:p>
        </w:tc>
        <w:tc>
          <w:tcPr>
            <w:tcW w:w="780" w:type="dxa"/>
            <w:vAlign w:val="bottom"/>
            <w:tcBorders>
              <w:bottom w:val="single" w:sz="8" w:color="0077C0"/>
            </w:tcBorders>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209,474</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184,769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Liabilities and Equity</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340</w:t>
            </w:r>
          </w:p>
        </w:tc>
        <w:tc>
          <w:tcPr>
            <w:tcW w:w="2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187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840" w:type="dxa"/>
            <w:vAlign w:val="bottom"/>
          </w:tcPr>
          <w:p>
            <w:pPr>
              <w:ind w:left="140"/>
              <w:spacing w:after="0" w:line="91" w:lineRule="exact"/>
              <w:rPr>
                <w:sz w:val="20"/>
                <w:szCs w:val="20"/>
                <w:color w:val="auto"/>
              </w:rPr>
            </w:pPr>
            <w:r>
              <w:rPr>
                <w:rFonts w:ascii="Arial" w:cs="Arial" w:eastAsia="Arial" w:hAnsi="Arial"/>
                <w:sz w:val="10"/>
                <w:szCs w:val="10"/>
                <w:color w:val="auto"/>
              </w:rPr>
              <w:t>Short-term debt</w:t>
            </w:r>
          </w:p>
        </w:tc>
        <w:tc>
          <w:tcPr>
            <w:tcW w:w="780" w:type="dxa"/>
            <w:vAlign w:val="bottom"/>
            <w:gridSpan w:val="2"/>
            <w:vMerge w:val="continue"/>
          </w:tcPr>
          <w:p>
            <w:pPr>
              <w:spacing w:after="0"/>
              <w:rPr>
                <w:sz w:val="7"/>
                <w:szCs w:val="7"/>
                <w:color w:val="auto"/>
              </w:rPr>
            </w:pPr>
          </w:p>
        </w:tc>
        <w:tc>
          <w:tcPr>
            <w:tcW w:w="840" w:type="dxa"/>
            <w:vAlign w:val="bottom"/>
            <w:tcBorders>
              <w:right w:val="single" w:sz="8" w:color="0077C0"/>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Accounts payable</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22,147</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19,259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Accrued liabilities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5,287</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5,324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Federal and other taxes on income</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4,584</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2,776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Other taxes payable</w:t>
            </w:r>
          </w:p>
        </w:tc>
        <w:tc>
          <w:tcPr>
            <w:tcW w:w="58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1,242</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1,466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ind w:left="140"/>
              <w:spacing w:after="0" w:line="91" w:lineRule="exact"/>
              <w:rPr>
                <w:sz w:val="20"/>
                <w:szCs w:val="20"/>
                <w:color w:val="auto"/>
              </w:rPr>
            </w:pPr>
            <w:r>
              <w:rPr>
                <w:rFonts w:ascii="Arial" w:cs="Arial" w:eastAsia="Arial" w:hAnsi="Arial"/>
                <w:sz w:val="10"/>
                <w:szCs w:val="10"/>
                <w:b w:val="1"/>
                <w:bCs w:val="1"/>
                <w:color w:val="0077C0"/>
              </w:rPr>
              <w:t>Total Current Liabilities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1" w:lineRule="exact"/>
              <w:rPr>
                <w:sz w:val="20"/>
                <w:szCs w:val="20"/>
                <w:color w:val="auto"/>
              </w:rPr>
            </w:pPr>
            <w:r>
              <w:rPr>
                <w:rFonts w:ascii="Arial" w:cs="Arial" w:eastAsia="Arial" w:hAnsi="Arial"/>
                <w:sz w:val="10"/>
                <w:szCs w:val="10"/>
                <w:b w:val="1"/>
                <w:bCs w:val="1"/>
                <w:color w:val="auto"/>
              </w:rPr>
              <w:t>33,600</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29,012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8840" w:type="dxa"/>
            <w:vAlign w:val="bottom"/>
          </w:tcPr>
          <w:p>
            <w:pPr>
              <w:ind w:left="140"/>
              <w:spacing w:after="0" w:line="91" w:lineRule="exact"/>
              <w:rPr>
                <w:sz w:val="20"/>
                <w:szCs w:val="20"/>
                <w:color w:val="auto"/>
              </w:rPr>
            </w:pPr>
            <w:r>
              <w:rPr>
                <w:rFonts w:ascii="Arial" w:cs="Arial" w:eastAsia="Arial" w:hAnsi="Arial"/>
                <w:sz w:val="10"/>
                <w:szCs w:val="10"/>
                <w:color w:val="auto"/>
              </w:rPr>
              <w:t>Long-term debt</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right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9,684</w:t>
            </w:r>
          </w:p>
        </w:tc>
        <w:tc>
          <w:tcPr>
            <w:tcW w:w="280" w:type="dxa"/>
            <w:vAlign w:val="bottom"/>
          </w:tcPr>
          <w:p>
            <w:pPr>
              <w:spacing w:after="0"/>
              <w:rPr>
                <w:sz w:val="7"/>
                <w:szCs w:val="7"/>
                <w:color w:val="auto"/>
              </w:rPr>
            </w:pPr>
          </w:p>
        </w:tc>
        <w:tc>
          <w:tcPr>
            <w:tcW w:w="64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11,003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Capital lease obligations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128</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Deferred credits and other noncurrent obligations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19,181</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19,264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Noncurrent deferred income taxes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15,544</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12,697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Reserves for employee benefit plans</w:t>
            </w:r>
          </w:p>
        </w:tc>
        <w:tc>
          <w:tcPr>
            <w:tcW w:w="58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9,156</w:t>
            </w:r>
          </w:p>
        </w:tc>
        <w:tc>
          <w:tcPr>
            <w:tcW w:w="2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6,696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ind w:left="140"/>
              <w:spacing w:after="0" w:line="105" w:lineRule="exact"/>
              <w:rPr>
                <w:sz w:val="20"/>
                <w:szCs w:val="20"/>
                <w:color w:val="auto"/>
              </w:rPr>
            </w:pPr>
            <w:r>
              <w:rPr>
                <w:rFonts w:ascii="Arial" w:cs="Arial" w:eastAsia="Arial" w:hAnsi="Arial"/>
                <w:sz w:val="10"/>
                <w:szCs w:val="10"/>
                <w:b w:val="1"/>
                <w:bCs w:val="1"/>
                <w:color w:val="0077C0"/>
              </w:rPr>
              <w:t>Total Liabilities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87,293</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78,958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8840" w:type="dxa"/>
            <w:vAlign w:val="bottom"/>
            <w:tcBorders>
              <w:top w:val="single" w:sz="8" w:color="0077C0"/>
            </w:tcBorders>
          </w:tcPr>
          <w:p>
            <w:pPr>
              <w:ind w:left="140"/>
              <w:spacing w:after="0" w:line="92" w:lineRule="exact"/>
              <w:rPr>
                <w:sz w:val="20"/>
                <w:szCs w:val="20"/>
                <w:color w:val="auto"/>
              </w:rPr>
            </w:pPr>
            <w:r>
              <w:rPr>
                <w:rFonts w:ascii="Arial" w:cs="Arial" w:eastAsia="Arial" w:hAnsi="Arial"/>
                <w:sz w:val="10"/>
                <w:szCs w:val="10"/>
                <w:color w:val="auto"/>
              </w:rPr>
              <w:t>Preferred stock (authorized 100,000,000 shares; $1.00 par value; none issued)</w:t>
            </w:r>
          </w:p>
        </w:tc>
        <w:tc>
          <w:tcPr>
            <w:tcW w:w="58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840" w:type="dxa"/>
            <w:vAlign w:val="bottom"/>
            <w:tcBorders>
              <w:top w:val="single" w:sz="8" w:color="0077C0"/>
              <w:right w:val="single" w:sz="8" w:color="0077C0"/>
            </w:tcBorders>
          </w:tcPr>
          <w:p>
            <w:pPr>
              <w:jc w:val="right"/>
              <w:ind w:right="309"/>
              <w:spacing w:after="0" w:line="92" w:lineRule="exact"/>
              <w:rPr>
                <w:sz w:val="20"/>
                <w:szCs w:val="20"/>
                <w:color w:val="auto"/>
              </w:rPr>
            </w:pPr>
            <w:r>
              <w:rPr>
                <w:rFonts w:ascii="Arial" w:cs="Arial" w:eastAsia="Arial" w:hAnsi="Arial"/>
                <w:sz w:val="10"/>
                <w:szCs w:val="10"/>
                <w:b w:val="1"/>
                <w:bCs w:val="1"/>
                <w:color w:val="auto"/>
              </w:rPr>
              <w:t>–</w:t>
            </w:r>
          </w:p>
        </w:tc>
        <w:tc>
          <w:tcPr>
            <w:tcW w:w="28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w:t>
            </w: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Common stock (authorized 6,000,000,000 shares; $0.75 par value; 2,442,676,580 shares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1,832</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840" w:type="dxa"/>
            <w:vAlign w:val="bottom"/>
          </w:tcPr>
          <w:p>
            <w:pPr>
              <w:ind w:left="280"/>
              <w:spacing w:after="0" w:line="104" w:lineRule="exact"/>
              <w:rPr>
                <w:sz w:val="20"/>
                <w:szCs w:val="20"/>
                <w:color w:val="auto"/>
              </w:rPr>
            </w:pPr>
            <w:r>
              <w:rPr>
                <w:rFonts w:ascii="Arial" w:cs="Arial" w:eastAsia="Arial" w:hAnsi="Arial"/>
                <w:sz w:val="10"/>
                <w:szCs w:val="10"/>
                <w:color w:val="auto"/>
              </w:rPr>
              <w:t>issued at December 31, 2011 and 2010)</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1,832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Capital in excess of par value</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15,156</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14,796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Retained earnings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140,399</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119,641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Accumulated other comprehensive loss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(6,022)</w:t>
            </w:r>
          </w:p>
        </w:tc>
        <w:tc>
          <w:tcPr>
            <w:tcW w:w="280" w:type="dxa"/>
            <w:vAlign w:val="bottom"/>
          </w:tcPr>
          <w:p>
            <w:pPr>
              <w:spacing w:after="0"/>
              <w:rPr>
                <w:sz w:val="9"/>
                <w:szCs w:val="9"/>
                <w:color w:val="auto"/>
              </w:rPr>
            </w:pPr>
          </w:p>
        </w:tc>
        <w:tc>
          <w:tcPr>
            <w:tcW w:w="6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(4,466)</w:t>
            </w:r>
          </w:p>
        </w:tc>
        <w:tc>
          <w:tcPr>
            <w:tcW w:w="0" w:type="dxa"/>
            <w:vAlign w:val="bottom"/>
          </w:tcPr>
          <w:p>
            <w:pPr>
              <w:spacing w:after="0"/>
              <w:rPr>
                <w:sz w:val="1"/>
                <w:szCs w:val="1"/>
                <w:color w:val="auto"/>
              </w:rPr>
            </w:pPr>
          </w:p>
        </w:tc>
      </w:tr>
      <w:tr>
        <w:trPr>
          <w:trHeight w:val="106"/>
        </w:trPr>
        <w:tc>
          <w:tcPr>
            <w:tcW w:w="8840" w:type="dxa"/>
            <w:vAlign w:val="bottom"/>
          </w:tcPr>
          <w:p>
            <w:pPr>
              <w:ind w:left="140"/>
              <w:spacing w:after="0" w:line="106" w:lineRule="exact"/>
              <w:rPr>
                <w:sz w:val="20"/>
                <w:szCs w:val="20"/>
                <w:color w:val="auto"/>
              </w:rPr>
            </w:pPr>
            <w:r>
              <w:rPr>
                <w:rFonts w:ascii="Arial" w:cs="Arial" w:eastAsia="Arial" w:hAnsi="Arial"/>
                <w:sz w:val="10"/>
                <w:szCs w:val="10"/>
                <w:color w:val="auto"/>
              </w:rPr>
              <w:t>Deferred compensation and benefit plan trust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(298)</w:t>
            </w:r>
          </w:p>
        </w:tc>
        <w:tc>
          <w:tcPr>
            <w:tcW w:w="280" w:type="dxa"/>
            <w:vAlign w:val="bottom"/>
          </w:tcPr>
          <w:p>
            <w:pPr>
              <w:spacing w:after="0"/>
              <w:rPr>
                <w:sz w:val="9"/>
                <w:szCs w:val="9"/>
                <w:color w:val="auto"/>
              </w:rPr>
            </w:pPr>
          </w:p>
        </w:tc>
        <w:tc>
          <w:tcPr>
            <w:tcW w:w="66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20"/>
        </w:trPr>
        <w:tc>
          <w:tcPr>
            <w:tcW w:w="8840" w:type="dxa"/>
            <w:vAlign w:val="bottom"/>
          </w:tcPr>
          <w:p>
            <w:pPr>
              <w:ind w:left="140"/>
              <w:spacing w:after="0"/>
              <w:rPr>
                <w:sz w:val="20"/>
                <w:szCs w:val="20"/>
                <w:color w:val="auto"/>
              </w:rPr>
            </w:pPr>
            <w:r>
              <w:rPr>
                <w:rFonts w:ascii="Arial" w:cs="Arial" w:eastAsia="Arial" w:hAnsi="Arial"/>
                <w:sz w:val="10"/>
                <w:szCs w:val="10"/>
                <w:color w:val="auto"/>
              </w:rPr>
              <w:t>Treasury stock, at cost (2011 – 461,509,656 shares; 2010 – 435,195,799 shares)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(29,685)</w:t>
            </w:r>
          </w:p>
        </w:tc>
        <w:tc>
          <w:tcPr>
            <w:tcW w:w="280" w:type="dxa"/>
            <w:vAlign w:val="bottom"/>
          </w:tcPr>
          <w:p>
            <w:pPr>
              <w:spacing w:after="0"/>
              <w:rPr>
                <w:sz w:val="10"/>
                <w:szCs w:val="10"/>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(26,411)</w:t>
            </w:r>
          </w:p>
        </w:tc>
        <w:tc>
          <w:tcPr>
            <w:tcW w:w="0" w:type="dxa"/>
            <w:vAlign w:val="bottom"/>
          </w:tcPr>
          <w:p>
            <w:pPr>
              <w:spacing w:after="0"/>
              <w:rPr>
                <w:sz w:val="1"/>
                <w:szCs w:val="1"/>
                <w:color w:val="auto"/>
              </w:rPr>
            </w:pPr>
          </w:p>
        </w:tc>
      </w:tr>
      <w:tr>
        <w:trPr>
          <w:trHeight w:val="105"/>
        </w:trPr>
        <w:tc>
          <w:tcPr>
            <w:tcW w:w="8840" w:type="dxa"/>
            <w:vAlign w:val="bottom"/>
            <w:tcBorders>
              <w:top w:val="single" w:sz="8" w:color="0077C0"/>
            </w:tcBorders>
            <w:shd w:val="clear" w:color="auto" w:fill="E8EFF9"/>
          </w:tcPr>
          <w:p>
            <w:pPr>
              <w:ind w:left="140"/>
              <w:spacing w:after="0" w:line="105" w:lineRule="exact"/>
              <w:rPr>
                <w:sz w:val="20"/>
                <w:szCs w:val="20"/>
                <w:color w:val="auto"/>
              </w:rPr>
            </w:pPr>
            <w:r>
              <w:rPr>
                <w:rFonts w:ascii="Arial" w:cs="Arial" w:eastAsia="Arial" w:hAnsi="Arial"/>
                <w:sz w:val="10"/>
                <w:szCs w:val="10"/>
                <w:b w:val="1"/>
                <w:bCs w:val="1"/>
                <w:color w:val="0077C0"/>
              </w:rPr>
              <w:t>Total Chevron Corporation Stockholders’ Equity</w:t>
            </w:r>
          </w:p>
        </w:tc>
        <w:tc>
          <w:tcPr>
            <w:tcW w:w="580" w:type="dxa"/>
            <w:vAlign w:val="bottom"/>
            <w:tcBorders>
              <w:top w:val="single" w:sz="8" w:color="0077C0"/>
            </w:tcBorders>
          </w:tcPr>
          <w:p>
            <w:pPr>
              <w:spacing w:after="0"/>
              <w:rPr>
                <w:sz w:val="9"/>
                <w:szCs w:val="9"/>
                <w:color w:val="auto"/>
              </w:rPr>
            </w:pPr>
          </w:p>
        </w:tc>
        <w:tc>
          <w:tcPr>
            <w:tcW w:w="200" w:type="dxa"/>
            <w:vAlign w:val="bottom"/>
            <w:tcBorders>
              <w:top w:val="single" w:sz="8" w:color="0077C0"/>
            </w:tcBorders>
          </w:tcPr>
          <w:p>
            <w:pPr>
              <w:spacing w:after="0"/>
              <w:rPr>
                <w:sz w:val="9"/>
                <w:szCs w:val="9"/>
                <w:color w:val="auto"/>
              </w:rPr>
            </w:pPr>
          </w:p>
        </w:tc>
        <w:tc>
          <w:tcPr>
            <w:tcW w:w="840" w:type="dxa"/>
            <w:vAlign w:val="bottom"/>
            <w:tcBorders>
              <w:top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121,382</w:t>
            </w:r>
          </w:p>
        </w:tc>
        <w:tc>
          <w:tcPr>
            <w:tcW w:w="280" w:type="dxa"/>
            <w:vAlign w:val="bottom"/>
            <w:tcBorders>
              <w:top w:val="single" w:sz="8" w:color="0077C0"/>
            </w:tcBorders>
          </w:tcPr>
          <w:p>
            <w:pPr>
              <w:spacing w:after="0"/>
              <w:rPr>
                <w:sz w:val="9"/>
                <w:szCs w:val="9"/>
                <w:color w:val="auto"/>
              </w:rPr>
            </w:pPr>
          </w:p>
        </w:tc>
        <w:tc>
          <w:tcPr>
            <w:tcW w:w="640" w:type="dxa"/>
            <w:vAlign w:val="bottom"/>
            <w:tcBorders>
              <w:top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105,081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40" w:type="dxa"/>
            <w:vAlign w:val="bottom"/>
            <w:tcBorders>
              <w:top w:val="single" w:sz="8" w:color="0077C0"/>
              <w:bottom w:val="single" w:sz="8" w:color="0077C0"/>
            </w:tcBorders>
          </w:tcPr>
          <w:p>
            <w:pPr>
              <w:ind w:left="140"/>
              <w:spacing w:after="0" w:line="105" w:lineRule="exact"/>
              <w:rPr>
                <w:sz w:val="20"/>
                <w:szCs w:val="20"/>
                <w:color w:val="auto"/>
              </w:rPr>
            </w:pPr>
            <w:r>
              <w:rPr>
                <w:rFonts w:ascii="Arial" w:cs="Arial" w:eastAsia="Arial" w:hAnsi="Arial"/>
                <w:sz w:val="10"/>
                <w:szCs w:val="10"/>
                <w:color w:val="auto"/>
              </w:rPr>
              <w:t>Noncontrolling interests</w:t>
            </w:r>
          </w:p>
        </w:tc>
        <w:tc>
          <w:tcPr>
            <w:tcW w:w="580" w:type="dxa"/>
            <w:vAlign w:val="bottom"/>
            <w:tcBorders>
              <w:top w:val="single" w:sz="8" w:color="0077C0"/>
              <w:bottom w:val="single" w:sz="8" w:color="0077C0"/>
            </w:tcBorders>
          </w:tcPr>
          <w:p>
            <w:pPr>
              <w:spacing w:after="0"/>
              <w:rPr>
                <w:sz w:val="9"/>
                <w:szCs w:val="9"/>
                <w:color w:val="auto"/>
              </w:rPr>
            </w:pPr>
          </w:p>
        </w:tc>
        <w:tc>
          <w:tcPr>
            <w:tcW w:w="200" w:type="dxa"/>
            <w:vAlign w:val="bottom"/>
            <w:tcBorders>
              <w:top w:val="single" w:sz="8" w:color="0077C0"/>
              <w:bottom w:val="single" w:sz="8" w:color="0077C0"/>
            </w:tcBorders>
          </w:tcPr>
          <w:p>
            <w:pPr>
              <w:spacing w:after="0"/>
              <w:rPr>
                <w:sz w:val="9"/>
                <w:szCs w:val="9"/>
                <w:color w:val="auto"/>
              </w:rPr>
            </w:pPr>
          </w:p>
        </w:tc>
        <w:tc>
          <w:tcPr>
            <w:tcW w:w="84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799</w:t>
            </w:r>
          </w:p>
        </w:tc>
        <w:tc>
          <w:tcPr>
            <w:tcW w:w="28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730</w:t>
            </w:r>
          </w:p>
        </w:tc>
        <w:tc>
          <w:tcPr>
            <w:tcW w:w="20" w:type="dxa"/>
            <w:vAlign w:val="bottom"/>
            <w:tcBorders>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40" w:type="dxa"/>
            <w:vAlign w:val="bottom"/>
            <w:shd w:val="clear" w:color="auto" w:fill="E8EFF9"/>
          </w:tcPr>
          <w:p>
            <w:pPr>
              <w:ind w:left="140"/>
              <w:spacing w:after="0" w:line="105" w:lineRule="exact"/>
              <w:rPr>
                <w:sz w:val="20"/>
                <w:szCs w:val="20"/>
                <w:color w:val="auto"/>
              </w:rPr>
            </w:pPr>
            <w:r>
              <w:rPr>
                <w:rFonts w:ascii="Arial" w:cs="Arial" w:eastAsia="Arial" w:hAnsi="Arial"/>
                <w:sz w:val="10"/>
                <w:szCs w:val="10"/>
                <w:b w:val="1"/>
                <w:bCs w:val="1"/>
                <w:color w:val="0077C0"/>
              </w:rPr>
              <w:t>Total Equity</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122,181</w:t>
            </w:r>
          </w:p>
        </w:tc>
        <w:tc>
          <w:tcPr>
            <w:tcW w:w="280" w:type="dxa"/>
            <w:vAlign w:val="bottom"/>
          </w:tcPr>
          <w:p>
            <w:pPr>
              <w:spacing w:after="0"/>
              <w:rPr>
                <w:sz w:val="9"/>
                <w:szCs w:val="9"/>
                <w:color w:val="auto"/>
              </w:rPr>
            </w:pPr>
          </w:p>
        </w:tc>
        <w:tc>
          <w:tcPr>
            <w:tcW w:w="64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105,811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840" w:type="dxa"/>
            <w:vAlign w:val="bottom"/>
            <w:tcBorders>
              <w:top w:val="single" w:sz="8" w:color="0077C0"/>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Total Liabilities and Equity</w:t>
            </w:r>
          </w:p>
        </w:tc>
        <w:tc>
          <w:tcPr>
            <w:tcW w:w="780" w:type="dxa"/>
            <w:vAlign w:val="bottom"/>
            <w:tcBorders>
              <w:top w:val="single" w:sz="8" w:color="0077C0"/>
              <w:bottom w:val="single" w:sz="8" w:color="0077C0"/>
            </w:tcBorders>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209,474</w:t>
            </w:r>
          </w:p>
        </w:tc>
        <w:tc>
          <w:tcPr>
            <w:tcW w:w="2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184,769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FS-25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500"/>
          </w:cols>
          <w:pgMar w:left="220" w:top="338" w:right="17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Consolidated Statement of Cash Flows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329805" cy="3313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805" cy="331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107"/>
        </w:trPr>
        <w:tc>
          <w:tcPr>
            <w:tcW w:w="7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7460" w:type="dxa"/>
            <w:vAlign w:val="bottom"/>
            <w:tcBorders>
              <w:bottom w:val="single" w:sz="8" w:color="0077C0"/>
            </w:tcBorders>
          </w:tcPr>
          <w:p>
            <w:pPr>
              <w:spacing w:after="0"/>
              <w:rPr>
                <w:sz w:val="7"/>
                <w:szCs w:val="7"/>
                <w:color w:val="auto"/>
              </w:rPr>
            </w:pPr>
          </w:p>
        </w:tc>
        <w:tc>
          <w:tcPr>
            <w:tcW w:w="580" w:type="dxa"/>
            <w:vAlign w:val="bottom"/>
            <w:tcBorders>
              <w:bottom w:val="single" w:sz="8" w:color="0077C0"/>
            </w:tcBorders>
          </w:tcPr>
          <w:p>
            <w:pPr>
              <w:spacing w:after="0"/>
              <w:rPr>
                <w:sz w:val="7"/>
                <w:szCs w:val="7"/>
                <w:color w:val="auto"/>
              </w:rPr>
            </w:pPr>
          </w:p>
        </w:tc>
        <w:tc>
          <w:tcPr>
            <w:tcW w:w="22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09"/>
              <w:spacing w:after="0" w:line="86" w:lineRule="exact"/>
              <w:rPr>
                <w:sz w:val="20"/>
                <w:szCs w:val="20"/>
                <w:color w:val="auto"/>
              </w:rPr>
            </w:pPr>
            <w:r>
              <w:rPr>
                <w:rFonts w:ascii="Arial" w:cs="Arial" w:eastAsia="Arial" w:hAnsi="Arial"/>
                <w:sz w:val="9"/>
                <w:szCs w:val="9"/>
                <w:b w:val="1"/>
                <w:bCs w:val="1"/>
                <w:color w:val="auto"/>
              </w:rPr>
              <w:t>2011</w:t>
            </w:r>
          </w:p>
        </w:tc>
        <w:tc>
          <w:tcPr>
            <w:tcW w:w="440" w:type="dxa"/>
            <w:vAlign w:val="bottom"/>
            <w:tcBorders>
              <w:top w:val="single" w:sz="8" w:color="0077C0"/>
              <w:bottom w:val="single" w:sz="8" w:color="0077C0"/>
            </w:tcBorders>
          </w:tcPr>
          <w:p>
            <w:pPr>
              <w:spacing w:after="0"/>
              <w:rPr>
                <w:sz w:val="7"/>
                <w:szCs w:val="7"/>
                <w:color w:val="auto"/>
              </w:rPr>
            </w:pPr>
          </w:p>
        </w:tc>
        <w:tc>
          <w:tcPr>
            <w:tcW w:w="72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2010</w:t>
            </w:r>
          </w:p>
        </w:tc>
        <w:tc>
          <w:tcPr>
            <w:tcW w:w="66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20" w:type="dxa"/>
            <w:vAlign w:val="bottom"/>
            <w:tcBorders>
              <w:top w:val="single" w:sz="8" w:color="0077C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6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Operating Activities</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27,008</w:t>
            </w:r>
          </w:p>
        </w:tc>
        <w:tc>
          <w:tcPr>
            <w:tcW w:w="440" w:type="dxa"/>
            <w:vAlign w:val="bottom"/>
            <w:vMerge w:val="restart"/>
          </w:tcPr>
          <w:p>
            <w:pPr>
              <w:jc w:val="right"/>
              <w:ind w:right="109"/>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89"/>
              <w:spacing w:after="0"/>
              <w:rPr>
                <w:sz w:val="20"/>
                <w:szCs w:val="20"/>
                <w:color w:val="auto"/>
              </w:rPr>
            </w:pPr>
            <w:r>
              <w:rPr>
                <w:rFonts w:ascii="Arial" w:cs="Arial" w:eastAsia="Arial" w:hAnsi="Arial"/>
                <w:sz w:val="10"/>
                <w:szCs w:val="10"/>
                <w:color w:val="auto"/>
              </w:rPr>
              <w:t>19,136</w:t>
            </w:r>
          </w:p>
        </w:tc>
        <w:tc>
          <w:tcPr>
            <w:tcW w:w="660" w:type="dxa"/>
            <w:vAlign w:val="bottom"/>
            <w:vMerge w:val="restart"/>
          </w:tcPr>
          <w:p>
            <w:pPr>
              <w:jc w:val="right"/>
              <w:ind w:right="111"/>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10,563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7460" w:type="dxa"/>
            <w:vAlign w:val="bottom"/>
          </w:tcPr>
          <w:p>
            <w:pPr>
              <w:ind w:left="140"/>
              <w:spacing w:after="0" w:line="93" w:lineRule="exact"/>
              <w:rPr>
                <w:sz w:val="20"/>
                <w:szCs w:val="20"/>
                <w:color w:val="auto"/>
              </w:rPr>
            </w:pPr>
            <w:r>
              <w:rPr>
                <w:rFonts w:ascii="Arial" w:cs="Arial" w:eastAsia="Arial" w:hAnsi="Arial"/>
                <w:sz w:val="10"/>
                <w:szCs w:val="10"/>
                <w:color w:val="auto"/>
              </w:rPr>
              <w:t>Net Income</w:t>
            </w:r>
          </w:p>
        </w:tc>
        <w:tc>
          <w:tcPr>
            <w:tcW w:w="800" w:type="dxa"/>
            <w:vAlign w:val="bottom"/>
            <w:gridSpan w:val="2"/>
            <w:vMerge w:val="continue"/>
          </w:tcPr>
          <w:p>
            <w:pPr>
              <w:spacing w:after="0"/>
              <w:rPr>
                <w:sz w:val="8"/>
                <w:szCs w:val="8"/>
                <w:color w:val="auto"/>
              </w:rPr>
            </w:pPr>
          </w:p>
        </w:tc>
        <w:tc>
          <w:tcPr>
            <w:tcW w:w="820" w:type="dxa"/>
            <w:vAlign w:val="bottom"/>
            <w:tcBorders>
              <w:right w:val="single" w:sz="8" w:color="0077C0"/>
            </w:tcBorders>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Adjustments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12,911</w:t>
            </w: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60" w:type="dxa"/>
            <w:vAlign w:val="bottom"/>
          </w:tcPr>
          <w:p>
            <w:pPr>
              <w:ind w:left="280"/>
              <w:spacing w:after="0" w:line="104" w:lineRule="exact"/>
              <w:rPr>
                <w:sz w:val="20"/>
                <w:szCs w:val="20"/>
                <w:color w:val="auto"/>
              </w:rPr>
            </w:pPr>
            <w:r>
              <w:rPr>
                <w:rFonts w:ascii="Arial" w:cs="Arial" w:eastAsia="Arial" w:hAnsi="Arial"/>
                <w:sz w:val="10"/>
                <w:szCs w:val="10"/>
                <w:color w:val="auto"/>
              </w:rPr>
              <w:t>Depreciation, depletion and amortization</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13,063</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12,110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Dry hole expense</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377</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496</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Distributions less than income from equity affiliates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(570)</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(501)</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(103)</w:t>
            </w: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Net before-tax gains on asset retirements and sales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(1,495)</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(1,004)</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(1,255)</w:t>
            </w: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Net foreign currency effects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(103)</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251</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466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Deferred income tax provision</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1,589</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559</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Net decrease (increase) in operating working capital</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2,318</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76</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(2,301)</w:t>
            </w: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Increase in long-term receivables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(150)</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(258)</w:t>
            </w: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Decrease in other deferred charges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341</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48</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201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280"/>
              <w:spacing w:after="0" w:line="106" w:lineRule="exact"/>
              <w:rPr>
                <w:sz w:val="20"/>
                <w:szCs w:val="20"/>
                <w:color w:val="auto"/>
              </w:rPr>
            </w:pPr>
            <w:r>
              <w:rPr>
                <w:rFonts w:ascii="Arial" w:cs="Arial" w:eastAsia="Arial" w:hAnsi="Arial"/>
                <w:sz w:val="10"/>
                <w:szCs w:val="10"/>
                <w:color w:val="auto"/>
              </w:rPr>
              <w:t>Cash contributions to employee pension plans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(1,467)</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(1,450)</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(1,739)</w:t>
            </w:r>
          </w:p>
        </w:tc>
        <w:tc>
          <w:tcPr>
            <w:tcW w:w="0" w:type="dxa"/>
            <w:vAlign w:val="bottom"/>
          </w:tcPr>
          <w:p>
            <w:pPr>
              <w:spacing w:after="0"/>
              <w:rPr>
                <w:sz w:val="1"/>
                <w:szCs w:val="1"/>
                <w:color w:val="auto"/>
              </w:rPr>
            </w:pPr>
          </w:p>
        </w:tc>
      </w:tr>
      <w:tr>
        <w:trPr>
          <w:trHeight w:val="120"/>
        </w:trPr>
        <w:tc>
          <w:tcPr>
            <w:tcW w:w="7460" w:type="dxa"/>
            <w:vAlign w:val="bottom"/>
            <w:tcBorders>
              <w:bottom w:val="single" w:sz="8" w:color="0077C0"/>
            </w:tcBorders>
          </w:tcPr>
          <w:p>
            <w:pPr>
              <w:ind w:left="280"/>
              <w:spacing w:after="0"/>
              <w:rPr>
                <w:sz w:val="20"/>
                <w:szCs w:val="20"/>
                <w:color w:val="auto"/>
              </w:rPr>
            </w:pPr>
            <w:r>
              <w:rPr>
                <w:rFonts w:ascii="Arial" w:cs="Arial" w:eastAsia="Arial" w:hAnsi="Arial"/>
                <w:sz w:val="10"/>
                <w:szCs w:val="10"/>
                <w:color w:val="auto"/>
              </w:rPr>
              <w:t>Other</w:t>
            </w:r>
          </w:p>
        </w:tc>
        <w:tc>
          <w:tcPr>
            <w:tcW w:w="5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339</w:t>
            </w:r>
          </w:p>
        </w:tc>
        <w:tc>
          <w:tcPr>
            <w:tcW w:w="44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697</w:t>
            </w:r>
          </w:p>
        </w:tc>
        <w:tc>
          <w:tcPr>
            <w:tcW w:w="6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670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6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Cash Provided by Operating Activities</w:t>
            </w:r>
          </w:p>
        </w:tc>
        <w:tc>
          <w:tcPr>
            <w:tcW w:w="5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820" w:type="dxa"/>
            <w:vAlign w:val="bottom"/>
            <w:tcBorders>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41,098</w:t>
            </w:r>
          </w:p>
        </w:tc>
        <w:tc>
          <w:tcPr>
            <w:tcW w:w="440" w:type="dxa"/>
            <w:vAlign w:val="bottom"/>
            <w:tcBorders>
              <w:bottom w:val="single" w:sz="8" w:color="0077C0"/>
            </w:tcBorders>
          </w:tcPr>
          <w:p>
            <w:pPr>
              <w:spacing w:after="0"/>
              <w:rPr>
                <w:sz w:val="9"/>
                <w:szCs w:val="9"/>
                <w:color w:val="auto"/>
              </w:rPr>
            </w:pPr>
          </w:p>
        </w:tc>
        <w:tc>
          <w:tcPr>
            <w:tcW w:w="72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31,359</w:t>
            </w:r>
          </w:p>
        </w:tc>
        <w:tc>
          <w:tcPr>
            <w:tcW w:w="6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19,373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6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Investing Activities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269"/>
              <w:spacing w:after="0"/>
              <w:rPr>
                <w:sz w:val="20"/>
                <w:szCs w:val="20"/>
                <w:color w:val="auto"/>
              </w:rPr>
            </w:pPr>
            <w:r>
              <w:rPr>
                <w:rFonts w:ascii="Arial" w:cs="Arial" w:eastAsia="Arial" w:hAnsi="Arial"/>
                <w:sz w:val="10"/>
                <w:szCs w:val="10"/>
                <w:b w:val="1"/>
                <w:bCs w:val="1"/>
                <w:color w:val="auto"/>
              </w:rPr>
              <w:t>(3,009)</w:t>
            </w:r>
          </w:p>
        </w:tc>
        <w:tc>
          <w:tcPr>
            <w:tcW w:w="440" w:type="dxa"/>
            <w:vAlign w:val="bottom"/>
          </w:tcPr>
          <w:p>
            <w:pPr>
              <w:spacing w:after="0"/>
              <w:rPr>
                <w:sz w:val="9"/>
                <w:szCs w:val="9"/>
                <w:color w:val="auto"/>
              </w:rPr>
            </w:pPr>
          </w:p>
        </w:tc>
        <w:tc>
          <w:tcPr>
            <w:tcW w:w="720" w:type="dxa"/>
            <w:vAlign w:val="bottom"/>
            <w:vMerge w:val="restart"/>
          </w:tcPr>
          <w:p>
            <w:pPr>
              <w:jc w:val="right"/>
              <w:ind w:right="189"/>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9"/>
                <w:szCs w:val="9"/>
                <w:color w:val="auto"/>
              </w:rPr>
            </w:pPr>
          </w:p>
        </w:tc>
        <w:tc>
          <w:tcPr>
            <w:tcW w:w="50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1"/>
        </w:trPr>
        <w:tc>
          <w:tcPr>
            <w:tcW w:w="7460" w:type="dxa"/>
            <w:vAlign w:val="bottom"/>
          </w:tcPr>
          <w:p>
            <w:pPr>
              <w:ind w:left="140"/>
              <w:spacing w:after="0" w:line="91" w:lineRule="exact"/>
              <w:rPr>
                <w:sz w:val="20"/>
                <w:szCs w:val="20"/>
                <w:color w:val="auto"/>
              </w:rPr>
            </w:pPr>
            <w:r>
              <w:rPr>
                <w:rFonts w:ascii="Arial" w:cs="Arial" w:eastAsia="Arial" w:hAnsi="Arial"/>
                <w:sz w:val="10"/>
                <w:szCs w:val="10"/>
                <w:color w:val="auto"/>
              </w:rPr>
              <w:t>Acquisition of Atlas Energy</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Borders>
              <w:right w:val="single" w:sz="8" w:color="0077C0"/>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Advance to Atlas Energy</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(403)</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9"/>
                <w:szCs w:val="9"/>
                <w:color w:val="auto"/>
              </w:rPr>
            </w:pPr>
          </w:p>
        </w:tc>
        <w:tc>
          <w:tcPr>
            <w:tcW w:w="50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Capital expenditures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(26,500)</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(19,612)</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(19,843)</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Proceeds and deposits related to asset sales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3,517</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1,995</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2,564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Net purchases of time deposits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(1,104)</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(2,855)</w:t>
            </w:r>
          </w:p>
        </w:tc>
        <w:tc>
          <w:tcPr>
            <w:tcW w:w="660" w:type="dxa"/>
            <w:vAlign w:val="bottom"/>
          </w:tcPr>
          <w:p>
            <w:pPr>
              <w:spacing w:after="0"/>
              <w:rPr>
                <w:sz w:val="9"/>
                <w:szCs w:val="9"/>
                <w:color w:val="auto"/>
              </w:rPr>
            </w:pPr>
          </w:p>
        </w:tc>
        <w:tc>
          <w:tcPr>
            <w:tcW w:w="50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Net (purchases) sales of marketable securities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(74)</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(49)</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Repayment of loans by equity affiliates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339</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338</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336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4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Net (purchases) sales of other short-term investments</w:t>
            </w:r>
          </w:p>
        </w:tc>
        <w:tc>
          <w:tcPr>
            <w:tcW w:w="5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(255)</w:t>
            </w:r>
          </w:p>
        </w:tc>
        <w:tc>
          <w:tcPr>
            <w:tcW w:w="44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(732)</w:t>
            </w:r>
          </w:p>
        </w:tc>
        <w:tc>
          <w:tcPr>
            <w:tcW w:w="6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244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60" w:type="dxa"/>
            <w:vAlign w:val="bottom"/>
            <w:tcBorders>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Cash Used for Investing Activities</w:t>
            </w:r>
          </w:p>
        </w:tc>
        <w:tc>
          <w:tcPr>
            <w:tcW w:w="58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820" w:type="dxa"/>
            <w:vAlign w:val="bottom"/>
            <w:tcBorders>
              <w:bottom w:val="single" w:sz="8" w:color="0077C0"/>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(27,489)</w:t>
            </w:r>
          </w:p>
        </w:tc>
        <w:tc>
          <w:tcPr>
            <w:tcW w:w="440" w:type="dxa"/>
            <w:vAlign w:val="bottom"/>
            <w:tcBorders>
              <w:bottom w:val="single" w:sz="8" w:color="0077C0"/>
            </w:tcBorders>
          </w:tcPr>
          <w:p>
            <w:pPr>
              <w:spacing w:after="0"/>
              <w:rPr>
                <w:sz w:val="9"/>
                <w:szCs w:val="9"/>
                <w:color w:val="auto"/>
              </w:rPr>
            </w:pPr>
          </w:p>
        </w:tc>
        <w:tc>
          <w:tcPr>
            <w:tcW w:w="7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(20,915)</w:t>
            </w:r>
          </w:p>
        </w:tc>
        <w:tc>
          <w:tcPr>
            <w:tcW w:w="66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(16,572)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6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Financing Activities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23</w:t>
            </w:r>
          </w:p>
        </w:tc>
        <w:tc>
          <w:tcPr>
            <w:tcW w:w="440" w:type="dxa"/>
            <w:vAlign w:val="bottom"/>
          </w:tcPr>
          <w:p>
            <w:pPr>
              <w:spacing w:after="0"/>
              <w:rPr>
                <w:sz w:val="9"/>
                <w:szCs w:val="9"/>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0"/>
                <w:szCs w:val="10"/>
                <w:color w:val="auto"/>
              </w:rPr>
              <w:t>(212)</w:t>
            </w:r>
          </w:p>
        </w:tc>
        <w:tc>
          <w:tcPr>
            <w:tcW w:w="660" w:type="dxa"/>
            <w:vAlign w:val="bottom"/>
          </w:tcPr>
          <w:p>
            <w:pPr>
              <w:spacing w:after="0"/>
              <w:rPr>
                <w:sz w:val="9"/>
                <w:szCs w:val="9"/>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0"/>
                <w:szCs w:val="10"/>
                <w:color w:val="auto"/>
              </w:rPr>
              <w:t>(3,192)</w:t>
            </w:r>
          </w:p>
        </w:tc>
        <w:tc>
          <w:tcPr>
            <w:tcW w:w="0" w:type="dxa"/>
            <w:vAlign w:val="bottom"/>
          </w:tcPr>
          <w:p>
            <w:pPr>
              <w:spacing w:after="0"/>
              <w:rPr>
                <w:sz w:val="1"/>
                <w:szCs w:val="1"/>
                <w:color w:val="auto"/>
              </w:rPr>
            </w:pPr>
          </w:p>
        </w:tc>
      </w:tr>
      <w:tr>
        <w:trPr>
          <w:trHeight w:val="91"/>
        </w:trPr>
        <w:tc>
          <w:tcPr>
            <w:tcW w:w="7460" w:type="dxa"/>
            <w:vAlign w:val="bottom"/>
          </w:tcPr>
          <w:p>
            <w:pPr>
              <w:ind w:left="140"/>
              <w:spacing w:after="0" w:line="91" w:lineRule="exact"/>
              <w:rPr>
                <w:sz w:val="20"/>
                <w:szCs w:val="20"/>
                <w:color w:val="auto"/>
              </w:rPr>
            </w:pPr>
            <w:r>
              <w:rPr>
                <w:rFonts w:ascii="Arial" w:cs="Arial" w:eastAsia="Arial" w:hAnsi="Arial"/>
                <w:sz w:val="10"/>
                <w:szCs w:val="10"/>
                <w:color w:val="auto"/>
              </w:rPr>
              <w:t>Net borrowings (payments) of short-term obligations</w:t>
            </w: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Borders>
              <w:right w:val="single" w:sz="8" w:color="0077C0"/>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Proceeds from issuances of long-term debt</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377</w:t>
            </w:r>
          </w:p>
        </w:tc>
        <w:tc>
          <w:tcPr>
            <w:tcW w:w="440" w:type="dxa"/>
            <w:vAlign w:val="bottom"/>
          </w:tcPr>
          <w:p>
            <w:pPr>
              <w:spacing w:after="0"/>
              <w:rPr>
                <w:sz w:val="9"/>
                <w:szCs w:val="9"/>
                <w:color w:val="auto"/>
              </w:rPr>
            </w:pPr>
          </w:p>
        </w:tc>
        <w:tc>
          <w:tcPr>
            <w:tcW w:w="7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1,250</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5,347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Repayments of long-term debt and other financing obligations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(2,769)</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(156)</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Cash dividends – common stock</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(6,139)</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(5,674)</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(5,302)</w:t>
            </w:r>
          </w:p>
        </w:tc>
        <w:tc>
          <w:tcPr>
            <w:tcW w:w="0" w:type="dxa"/>
            <w:vAlign w:val="bottom"/>
          </w:tcPr>
          <w:p>
            <w:pPr>
              <w:spacing w:after="0"/>
              <w:rPr>
                <w:sz w:val="1"/>
                <w:szCs w:val="1"/>
                <w:color w:val="auto"/>
              </w:rPr>
            </w:pPr>
          </w:p>
        </w:tc>
      </w:tr>
      <w:tr>
        <w:trPr>
          <w:trHeight w:val="106"/>
        </w:trPr>
        <w:tc>
          <w:tcPr>
            <w:tcW w:w="7460" w:type="dxa"/>
            <w:vAlign w:val="bottom"/>
          </w:tcPr>
          <w:p>
            <w:pPr>
              <w:ind w:left="140"/>
              <w:spacing w:after="0" w:line="106" w:lineRule="exact"/>
              <w:rPr>
                <w:sz w:val="20"/>
                <w:szCs w:val="20"/>
                <w:color w:val="auto"/>
              </w:rPr>
            </w:pPr>
            <w:r>
              <w:rPr>
                <w:rFonts w:ascii="Arial" w:cs="Arial" w:eastAsia="Arial" w:hAnsi="Arial"/>
                <w:sz w:val="10"/>
                <w:szCs w:val="10"/>
                <w:color w:val="auto"/>
              </w:rPr>
              <w:t>Distributions to noncontrolling interests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(71)</w:t>
            </w:r>
          </w:p>
        </w:tc>
        <w:tc>
          <w:tcPr>
            <w:tcW w:w="440" w:type="dxa"/>
            <w:vAlign w:val="bottom"/>
          </w:tcPr>
          <w:p>
            <w:pPr>
              <w:spacing w:after="0"/>
              <w:rPr>
                <w:sz w:val="9"/>
                <w:szCs w:val="9"/>
                <w:color w:val="auto"/>
              </w:rPr>
            </w:pPr>
          </w:p>
        </w:tc>
        <w:tc>
          <w:tcPr>
            <w:tcW w:w="7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(72)</w:t>
            </w:r>
          </w:p>
        </w:tc>
        <w:tc>
          <w:tcPr>
            <w:tcW w:w="660" w:type="dxa"/>
            <w:vAlign w:val="bottom"/>
          </w:tcPr>
          <w:p>
            <w:pPr>
              <w:spacing w:after="0"/>
              <w:rPr>
                <w:sz w:val="9"/>
                <w:szCs w:val="9"/>
                <w:color w:val="auto"/>
              </w:rPr>
            </w:pPr>
          </w:p>
        </w:tc>
        <w:tc>
          <w:tcPr>
            <w:tcW w:w="50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20"/>
        </w:trPr>
        <w:tc>
          <w:tcPr>
            <w:tcW w:w="74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Net (purchases) sales of treasury shares</w:t>
            </w:r>
          </w:p>
        </w:tc>
        <w:tc>
          <w:tcPr>
            <w:tcW w:w="58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(3,193)</w:t>
            </w:r>
          </w:p>
        </w:tc>
        <w:tc>
          <w:tcPr>
            <w:tcW w:w="440" w:type="dxa"/>
            <w:vAlign w:val="bottom"/>
            <w:tcBorders>
              <w:bottom w:val="single" w:sz="8" w:color="0077C0"/>
            </w:tcBorders>
          </w:tcPr>
          <w:p>
            <w:pPr>
              <w:spacing w:after="0"/>
              <w:rPr>
                <w:sz w:val="10"/>
                <w:szCs w:val="10"/>
                <w:color w:val="auto"/>
              </w:rPr>
            </w:pPr>
          </w:p>
        </w:tc>
        <w:tc>
          <w:tcPr>
            <w:tcW w:w="7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(306)</w:t>
            </w:r>
          </w:p>
        </w:tc>
        <w:tc>
          <w:tcPr>
            <w:tcW w:w="6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60" w:type="dxa"/>
            <w:vAlign w:val="bottom"/>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Net Cash Used for Financing Activities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(11,772)</w:t>
            </w:r>
          </w:p>
        </w:tc>
        <w:tc>
          <w:tcPr>
            <w:tcW w:w="440" w:type="dxa"/>
            <w:vAlign w:val="bottom"/>
          </w:tcPr>
          <w:p>
            <w:pPr>
              <w:spacing w:after="0"/>
              <w:rPr>
                <w:sz w:val="9"/>
                <w:szCs w:val="9"/>
                <w:color w:val="auto"/>
              </w:rPr>
            </w:pPr>
          </w:p>
        </w:tc>
        <w:tc>
          <w:tcPr>
            <w:tcW w:w="72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(5,170)</w:t>
            </w:r>
          </w:p>
        </w:tc>
        <w:tc>
          <w:tcPr>
            <w:tcW w:w="660" w:type="dxa"/>
            <w:vAlign w:val="bottom"/>
          </w:tcPr>
          <w:p>
            <w:pPr>
              <w:spacing w:after="0"/>
              <w:rPr>
                <w:sz w:val="9"/>
                <w:szCs w:val="9"/>
                <w:color w:val="auto"/>
              </w:rPr>
            </w:pPr>
          </w:p>
        </w:tc>
        <w:tc>
          <w:tcPr>
            <w:tcW w:w="48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(3,546)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7460" w:type="dxa"/>
            <w:vAlign w:val="bottom"/>
            <w:tcBorders>
              <w:top w:val="single" w:sz="8" w:color="0077C0"/>
            </w:tcBorders>
            <w:shd w:val="clear" w:color="auto" w:fill="E8EFF9"/>
          </w:tcPr>
          <w:p>
            <w:pPr>
              <w:spacing w:after="0" w:line="91" w:lineRule="exact"/>
              <w:rPr>
                <w:sz w:val="20"/>
                <w:szCs w:val="20"/>
                <w:color w:val="auto"/>
              </w:rPr>
            </w:pPr>
            <w:r>
              <w:rPr>
                <w:rFonts w:ascii="Arial" w:cs="Arial" w:eastAsia="Arial" w:hAnsi="Arial"/>
                <w:sz w:val="10"/>
                <w:szCs w:val="10"/>
                <w:b w:val="1"/>
                <w:bCs w:val="1"/>
                <w:color w:val="0077C0"/>
              </w:rPr>
              <w:t>Effect of Exchange Rate Changes</w:t>
            </w:r>
          </w:p>
        </w:tc>
        <w:tc>
          <w:tcPr>
            <w:tcW w:w="580" w:type="dxa"/>
            <w:vAlign w:val="bottom"/>
            <w:tcBorders>
              <w:top w:val="single" w:sz="8" w:color="0077C0"/>
            </w:tcBorders>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820" w:type="dxa"/>
            <w:vAlign w:val="bottom"/>
            <w:tcBorders>
              <w:top w:val="single" w:sz="8" w:color="0077C0"/>
              <w:right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720" w:type="dxa"/>
            <w:vAlign w:val="bottom"/>
            <w:tcBorders>
              <w:top w:val="single" w:sz="8" w:color="0077C0"/>
            </w:tcBorders>
          </w:tcPr>
          <w:p>
            <w:pPr>
              <w:spacing w:after="0"/>
              <w:rPr>
                <w:sz w:val="7"/>
                <w:szCs w:val="7"/>
                <w:color w:val="auto"/>
              </w:rPr>
            </w:pPr>
          </w:p>
        </w:tc>
        <w:tc>
          <w:tcPr>
            <w:tcW w:w="66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460" w:type="dxa"/>
            <w:vAlign w:val="bottom"/>
            <w:shd w:val="clear" w:color="auto" w:fill="E8EFF9"/>
          </w:tcPr>
          <w:p>
            <w:pPr>
              <w:ind w:left="140"/>
              <w:spacing w:after="0"/>
              <w:rPr>
                <w:sz w:val="20"/>
                <w:szCs w:val="20"/>
                <w:color w:val="auto"/>
              </w:rPr>
            </w:pPr>
            <w:r>
              <w:rPr>
                <w:rFonts w:ascii="Arial" w:cs="Arial" w:eastAsia="Arial" w:hAnsi="Arial"/>
                <w:sz w:val="10"/>
                <w:szCs w:val="10"/>
                <w:b w:val="1"/>
                <w:bCs w:val="1"/>
                <w:color w:val="0077C0"/>
              </w:rPr>
              <w:t>on Cash and Cash Equivalents</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(33)</w:t>
            </w:r>
          </w:p>
        </w:tc>
        <w:tc>
          <w:tcPr>
            <w:tcW w:w="440" w:type="dxa"/>
            <w:vAlign w:val="bottom"/>
          </w:tcPr>
          <w:p>
            <w:pPr>
              <w:spacing w:after="0"/>
              <w:rPr>
                <w:sz w:val="10"/>
                <w:szCs w:val="10"/>
                <w:color w:val="auto"/>
              </w:rPr>
            </w:pPr>
          </w:p>
        </w:tc>
        <w:tc>
          <w:tcPr>
            <w:tcW w:w="720" w:type="dxa"/>
            <w:vAlign w:val="bottom"/>
          </w:tcPr>
          <w:p>
            <w:pPr>
              <w:jc w:val="right"/>
              <w:ind w:right="189"/>
              <w:spacing w:after="0"/>
              <w:rPr>
                <w:sz w:val="20"/>
                <w:szCs w:val="20"/>
                <w:color w:val="auto"/>
              </w:rPr>
            </w:pPr>
            <w:r>
              <w:rPr>
                <w:rFonts w:ascii="Arial" w:cs="Arial" w:eastAsia="Arial" w:hAnsi="Arial"/>
                <w:sz w:val="10"/>
                <w:szCs w:val="10"/>
                <w:color w:val="auto"/>
              </w:rPr>
              <w:t>70</w:t>
            </w:r>
          </w:p>
        </w:tc>
        <w:tc>
          <w:tcPr>
            <w:tcW w:w="6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460" w:type="dxa"/>
            <w:vAlign w:val="bottom"/>
            <w:tcBorders>
              <w:top w:val="single" w:sz="8" w:color="0077C0"/>
            </w:tcBorders>
            <w:shd w:val="clear" w:color="auto" w:fill="E8EFF9"/>
          </w:tcPr>
          <w:p>
            <w:pPr>
              <w:spacing w:after="0" w:line="91" w:lineRule="exact"/>
              <w:rPr>
                <w:sz w:val="20"/>
                <w:szCs w:val="20"/>
                <w:color w:val="auto"/>
              </w:rPr>
            </w:pPr>
            <w:r>
              <w:rPr>
                <w:rFonts w:ascii="Arial" w:cs="Arial" w:eastAsia="Arial" w:hAnsi="Arial"/>
                <w:sz w:val="10"/>
                <w:szCs w:val="10"/>
                <w:b w:val="1"/>
                <w:bCs w:val="1"/>
                <w:color w:val="0077C0"/>
              </w:rPr>
              <w:t>Net Change in Cash and Cash Equivalents</w:t>
            </w:r>
          </w:p>
        </w:tc>
        <w:tc>
          <w:tcPr>
            <w:tcW w:w="580" w:type="dxa"/>
            <w:vAlign w:val="bottom"/>
            <w:tcBorders>
              <w:top w:val="single" w:sz="8" w:color="0077C0"/>
            </w:tcBorders>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820" w:type="dxa"/>
            <w:vAlign w:val="bottom"/>
            <w:tcBorders>
              <w:top w:val="single" w:sz="8" w:color="0077C0"/>
              <w:right w:val="single" w:sz="8" w:color="0077C0"/>
            </w:tcBorders>
          </w:tcPr>
          <w:p>
            <w:pPr>
              <w:jc w:val="right"/>
              <w:ind w:right="309"/>
              <w:spacing w:after="0" w:line="91" w:lineRule="exact"/>
              <w:rPr>
                <w:sz w:val="20"/>
                <w:szCs w:val="20"/>
                <w:color w:val="auto"/>
              </w:rPr>
            </w:pPr>
            <w:r>
              <w:rPr>
                <w:rFonts w:ascii="Arial" w:cs="Arial" w:eastAsia="Arial" w:hAnsi="Arial"/>
                <w:sz w:val="10"/>
                <w:szCs w:val="10"/>
                <w:b w:val="1"/>
                <w:bCs w:val="1"/>
                <w:color w:val="auto"/>
              </w:rPr>
              <w:t>1,804</w:t>
            </w:r>
          </w:p>
        </w:tc>
        <w:tc>
          <w:tcPr>
            <w:tcW w:w="440" w:type="dxa"/>
            <w:vAlign w:val="bottom"/>
            <w:tcBorders>
              <w:top w:val="single" w:sz="8" w:color="0077C0"/>
            </w:tcBorders>
          </w:tcPr>
          <w:p>
            <w:pPr>
              <w:spacing w:after="0"/>
              <w:rPr>
                <w:sz w:val="7"/>
                <w:szCs w:val="7"/>
                <w:color w:val="auto"/>
              </w:rPr>
            </w:pPr>
          </w:p>
        </w:tc>
        <w:tc>
          <w:tcPr>
            <w:tcW w:w="72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color w:val="auto"/>
              </w:rPr>
              <w:t>5,344</w:t>
            </w:r>
          </w:p>
        </w:tc>
        <w:tc>
          <w:tcPr>
            <w:tcW w:w="66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(631)</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7460" w:type="dxa"/>
            <w:vAlign w:val="bottom"/>
            <w:shd w:val="clear" w:color="auto" w:fill="E8EFF9"/>
          </w:tcPr>
          <w:p>
            <w:pPr>
              <w:spacing w:after="0"/>
              <w:rPr>
                <w:sz w:val="20"/>
                <w:szCs w:val="20"/>
                <w:color w:val="auto"/>
              </w:rPr>
            </w:pPr>
            <w:r>
              <w:rPr>
                <w:rFonts w:ascii="Arial" w:cs="Arial" w:eastAsia="Arial" w:hAnsi="Arial"/>
                <w:sz w:val="10"/>
                <w:szCs w:val="10"/>
                <w:b w:val="1"/>
                <w:bCs w:val="1"/>
                <w:color w:val="0077C0"/>
              </w:rPr>
              <w:t>Cash and Cash Equivalents at January 1</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14,060</w:t>
            </w:r>
          </w:p>
        </w:tc>
        <w:tc>
          <w:tcPr>
            <w:tcW w:w="440" w:type="dxa"/>
            <w:vAlign w:val="bottom"/>
          </w:tcPr>
          <w:p>
            <w:pPr>
              <w:spacing w:after="0"/>
              <w:rPr>
                <w:sz w:val="10"/>
                <w:szCs w:val="10"/>
                <w:color w:val="auto"/>
              </w:rPr>
            </w:pPr>
          </w:p>
        </w:tc>
        <w:tc>
          <w:tcPr>
            <w:tcW w:w="720" w:type="dxa"/>
            <w:vAlign w:val="bottom"/>
          </w:tcPr>
          <w:p>
            <w:pPr>
              <w:jc w:val="right"/>
              <w:ind w:right="189"/>
              <w:spacing w:after="0"/>
              <w:rPr>
                <w:sz w:val="20"/>
                <w:szCs w:val="20"/>
                <w:color w:val="auto"/>
              </w:rPr>
            </w:pPr>
            <w:r>
              <w:rPr>
                <w:rFonts w:ascii="Arial" w:cs="Arial" w:eastAsia="Arial" w:hAnsi="Arial"/>
                <w:sz w:val="10"/>
                <w:szCs w:val="10"/>
                <w:color w:val="auto"/>
              </w:rPr>
              <w:t>8,716</w:t>
            </w:r>
          </w:p>
        </w:tc>
        <w:tc>
          <w:tcPr>
            <w:tcW w:w="6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9,347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460" w:type="dxa"/>
            <w:vAlign w:val="bottom"/>
            <w:tcBorders>
              <w:top w:val="single" w:sz="8" w:color="0077C0"/>
              <w:bottom w:val="single" w:sz="8" w:color="0077C0"/>
            </w:tcBorders>
            <w:shd w:val="clear" w:color="auto" w:fill="E8EFF9"/>
          </w:tcPr>
          <w:p>
            <w:pPr>
              <w:spacing w:after="0" w:line="105" w:lineRule="exact"/>
              <w:rPr>
                <w:sz w:val="20"/>
                <w:szCs w:val="20"/>
                <w:color w:val="auto"/>
              </w:rPr>
            </w:pPr>
            <w:r>
              <w:rPr>
                <w:rFonts w:ascii="Arial" w:cs="Arial" w:eastAsia="Arial" w:hAnsi="Arial"/>
                <w:sz w:val="10"/>
                <w:szCs w:val="10"/>
                <w:b w:val="1"/>
                <w:bCs w:val="1"/>
                <w:color w:val="0077C0"/>
              </w:rPr>
              <w:t>Cash and Cash Equivalents at December 31</w:t>
            </w:r>
          </w:p>
        </w:tc>
        <w:tc>
          <w:tcPr>
            <w:tcW w:w="800" w:type="dxa"/>
            <w:vAlign w:val="bottom"/>
            <w:tcBorders>
              <w:top w:val="single" w:sz="8" w:color="0077C0"/>
              <w:bottom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15,864</w:t>
            </w:r>
          </w:p>
        </w:tc>
        <w:tc>
          <w:tcPr>
            <w:tcW w:w="440" w:type="dxa"/>
            <w:vAlign w:val="bottom"/>
            <w:tcBorders>
              <w:top w:val="single" w:sz="8" w:color="0077C0"/>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14,060</w:t>
            </w:r>
          </w:p>
        </w:tc>
        <w:tc>
          <w:tcPr>
            <w:tcW w:w="660" w:type="dxa"/>
            <w:vAlign w:val="bottom"/>
            <w:tcBorders>
              <w:top w:val="single" w:sz="8" w:color="0077C0"/>
              <w:bottom w:val="single" w:sz="8" w:color="0077C0"/>
            </w:tcBorders>
          </w:tcPr>
          <w:p>
            <w:pPr>
              <w:jc w:val="right"/>
              <w:ind w:right="111"/>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8,716</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FS-26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9297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500"/>
          </w:cols>
          <w:pgMar w:left="220" w:top="339" w:right="17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Consolidated Statement of Equity</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Shares in thousands; amounts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329805" cy="52050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805" cy="5205095"/>
                    </a:xfrm>
                    <a:prstGeom prst="rect">
                      <a:avLst/>
                    </a:prstGeom>
                    <a:noFill/>
                  </pic:spPr>
                </pic:pic>
              </a:graphicData>
            </a:graphic>
          </wp:anchor>
        </w:drawing>
      </w: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109"/>
        </w:trPr>
        <w:tc>
          <w:tcPr>
            <w:tcW w:w="3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Borders>
              <w:bottom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tcPr>
          <w:p>
            <w:pPr>
              <w:jc w:val="right"/>
              <w:ind w:right="303"/>
              <w:spacing w:after="0"/>
              <w:rPr>
                <w:sz w:val="20"/>
                <w:szCs w:val="20"/>
                <w:color w:val="auto"/>
              </w:rPr>
            </w:pPr>
            <w:r>
              <w:rPr>
                <w:rFonts w:ascii="Arial" w:cs="Arial" w:eastAsia="Arial" w:hAnsi="Arial"/>
                <w:sz w:val="9"/>
                <w:szCs w:val="9"/>
                <w:b w:val="1"/>
                <w:bCs w:val="1"/>
                <w:color w:val="auto"/>
              </w:rPr>
              <w:t>2011</w:t>
            </w:r>
          </w:p>
        </w:tc>
        <w:tc>
          <w:tcPr>
            <w:tcW w:w="128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spacing w:after="0"/>
              <w:rPr>
                <w:sz w:val="9"/>
                <w:szCs w:val="9"/>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9"/>
                <w:szCs w:val="9"/>
                <w:color w:val="auto"/>
              </w:rPr>
              <w:t>2010</w:t>
            </w:r>
          </w:p>
        </w:tc>
        <w:tc>
          <w:tcPr>
            <w:tcW w:w="12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9"/>
                <w:szCs w:val="9"/>
                <w:color w:val="auto"/>
              </w:rPr>
              <w:t>2009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320" w:type="dxa"/>
            <w:vAlign w:val="bottom"/>
            <w:tcBorders>
              <w:bottom w:val="single" w:sz="8" w:color="0077C0"/>
            </w:tcBorders>
          </w:tcPr>
          <w:p>
            <w:pPr>
              <w:spacing w:after="0"/>
              <w:rPr>
                <w:sz w:val="7"/>
                <w:szCs w:val="7"/>
                <w:color w:val="auto"/>
              </w:rPr>
            </w:pPr>
          </w:p>
        </w:tc>
        <w:tc>
          <w:tcPr>
            <w:tcW w:w="580" w:type="dxa"/>
            <w:vAlign w:val="bottom"/>
            <w:tcBorders>
              <w:bottom w:val="single" w:sz="8" w:color="0077C0"/>
            </w:tcBorders>
          </w:tcPr>
          <w:p>
            <w:pPr>
              <w:spacing w:after="0"/>
              <w:rPr>
                <w:sz w:val="7"/>
                <w:szCs w:val="7"/>
                <w:color w:val="auto"/>
              </w:rPr>
            </w:pPr>
          </w:p>
        </w:tc>
        <w:tc>
          <w:tcPr>
            <w:tcW w:w="1380" w:type="dxa"/>
            <w:vAlign w:val="bottom"/>
            <w:tcBorders>
              <w:bottom w:val="single" w:sz="8" w:color="0077C0"/>
            </w:tcBorders>
          </w:tcPr>
          <w:p>
            <w:pPr>
              <w:jc w:val="right"/>
              <w:ind w:right="624"/>
              <w:spacing w:after="0" w:line="86" w:lineRule="exact"/>
              <w:rPr>
                <w:sz w:val="20"/>
                <w:szCs w:val="20"/>
                <w:color w:val="auto"/>
              </w:rPr>
            </w:pPr>
            <w:r>
              <w:rPr>
                <w:rFonts w:ascii="Arial" w:cs="Arial" w:eastAsia="Arial" w:hAnsi="Arial"/>
                <w:sz w:val="9"/>
                <w:szCs w:val="9"/>
                <w:color w:val="auto"/>
              </w:rPr>
              <w:t>Shares</w:t>
            </w:r>
          </w:p>
        </w:tc>
        <w:tc>
          <w:tcPr>
            <w:tcW w:w="200" w:type="dxa"/>
            <w:vAlign w:val="bottom"/>
            <w:tcBorders>
              <w:bottom w:val="single" w:sz="8" w:color="0077C0"/>
            </w:tcBorders>
          </w:tcPr>
          <w:p>
            <w:pPr>
              <w:spacing w:after="0"/>
              <w:rPr>
                <w:sz w:val="7"/>
                <w:szCs w:val="7"/>
                <w:color w:val="auto"/>
              </w:rPr>
            </w:pPr>
          </w:p>
        </w:tc>
        <w:tc>
          <w:tcPr>
            <w:tcW w:w="860" w:type="dxa"/>
            <w:vAlign w:val="bottom"/>
            <w:tcBorders>
              <w:bottom w:val="single" w:sz="8" w:color="0077C0"/>
            </w:tcBorders>
          </w:tcPr>
          <w:p>
            <w:pPr>
              <w:jc w:val="right"/>
              <w:ind w:right="303"/>
              <w:spacing w:after="0" w:line="86" w:lineRule="exact"/>
              <w:rPr>
                <w:sz w:val="20"/>
                <w:szCs w:val="20"/>
                <w:color w:val="auto"/>
              </w:rPr>
            </w:pPr>
            <w:r>
              <w:rPr>
                <w:rFonts w:ascii="Arial" w:cs="Arial" w:eastAsia="Arial" w:hAnsi="Arial"/>
                <w:sz w:val="9"/>
                <w:szCs w:val="9"/>
                <w:color w:val="auto"/>
              </w:rPr>
              <w:t>Amount</w:t>
            </w:r>
          </w:p>
        </w:tc>
        <w:tc>
          <w:tcPr>
            <w:tcW w:w="1280" w:type="dxa"/>
            <w:vAlign w:val="bottom"/>
            <w:tcBorders>
              <w:bottom w:val="single" w:sz="8" w:color="0077C0"/>
            </w:tcBorders>
          </w:tcPr>
          <w:p>
            <w:pPr>
              <w:jc w:val="right"/>
              <w:ind w:right="324"/>
              <w:spacing w:after="0" w:line="86" w:lineRule="exact"/>
              <w:rPr>
                <w:sz w:val="20"/>
                <w:szCs w:val="20"/>
                <w:color w:val="auto"/>
              </w:rPr>
            </w:pPr>
            <w:r>
              <w:rPr>
                <w:rFonts w:ascii="Arial" w:cs="Arial" w:eastAsia="Arial" w:hAnsi="Arial"/>
                <w:sz w:val="9"/>
                <w:szCs w:val="9"/>
                <w:color w:val="auto"/>
              </w:rPr>
              <w:t>Shares</w:t>
            </w:r>
          </w:p>
        </w:tc>
        <w:tc>
          <w:tcPr>
            <w:tcW w:w="500" w:type="dxa"/>
            <w:vAlign w:val="bottom"/>
            <w:tcBorders>
              <w:bottom w:val="single" w:sz="8" w:color="0077C0"/>
            </w:tcBorders>
          </w:tcPr>
          <w:p>
            <w:pPr>
              <w:spacing w:after="0"/>
              <w:rPr>
                <w:sz w:val="7"/>
                <w:szCs w:val="7"/>
                <w:color w:val="auto"/>
              </w:rPr>
            </w:pPr>
          </w:p>
        </w:tc>
        <w:tc>
          <w:tcPr>
            <w:tcW w:w="1000" w:type="dxa"/>
            <w:vAlign w:val="bottom"/>
            <w:tcBorders>
              <w:bottom w:val="single" w:sz="8" w:color="0077C0"/>
            </w:tcBorders>
          </w:tcPr>
          <w:p>
            <w:pPr>
              <w:jc w:val="right"/>
              <w:ind w:right="423"/>
              <w:spacing w:after="0" w:line="86" w:lineRule="exact"/>
              <w:rPr>
                <w:sz w:val="20"/>
                <w:szCs w:val="20"/>
                <w:color w:val="auto"/>
              </w:rPr>
            </w:pPr>
            <w:r>
              <w:rPr>
                <w:rFonts w:ascii="Arial" w:cs="Arial" w:eastAsia="Arial" w:hAnsi="Arial"/>
                <w:sz w:val="9"/>
                <w:szCs w:val="9"/>
                <w:color w:val="auto"/>
              </w:rPr>
              <w:t>Amount</w:t>
            </w:r>
          </w:p>
        </w:tc>
        <w:tc>
          <w:tcPr>
            <w:tcW w:w="1260" w:type="dxa"/>
            <w:vAlign w:val="bottom"/>
            <w:tcBorders>
              <w:bottom w:val="single" w:sz="8" w:color="0077C0"/>
            </w:tcBorders>
          </w:tcPr>
          <w:p>
            <w:pPr>
              <w:jc w:val="right"/>
              <w:ind w:right="304"/>
              <w:spacing w:after="0" w:line="86" w:lineRule="exact"/>
              <w:rPr>
                <w:sz w:val="20"/>
                <w:szCs w:val="20"/>
                <w:color w:val="auto"/>
              </w:rPr>
            </w:pPr>
            <w:r>
              <w:rPr>
                <w:rFonts w:ascii="Arial" w:cs="Arial" w:eastAsia="Arial" w:hAnsi="Arial"/>
                <w:sz w:val="9"/>
                <w:szCs w:val="9"/>
                <w:color w:val="auto"/>
              </w:rPr>
              <w:t>Shares</w:t>
            </w:r>
          </w:p>
        </w:tc>
        <w:tc>
          <w:tcPr>
            <w:tcW w:w="480" w:type="dxa"/>
            <w:vAlign w:val="bottom"/>
            <w:tcBorders>
              <w:bottom w:val="single" w:sz="8" w:color="0077C0"/>
            </w:tcBorders>
          </w:tcPr>
          <w:p>
            <w:pPr>
              <w:spacing w:after="0"/>
              <w:rPr>
                <w:sz w:val="7"/>
                <w:szCs w:val="7"/>
                <w:color w:val="auto"/>
              </w:rPr>
            </w:pPr>
          </w:p>
        </w:tc>
        <w:tc>
          <w:tcPr>
            <w:tcW w:w="520" w:type="dxa"/>
            <w:vAlign w:val="bottom"/>
            <w:tcBorders>
              <w:bottom w:val="single" w:sz="8" w:color="0077C0"/>
            </w:tcBorders>
            <w:gridSpan w:val="2"/>
          </w:tcPr>
          <w:p>
            <w:pPr>
              <w:jc w:val="right"/>
              <w:ind w:right="20"/>
              <w:spacing w:after="0" w:line="86" w:lineRule="exact"/>
              <w:rPr>
                <w:sz w:val="20"/>
                <w:szCs w:val="20"/>
                <w:color w:val="auto"/>
              </w:rPr>
            </w:pPr>
            <w:r>
              <w:rPr>
                <w:rFonts w:ascii="Arial" w:cs="Arial" w:eastAsia="Arial" w:hAnsi="Arial"/>
                <w:sz w:val="9"/>
                <w:szCs w:val="9"/>
                <w:color w:val="auto"/>
              </w:rPr>
              <w:t>Amount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Preferred Stock</w:t>
            </w:r>
          </w:p>
        </w:tc>
        <w:tc>
          <w:tcPr>
            <w:tcW w:w="580" w:type="dxa"/>
            <w:vAlign w:val="bottom"/>
          </w:tcPr>
          <w:p>
            <w:pPr>
              <w:spacing w:after="0"/>
              <w:rPr>
                <w:sz w:val="12"/>
                <w:szCs w:val="12"/>
                <w:color w:val="auto"/>
              </w:rPr>
            </w:pPr>
          </w:p>
        </w:tc>
        <w:tc>
          <w:tcPr>
            <w:tcW w:w="1380" w:type="dxa"/>
            <w:vAlign w:val="bottom"/>
          </w:tcPr>
          <w:p>
            <w:pPr>
              <w:jc w:val="right"/>
              <w:ind w:right="624"/>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w:t>
            </w:r>
          </w:p>
        </w:tc>
        <w:tc>
          <w:tcPr>
            <w:tcW w:w="1280" w:type="dxa"/>
            <w:vAlign w:val="bottom"/>
          </w:tcPr>
          <w:p>
            <w:pPr>
              <w:jc w:val="right"/>
              <w:ind w:right="324"/>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04"/>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3320" w:type="dxa"/>
            <w:vAlign w:val="bottom"/>
            <w:tcBorders>
              <w:top w:val="single" w:sz="8" w:color="0077C0"/>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Common Stock</w:t>
            </w:r>
          </w:p>
        </w:tc>
        <w:tc>
          <w:tcPr>
            <w:tcW w:w="580" w:type="dxa"/>
            <w:vAlign w:val="bottom"/>
            <w:tcBorders>
              <w:top w:val="single" w:sz="8" w:color="0077C0"/>
              <w:bottom w:val="single" w:sz="8" w:color="0077C0"/>
            </w:tcBorders>
          </w:tcPr>
          <w:p>
            <w:pPr>
              <w:spacing w:after="0"/>
              <w:rPr>
                <w:sz w:val="12"/>
                <w:szCs w:val="12"/>
                <w:color w:val="auto"/>
              </w:rPr>
            </w:pPr>
          </w:p>
        </w:tc>
        <w:tc>
          <w:tcPr>
            <w:tcW w:w="1380" w:type="dxa"/>
            <w:vAlign w:val="bottom"/>
            <w:tcBorders>
              <w:top w:val="single" w:sz="8" w:color="0077C0"/>
              <w:bottom w:val="single" w:sz="8" w:color="0077C0"/>
            </w:tcBorders>
          </w:tcPr>
          <w:p>
            <w:pPr>
              <w:jc w:val="right"/>
              <w:ind w:right="624"/>
              <w:spacing w:after="0"/>
              <w:rPr>
                <w:sz w:val="20"/>
                <w:szCs w:val="20"/>
                <w:color w:val="auto"/>
              </w:rPr>
            </w:pPr>
            <w:r>
              <w:rPr>
                <w:rFonts w:ascii="Arial" w:cs="Arial" w:eastAsia="Arial" w:hAnsi="Arial"/>
                <w:sz w:val="12"/>
                <w:szCs w:val="12"/>
                <w:b w:val="1"/>
                <w:bCs w:val="1"/>
                <w:color w:val="auto"/>
              </w:rPr>
              <w:t>2,442,677</w:t>
            </w:r>
          </w:p>
        </w:tc>
        <w:tc>
          <w:tcPr>
            <w:tcW w:w="200" w:type="dxa"/>
            <w:vAlign w:val="bottom"/>
            <w:tcBorders>
              <w:top w:val="single" w:sz="8" w:color="0077C0"/>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0077C0"/>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1,832</w:t>
            </w:r>
          </w:p>
        </w:tc>
        <w:tc>
          <w:tcPr>
            <w:tcW w:w="1280" w:type="dxa"/>
            <w:vAlign w:val="bottom"/>
            <w:tcBorders>
              <w:top w:val="single" w:sz="8" w:color="0077C0"/>
              <w:bottom w:val="single" w:sz="8" w:color="0077C0"/>
            </w:tcBorders>
          </w:tcPr>
          <w:p>
            <w:pPr>
              <w:jc w:val="right"/>
              <w:ind w:right="324"/>
              <w:spacing w:after="0"/>
              <w:rPr>
                <w:sz w:val="20"/>
                <w:szCs w:val="20"/>
                <w:color w:val="auto"/>
              </w:rPr>
            </w:pPr>
            <w:r>
              <w:rPr>
                <w:rFonts w:ascii="Arial" w:cs="Arial" w:eastAsia="Arial" w:hAnsi="Arial"/>
                <w:sz w:val="12"/>
                <w:szCs w:val="12"/>
                <w:color w:val="auto"/>
              </w:rPr>
              <w:t>2,442,677</w:t>
            </w:r>
          </w:p>
        </w:tc>
        <w:tc>
          <w:tcPr>
            <w:tcW w:w="500" w:type="dxa"/>
            <w:vAlign w:val="bottom"/>
            <w:tcBorders>
              <w:top w:val="single" w:sz="8" w:color="0077C0"/>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0077C0"/>
              <w:bottom w:val="single" w:sz="8" w:color="0077C0"/>
            </w:tcBorders>
          </w:tcPr>
          <w:p>
            <w:pPr>
              <w:jc w:val="right"/>
              <w:ind w:right="423"/>
              <w:spacing w:after="0"/>
              <w:rPr>
                <w:sz w:val="20"/>
                <w:szCs w:val="20"/>
                <w:color w:val="auto"/>
              </w:rPr>
            </w:pPr>
            <w:r>
              <w:rPr>
                <w:rFonts w:ascii="Arial" w:cs="Arial" w:eastAsia="Arial" w:hAnsi="Arial"/>
                <w:sz w:val="12"/>
                <w:szCs w:val="12"/>
                <w:color w:val="auto"/>
              </w:rPr>
              <w:t>1,832</w:t>
            </w:r>
          </w:p>
        </w:tc>
        <w:tc>
          <w:tcPr>
            <w:tcW w:w="1260" w:type="dxa"/>
            <w:vAlign w:val="bottom"/>
            <w:tcBorders>
              <w:top w:val="single" w:sz="8" w:color="0077C0"/>
              <w:bottom w:val="single" w:sz="8" w:color="0077C0"/>
            </w:tcBorders>
          </w:tcPr>
          <w:p>
            <w:pPr>
              <w:jc w:val="right"/>
              <w:ind w:right="304"/>
              <w:spacing w:after="0"/>
              <w:rPr>
                <w:sz w:val="20"/>
                <w:szCs w:val="20"/>
                <w:color w:val="auto"/>
              </w:rPr>
            </w:pPr>
            <w:r>
              <w:rPr>
                <w:rFonts w:ascii="Arial" w:cs="Arial" w:eastAsia="Arial" w:hAnsi="Arial"/>
                <w:sz w:val="12"/>
                <w:szCs w:val="12"/>
                <w:color w:val="auto"/>
              </w:rPr>
              <w:t>2,442,677</w:t>
            </w:r>
          </w:p>
        </w:tc>
        <w:tc>
          <w:tcPr>
            <w:tcW w:w="480" w:type="dxa"/>
            <w:vAlign w:val="bottom"/>
            <w:tcBorders>
              <w:top w:val="single" w:sz="8" w:color="0077C0"/>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2"/>
                <w:szCs w:val="12"/>
                <w:color w:val="auto"/>
              </w:rPr>
              <w:t>1,832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Capital in Excess of Par</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303"/>
              <w:spacing w:after="0"/>
              <w:rPr>
                <w:sz w:val="20"/>
                <w:szCs w:val="20"/>
                <w:color w:val="auto"/>
              </w:rPr>
            </w:pPr>
            <w:r>
              <w:rPr>
                <w:rFonts w:ascii="Arial" w:cs="Arial" w:eastAsia="Arial" w:hAnsi="Arial"/>
                <w:sz w:val="12"/>
                <w:szCs w:val="12"/>
                <w:b w:val="1"/>
                <w:bCs w:val="1"/>
                <w:color w:val="auto"/>
              </w:rPr>
              <w:t>14,796</w:t>
            </w:r>
          </w:p>
        </w:tc>
        <w:tc>
          <w:tcPr>
            <w:tcW w:w="1280" w:type="dxa"/>
            <w:vAlign w:val="bottom"/>
          </w:tcPr>
          <w:p>
            <w:pPr>
              <w:spacing w:after="0"/>
              <w:rPr>
                <w:sz w:val="12"/>
                <w:szCs w:val="12"/>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ind w:right="423"/>
              <w:spacing w:after="0"/>
              <w:rPr>
                <w:sz w:val="20"/>
                <w:szCs w:val="20"/>
                <w:color w:val="auto"/>
              </w:rPr>
            </w:pPr>
            <w:r>
              <w:rPr>
                <w:rFonts w:ascii="Arial" w:cs="Arial" w:eastAsia="Arial" w:hAnsi="Arial"/>
                <w:sz w:val="12"/>
                <w:szCs w:val="12"/>
                <w:color w:val="auto"/>
              </w:rPr>
              <w:t>14,631</w:t>
            </w:r>
          </w:p>
        </w:tc>
        <w:tc>
          <w:tcPr>
            <w:tcW w:w="1260" w:type="dxa"/>
            <w:vAlign w:val="bottom"/>
          </w:tcPr>
          <w:p>
            <w:pPr>
              <w:spacing w:after="0"/>
              <w:rPr>
                <w:sz w:val="12"/>
                <w:szCs w:val="12"/>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14,448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40"/>
              <w:spacing w:after="0" w:line="135" w:lineRule="exact"/>
              <w:rPr>
                <w:sz w:val="20"/>
                <w:szCs w:val="20"/>
                <w:color w:val="auto"/>
              </w:rPr>
            </w:pPr>
            <w:r>
              <w:rPr>
                <w:rFonts w:ascii="Arial" w:cs="Arial" w:eastAsia="Arial" w:hAnsi="Arial"/>
                <w:sz w:val="12"/>
                <w:szCs w:val="12"/>
                <w:color w:val="auto"/>
              </w:rPr>
              <w:t>Balance at January 1</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60" w:type="dxa"/>
            <w:vAlign w:val="bottom"/>
            <w:tcBorders>
              <w:right w:val="single" w:sz="8" w:color="0077C0"/>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Treasury stock transactions</w:t>
            </w:r>
          </w:p>
        </w:tc>
        <w:tc>
          <w:tcPr>
            <w:tcW w:w="1380" w:type="dxa"/>
            <w:vAlign w:val="bottom"/>
          </w:tcPr>
          <w:p>
            <w:pPr>
              <w:spacing w:after="0"/>
              <w:rPr>
                <w:sz w:val="13"/>
                <w:szCs w:val="13"/>
                <w:color w:val="auto"/>
              </w:rPr>
            </w:pPr>
          </w:p>
        </w:tc>
        <w:tc>
          <w:tcPr>
            <w:tcW w:w="200" w:type="dxa"/>
            <w:vAlign w:val="bottom"/>
            <w:tcBorders>
              <w:bottom w:val="single" w:sz="8" w:color="0077C0"/>
            </w:tcBorders>
          </w:tcPr>
          <w:p>
            <w:pPr>
              <w:spacing w:after="0"/>
              <w:rPr>
                <w:sz w:val="13"/>
                <w:szCs w:val="13"/>
                <w:color w:val="auto"/>
              </w:rPr>
            </w:pP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360</w:t>
            </w:r>
          </w:p>
        </w:tc>
        <w:tc>
          <w:tcPr>
            <w:tcW w:w="1280" w:type="dxa"/>
            <w:vAlign w:val="bottom"/>
            <w:tcBorders>
              <w:bottom w:val="single" w:sz="8" w:color="0077C0"/>
            </w:tcBorders>
          </w:tcPr>
          <w:p>
            <w:pPr>
              <w:spacing w:after="0"/>
              <w:rPr>
                <w:sz w:val="13"/>
                <w:szCs w:val="13"/>
                <w:color w:val="auto"/>
              </w:rPr>
            </w:pPr>
          </w:p>
        </w:tc>
        <w:tc>
          <w:tcPr>
            <w:tcW w:w="500" w:type="dxa"/>
            <w:vAlign w:val="bottom"/>
            <w:tcBorders>
              <w:bottom w:val="single" w:sz="8" w:color="0077C0"/>
            </w:tcBorders>
          </w:tcPr>
          <w:p>
            <w:pPr>
              <w:spacing w:after="0"/>
              <w:rPr>
                <w:sz w:val="13"/>
                <w:szCs w:val="13"/>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165</w:t>
            </w:r>
          </w:p>
        </w:tc>
        <w:tc>
          <w:tcPr>
            <w:tcW w:w="1260" w:type="dxa"/>
            <w:vAlign w:val="bottom"/>
            <w:tcBorders>
              <w:bottom w:val="single" w:sz="8" w:color="0077C0"/>
            </w:tcBorders>
          </w:tcPr>
          <w:p>
            <w:pPr>
              <w:spacing w:after="0"/>
              <w:rPr>
                <w:sz w:val="13"/>
                <w:szCs w:val="13"/>
                <w:color w:val="auto"/>
              </w:rPr>
            </w:pPr>
          </w:p>
        </w:tc>
        <w:tc>
          <w:tcPr>
            <w:tcW w:w="480" w:type="dxa"/>
            <w:vAlign w:val="bottom"/>
            <w:tcBorders>
              <w:bottom w:val="single" w:sz="8" w:color="0077C0"/>
            </w:tcBorders>
          </w:tcPr>
          <w:p>
            <w:pPr>
              <w:spacing w:after="0"/>
              <w:rPr>
                <w:sz w:val="13"/>
                <w:szCs w:val="13"/>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183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b w:val="1"/>
                <w:bCs w:val="1"/>
                <w:color w:val="0077C0"/>
              </w:rPr>
              <w:t>Balance at December 31</w:t>
            </w:r>
          </w:p>
        </w:tc>
        <w:tc>
          <w:tcPr>
            <w:tcW w:w="580" w:type="dxa"/>
            <w:vAlign w:val="bottom"/>
            <w:tcBorders>
              <w:bottom w:val="single" w:sz="8" w:color="0077C0"/>
            </w:tcBorders>
          </w:tcPr>
          <w:p>
            <w:pPr>
              <w:spacing w:after="0"/>
              <w:rPr>
                <w:sz w:val="12"/>
                <w:szCs w:val="12"/>
                <w:color w:val="auto"/>
              </w:rPr>
            </w:pPr>
          </w:p>
        </w:tc>
        <w:tc>
          <w:tcPr>
            <w:tcW w:w="1380" w:type="dxa"/>
            <w:vAlign w:val="bottom"/>
            <w:tcBorders>
              <w:bottom w:val="single" w:sz="8" w:color="0077C0"/>
            </w:tcBorders>
          </w:tcPr>
          <w:p>
            <w:pPr>
              <w:spacing w:after="0"/>
              <w:rPr>
                <w:sz w:val="12"/>
                <w:szCs w:val="12"/>
                <w:color w:val="auto"/>
              </w:rPr>
            </w:pPr>
          </w:p>
        </w:tc>
        <w:tc>
          <w:tcPr>
            <w:tcW w:w="200" w:type="dxa"/>
            <w:vAlign w:val="bottom"/>
            <w:tcBorders>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15,156</w:t>
            </w:r>
          </w:p>
        </w:tc>
        <w:tc>
          <w:tcPr>
            <w:tcW w:w="1280" w:type="dxa"/>
            <w:vAlign w:val="bottom"/>
            <w:tcBorders>
              <w:bottom w:val="single" w:sz="8" w:color="0077C0"/>
            </w:tcBorders>
          </w:tcPr>
          <w:p>
            <w:pPr>
              <w:spacing w:after="0"/>
              <w:rPr>
                <w:sz w:val="12"/>
                <w:szCs w:val="12"/>
                <w:color w:val="auto"/>
              </w:rPr>
            </w:pPr>
          </w:p>
        </w:tc>
        <w:tc>
          <w:tcPr>
            <w:tcW w:w="50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14,796</w:t>
            </w:r>
          </w:p>
        </w:tc>
        <w:tc>
          <w:tcPr>
            <w:tcW w:w="1260" w:type="dxa"/>
            <w:vAlign w:val="bottom"/>
            <w:tcBorders>
              <w:bottom w:val="single" w:sz="8" w:color="0077C0"/>
            </w:tcBorders>
          </w:tcPr>
          <w:p>
            <w:pPr>
              <w:spacing w:after="0"/>
              <w:rPr>
                <w:sz w:val="12"/>
                <w:szCs w:val="12"/>
                <w:color w:val="auto"/>
              </w:rPr>
            </w:pPr>
          </w:p>
        </w:tc>
        <w:tc>
          <w:tcPr>
            <w:tcW w:w="48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2"/>
                <w:szCs w:val="12"/>
                <w:color w:val="auto"/>
              </w:rPr>
              <w:t>14,631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Retained Earnings</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303"/>
              <w:spacing w:after="0"/>
              <w:rPr>
                <w:sz w:val="20"/>
                <w:szCs w:val="20"/>
                <w:color w:val="auto"/>
              </w:rPr>
            </w:pPr>
            <w:r>
              <w:rPr>
                <w:rFonts w:ascii="Arial" w:cs="Arial" w:eastAsia="Arial" w:hAnsi="Arial"/>
                <w:sz w:val="12"/>
                <w:szCs w:val="12"/>
                <w:b w:val="1"/>
                <w:bCs w:val="1"/>
                <w:color w:val="auto"/>
              </w:rPr>
              <w:t>119,641</w:t>
            </w:r>
          </w:p>
        </w:tc>
        <w:tc>
          <w:tcPr>
            <w:tcW w:w="1280" w:type="dxa"/>
            <w:vAlign w:val="bottom"/>
          </w:tcPr>
          <w:p>
            <w:pPr>
              <w:spacing w:after="0"/>
              <w:rPr>
                <w:sz w:val="12"/>
                <w:szCs w:val="12"/>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ind w:right="423"/>
              <w:spacing w:after="0"/>
              <w:rPr>
                <w:sz w:val="20"/>
                <w:szCs w:val="20"/>
                <w:color w:val="auto"/>
              </w:rPr>
            </w:pPr>
            <w:r>
              <w:rPr>
                <w:rFonts w:ascii="Arial" w:cs="Arial" w:eastAsia="Arial" w:hAnsi="Arial"/>
                <w:sz w:val="12"/>
                <w:szCs w:val="12"/>
                <w:color w:val="auto"/>
              </w:rPr>
              <w:t>106,289</w:t>
            </w:r>
          </w:p>
        </w:tc>
        <w:tc>
          <w:tcPr>
            <w:tcW w:w="1260" w:type="dxa"/>
            <w:vAlign w:val="bottom"/>
          </w:tcPr>
          <w:p>
            <w:pPr>
              <w:spacing w:after="0"/>
              <w:rPr>
                <w:sz w:val="12"/>
                <w:szCs w:val="12"/>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101,102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140"/>
              <w:spacing w:after="0" w:line="135" w:lineRule="exact"/>
              <w:rPr>
                <w:sz w:val="20"/>
                <w:szCs w:val="20"/>
                <w:color w:val="auto"/>
              </w:rPr>
            </w:pPr>
            <w:r>
              <w:rPr>
                <w:rFonts w:ascii="Arial" w:cs="Arial" w:eastAsia="Arial" w:hAnsi="Arial"/>
                <w:sz w:val="12"/>
                <w:szCs w:val="12"/>
                <w:color w:val="auto"/>
              </w:rPr>
              <w:t>Balance at January 1</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60" w:type="dxa"/>
            <w:vAlign w:val="bottom"/>
            <w:tcBorders>
              <w:right w:val="single" w:sz="8" w:color="0077C0"/>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Net income attributable to Chevron Corporation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26,895</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19,024</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10,483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Cash dividends on common stock</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(6,139)</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(5,674)</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(5,302)</w:t>
            </w: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Tax benefit from dividends paid on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0077C0"/>
            </w:tcBorders>
            <w:vMerge w:val="restart"/>
          </w:tcPr>
          <w:p>
            <w:pPr>
              <w:jc w:val="right"/>
              <w:ind w:right="303"/>
              <w:spacing w:after="0"/>
              <w:rPr>
                <w:sz w:val="20"/>
                <w:szCs w:val="20"/>
                <w:color w:val="auto"/>
              </w:rPr>
            </w:pPr>
            <w:r>
              <w:rPr>
                <w:rFonts w:ascii="Arial" w:cs="Arial" w:eastAsia="Arial" w:hAnsi="Arial"/>
                <w:sz w:val="12"/>
                <w:szCs w:val="12"/>
                <w:b w:val="1"/>
                <w:bCs w:val="1"/>
                <w:color w:val="auto"/>
              </w:rPr>
              <w:t>2</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unallocated ESOP shares and other</w:t>
            </w:r>
          </w:p>
        </w:tc>
        <w:tc>
          <w:tcPr>
            <w:tcW w:w="1380" w:type="dxa"/>
            <w:vAlign w:val="bottom"/>
          </w:tcPr>
          <w:p>
            <w:pPr>
              <w:spacing w:after="0"/>
              <w:rPr>
                <w:sz w:val="12"/>
                <w:szCs w:val="12"/>
                <w:color w:val="auto"/>
              </w:rPr>
            </w:pPr>
          </w:p>
        </w:tc>
        <w:tc>
          <w:tcPr>
            <w:tcW w:w="200" w:type="dxa"/>
            <w:vAlign w:val="bottom"/>
            <w:tcBorders>
              <w:bottom w:val="single" w:sz="8" w:color="0077C0"/>
            </w:tcBorders>
          </w:tcPr>
          <w:p>
            <w:pPr>
              <w:spacing w:after="0"/>
              <w:rPr>
                <w:sz w:val="12"/>
                <w:szCs w:val="12"/>
                <w:color w:val="auto"/>
              </w:rPr>
            </w:pPr>
          </w:p>
        </w:tc>
        <w:tc>
          <w:tcPr>
            <w:tcW w:w="860" w:type="dxa"/>
            <w:vAlign w:val="bottom"/>
            <w:tcBorders>
              <w:bottom w:val="single" w:sz="8" w:color="0077C0"/>
              <w:right w:val="single" w:sz="8" w:color="0077C0"/>
            </w:tcBorders>
            <w:vMerge w:val="continue"/>
          </w:tcPr>
          <w:p>
            <w:pPr>
              <w:spacing w:after="0"/>
              <w:rPr>
                <w:sz w:val="12"/>
                <w:szCs w:val="12"/>
                <w:color w:val="auto"/>
              </w:rPr>
            </w:pPr>
          </w:p>
        </w:tc>
        <w:tc>
          <w:tcPr>
            <w:tcW w:w="1280" w:type="dxa"/>
            <w:vAlign w:val="bottom"/>
            <w:tcBorders>
              <w:bottom w:val="single" w:sz="8" w:color="0077C0"/>
            </w:tcBorders>
          </w:tcPr>
          <w:p>
            <w:pPr>
              <w:spacing w:after="0"/>
              <w:rPr>
                <w:sz w:val="12"/>
                <w:szCs w:val="12"/>
                <w:color w:val="auto"/>
              </w:rPr>
            </w:pPr>
          </w:p>
        </w:tc>
        <w:tc>
          <w:tcPr>
            <w:tcW w:w="500" w:type="dxa"/>
            <w:vAlign w:val="bottom"/>
            <w:tcBorders>
              <w:bottom w:val="single" w:sz="8" w:color="0077C0"/>
            </w:tcBorders>
          </w:tcPr>
          <w:p>
            <w:pPr>
              <w:spacing w:after="0"/>
              <w:rPr>
                <w:sz w:val="12"/>
                <w:szCs w:val="12"/>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2</w:t>
            </w:r>
          </w:p>
        </w:tc>
        <w:tc>
          <w:tcPr>
            <w:tcW w:w="1260" w:type="dxa"/>
            <w:vAlign w:val="bottom"/>
            <w:tcBorders>
              <w:bottom w:val="single" w:sz="8" w:color="0077C0"/>
            </w:tcBorders>
          </w:tcPr>
          <w:p>
            <w:pPr>
              <w:spacing w:after="0"/>
              <w:rPr>
                <w:sz w:val="12"/>
                <w:szCs w:val="12"/>
                <w:color w:val="auto"/>
              </w:rPr>
            </w:pPr>
          </w:p>
        </w:tc>
        <w:tc>
          <w:tcPr>
            <w:tcW w:w="480" w:type="dxa"/>
            <w:vAlign w:val="bottom"/>
            <w:tcBorders>
              <w:bottom w:val="single" w:sz="8" w:color="0077C0"/>
            </w:tcBorders>
          </w:tcPr>
          <w:p>
            <w:pPr>
              <w:spacing w:after="0"/>
              <w:rPr>
                <w:sz w:val="12"/>
                <w:szCs w:val="12"/>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Balance at December 31</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140,399</w:t>
            </w: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119,641</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106,289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20" w:type="dxa"/>
            <w:vAlign w:val="bottom"/>
            <w:tcBorders>
              <w:top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Accumulated Other Comprehensive Loss</w:t>
            </w:r>
          </w:p>
        </w:tc>
        <w:tc>
          <w:tcPr>
            <w:tcW w:w="580" w:type="dxa"/>
            <w:vAlign w:val="bottom"/>
            <w:tcBorders>
              <w:top w:val="single" w:sz="8" w:color="0077C0"/>
            </w:tcBorders>
          </w:tcPr>
          <w:p>
            <w:pPr>
              <w:spacing w:after="0"/>
              <w:rPr>
                <w:sz w:val="12"/>
                <w:szCs w:val="12"/>
                <w:color w:val="auto"/>
              </w:rPr>
            </w:pPr>
          </w:p>
        </w:tc>
        <w:tc>
          <w:tcPr>
            <w:tcW w:w="1380" w:type="dxa"/>
            <w:vAlign w:val="bottom"/>
            <w:tcBorders>
              <w:top w:val="single" w:sz="8" w:color="0077C0"/>
            </w:tcBorders>
          </w:tcPr>
          <w:p>
            <w:pPr>
              <w:spacing w:after="0"/>
              <w:rPr>
                <w:sz w:val="12"/>
                <w:szCs w:val="12"/>
                <w:color w:val="auto"/>
              </w:rPr>
            </w:pPr>
          </w:p>
        </w:tc>
        <w:tc>
          <w:tcPr>
            <w:tcW w:w="200" w:type="dxa"/>
            <w:vAlign w:val="bottom"/>
            <w:tcBorders>
              <w:top w:val="single" w:sz="8" w:color="0077C0"/>
            </w:tcBorders>
          </w:tcPr>
          <w:p>
            <w:pPr>
              <w:spacing w:after="0"/>
              <w:rPr>
                <w:sz w:val="12"/>
                <w:szCs w:val="12"/>
                <w:color w:val="auto"/>
              </w:rPr>
            </w:pPr>
          </w:p>
        </w:tc>
        <w:tc>
          <w:tcPr>
            <w:tcW w:w="860" w:type="dxa"/>
            <w:vAlign w:val="bottom"/>
            <w:tcBorders>
              <w:top w:val="single" w:sz="8" w:color="0077C0"/>
              <w:right w:val="single" w:sz="8" w:color="0077C0"/>
            </w:tcBorders>
          </w:tcPr>
          <w:p>
            <w:pPr>
              <w:spacing w:after="0"/>
              <w:rPr>
                <w:sz w:val="12"/>
                <w:szCs w:val="12"/>
                <w:color w:val="auto"/>
              </w:rPr>
            </w:pPr>
          </w:p>
        </w:tc>
        <w:tc>
          <w:tcPr>
            <w:tcW w:w="1280" w:type="dxa"/>
            <w:vAlign w:val="bottom"/>
            <w:tcBorders>
              <w:top w:val="single" w:sz="8" w:color="0077C0"/>
            </w:tcBorders>
          </w:tcPr>
          <w:p>
            <w:pPr>
              <w:spacing w:after="0"/>
              <w:rPr>
                <w:sz w:val="12"/>
                <w:szCs w:val="12"/>
                <w:color w:val="auto"/>
              </w:rPr>
            </w:pPr>
          </w:p>
        </w:tc>
        <w:tc>
          <w:tcPr>
            <w:tcW w:w="500" w:type="dxa"/>
            <w:vAlign w:val="bottom"/>
            <w:tcBorders>
              <w:top w:val="single" w:sz="8" w:color="0077C0"/>
            </w:tcBorders>
          </w:tcPr>
          <w:p>
            <w:pPr>
              <w:spacing w:after="0"/>
              <w:rPr>
                <w:sz w:val="12"/>
                <w:szCs w:val="12"/>
                <w:color w:val="auto"/>
              </w:rPr>
            </w:pPr>
          </w:p>
        </w:tc>
        <w:tc>
          <w:tcPr>
            <w:tcW w:w="1000" w:type="dxa"/>
            <w:vAlign w:val="bottom"/>
            <w:tcBorders>
              <w:top w:val="single" w:sz="8" w:color="0077C0"/>
            </w:tcBorders>
          </w:tcPr>
          <w:p>
            <w:pPr>
              <w:spacing w:after="0"/>
              <w:rPr>
                <w:sz w:val="12"/>
                <w:szCs w:val="12"/>
                <w:color w:val="auto"/>
              </w:rPr>
            </w:pPr>
          </w:p>
        </w:tc>
        <w:tc>
          <w:tcPr>
            <w:tcW w:w="1260" w:type="dxa"/>
            <w:vAlign w:val="bottom"/>
            <w:tcBorders>
              <w:top w:val="single" w:sz="8" w:color="0077C0"/>
            </w:tcBorders>
          </w:tcPr>
          <w:p>
            <w:pPr>
              <w:spacing w:after="0"/>
              <w:rPr>
                <w:sz w:val="12"/>
                <w:szCs w:val="12"/>
                <w:color w:val="auto"/>
              </w:rPr>
            </w:pPr>
          </w:p>
        </w:tc>
        <w:tc>
          <w:tcPr>
            <w:tcW w:w="480" w:type="dxa"/>
            <w:vAlign w:val="bottom"/>
            <w:tcBorders>
              <w:top w:val="single" w:sz="8" w:color="0077C0"/>
            </w:tcBorders>
          </w:tcPr>
          <w:p>
            <w:pPr>
              <w:spacing w:after="0"/>
              <w:rPr>
                <w:sz w:val="12"/>
                <w:szCs w:val="12"/>
                <w:color w:val="auto"/>
              </w:rPr>
            </w:pPr>
          </w:p>
        </w:tc>
        <w:tc>
          <w:tcPr>
            <w:tcW w:w="500" w:type="dxa"/>
            <w:vAlign w:val="bottom"/>
            <w:tcBorders>
              <w:top w:val="single" w:sz="8" w:color="0077C0"/>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20" w:type="dxa"/>
            <w:vAlign w:val="bottom"/>
          </w:tcPr>
          <w:p>
            <w:pPr>
              <w:ind w:left="140"/>
              <w:spacing w:after="0"/>
              <w:rPr>
                <w:sz w:val="20"/>
                <w:szCs w:val="20"/>
                <w:color w:val="auto"/>
              </w:rPr>
            </w:pPr>
            <w:r>
              <w:rPr>
                <w:rFonts w:ascii="Arial" w:cs="Arial" w:eastAsia="Arial" w:hAnsi="Arial"/>
                <w:sz w:val="12"/>
                <w:szCs w:val="12"/>
                <w:color w:val="auto"/>
              </w:rPr>
              <w:t>Currency translation adjustment</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263"/>
              <w:spacing w:after="0"/>
              <w:rPr>
                <w:sz w:val="20"/>
                <w:szCs w:val="20"/>
                <w:color w:val="auto"/>
              </w:rPr>
            </w:pPr>
            <w:r>
              <w:rPr>
                <w:rFonts w:ascii="Arial" w:cs="Arial" w:eastAsia="Arial" w:hAnsi="Arial"/>
                <w:sz w:val="12"/>
                <w:szCs w:val="12"/>
                <w:b w:val="1"/>
                <w:bCs w:val="1"/>
                <w:color w:val="auto"/>
              </w:rPr>
              <w:t>(105)</w:t>
            </w: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January 1</w:t>
            </w:r>
          </w:p>
        </w:tc>
        <w:tc>
          <w:tcPr>
            <w:tcW w:w="13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right w:val="single" w:sz="8" w:color="0077C0"/>
            </w:tcBorders>
            <w:vMerge w:val="continue"/>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(111)</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49"/>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Change during year</w:t>
            </w:r>
          </w:p>
        </w:tc>
        <w:tc>
          <w:tcPr>
            <w:tcW w:w="1380" w:type="dxa"/>
            <w:vAlign w:val="bottom"/>
          </w:tcPr>
          <w:p>
            <w:pPr>
              <w:spacing w:after="0"/>
              <w:rPr>
                <w:sz w:val="12"/>
                <w:szCs w:val="12"/>
                <w:color w:val="auto"/>
              </w:rPr>
            </w:pPr>
          </w:p>
        </w:tc>
        <w:tc>
          <w:tcPr>
            <w:tcW w:w="200" w:type="dxa"/>
            <w:vAlign w:val="bottom"/>
            <w:tcBorders>
              <w:bottom w:val="single" w:sz="8" w:color="0077C0"/>
            </w:tcBorders>
          </w:tcPr>
          <w:p>
            <w:pPr>
              <w:spacing w:after="0"/>
              <w:rPr>
                <w:sz w:val="12"/>
                <w:szCs w:val="12"/>
                <w:color w:val="auto"/>
              </w:rPr>
            </w:pP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17</w:t>
            </w:r>
          </w:p>
        </w:tc>
        <w:tc>
          <w:tcPr>
            <w:tcW w:w="1280" w:type="dxa"/>
            <w:vAlign w:val="bottom"/>
            <w:tcBorders>
              <w:bottom w:val="single" w:sz="8" w:color="0077C0"/>
            </w:tcBorders>
          </w:tcPr>
          <w:p>
            <w:pPr>
              <w:spacing w:after="0"/>
              <w:rPr>
                <w:sz w:val="12"/>
                <w:szCs w:val="12"/>
                <w:color w:val="auto"/>
              </w:rPr>
            </w:pPr>
          </w:p>
        </w:tc>
        <w:tc>
          <w:tcPr>
            <w:tcW w:w="500" w:type="dxa"/>
            <w:vAlign w:val="bottom"/>
            <w:tcBorders>
              <w:bottom w:val="single" w:sz="8" w:color="0077C0"/>
            </w:tcBorders>
          </w:tcPr>
          <w:p>
            <w:pPr>
              <w:spacing w:after="0"/>
              <w:rPr>
                <w:sz w:val="12"/>
                <w:szCs w:val="12"/>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6</w:t>
            </w:r>
          </w:p>
        </w:tc>
        <w:tc>
          <w:tcPr>
            <w:tcW w:w="1260" w:type="dxa"/>
            <w:vAlign w:val="bottom"/>
            <w:tcBorders>
              <w:bottom w:val="single" w:sz="8" w:color="0077C0"/>
            </w:tcBorders>
          </w:tcPr>
          <w:p>
            <w:pPr>
              <w:spacing w:after="0"/>
              <w:rPr>
                <w:sz w:val="12"/>
                <w:szCs w:val="12"/>
                <w:color w:val="auto"/>
              </w:rPr>
            </w:pPr>
          </w:p>
        </w:tc>
        <w:tc>
          <w:tcPr>
            <w:tcW w:w="480" w:type="dxa"/>
            <w:vAlign w:val="bottom"/>
            <w:tcBorders>
              <w:bottom w:val="single" w:sz="8" w:color="0077C0"/>
            </w:tcBorders>
          </w:tcPr>
          <w:p>
            <w:pPr>
              <w:spacing w:after="0"/>
              <w:rPr>
                <w:sz w:val="12"/>
                <w:szCs w:val="12"/>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December 31</w:t>
            </w:r>
          </w:p>
        </w:tc>
        <w:tc>
          <w:tcPr>
            <w:tcW w:w="13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(88)</w:t>
            </w: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(105)</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Pension and other postretirement benefit plans</w:t>
            </w:r>
          </w:p>
        </w:tc>
        <w:tc>
          <w:tcPr>
            <w:tcW w:w="1380" w:type="dxa"/>
            <w:vAlign w:val="bottom"/>
          </w:tcPr>
          <w:p>
            <w:pPr>
              <w:spacing w:after="0"/>
              <w:rPr>
                <w:sz w:val="12"/>
                <w:szCs w:val="12"/>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263"/>
              <w:spacing w:after="0"/>
              <w:rPr>
                <w:sz w:val="20"/>
                <w:szCs w:val="20"/>
                <w:color w:val="auto"/>
              </w:rPr>
            </w:pPr>
            <w:r>
              <w:rPr>
                <w:rFonts w:ascii="Arial" w:cs="Arial" w:eastAsia="Arial" w:hAnsi="Arial"/>
                <w:sz w:val="12"/>
                <w:szCs w:val="12"/>
                <w:b w:val="1"/>
                <w:bCs w:val="1"/>
                <w:color w:val="auto"/>
              </w:rPr>
              <w:t>(4,475)</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January 1</w:t>
            </w:r>
          </w:p>
        </w:tc>
        <w:tc>
          <w:tcPr>
            <w:tcW w:w="13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right w:val="single" w:sz="8" w:color="0077C0"/>
            </w:tcBorders>
            <w:vMerge w:val="continue"/>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(4,308)</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(3,909)</w:t>
            </w:r>
          </w:p>
        </w:tc>
        <w:tc>
          <w:tcPr>
            <w:tcW w:w="0" w:type="dxa"/>
            <w:vAlign w:val="bottom"/>
          </w:tcPr>
          <w:p>
            <w:pPr>
              <w:spacing w:after="0"/>
              <w:rPr>
                <w:sz w:val="1"/>
                <w:szCs w:val="1"/>
                <w:color w:val="auto"/>
              </w:rPr>
            </w:pPr>
          </w:p>
        </w:tc>
      </w:tr>
      <w:tr>
        <w:trPr>
          <w:trHeight w:val="149"/>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Change during year</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(1,581)</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(167)</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280"/>
              <w:spacing w:after="0"/>
              <w:rPr>
                <w:sz w:val="20"/>
                <w:szCs w:val="20"/>
                <w:color w:val="auto"/>
              </w:rPr>
            </w:pPr>
            <w:r>
              <w:rPr>
                <w:rFonts w:ascii="Arial" w:cs="Arial" w:eastAsia="Arial" w:hAnsi="Arial"/>
                <w:sz w:val="12"/>
                <w:szCs w:val="12"/>
                <w:color w:val="auto"/>
              </w:rPr>
              <w:t>Balance at December 31</w:t>
            </w:r>
          </w:p>
        </w:tc>
        <w:tc>
          <w:tcPr>
            <w:tcW w:w="1380" w:type="dxa"/>
            <w:vAlign w:val="bottom"/>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860" w:type="dxa"/>
            <w:vAlign w:val="bottom"/>
            <w:tcBorders>
              <w:right w:val="single" w:sz="8" w:color="0077C0"/>
            </w:tcBorders>
            <w:shd w:val="clear" w:color="auto" w:fill="0077C0"/>
          </w:tcPr>
          <w:p>
            <w:pPr>
              <w:spacing w:after="0" w:line="20" w:lineRule="exact"/>
              <w:rPr>
                <w:sz w:val="1"/>
                <w:szCs w:val="1"/>
                <w:color w:val="auto"/>
              </w:rPr>
            </w:pPr>
          </w:p>
        </w:tc>
        <w:tc>
          <w:tcPr>
            <w:tcW w:w="12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1000" w:type="dxa"/>
            <w:vAlign w:val="bottom"/>
            <w:shd w:val="clear" w:color="auto" w:fill="0077C0"/>
          </w:tcPr>
          <w:p>
            <w:pPr>
              <w:spacing w:after="0" w:line="20" w:lineRule="exact"/>
              <w:rPr>
                <w:sz w:val="1"/>
                <w:szCs w:val="1"/>
                <w:color w:val="auto"/>
              </w:rPr>
            </w:pPr>
          </w:p>
        </w:tc>
        <w:tc>
          <w:tcPr>
            <w:tcW w:w="126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90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(6,056)</w:t>
            </w: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(4,475)</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(4,308)</w:t>
            </w: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Unrealized net holding gain on securities</w:t>
            </w:r>
          </w:p>
        </w:tc>
        <w:tc>
          <w:tcPr>
            <w:tcW w:w="1380" w:type="dxa"/>
            <w:vAlign w:val="bottom"/>
          </w:tcPr>
          <w:p>
            <w:pPr>
              <w:spacing w:after="0"/>
              <w:rPr>
                <w:sz w:val="12"/>
                <w:szCs w:val="12"/>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303"/>
              <w:spacing w:after="0"/>
              <w:rPr>
                <w:sz w:val="20"/>
                <w:szCs w:val="20"/>
                <w:color w:val="auto"/>
              </w:rPr>
            </w:pPr>
            <w:r>
              <w:rPr>
                <w:rFonts w:ascii="Arial" w:cs="Arial" w:eastAsia="Arial" w:hAnsi="Arial"/>
                <w:sz w:val="12"/>
                <w:szCs w:val="12"/>
                <w:b w:val="1"/>
                <w:bCs w:val="1"/>
                <w:color w:val="auto"/>
              </w:rPr>
              <w:t>11</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January 1</w:t>
            </w:r>
          </w:p>
        </w:tc>
        <w:tc>
          <w:tcPr>
            <w:tcW w:w="13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right w:val="single" w:sz="8" w:color="0077C0"/>
            </w:tcBorders>
            <w:vMerge w:val="continue"/>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15</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Change during year</w:t>
            </w:r>
          </w:p>
        </w:tc>
        <w:tc>
          <w:tcPr>
            <w:tcW w:w="1380" w:type="dxa"/>
            <w:vAlign w:val="bottom"/>
          </w:tcPr>
          <w:p>
            <w:pPr>
              <w:spacing w:after="0"/>
              <w:rPr>
                <w:sz w:val="12"/>
                <w:szCs w:val="12"/>
                <w:color w:val="auto"/>
              </w:rPr>
            </w:pPr>
          </w:p>
        </w:tc>
        <w:tc>
          <w:tcPr>
            <w:tcW w:w="200" w:type="dxa"/>
            <w:vAlign w:val="bottom"/>
            <w:tcBorders>
              <w:bottom w:val="single" w:sz="8" w:color="0077C0"/>
            </w:tcBorders>
          </w:tcPr>
          <w:p>
            <w:pPr>
              <w:spacing w:after="0"/>
              <w:rPr>
                <w:sz w:val="12"/>
                <w:szCs w:val="12"/>
                <w:color w:val="auto"/>
              </w:rPr>
            </w:pPr>
          </w:p>
        </w:tc>
        <w:tc>
          <w:tcPr>
            <w:tcW w:w="860" w:type="dxa"/>
            <w:vAlign w:val="bottom"/>
            <w:tcBorders>
              <w:bottom w:val="single" w:sz="8" w:color="0077C0"/>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(11)</w:t>
            </w:r>
          </w:p>
        </w:tc>
        <w:tc>
          <w:tcPr>
            <w:tcW w:w="1280" w:type="dxa"/>
            <w:vAlign w:val="bottom"/>
            <w:tcBorders>
              <w:bottom w:val="single" w:sz="8" w:color="0077C0"/>
            </w:tcBorders>
          </w:tcPr>
          <w:p>
            <w:pPr>
              <w:spacing w:after="0"/>
              <w:rPr>
                <w:sz w:val="12"/>
                <w:szCs w:val="12"/>
                <w:color w:val="auto"/>
              </w:rPr>
            </w:pPr>
          </w:p>
        </w:tc>
        <w:tc>
          <w:tcPr>
            <w:tcW w:w="500" w:type="dxa"/>
            <w:vAlign w:val="bottom"/>
            <w:tcBorders>
              <w:bottom w:val="single" w:sz="8" w:color="0077C0"/>
            </w:tcBorders>
          </w:tcPr>
          <w:p>
            <w:pPr>
              <w:spacing w:after="0"/>
              <w:rPr>
                <w:sz w:val="12"/>
                <w:szCs w:val="12"/>
                <w:color w:val="auto"/>
              </w:rPr>
            </w:pPr>
          </w:p>
        </w:tc>
        <w:tc>
          <w:tcPr>
            <w:tcW w:w="1000" w:type="dxa"/>
            <w:vAlign w:val="bottom"/>
            <w:tcBorders>
              <w:bottom w:val="single" w:sz="8" w:color="0077C0"/>
            </w:tcBorders>
          </w:tcPr>
          <w:p>
            <w:pPr>
              <w:jc w:val="right"/>
              <w:ind w:right="383"/>
              <w:spacing w:after="0"/>
              <w:rPr>
                <w:sz w:val="20"/>
                <w:szCs w:val="20"/>
                <w:color w:val="auto"/>
              </w:rPr>
            </w:pPr>
            <w:r>
              <w:rPr>
                <w:rFonts w:ascii="Arial" w:cs="Arial" w:eastAsia="Arial" w:hAnsi="Arial"/>
                <w:sz w:val="12"/>
                <w:szCs w:val="12"/>
                <w:color w:val="auto"/>
              </w:rPr>
              <w:t>(4)</w:t>
            </w:r>
          </w:p>
        </w:tc>
        <w:tc>
          <w:tcPr>
            <w:tcW w:w="1260" w:type="dxa"/>
            <w:vAlign w:val="bottom"/>
            <w:tcBorders>
              <w:bottom w:val="single" w:sz="8" w:color="0077C0"/>
            </w:tcBorders>
          </w:tcPr>
          <w:p>
            <w:pPr>
              <w:spacing w:after="0"/>
              <w:rPr>
                <w:sz w:val="12"/>
                <w:szCs w:val="12"/>
                <w:color w:val="auto"/>
              </w:rPr>
            </w:pPr>
          </w:p>
        </w:tc>
        <w:tc>
          <w:tcPr>
            <w:tcW w:w="480" w:type="dxa"/>
            <w:vAlign w:val="bottom"/>
            <w:tcBorders>
              <w:bottom w:val="single" w:sz="8" w:color="0077C0"/>
            </w:tcBorders>
          </w:tcPr>
          <w:p>
            <w:pPr>
              <w:spacing w:after="0"/>
              <w:rPr>
                <w:sz w:val="12"/>
                <w:szCs w:val="12"/>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December 31</w:t>
            </w:r>
          </w:p>
        </w:tc>
        <w:tc>
          <w:tcPr>
            <w:tcW w:w="13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w:t>
            </w: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11</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Net derivatives gain (loss) on hedge transactions</w:t>
            </w:r>
          </w:p>
        </w:tc>
        <w:tc>
          <w:tcPr>
            <w:tcW w:w="1380" w:type="dxa"/>
            <w:vAlign w:val="bottom"/>
          </w:tcPr>
          <w:p>
            <w:pPr>
              <w:spacing w:after="0"/>
              <w:rPr>
                <w:sz w:val="12"/>
                <w:szCs w:val="12"/>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303"/>
              <w:spacing w:after="0"/>
              <w:rPr>
                <w:sz w:val="20"/>
                <w:szCs w:val="20"/>
                <w:color w:val="auto"/>
              </w:rPr>
            </w:pPr>
            <w:r>
              <w:rPr>
                <w:rFonts w:ascii="Arial" w:cs="Arial" w:eastAsia="Arial" w:hAnsi="Arial"/>
                <w:sz w:val="12"/>
                <w:szCs w:val="12"/>
                <w:b w:val="1"/>
                <w:bCs w:val="1"/>
                <w:color w:val="auto"/>
              </w:rPr>
              <w:t>103</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January 1</w:t>
            </w:r>
          </w:p>
        </w:tc>
        <w:tc>
          <w:tcPr>
            <w:tcW w:w="13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right w:val="single" w:sz="8" w:color="0077C0"/>
            </w:tcBorders>
            <w:vMerge w:val="continue"/>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83</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Change during year</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19</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right"/>
              <w:ind w:right="423"/>
              <w:spacing w:after="0"/>
              <w:rPr>
                <w:sz w:val="20"/>
                <w:szCs w:val="20"/>
                <w:color w:val="auto"/>
              </w:rPr>
            </w:pPr>
            <w:r>
              <w:rPr>
                <w:rFonts w:ascii="Arial" w:cs="Arial" w:eastAsia="Arial" w:hAnsi="Arial"/>
                <w:sz w:val="12"/>
                <w:szCs w:val="12"/>
                <w:color w:val="auto"/>
              </w:rPr>
              <w:t>20</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6"/>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Balance at December 31</w:t>
            </w:r>
          </w:p>
        </w:tc>
        <w:tc>
          <w:tcPr>
            <w:tcW w:w="1380" w:type="dxa"/>
            <w:vAlign w:val="bottom"/>
          </w:tcPr>
          <w:p>
            <w:pPr>
              <w:spacing w:after="0"/>
              <w:rPr>
                <w:sz w:val="12"/>
                <w:szCs w:val="12"/>
                <w:color w:val="auto"/>
              </w:rPr>
            </w:pPr>
          </w:p>
        </w:tc>
        <w:tc>
          <w:tcPr>
            <w:tcW w:w="200" w:type="dxa"/>
            <w:vAlign w:val="bottom"/>
            <w:tcBorders>
              <w:top w:val="single" w:sz="8" w:color="0077C0"/>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0077C0"/>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122</w:t>
            </w:r>
          </w:p>
        </w:tc>
        <w:tc>
          <w:tcPr>
            <w:tcW w:w="1280" w:type="dxa"/>
            <w:vAlign w:val="bottom"/>
            <w:tcBorders>
              <w:top w:val="single" w:sz="8" w:color="0077C0"/>
              <w:bottom w:val="single" w:sz="8" w:color="0077C0"/>
            </w:tcBorders>
          </w:tcPr>
          <w:p>
            <w:pPr>
              <w:spacing w:after="0"/>
              <w:rPr>
                <w:sz w:val="12"/>
                <w:szCs w:val="12"/>
                <w:color w:val="auto"/>
              </w:rPr>
            </w:pPr>
          </w:p>
        </w:tc>
        <w:tc>
          <w:tcPr>
            <w:tcW w:w="500" w:type="dxa"/>
            <w:vAlign w:val="bottom"/>
            <w:tcBorders>
              <w:top w:val="single" w:sz="8" w:color="0077C0"/>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0077C0"/>
              <w:bottom w:val="single" w:sz="8" w:color="0077C0"/>
            </w:tcBorders>
          </w:tcPr>
          <w:p>
            <w:pPr>
              <w:jc w:val="right"/>
              <w:ind w:right="423"/>
              <w:spacing w:after="0"/>
              <w:rPr>
                <w:sz w:val="20"/>
                <w:szCs w:val="20"/>
                <w:color w:val="auto"/>
              </w:rPr>
            </w:pPr>
            <w:r>
              <w:rPr>
                <w:rFonts w:ascii="Arial" w:cs="Arial" w:eastAsia="Arial" w:hAnsi="Arial"/>
                <w:sz w:val="12"/>
                <w:szCs w:val="12"/>
                <w:color w:val="auto"/>
              </w:rPr>
              <w:t>103</w:t>
            </w:r>
          </w:p>
        </w:tc>
        <w:tc>
          <w:tcPr>
            <w:tcW w:w="1260" w:type="dxa"/>
            <w:vAlign w:val="bottom"/>
            <w:tcBorders>
              <w:top w:val="single" w:sz="8" w:color="0077C0"/>
              <w:bottom w:val="single" w:sz="8" w:color="0077C0"/>
            </w:tcBorders>
          </w:tcPr>
          <w:p>
            <w:pPr>
              <w:spacing w:after="0"/>
              <w:rPr>
                <w:sz w:val="12"/>
                <w:szCs w:val="12"/>
                <w:color w:val="auto"/>
              </w:rPr>
            </w:pPr>
          </w:p>
        </w:tc>
        <w:tc>
          <w:tcPr>
            <w:tcW w:w="480" w:type="dxa"/>
            <w:vAlign w:val="bottom"/>
            <w:tcBorders>
              <w:top w:val="single" w:sz="8" w:color="0077C0"/>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0077C0"/>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Balance at December 31</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(6,022)</w:t>
            </w:r>
          </w:p>
        </w:tc>
        <w:tc>
          <w:tcPr>
            <w:tcW w:w="128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(4,466)</w:t>
            </w:r>
          </w:p>
        </w:tc>
        <w:tc>
          <w:tcPr>
            <w:tcW w:w="126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(4,321)</w:t>
            </w:r>
          </w:p>
        </w:tc>
        <w:tc>
          <w:tcPr>
            <w:tcW w:w="0" w:type="dxa"/>
            <w:vAlign w:val="bottom"/>
          </w:tcPr>
          <w:p>
            <w:pPr>
              <w:spacing w:after="0"/>
              <w:rPr>
                <w:sz w:val="1"/>
                <w:szCs w:val="1"/>
                <w:color w:val="auto"/>
              </w:rPr>
            </w:pPr>
          </w:p>
        </w:tc>
      </w:tr>
      <w:tr>
        <w:trPr>
          <w:trHeight w:val="134"/>
        </w:trPr>
        <w:tc>
          <w:tcPr>
            <w:tcW w:w="3320" w:type="dxa"/>
            <w:vAlign w:val="bottom"/>
            <w:tcBorders>
              <w:top w:val="single" w:sz="8" w:color="0077C0"/>
            </w:tcBorders>
            <w:shd w:val="clear" w:color="auto" w:fill="E8EFF9"/>
          </w:tcPr>
          <w:p>
            <w:pPr>
              <w:spacing w:after="0" w:line="134" w:lineRule="exact"/>
              <w:rPr>
                <w:sz w:val="20"/>
                <w:szCs w:val="20"/>
                <w:color w:val="auto"/>
              </w:rPr>
            </w:pPr>
            <w:r>
              <w:rPr>
                <w:rFonts w:ascii="Arial" w:cs="Arial" w:eastAsia="Arial" w:hAnsi="Arial"/>
                <w:sz w:val="12"/>
                <w:szCs w:val="12"/>
                <w:b w:val="1"/>
                <w:bCs w:val="1"/>
                <w:color w:val="0077C0"/>
              </w:rPr>
              <w:t>Deferred Compensation and Benefit Plan Trust</w:t>
            </w:r>
          </w:p>
        </w:tc>
        <w:tc>
          <w:tcPr>
            <w:tcW w:w="580" w:type="dxa"/>
            <w:vAlign w:val="bottom"/>
            <w:tcBorders>
              <w:top w:val="single" w:sz="8" w:color="0077C0"/>
            </w:tcBorders>
          </w:tcPr>
          <w:p>
            <w:pPr>
              <w:spacing w:after="0"/>
              <w:rPr>
                <w:sz w:val="11"/>
                <w:szCs w:val="11"/>
                <w:color w:val="auto"/>
              </w:rPr>
            </w:pPr>
          </w:p>
        </w:tc>
        <w:tc>
          <w:tcPr>
            <w:tcW w:w="1380" w:type="dxa"/>
            <w:vAlign w:val="bottom"/>
            <w:tcBorders>
              <w:top w:val="single" w:sz="8" w:color="0077C0"/>
            </w:tcBorders>
          </w:tcPr>
          <w:p>
            <w:pPr>
              <w:spacing w:after="0"/>
              <w:rPr>
                <w:sz w:val="11"/>
                <w:szCs w:val="11"/>
                <w:color w:val="auto"/>
              </w:rPr>
            </w:pPr>
          </w:p>
        </w:tc>
        <w:tc>
          <w:tcPr>
            <w:tcW w:w="200" w:type="dxa"/>
            <w:vAlign w:val="bottom"/>
            <w:tcBorders>
              <w:top w:val="single" w:sz="8" w:color="0077C0"/>
            </w:tcBorders>
          </w:tcPr>
          <w:p>
            <w:pPr>
              <w:spacing w:after="0"/>
              <w:rPr>
                <w:sz w:val="11"/>
                <w:szCs w:val="11"/>
                <w:color w:val="auto"/>
              </w:rPr>
            </w:pPr>
          </w:p>
        </w:tc>
        <w:tc>
          <w:tcPr>
            <w:tcW w:w="860" w:type="dxa"/>
            <w:vAlign w:val="bottom"/>
            <w:tcBorders>
              <w:top w:val="single" w:sz="8" w:color="0077C0"/>
              <w:right w:val="single" w:sz="8" w:color="0077C0"/>
            </w:tcBorders>
          </w:tcPr>
          <w:p>
            <w:pPr>
              <w:spacing w:after="0"/>
              <w:rPr>
                <w:sz w:val="11"/>
                <w:szCs w:val="11"/>
                <w:color w:val="auto"/>
              </w:rPr>
            </w:pPr>
          </w:p>
        </w:tc>
        <w:tc>
          <w:tcPr>
            <w:tcW w:w="1280" w:type="dxa"/>
            <w:vAlign w:val="bottom"/>
            <w:tcBorders>
              <w:top w:val="single" w:sz="8" w:color="0077C0"/>
            </w:tcBorders>
          </w:tcPr>
          <w:p>
            <w:pPr>
              <w:spacing w:after="0"/>
              <w:rPr>
                <w:sz w:val="11"/>
                <w:szCs w:val="11"/>
                <w:color w:val="auto"/>
              </w:rPr>
            </w:pPr>
          </w:p>
        </w:tc>
        <w:tc>
          <w:tcPr>
            <w:tcW w:w="500" w:type="dxa"/>
            <w:vAlign w:val="bottom"/>
            <w:tcBorders>
              <w:top w:val="single" w:sz="8" w:color="0077C0"/>
            </w:tcBorders>
          </w:tcPr>
          <w:p>
            <w:pPr>
              <w:spacing w:after="0"/>
              <w:rPr>
                <w:sz w:val="11"/>
                <w:szCs w:val="11"/>
                <w:color w:val="auto"/>
              </w:rPr>
            </w:pPr>
          </w:p>
        </w:tc>
        <w:tc>
          <w:tcPr>
            <w:tcW w:w="1000" w:type="dxa"/>
            <w:vAlign w:val="bottom"/>
            <w:tcBorders>
              <w:top w:val="single" w:sz="8" w:color="0077C0"/>
            </w:tcBorders>
          </w:tcPr>
          <w:p>
            <w:pPr>
              <w:spacing w:after="0"/>
              <w:rPr>
                <w:sz w:val="11"/>
                <w:szCs w:val="11"/>
                <w:color w:val="auto"/>
              </w:rPr>
            </w:pPr>
          </w:p>
        </w:tc>
        <w:tc>
          <w:tcPr>
            <w:tcW w:w="1260" w:type="dxa"/>
            <w:vAlign w:val="bottom"/>
            <w:tcBorders>
              <w:top w:val="single" w:sz="8" w:color="0077C0"/>
            </w:tcBorders>
          </w:tcPr>
          <w:p>
            <w:pPr>
              <w:spacing w:after="0"/>
              <w:rPr>
                <w:sz w:val="11"/>
                <w:szCs w:val="11"/>
                <w:color w:val="auto"/>
              </w:rPr>
            </w:pPr>
          </w:p>
        </w:tc>
        <w:tc>
          <w:tcPr>
            <w:tcW w:w="480" w:type="dxa"/>
            <w:vAlign w:val="bottom"/>
            <w:tcBorders>
              <w:top w:val="single" w:sz="8" w:color="0077C0"/>
            </w:tcBorders>
          </w:tcPr>
          <w:p>
            <w:pPr>
              <w:spacing w:after="0"/>
              <w:rPr>
                <w:sz w:val="11"/>
                <w:szCs w:val="11"/>
                <w:color w:val="auto"/>
              </w:rPr>
            </w:pPr>
          </w:p>
        </w:tc>
        <w:tc>
          <w:tcPr>
            <w:tcW w:w="500" w:type="dxa"/>
            <w:vAlign w:val="bottom"/>
            <w:tcBorders>
              <w:top w:val="single" w:sz="8" w:color="0077C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Deferred Compensation</w:t>
            </w: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263"/>
              <w:spacing w:after="0"/>
              <w:rPr>
                <w:sz w:val="20"/>
                <w:szCs w:val="20"/>
                <w:color w:val="auto"/>
              </w:rPr>
            </w:pPr>
            <w:r>
              <w:rPr>
                <w:rFonts w:ascii="Arial" w:cs="Arial" w:eastAsia="Arial" w:hAnsi="Arial"/>
                <w:sz w:val="12"/>
                <w:szCs w:val="12"/>
                <w:b w:val="1"/>
                <w:bCs w:val="1"/>
                <w:color w:val="auto"/>
              </w:rPr>
              <w:t>(71)</w:t>
            </w:r>
          </w:p>
        </w:tc>
        <w:tc>
          <w:tcPr>
            <w:tcW w:w="1280" w:type="dxa"/>
            <w:vAlign w:val="bottom"/>
          </w:tcPr>
          <w:p>
            <w:pPr>
              <w:spacing w:after="0"/>
              <w:rPr>
                <w:sz w:val="13"/>
                <w:szCs w:val="13"/>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ind w:right="383"/>
              <w:spacing w:after="0"/>
              <w:rPr>
                <w:sz w:val="20"/>
                <w:szCs w:val="20"/>
                <w:color w:val="auto"/>
              </w:rPr>
            </w:pPr>
            <w:r>
              <w:rPr>
                <w:rFonts w:ascii="Arial" w:cs="Arial" w:eastAsia="Arial" w:hAnsi="Arial"/>
                <w:sz w:val="12"/>
                <w:szCs w:val="12"/>
                <w:color w:val="auto"/>
              </w:rPr>
              <w:t>(109)</w:t>
            </w:r>
          </w:p>
        </w:tc>
        <w:tc>
          <w:tcPr>
            <w:tcW w:w="1260" w:type="dxa"/>
            <w:vAlign w:val="bottom"/>
          </w:tcPr>
          <w:p>
            <w:pPr>
              <w:spacing w:after="0"/>
              <w:rPr>
                <w:sz w:val="13"/>
                <w:szCs w:val="13"/>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vMerge w:val="restart"/>
          </w:tcPr>
          <w:p>
            <w:pPr>
              <w:jc w:val="right"/>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35"/>
        </w:trPr>
        <w:tc>
          <w:tcPr>
            <w:tcW w:w="3320" w:type="dxa"/>
            <w:vAlign w:val="bottom"/>
          </w:tcPr>
          <w:p>
            <w:pPr>
              <w:ind w:left="280"/>
              <w:spacing w:after="0" w:line="135" w:lineRule="exact"/>
              <w:rPr>
                <w:sz w:val="20"/>
                <w:szCs w:val="20"/>
                <w:color w:val="auto"/>
              </w:rPr>
            </w:pPr>
            <w:r>
              <w:rPr>
                <w:rFonts w:ascii="Arial" w:cs="Arial" w:eastAsia="Arial" w:hAnsi="Arial"/>
                <w:sz w:val="12"/>
                <w:szCs w:val="12"/>
                <w:color w:val="auto"/>
              </w:rPr>
              <w:t>Balance at January 1</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60" w:type="dxa"/>
            <w:vAlign w:val="bottom"/>
            <w:tcBorders>
              <w:right w:val="single" w:sz="8" w:color="0077C0"/>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900" w:type="dxa"/>
            <w:vAlign w:val="bottom"/>
            <w:gridSpan w:val="2"/>
          </w:tcPr>
          <w:p>
            <w:pPr>
              <w:ind w:left="280"/>
              <w:spacing w:after="0"/>
              <w:rPr>
                <w:sz w:val="20"/>
                <w:szCs w:val="20"/>
                <w:color w:val="auto"/>
              </w:rPr>
            </w:pPr>
            <w:r>
              <w:rPr>
                <w:rFonts w:ascii="Arial" w:cs="Arial" w:eastAsia="Arial" w:hAnsi="Arial"/>
                <w:sz w:val="12"/>
                <w:szCs w:val="12"/>
                <w:color w:val="auto"/>
              </w:rPr>
              <w:t>Net reduction of ESOP debt and other</w:t>
            </w:r>
          </w:p>
        </w:tc>
        <w:tc>
          <w:tcPr>
            <w:tcW w:w="1380" w:type="dxa"/>
            <w:vAlign w:val="bottom"/>
          </w:tcPr>
          <w:p>
            <w:pPr>
              <w:spacing w:after="0"/>
              <w:rPr>
                <w:sz w:val="13"/>
                <w:szCs w:val="13"/>
                <w:color w:val="auto"/>
              </w:rPr>
            </w:pPr>
          </w:p>
        </w:tc>
        <w:tc>
          <w:tcPr>
            <w:tcW w:w="200" w:type="dxa"/>
            <w:vAlign w:val="bottom"/>
            <w:tcBorders>
              <w:bottom w:val="single" w:sz="8" w:color="0077C0"/>
            </w:tcBorders>
          </w:tcPr>
          <w:p>
            <w:pPr>
              <w:spacing w:after="0"/>
              <w:rPr>
                <w:sz w:val="13"/>
                <w:szCs w:val="13"/>
                <w:color w:val="auto"/>
              </w:rPr>
            </w:pP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13</w:t>
            </w:r>
          </w:p>
        </w:tc>
        <w:tc>
          <w:tcPr>
            <w:tcW w:w="1280" w:type="dxa"/>
            <w:vAlign w:val="bottom"/>
            <w:tcBorders>
              <w:bottom w:val="single" w:sz="8" w:color="0077C0"/>
            </w:tcBorders>
          </w:tcPr>
          <w:p>
            <w:pPr>
              <w:spacing w:after="0"/>
              <w:rPr>
                <w:sz w:val="13"/>
                <w:szCs w:val="13"/>
                <w:color w:val="auto"/>
              </w:rPr>
            </w:pPr>
          </w:p>
        </w:tc>
        <w:tc>
          <w:tcPr>
            <w:tcW w:w="500" w:type="dxa"/>
            <w:vAlign w:val="bottom"/>
            <w:tcBorders>
              <w:bottom w:val="single" w:sz="8" w:color="0077C0"/>
            </w:tcBorders>
          </w:tcPr>
          <w:p>
            <w:pPr>
              <w:spacing w:after="0"/>
              <w:rPr>
                <w:sz w:val="13"/>
                <w:szCs w:val="13"/>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38</w:t>
            </w:r>
          </w:p>
        </w:tc>
        <w:tc>
          <w:tcPr>
            <w:tcW w:w="1260" w:type="dxa"/>
            <w:vAlign w:val="bottom"/>
            <w:tcBorders>
              <w:bottom w:val="single" w:sz="8" w:color="0077C0"/>
            </w:tcBorders>
          </w:tcPr>
          <w:p>
            <w:pPr>
              <w:spacing w:after="0"/>
              <w:rPr>
                <w:sz w:val="13"/>
                <w:szCs w:val="13"/>
                <w:color w:val="auto"/>
              </w:rPr>
            </w:pPr>
          </w:p>
        </w:tc>
        <w:tc>
          <w:tcPr>
            <w:tcW w:w="480" w:type="dxa"/>
            <w:vAlign w:val="bottom"/>
            <w:tcBorders>
              <w:bottom w:val="single" w:sz="8" w:color="0077C0"/>
            </w:tcBorders>
          </w:tcPr>
          <w:p>
            <w:pPr>
              <w:spacing w:after="0"/>
              <w:rPr>
                <w:sz w:val="13"/>
                <w:szCs w:val="13"/>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20" w:type="dxa"/>
            <w:vAlign w:val="bottom"/>
            <w:shd w:val="clear" w:color="auto" w:fill="E8EFF9"/>
          </w:tcPr>
          <w:p>
            <w:pPr>
              <w:ind w:left="280"/>
              <w:spacing w:after="0" w:line="137" w:lineRule="exact"/>
              <w:rPr>
                <w:sz w:val="20"/>
                <w:szCs w:val="20"/>
                <w:color w:val="auto"/>
              </w:rPr>
            </w:pPr>
            <w:r>
              <w:rPr>
                <w:rFonts w:ascii="Arial" w:cs="Arial" w:eastAsia="Arial" w:hAnsi="Arial"/>
                <w:sz w:val="12"/>
                <w:szCs w:val="12"/>
                <w:b w:val="1"/>
                <w:bCs w:val="1"/>
                <w:color w:val="0077C0"/>
              </w:rPr>
              <w:t>Balance at December 31</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right w:val="single" w:sz="8" w:color="0077C0"/>
            </w:tcBorders>
          </w:tcPr>
          <w:p>
            <w:pPr>
              <w:jc w:val="right"/>
              <w:ind w:right="263"/>
              <w:spacing w:after="0" w:line="137" w:lineRule="exact"/>
              <w:rPr>
                <w:sz w:val="20"/>
                <w:szCs w:val="20"/>
                <w:color w:val="auto"/>
              </w:rPr>
            </w:pPr>
            <w:r>
              <w:rPr>
                <w:rFonts w:ascii="Arial" w:cs="Arial" w:eastAsia="Arial" w:hAnsi="Arial"/>
                <w:sz w:val="12"/>
                <w:szCs w:val="12"/>
                <w:b w:val="1"/>
                <w:bCs w:val="1"/>
                <w:color w:val="auto"/>
              </w:rPr>
              <w:t>(58)</w:t>
            </w: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ind w:right="383"/>
              <w:spacing w:after="0" w:line="137" w:lineRule="exact"/>
              <w:rPr>
                <w:sz w:val="20"/>
                <w:szCs w:val="20"/>
                <w:color w:val="auto"/>
              </w:rPr>
            </w:pPr>
            <w:r>
              <w:rPr>
                <w:rFonts w:ascii="Arial" w:cs="Arial" w:eastAsia="Arial" w:hAnsi="Arial"/>
                <w:sz w:val="12"/>
                <w:szCs w:val="12"/>
                <w:color w:val="auto"/>
              </w:rPr>
              <w:t>(71)</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51"/>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Benefit Plan Trust (Common Stock)</w:t>
            </w:r>
          </w:p>
        </w:tc>
        <w:tc>
          <w:tcPr>
            <w:tcW w:w="580" w:type="dxa"/>
            <w:vAlign w:val="bottom"/>
          </w:tcPr>
          <w:p>
            <w:pPr>
              <w:spacing w:after="0"/>
              <w:rPr>
                <w:sz w:val="13"/>
                <w:szCs w:val="13"/>
                <w:color w:val="auto"/>
              </w:rPr>
            </w:pPr>
          </w:p>
        </w:tc>
        <w:tc>
          <w:tcPr>
            <w:tcW w:w="1380" w:type="dxa"/>
            <w:vAlign w:val="bottom"/>
          </w:tcPr>
          <w:p>
            <w:pPr>
              <w:jc w:val="right"/>
              <w:ind w:right="624"/>
              <w:spacing w:after="0"/>
              <w:rPr>
                <w:sz w:val="20"/>
                <w:szCs w:val="20"/>
                <w:color w:val="auto"/>
              </w:rPr>
            </w:pPr>
            <w:r>
              <w:rPr>
                <w:rFonts w:ascii="Arial" w:cs="Arial" w:eastAsia="Arial" w:hAnsi="Arial"/>
                <w:sz w:val="12"/>
                <w:szCs w:val="12"/>
                <w:b w:val="1"/>
                <w:bCs w:val="1"/>
                <w:color w:val="auto"/>
              </w:rPr>
              <w:t>14,168</w:t>
            </w:r>
          </w:p>
        </w:tc>
        <w:tc>
          <w:tcPr>
            <w:tcW w:w="200" w:type="dxa"/>
            <w:vAlign w:val="bottom"/>
          </w:tcPr>
          <w:p>
            <w:pPr>
              <w:spacing w:after="0"/>
              <w:rPr>
                <w:sz w:val="13"/>
                <w:szCs w:val="13"/>
                <w:color w:val="auto"/>
              </w:rPr>
            </w:pP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(240)</w:t>
            </w:r>
          </w:p>
        </w:tc>
        <w:tc>
          <w:tcPr>
            <w:tcW w:w="1280" w:type="dxa"/>
            <w:vAlign w:val="bottom"/>
          </w:tcPr>
          <w:p>
            <w:pPr>
              <w:jc w:val="right"/>
              <w:ind w:right="324"/>
              <w:spacing w:after="0"/>
              <w:rPr>
                <w:sz w:val="20"/>
                <w:szCs w:val="20"/>
                <w:color w:val="auto"/>
              </w:rPr>
            </w:pPr>
            <w:r>
              <w:rPr>
                <w:rFonts w:ascii="Arial" w:cs="Arial" w:eastAsia="Arial" w:hAnsi="Arial"/>
                <w:sz w:val="12"/>
                <w:szCs w:val="12"/>
                <w:color w:val="auto"/>
              </w:rPr>
              <w:t>14,168</w:t>
            </w:r>
          </w:p>
        </w:tc>
        <w:tc>
          <w:tcPr>
            <w:tcW w:w="500" w:type="dxa"/>
            <w:vAlign w:val="bottom"/>
          </w:tcPr>
          <w:p>
            <w:pPr>
              <w:spacing w:after="0"/>
              <w:rPr>
                <w:sz w:val="13"/>
                <w:szCs w:val="13"/>
                <w:color w:val="auto"/>
              </w:rPr>
            </w:pP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(240)</w:t>
            </w:r>
          </w:p>
        </w:tc>
        <w:tc>
          <w:tcPr>
            <w:tcW w:w="1260" w:type="dxa"/>
            <w:vAlign w:val="bottom"/>
          </w:tcPr>
          <w:p>
            <w:pPr>
              <w:jc w:val="right"/>
              <w:ind w:right="304"/>
              <w:spacing w:after="0"/>
              <w:rPr>
                <w:sz w:val="20"/>
                <w:szCs w:val="20"/>
                <w:color w:val="auto"/>
              </w:rPr>
            </w:pPr>
            <w:r>
              <w:rPr>
                <w:rFonts w:ascii="Arial" w:cs="Arial" w:eastAsia="Arial" w:hAnsi="Arial"/>
                <w:sz w:val="12"/>
                <w:szCs w:val="12"/>
                <w:color w:val="auto"/>
              </w:rPr>
              <w:t>14,168</w:t>
            </w:r>
          </w:p>
        </w:tc>
        <w:tc>
          <w:tcPr>
            <w:tcW w:w="48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138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860" w:type="dxa"/>
            <w:vAlign w:val="bottom"/>
            <w:tcBorders>
              <w:right w:val="single" w:sz="8" w:color="0077C0"/>
            </w:tcBorders>
            <w:shd w:val="clear" w:color="auto" w:fill="0077C0"/>
          </w:tcPr>
          <w:p>
            <w:pPr>
              <w:spacing w:after="0" w:line="20" w:lineRule="exact"/>
              <w:rPr>
                <w:sz w:val="1"/>
                <w:szCs w:val="1"/>
                <w:color w:val="auto"/>
              </w:rPr>
            </w:pPr>
          </w:p>
        </w:tc>
        <w:tc>
          <w:tcPr>
            <w:tcW w:w="12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1000" w:type="dxa"/>
            <w:vAlign w:val="bottom"/>
            <w:shd w:val="clear" w:color="auto" w:fill="0077C0"/>
          </w:tcPr>
          <w:p>
            <w:pPr>
              <w:spacing w:after="0" w:line="20" w:lineRule="exact"/>
              <w:rPr>
                <w:sz w:val="1"/>
                <w:szCs w:val="1"/>
                <w:color w:val="auto"/>
              </w:rPr>
            </w:pPr>
          </w:p>
        </w:tc>
        <w:tc>
          <w:tcPr>
            <w:tcW w:w="126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Balance at December 31</w:t>
            </w:r>
          </w:p>
        </w:tc>
        <w:tc>
          <w:tcPr>
            <w:tcW w:w="580" w:type="dxa"/>
            <w:vAlign w:val="bottom"/>
          </w:tcPr>
          <w:p>
            <w:pPr>
              <w:spacing w:after="0"/>
              <w:rPr>
                <w:sz w:val="12"/>
                <w:szCs w:val="12"/>
                <w:color w:val="auto"/>
              </w:rPr>
            </w:pPr>
          </w:p>
        </w:tc>
        <w:tc>
          <w:tcPr>
            <w:tcW w:w="1380" w:type="dxa"/>
            <w:vAlign w:val="bottom"/>
          </w:tcPr>
          <w:p>
            <w:pPr>
              <w:jc w:val="right"/>
              <w:ind w:right="624"/>
              <w:spacing w:after="0"/>
              <w:rPr>
                <w:sz w:val="20"/>
                <w:szCs w:val="20"/>
                <w:color w:val="auto"/>
              </w:rPr>
            </w:pPr>
            <w:r>
              <w:rPr>
                <w:rFonts w:ascii="Arial" w:cs="Arial" w:eastAsia="Arial" w:hAnsi="Arial"/>
                <w:sz w:val="12"/>
                <w:szCs w:val="12"/>
                <w:b w:val="1"/>
                <w:bCs w:val="1"/>
                <w:color w:val="auto"/>
              </w:rPr>
              <w:t>14,168</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(298)</w:t>
            </w:r>
          </w:p>
        </w:tc>
        <w:tc>
          <w:tcPr>
            <w:tcW w:w="1280" w:type="dxa"/>
            <w:vAlign w:val="bottom"/>
          </w:tcPr>
          <w:p>
            <w:pPr>
              <w:jc w:val="right"/>
              <w:ind w:right="324"/>
              <w:spacing w:after="0"/>
              <w:rPr>
                <w:sz w:val="20"/>
                <w:szCs w:val="20"/>
                <w:color w:val="auto"/>
              </w:rPr>
            </w:pPr>
            <w:r>
              <w:rPr>
                <w:rFonts w:ascii="Arial" w:cs="Arial" w:eastAsia="Arial" w:hAnsi="Arial"/>
                <w:sz w:val="12"/>
                <w:szCs w:val="12"/>
                <w:color w:val="auto"/>
              </w:rPr>
              <w:t>14,168</w:t>
            </w: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(311)</w:t>
            </w:r>
          </w:p>
        </w:tc>
        <w:tc>
          <w:tcPr>
            <w:tcW w:w="1260" w:type="dxa"/>
            <w:vAlign w:val="bottom"/>
          </w:tcPr>
          <w:p>
            <w:pPr>
              <w:jc w:val="right"/>
              <w:ind w:right="304"/>
              <w:spacing w:after="0"/>
              <w:rPr>
                <w:sz w:val="20"/>
                <w:szCs w:val="20"/>
                <w:color w:val="auto"/>
              </w:rPr>
            </w:pPr>
            <w:r>
              <w:rPr>
                <w:rFonts w:ascii="Arial" w:cs="Arial" w:eastAsia="Arial" w:hAnsi="Arial"/>
                <w:sz w:val="12"/>
                <w:szCs w:val="12"/>
                <w:color w:val="auto"/>
              </w:rPr>
              <w:t>14,168</w:t>
            </w: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77C0"/>
          </w:tcPr>
          <w:p>
            <w:pPr>
              <w:spacing w:after="0" w:line="20" w:lineRule="exact"/>
              <w:rPr>
                <w:sz w:val="1"/>
                <w:szCs w:val="1"/>
                <w:color w:val="auto"/>
              </w:rPr>
            </w:pPr>
          </w:p>
        </w:tc>
        <w:tc>
          <w:tcPr>
            <w:tcW w:w="1380" w:type="dxa"/>
            <w:vAlign w:val="bottom"/>
            <w:shd w:val="clear" w:color="auto" w:fill="0077C0"/>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860" w:type="dxa"/>
            <w:vAlign w:val="bottom"/>
            <w:tcBorders>
              <w:right w:val="single" w:sz="8" w:color="0077C0"/>
            </w:tcBorders>
            <w:shd w:val="clear" w:color="auto" w:fill="0077C0"/>
          </w:tcPr>
          <w:p>
            <w:pPr>
              <w:spacing w:after="0" w:line="20" w:lineRule="exact"/>
              <w:rPr>
                <w:sz w:val="1"/>
                <w:szCs w:val="1"/>
                <w:color w:val="auto"/>
              </w:rPr>
            </w:pPr>
          </w:p>
        </w:tc>
        <w:tc>
          <w:tcPr>
            <w:tcW w:w="12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1000" w:type="dxa"/>
            <w:vAlign w:val="bottom"/>
            <w:shd w:val="clear" w:color="auto" w:fill="0077C0"/>
          </w:tcPr>
          <w:p>
            <w:pPr>
              <w:spacing w:after="0" w:line="20" w:lineRule="exact"/>
              <w:rPr>
                <w:sz w:val="1"/>
                <w:szCs w:val="1"/>
                <w:color w:val="auto"/>
              </w:rPr>
            </w:pPr>
          </w:p>
        </w:tc>
        <w:tc>
          <w:tcPr>
            <w:tcW w:w="126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Treasury Stock at Cost</w:t>
            </w:r>
          </w:p>
        </w:tc>
        <w:tc>
          <w:tcPr>
            <w:tcW w:w="580" w:type="dxa"/>
            <w:vAlign w:val="bottom"/>
          </w:tcPr>
          <w:p>
            <w:pPr>
              <w:spacing w:after="0"/>
              <w:rPr>
                <w:sz w:val="12"/>
                <w:szCs w:val="12"/>
                <w:color w:val="auto"/>
              </w:rPr>
            </w:pPr>
          </w:p>
        </w:tc>
        <w:tc>
          <w:tcPr>
            <w:tcW w:w="1380" w:type="dxa"/>
            <w:vAlign w:val="bottom"/>
            <w:vMerge w:val="restart"/>
          </w:tcPr>
          <w:p>
            <w:pPr>
              <w:jc w:val="right"/>
              <w:ind w:right="624"/>
              <w:spacing w:after="0"/>
              <w:rPr>
                <w:sz w:val="20"/>
                <w:szCs w:val="20"/>
                <w:color w:val="auto"/>
              </w:rPr>
            </w:pPr>
            <w:r>
              <w:rPr>
                <w:rFonts w:ascii="Arial" w:cs="Arial" w:eastAsia="Arial" w:hAnsi="Arial"/>
                <w:sz w:val="12"/>
                <w:szCs w:val="12"/>
                <w:b w:val="1"/>
                <w:bCs w:val="1"/>
                <w:color w:val="auto"/>
              </w:rPr>
              <w:t>435,196</w:t>
            </w:r>
          </w:p>
        </w:tc>
        <w:tc>
          <w:tcPr>
            <w:tcW w:w="2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vMerge w:val="restart"/>
          </w:tcPr>
          <w:p>
            <w:pPr>
              <w:jc w:val="right"/>
              <w:ind w:right="263"/>
              <w:spacing w:after="0"/>
              <w:rPr>
                <w:sz w:val="20"/>
                <w:szCs w:val="20"/>
                <w:color w:val="auto"/>
              </w:rPr>
            </w:pPr>
            <w:r>
              <w:rPr>
                <w:rFonts w:ascii="Arial" w:cs="Arial" w:eastAsia="Arial" w:hAnsi="Arial"/>
                <w:sz w:val="12"/>
                <w:szCs w:val="12"/>
                <w:b w:val="1"/>
                <w:bCs w:val="1"/>
                <w:color w:val="auto"/>
              </w:rPr>
              <w:t>(26,411)</w:t>
            </w:r>
          </w:p>
        </w:tc>
        <w:tc>
          <w:tcPr>
            <w:tcW w:w="1280" w:type="dxa"/>
            <w:vAlign w:val="bottom"/>
            <w:vMerge w:val="restart"/>
          </w:tcPr>
          <w:p>
            <w:pPr>
              <w:jc w:val="right"/>
              <w:ind w:right="324"/>
              <w:spacing w:after="0"/>
              <w:rPr>
                <w:sz w:val="20"/>
                <w:szCs w:val="20"/>
                <w:color w:val="auto"/>
              </w:rPr>
            </w:pPr>
            <w:r>
              <w:rPr>
                <w:rFonts w:ascii="Arial" w:cs="Arial" w:eastAsia="Arial" w:hAnsi="Arial"/>
                <w:sz w:val="12"/>
                <w:szCs w:val="12"/>
                <w:color w:val="auto"/>
              </w:rPr>
              <w:t>434,955</w:t>
            </w: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vMerge w:val="restart"/>
          </w:tcPr>
          <w:p>
            <w:pPr>
              <w:jc w:val="right"/>
              <w:ind w:right="383"/>
              <w:spacing w:after="0"/>
              <w:rPr>
                <w:sz w:val="20"/>
                <w:szCs w:val="20"/>
                <w:color w:val="auto"/>
              </w:rPr>
            </w:pPr>
            <w:r>
              <w:rPr>
                <w:rFonts w:ascii="Arial" w:cs="Arial" w:eastAsia="Arial" w:hAnsi="Arial"/>
                <w:sz w:val="12"/>
                <w:szCs w:val="12"/>
                <w:color w:val="auto"/>
              </w:rPr>
              <w:t>(26,168)</w:t>
            </w:r>
          </w:p>
        </w:tc>
        <w:tc>
          <w:tcPr>
            <w:tcW w:w="1260" w:type="dxa"/>
            <w:vAlign w:val="bottom"/>
            <w:vMerge w:val="restart"/>
          </w:tcPr>
          <w:p>
            <w:pPr>
              <w:jc w:val="right"/>
              <w:ind w:right="304"/>
              <w:spacing w:after="0"/>
              <w:rPr>
                <w:sz w:val="20"/>
                <w:szCs w:val="20"/>
                <w:color w:val="auto"/>
              </w:rPr>
            </w:pPr>
            <w:r>
              <w:rPr>
                <w:rFonts w:ascii="Arial" w:cs="Arial" w:eastAsia="Arial" w:hAnsi="Arial"/>
                <w:sz w:val="12"/>
                <w:szCs w:val="12"/>
                <w:color w:val="auto"/>
              </w:rPr>
              <w:t>438,445</w:t>
            </w: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vMerge w:val="restart"/>
          </w:tcPr>
          <w:p>
            <w:pPr>
              <w:jc w:val="right"/>
              <w:spacing w:after="0"/>
              <w:rPr>
                <w:sz w:val="20"/>
                <w:szCs w:val="20"/>
                <w:color w:val="auto"/>
              </w:rPr>
            </w:pPr>
            <w:r>
              <w:rPr>
                <w:rFonts w:ascii="Arial" w:cs="Arial" w:eastAsia="Arial" w:hAnsi="Arial"/>
                <w:sz w:val="12"/>
                <w:szCs w:val="12"/>
                <w:color w:val="auto"/>
              </w:rPr>
              <w:t>(26,376)</w:t>
            </w:r>
          </w:p>
        </w:tc>
        <w:tc>
          <w:tcPr>
            <w:tcW w:w="0" w:type="dxa"/>
            <w:vAlign w:val="bottom"/>
          </w:tcPr>
          <w:p>
            <w:pPr>
              <w:spacing w:after="0"/>
              <w:rPr>
                <w:sz w:val="1"/>
                <w:szCs w:val="1"/>
                <w:color w:val="auto"/>
              </w:rPr>
            </w:pPr>
          </w:p>
        </w:tc>
      </w:tr>
      <w:tr>
        <w:trPr>
          <w:trHeight w:val="135"/>
        </w:trPr>
        <w:tc>
          <w:tcPr>
            <w:tcW w:w="3320" w:type="dxa"/>
            <w:vAlign w:val="bottom"/>
          </w:tcPr>
          <w:p>
            <w:pPr>
              <w:ind w:left="140"/>
              <w:spacing w:after="0" w:line="135" w:lineRule="exact"/>
              <w:rPr>
                <w:sz w:val="20"/>
                <w:szCs w:val="20"/>
                <w:color w:val="auto"/>
              </w:rPr>
            </w:pPr>
            <w:r>
              <w:rPr>
                <w:rFonts w:ascii="Arial" w:cs="Arial" w:eastAsia="Arial" w:hAnsi="Arial"/>
                <w:sz w:val="12"/>
                <w:szCs w:val="12"/>
                <w:color w:val="auto"/>
              </w:rPr>
              <w:t>Balance at January 1</w:t>
            </w:r>
          </w:p>
        </w:tc>
        <w:tc>
          <w:tcPr>
            <w:tcW w:w="5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60" w:type="dxa"/>
            <w:vAlign w:val="bottom"/>
            <w:tcBorders>
              <w:right w:val="single" w:sz="8" w:color="0077C0"/>
            </w:tcBorders>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Purchases</w:t>
            </w:r>
          </w:p>
        </w:tc>
        <w:tc>
          <w:tcPr>
            <w:tcW w:w="1380" w:type="dxa"/>
            <w:vAlign w:val="bottom"/>
          </w:tcPr>
          <w:p>
            <w:pPr>
              <w:jc w:val="right"/>
              <w:ind w:right="624"/>
              <w:spacing w:after="0"/>
              <w:rPr>
                <w:sz w:val="20"/>
                <w:szCs w:val="20"/>
                <w:color w:val="auto"/>
              </w:rPr>
            </w:pPr>
            <w:r>
              <w:rPr>
                <w:rFonts w:ascii="Arial" w:cs="Arial" w:eastAsia="Arial" w:hAnsi="Arial"/>
                <w:sz w:val="12"/>
                <w:szCs w:val="12"/>
                <w:b w:val="1"/>
                <w:bCs w:val="1"/>
                <w:color w:val="auto"/>
              </w:rPr>
              <w:t>42,424</w:t>
            </w:r>
          </w:p>
        </w:tc>
        <w:tc>
          <w:tcPr>
            <w:tcW w:w="200" w:type="dxa"/>
            <w:vAlign w:val="bottom"/>
          </w:tcPr>
          <w:p>
            <w:pPr>
              <w:spacing w:after="0"/>
              <w:rPr>
                <w:sz w:val="12"/>
                <w:szCs w:val="12"/>
                <w:color w:val="auto"/>
              </w:rPr>
            </w:pP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(4,262)</w:t>
            </w:r>
          </w:p>
        </w:tc>
        <w:tc>
          <w:tcPr>
            <w:tcW w:w="1280" w:type="dxa"/>
            <w:vAlign w:val="bottom"/>
          </w:tcPr>
          <w:p>
            <w:pPr>
              <w:jc w:val="right"/>
              <w:ind w:right="324"/>
              <w:spacing w:after="0"/>
              <w:rPr>
                <w:sz w:val="20"/>
                <w:szCs w:val="20"/>
                <w:color w:val="auto"/>
              </w:rPr>
            </w:pPr>
            <w:r>
              <w:rPr>
                <w:rFonts w:ascii="Arial" w:cs="Arial" w:eastAsia="Arial" w:hAnsi="Arial"/>
                <w:sz w:val="12"/>
                <w:szCs w:val="12"/>
                <w:color w:val="auto"/>
              </w:rPr>
              <w:t>9,091</w:t>
            </w:r>
          </w:p>
        </w:tc>
        <w:tc>
          <w:tcPr>
            <w:tcW w:w="500" w:type="dxa"/>
            <w:vAlign w:val="bottom"/>
          </w:tcPr>
          <w:p>
            <w:pPr>
              <w:spacing w:after="0"/>
              <w:rPr>
                <w:sz w:val="12"/>
                <w:szCs w:val="12"/>
                <w:color w:val="auto"/>
              </w:rPr>
            </w:pP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(775)</w:t>
            </w:r>
          </w:p>
        </w:tc>
        <w:tc>
          <w:tcPr>
            <w:tcW w:w="1260" w:type="dxa"/>
            <w:vAlign w:val="bottom"/>
          </w:tcPr>
          <w:p>
            <w:pPr>
              <w:jc w:val="right"/>
              <w:ind w:right="304"/>
              <w:spacing w:after="0"/>
              <w:rPr>
                <w:sz w:val="20"/>
                <w:szCs w:val="20"/>
                <w:color w:val="auto"/>
              </w:rPr>
            </w:pPr>
            <w:r>
              <w:rPr>
                <w:rFonts w:ascii="Arial" w:cs="Arial" w:eastAsia="Arial" w:hAnsi="Arial"/>
                <w:sz w:val="12"/>
                <w:szCs w:val="12"/>
                <w:color w:val="auto"/>
              </w:rPr>
              <w:t>85</w:t>
            </w:r>
          </w:p>
        </w:tc>
        <w:tc>
          <w:tcPr>
            <w:tcW w:w="480" w:type="dxa"/>
            <w:vAlign w:val="bottom"/>
          </w:tcPr>
          <w:p>
            <w:pPr>
              <w:spacing w:after="0"/>
              <w:rPr>
                <w:sz w:val="12"/>
                <w:szCs w:val="12"/>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1"/>
        </w:trPr>
        <w:tc>
          <w:tcPr>
            <w:tcW w:w="3900" w:type="dxa"/>
            <w:vAlign w:val="bottom"/>
            <w:gridSpan w:val="2"/>
          </w:tcPr>
          <w:p>
            <w:pPr>
              <w:ind w:left="140"/>
              <w:spacing w:after="0"/>
              <w:rPr>
                <w:sz w:val="20"/>
                <w:szCs w:val="20"/>
                <w:color w:val="auto"/>
              </w:rPr>
            </w:pPr>
            <w:r>
              <w:rPr>
                <w:rFonts w:ascii="Arial" w:cs="Arial" w:eastAsia="Arial" w:hAnsi="Arial"/>
                <w:sz w:val="12"/>
                <w:szCs w:val="12"/>
                <w:color w:val="auto"/>
              </w:rPr>
              <w:t>Issuances – mainly employee benefit plans</w:t>
            </w:r>
          </w:p>
        </w:tc>
        <w:tc>
          <w:tcPr>
            <w:tcW w:w="1380" w:type="dxa"/>
            <w:vAlign w:val="bottom"/>
            <w:tcBorders>
              <w:bottom w:val="single" w:sz="8" w:color="0077C0"/>
            </w:tcBorders>
          </w:tcPr>
          <w:p>
            <w:pPr>
              <w:jc w:val="right"/>
              <w:ind w:right="584"/>
              <w:spacing w:after="0"/>
              <w:rPr>
                <w:sz w:val="20"/>
                <w:szCs w:val="20"/>
                <w:color w:val="auto"/>
              </w:rPr>
            </w:pPr>
            <w:r>
              <w:rPr>
                <w:rFonts w:ascii="Arial" w:cs="Arial" w:eastAsia="Arial" w:hAnsi="Arial"/>
                <w:sz w:val="12"/>
                <w:szCs w:val="12"/>
                <w:b w:val="1"/>
                <w:bCs w:val="1"/>
                <w:color w:val="auto"/>
              </w:rPr>
              <w:t>(16,110)</w:t>
            </w:r>
          </w:p>
        </w:tc>
        <w:tc>
          <w:tcPr>
            <w:tcW w:w="200" w:type="dxa"/>
            <w:vAlign w:val="bottom"/>
            <w:tcBorders>
              <w:bottom w:val="single" w:sz="8" w:color="0077C0"/>
            </w:tcBorders>
          </w:tcPr>
          <w:p>
            <w:pPr>
              <w:spacing w:after="0"/>
              <w:rPr>
                <w:sz w:val="13"/>
                <w:szCs w:val="13"/>
                <w:color w:val="auto"/>
              </w:rPr>
            </w:pP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988</w:t>
            </w:r>
          </w:p>
        </w:tc>
        <w:tc>
          <w:tcPr>
            <w:tcW w:w="1280" w:type="dxa"/>
            <w:vAlign w:val="bottom"/>
            <w:tcBorders>
              <w:bottom w:val="single" w:sz="8" w:color="0077C0"/>
            </w:tcBorders>
          </w:tcPr>
          <w:p>
            <w:pPr>
              <w:jc w:val="right"/>
              <w:ind w:right="284"/>
              <w:spacing w:after="0"/>
              <w:rPr>
                <w:sz w:val="20"/>
                <w:szCs w:val="20"/>
                <w:color w:val="auto"/>
              </w:rPr>
            </w:pPr>
            <w:r>
              <w:rPr>
                <w:rFonts w:ascii="Arial" w:cs="Arial" w:eastAsia="Arial" w:hAnsi="Arial"/>
                <w:sz w:val="12"/>
                <w:szCs w:val="12"/>
                <w:color w:val="auto"/>
              </w:rPr>
              <w:t>(8,850)</w:t>
            </w:r>
          </w:p>
        </w:tc>
        <w:tc>
          <w:tcPr>
            <w:tcW w:w="500" w:type="dxa"/>
            <w:vAlign w:val="bottom"/>
            <w:tcBorders>
              <w:bottom w:val="single" w:sz="8" w:color="0077C0"/>
            </w:tcBorders>
          </w:tcPr>
          <w:p>
            <w:pPr>
              <w:spacing w:after="0"/>
              <w:rPr>
                <w:sz w:val="13"/>
                <w:szCs w:val="13"/>
                <w:color w:val="auto"/>
              </w:rPr>
            </w:pP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532</w:t>
            </w:r>
          </w:p>
        </w:tc>
        <w:tc>
          <w:tcPr>
            <w:tcW w:w="1260" w:type="dxa"/>
            <w:vAlign w:val="bottom"/>
            <w:tcBorders>
              <w:bottom w:val="single" w:sz="8" w:color="0077C0"/>
            </w:tcBorders>
          </w:tcPr>
          <w:p>
            <w:pPr>
              <w:jc w:val="right"/>
              <w:ind w:right="264"/>
              <w:spacing w:after="0"/>
              <w:rPr>
                <w:sz w:val="20"/>
                <w:szCs w:val="20"/>
                <w:color w:val="auto"/>
              </w:rPr>
            </w:pPr>
            <w:r>
              <w:rPr>
                <w:rFonts w:ascii="Arial" w:cs="Arial" w:eastAsia="Arial" w:hAnsi="Arial"/>
                <w:sz w:val="12"/>
                <w:szCs w:val="12"/>
                <w:color w:val="auto"/>
              </w:rPr>
              <w:t>(3,575)</w:t>
            </w:r>
          </w:p>
        </w:tc>
        <w:tc>
          <w:tcPr>
            <w:tcW w:w="480" w:type="dxa"/>
            <w:vAlign w:val="bottom"/>
            <w:tcBorders>
              <w:bottom w:val="single" w:sz="8" w:color="0077C0"/>
            </w:tcBorders>
          </w:tcPr>
          <w:p>
            <w:pPr>
              <w:spacing w:after="0"/>
              <w:rPr>
                <w:sz w:val="13"/>
                <w:szCs w:val="13"/>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2"/>
                <w:szCs w:val="12"/>
                <w:color w:val="auto"/>
              </w:rPr>
              <w:t>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2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Balance at December 31</w:t>
            </w:r>
          </w:p>
        </w:tc>
        <w:tc>
          <w:tcPr>
            <w:tcW w:w="580" w:type="dxa"/>
            <w:vAlign w:val="bottom"/>
          </w:tcPr>
          <w:p>
            <w:pPr>
              <w:spacing w:after="0"/>
              <w:rPr>
                <w:sz w:val="12"/>
                <w:szCs w:val="12"/>
                <w:color w:val="auto"/>
              </w:rPr>
            </w:pPr>
          </w:p>
        </w:tc>
        <w:tc>
          <w:tcPr>
            <w:tcW w:w="1380" w:type="dxa"/>
            <w:vAlign w:val="bottom"/>
          </w:tcPr>
          <w:p>
            <w:pPr>
              <w:jc w:val="right"/>
              <w:ind w:right="624"/>
              <w:spacing w:after="0"/>
              <w:rPr>
                <w:sz w:val="20"/>
                <w:szCs w:val="20"/>
                <w:color w:val="auto"/>
              </w:rPr>
            </w:pPr>
            <w:r>
              <w:rPr>
                <w:rFonts w:ascii="Arial" w:cs="Arial" w:eastAsia="Arial" w:hAnsi="Arial"/>
                <w:sz w:val="12"/>
                <w:szCs w:val="12"/>
                <w:b w:val="1"/>
                <w:bCs w:val="1"/>
                <w:color w:val="auto"/>
              </w:rPr>
              <w:t>461,510</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right w:val="single" w:sz="8" w:color="0077C0"/>
            </w:tcBorders>
          </w:tcPr>
          <w:p>
            <w:pPr>
              <w:jc w:val="right"/>
              <w:ind w:right="263"/>
              <w:spacing w:after="0"/>
              <w:rPr>
                <w:sz w:val="20"/>
                <w:szCs w:val="20"/>
                <w:color w:val="auto"/>
              </w:rPr>
            </w:pPr>
            <w:r>
              <w:rPr>
                <w:rFonts w:ascii="Arial" w:cs="Arial" w:eastAsia="Arial" w:hAnsi="Arial"/>
                <w:sz w:val="12"/>
                <w:szCs w:val="12"/>
                <w:b w:val="1"/>
                <w:bCs w:val="1"/>
                <w:color w:val="auto"/>
              </w:rPr>
              <w:t>(29,685)</w:t>
            </w:r>
          </w:p>
        </w:tc>
        <w:tc>
          <w:tcPr>
            <w:tcW w:w="1280" w:type="dxa"/>
            <w:vAlign w:val="bottom"/>
          </w:tcPr>
          <w:p>
            <w:pPr>
              <w:jc w:val="right"/>
              <w:ind w:right="324"/>
              <w:spacing w:after="0"/>
              <w:rPr>
                <w:sz w:val="20"/>
                <w:szCs w:val="20"/>
                <w:color w:val="auto"/>
              </w:rPr>
            </w:pPr>
            <w:r>
              <w:rPr>
                <w:rFonts w:ascii="Arial" w:cs="Arial" w:eastAsia="Arial" w:hAnsi="Arial"/>
                <w:sz w:val="12"/>
                <w:szCs w:val="12"/>
                <w:color w:val="auto"/>
              </w:rPr>
              <w:t>435,196</w:t>
            </w: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3"/>
              <w:spacing w:after="0"/>
              <w:rPr>
                <w:sz w:val="20"/>
                <w:szCs w:val="20"/>
                <w:color w:val="auto"/>
              </w:rPr>
            </w:pPr>
            <w:r>
              <w:rPr>
                <w:rFonts w:ascii="Arial" w:cs="Arial" w:eastAsia="Arial" w:hAnsi="Arial"/>
                <w:sz w:val="12"/>
                <w:szCs w:val="12"/>
                <w:color w:val="auto"/>
              </w:rPr>
              <w:t>(26,411)</w:t>
            </w:r>
          </w:p>
        </w:tc>
        <w:tc>
          <w:tcPr>
            <w:tcW w:w="1260" w:type="dxa"/>
            <w:vAlign w:val="bottom"/>
          </w:tcPr>
          <w:p>
            <w:pPr>
              <w:jc w:val="right"/>
              <w:ind w:right="304"/>
              <w:spacing w:after="0"/>
              <w:rPr>
                <w:sz w:val="20"/>
                <w:szCs w:val="20"/>
                <w:color w:val="auto"/>
              </w:rPr>
            </w:pPr>
            <w:r>
              <w:rPr>
                <w:rFonts w:ascii="Arial" w:cs="Arial" w:eastAsia="Arial" w:hAnsi="Arial"/>
                <w:sz w:val="12"/>
                <w:szCs w:val="12"/>
                <w:color w:val="auto"/>
              </w:rPr>
              <w:t>434,955</w:t>
            </w:r>
          </w:p>
        </w:tc>
        <w:tc>
          <w:tcPr>
            <w:tcW w:w="4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(26,168)</w:t>
            </w:r>
          </w:p>
        </w:tc>
        <w:tc>
          <w:tcPr>
            <w:tcW w:w="0" w:type="dxa"/>
            <w:vAlign w:val="bottom"/>
          </w:tcPr>
          <w:p>
            <w:pPr>
              <w:spacing w:after="0"/>
              <w:rPr>
                <w:sz w:val="1"/>
                <w:szCs w:val="1"/>
                <w:color w:val="auto"/>
              </w:rPr>
            </w:pPr>
          </w:p>
        </w:tc>
      </w:tr>
      <w:tr>
        <w:trPr>
          <w:trHeight w:val="134"/>
        </w:trPr>
        <w:tc>
          <w:tcPr>
            <w:tcW w:w="3320" w:type="dxa"/>
            <w:vAlign w:val="bottom"/>
            <w:tcBorders>
              <w:top w:val="single" w:sz="8" w:color="0077C0"/>
            </w:tcBorders>
            <w:shd w:val="clear" w:color="auto" w:fill="E8EFF9"/>
          </w:tcPr>
          <w:p>
            <w:pPr>
              <w:spacing w:after="0" w:line="134" w:lineRule="exact"/>
              <w:rPr>
                <w:sz w:val="20"/>
                <w:szCs w:val="20"/>
                <w:color w:val="auto"/>
              </w:rPr>
            </w:pPr>
            <w:r>
              <w:rPr>
                <w:rFonts w:ascii="Arial" w:cs="Arial" w:eastAsia="Arial" w:hAnsi="Arial"/>
                <w:sz w:val="12"/>
                <w:szCs w:val="12"/>
                <w:b w:val="1"/>
                <w:bCs w:val="1"/>
                <w:color w:val="0077C0"/>
              </w:rPr>
              <w:t>Total Chevron Corporation Stockholders’ Equity</w:t>
            </w:r>
          </w:p>
        </w:tc>
        <w:tc>
          <w:tcPr>
            <w:tcW w:w="580" w:type="dxa"/>
            <w:vAlign w:val="bottom"/>
            <w:tcBorders>
              <w:top w:val="single" w:sz="8" w:color="0077C0"/>
            </w:tcBorders>
          </w:tcPr>
          <w:p>
            <w:pPr>
              <w:spacing w:after="0"/>
              <w:rPr>
                <w:sz w:val="11"/>
                <w:szCs w:val="11"/>
                <w:color w:val="auto"/>
              </w:rPr>
            </w:pPr>
          </w:p>
        </w:tc>
        <w:tc>
          <w:tcPr>
            <w:tcW w:w="1380" w:type="dxa"/>
            <w:vAlign w:val="bottom"/>
            <w:tcBorders>
              <w:top w:val="single" w:sz="8" w:color="0077C0"/>
            </w:tcBorders>
          </w:tcPr>
          <w:p>
            <w:pPr>
              <w:spacing w:after="0"/>
              <w:rPr>
                <w:sz w:val="11"/>
                <w:szCs w:val="11"/>
                <w:color w:val="auto"/>
              </w:rPr>
            </w:pPr>
          </w:p>
        </w:tc>
        <w:tc>
          <w:tcPr>
            <w:tcW w:w="200" w:type="dxa"/>
            <w:vAlign w:val="bottom"/>
            <w:tcBorders>
              <w:top w:val="single" w:sz="8" w:color="0077C0"/>
            </w:tcBorders>
          </w:tcPr>
          <w:p>
            <w:pPr>
              <w:spacing w:after="0"/>
              <w:rPr>
                <w:sz w:val="11"/>
                <w:szCs w:val="11"/>
                <w:color w:val="auto"/>
              </w:rPr>
            </w:pPr>
          </w:p>
        </w:tc>
        <w:tc>
          <w:tcPr>
            <w:tcW w:w="860" w:type="dxa"/>
            <w:vAlign w:val="bottom"/>
            <w:tcBorders>
              <w:top w:val="single" w:sz="8" w:color="0077C0"/>
              <w:right w:val="single" w:sz="8" w:color="0077C0"/>
            </w:tcBorders>
          </w:tcPr>
          <w:p>
            <w:pPr>
              <w:spacing w:after="0"/>
              <w:rPr>
                <w:sz w:val="11"/>
                <w:szCs w:val="11"/>
                <w:color w:val="auto"/>
              </w:rPr>
            </w:pPr>
          </w:p>
        </w:tc>
        <w:tc>
          <w:tcPr>
            <w:tcW w:w="1280" w:type="dxa"/>
            <w:vAlign w:val="bottom"/>
            <w:tcBorders>
              <w:top w:val="single" w:sz="8" w:color="0077C0"/>
            </w:tcBorders>
          </w:tcPr>
          <w:p>
            <w:pPr>
              <w:spacing w:after="0"/>
              <w:rPr>
                <w:sz w:val="11"/>
                <w:szCs w:val="11"/>
                <w:color w:val="auto"/>
              </w:rPr>
            </w:pPr>
          </w:p>
        </w:tc>
        <w:tc>
          <w:tcPr>
            <w:tcW w:w="500" w:type="dxa"/>
            <w:vAlign w:val="bottom"/>
            <w:tcBorders>
              <w:top w:val="single" w:sz="8" w:color="0077C0"/>
            </w:tcBorders>
          </w:tcPr>
          <w:p>
            <w:pPr>
              <w:spacing w:after="0"/>
              <w:rPr>
                <w:sz w:val="11"/>
                <w:szCs w:val="11"/>
                <w:color w:val="auto"/>
              </w:rPr>
            </w:pPr>
          </w:p>
        </w:tc>
        <w:tc>
          <w:tcPr>
            <w:tcW w:w="1000" w:type="dxa"/>
            <w:vAlign w:val="bottom"/>
            <w:tcBorders>
              <w:top w:val="single" w:sz="8" w:color="0077C0"/>
            </w:tcBorders>
          </w:tcPr>
          <w:p>
            <w:pPr>
              <w:spacing w:after="0"/>
              <w:rPr>
                <w:sz w:val="11"/>
                <w:szCs w:val="11"/>
                <w:color w:val="auto"/>
              </w:rPr>
            </w:pPr>
          </w:p>
        </w:tc>
        <w:tc>
          <w:tcPr>
            <w:tcW w:w="1260" w:type="dxa"/>
            <w:vAlign w:val="bottom"/>
            <w:tcBorders>
              <w:top w:val="single" w:sz="8" w:color="0077C0"/>
            </w:tcBorders>
          </w:tcPr>
          <w:p>
            <w:pPr>
              <w:spacing w:after="0"/>
              <w:rPr>
                <w:sz w:val="11"/>
                <w:szCs w:val="11"/>
                <w:color w:val="auto"/>
              </w:rPr>
            </w:pPr>
          </w:p>
        </w:tc>
        <w:tc>
          <w:tcPr>
            <w:tcW w:w="480" w:type="dxa"/>
            <w:vAlign w:val="bottom"/>
            <w:tcBorders>
              <w:top w:val="single" w:sz="8" w:color="0077C0"/>
            </w:tcBorders>
          </w:tcPr>
          <w:p>
            <w:pPr>
              <w:spacing w:after="0"/>
              <w:rPr>
                <w:sz w:val="11"/>
                <w:szCs w:val="11"/>
                <w:color w:val="auto"/>
              </w:rPr>
            </w:pPr>
          </w:p>
        </w:tc>
        <w:tc>
          <w:tcPr>
            <w:tcW w:w="500" w:type="dxa"/>
            <w:vAlign w:val="bottom"/>
            <w:tcBorders>
              <w:top w:val="single" w:sz="8" w:color="0077C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2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b w:val="1"/>
                <w:bCs w:val="1"/>
                <w:color w:val="0077C0"/>
              </w:rPr>
              <w:t>at December 31</w:t>
            </w:r>
          </w:p>
        </w:tc>
        <w:tc>
          <w:tcPr>
            <w:tcW w:w="580" w:type="dxa"/>
            <w:vAlign w:val="bottom"/>
            <w:tcBorders>
              <w:bottom w:val="single" w:sz="8" w:color="0077C0"/>
            </w:tcBorders>
          </w:tcPr>
          <w:p>
            <w:pPr>
              <w:spacing w:after="0"/>
              <w:rPr>
                <w:sz w:val="13"/>
                <w:szCs w:val="13"/>
                <w:color w:val="auto"/>
              </w:rPr>
            </w:pPr>
          </w:p>
        </w:tc>
        <w:tc>
          <w:tcPr>
            <w:tcW w:w="1380" w:type="dxa"/>
            <w:vAlign w:val="bottom"/>
            <w:tcBorders>
              <w:bottom w:val="single" w:sz="8" w:color="0077C0"/>
            </w:tcBorders>
          </w:tcPr>
          <w:p>
            <w:pPr>
              <w:spacing w:after="0"/>
              <w:rPr>
                <w:sz w:val="13"/>
                <w:szCs w:val="13"/>
                <w:color w:val="auto"/>
              </w:rPr>
            </w:pPr>
          </w:p>
        </w:tc>
        <w:tc>
          <w:tcPr>
            <w:tcW w:w="200" w:type="dxa"/>
            <w:vAlign w:val="bottom"/>
            <w:tcBorders>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121,382</w:t>
            </w:r>
          </w:p>
        </w:tc>
        <w:tc>
          <w:tcPr>
            <w:tcW w:w="1280" w:type="dxa"/>
            <w:vAlign w:val="bottom"/>
            <w:tcBorders>
              <w:bottom w:val="single" w:sz="8" w:color="0077C0"/>
            </w:tcBorders>
          </w:tcPr>
          <w:p>
            <w:pPr>
              <w:spacing w:after="0"/>
              <w:rPr>
                <w:sz w:val="13"/>
                <w:szCs w:val="13"/>
                <w:color w:val="auto"/>
              </w:rPr>
            </w:pPr>
          </w:p>
        </w:tc>
        <w:tc>
          <w:tcPr>
            <w:tcW w:w="50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105,081</w:t>
            </w:r>
          </w:p>
        </w:tc>
        <w:tc>
          <w:tcPr>
            <w:tcW w:w="1260" w:type="dxa"/>
            <w:vAlign w:val="bottom"/>
            <w:tcBorders>
              <w:bottom w:val="single" w:sz="8" w:color="0077C0"/>
            </w:tcBorders>
          </w:tcPr>
          <w:p>
            <w:pPr>
              <w:spacing w:after="0"/>
              <w:rPr>
                <w:sz w:val="13"/>
                <w:szCs w:val="13"/>
                <w:color w:val="auto"/>
              </w:rPr>
            </w:pPr>
          </w:p>
        </w:tc>
        <w:tc>
          <w:tcPr>
            <w:tcW w:w="48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2"/>
                <w:szCs w:val="12"/>
                <w:color w:val="auto"/>
              </w:rPr>
              <w:t>91,914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2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Noncontrolling Interests</w:t>
            </w:r>
          </w:p>
        </w:tc>
        <w:tc>
          <w:tcPr>
            <w:tcW w:w="580" w:type="dxa"/>
            <w:vAlign w:val="bottom"/>
            <w:tcBorders>
              <w:bottom w:val="single" w:sz="8" w:color="0077C0"/>
            </w:tcBorders>
          </w:tcPr>
          <w:p>
            <w:pPr>
              <w:spacing w:after="0"/>
              <w:rPr>
                <w:sz w:val="12"/>
                <w:szCs w:val="12"/>
                <w:color w:val="auto"/>
              </w:rPr>
            </w:pPr>
          </w:p>
        </w:tc>
        <w:tc>
          <w:tcPr>
            <w:tcW w:w="1380" w:type="dxa"/>
            <w:vAlign w:val="bottom"/>
            <w:tcBorders>
              <w:bottom w:val="single" w:sz="8" w:color="0077C0"/>
            </w:tcBorders>
          </w:tcPr>
          <w:p>
            <w:pPr>
              <w:spacing w:after="0"/>
              <w:rPr>
                <w:sz w:val="12"/>
                <w:szCs w:val="12"/>
                <w:color w:val="auto"/>
              </w:rPr>
            </w:pPr>
          </w:p>
        </w:tc>
        <w:tc>
          <w:tcPr>
            <w:tcW w:w="200" w:type="dxa"/>
            <w:vAlign w:val="bottom"/>
            <w:tcBorders>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799</w:t>
            </w:r>
          </w:p>
        </w:tc>
        <w:tc>
          <w:tcPr>
            <w:tcW w:w="1280" w:type="dxa"/>
            <w:vAlign w:val="bottom"/>
            <w:tcBorders>
              <w:bottom w:val="single" w:sz="8" w:color="0077C0"/>
            </w:tcBorders>
          </w:tcPr>
          <w:p>
            <w:pPr>
              <w:spacing w:after="0"/>
              <w:rPr>
                <w:sz w:val="12"/>
                <w:szCs w:val="12"/>
                <w:color w:val="auto"/>
              </w:rPr>
            </w:pPr>
          </w:p>
        </w:tc>
        <w:tc>
          <w:tcPr>
            <w:tcW w:w="50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730</w:t>
            </w:r>
          </w:p>
        </w:tc>
        <w:tc>
          <w:tcPr>
            <w:tcW w:w="1260" w:type="dxa"/>
            <w:vAlign w:val="bottom"/>
            <w:tcBorders>
              <w:bottom w:val="single" w:sz="8" w:color="0077C0"/>
            </w:tcBorders>
          </w:tcPr>
          <w:p>
            <w:pPr>
              <w:spacing w:after="0"/>
              <w:rPr>
                <w:sz w:val="12"/>
                <w:szCs w:val="12"/>
                <w:color w:val="auto"/>
              </w:rPr>
            </w:pPr>
          </w:p>
        </w:tc>
        <w:tc>
          <w:tcPr>
            <w:tcW w:w="48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2"/>
                <w:szCs w:val="12"/>
                <w:color w:val="auto"/>
              </w:rPr>
              <w:t>647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2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Total Equity</w:t>
            </w:r>
          </w:p>
        </w:tc>
        <w:tc>
          <w:tcPr>
            <w:tcW w:w="580" w:type="dxa"/>
            <w:vAlign w:val="bottom"/>
            <w:tcBorders>
              <w:bottom w:val="single" w:sz="8" w:color="0077C0"/>
            </w:tcBorders>
          </w:tcPr>
          <w:p>
            <w:pPr>
              <w:spacing w:after="0"/>
              <w:rPr>
                <w:sz w:val="13"/>
                <w:szCs w:val="13"/>
                <w:color w:val="auto"/>
              </w:rPr>
            </w:pPr>
          </w:p>
        </w:tc>
        <w:tc>
          <w:tcPr>
            <w:tcW w:w="1380" w:type="dxa"/>
            <w:vAlign w:val="bottom"/>
            <w:tcBorders>
              <w:bottom w:val="single" w:sz="8" w:color="0077C0"/>
            </w:tcBorders>
          </w:tcPr>
          <w:p>
            <w:pPr>
              <w:spacing w:after="0"/>
              <w:rPr>
                <w:sz w:val="13"/>
                <w:szCs w:val="13"/>
                <w:color w:val="auto"/>
              </w:rPr>
            </w:pPr>
          </w:p>
        </w:tc>
        <w:tc>
          <w:tcPr>
            <w:tcW w:w="200" w:type="dxa"/>
            <w:vAlign w:val="bottom"/>
            <w:tcBorders>
              <w:bottom w:val="single" w:sz="8" w:color="0077C0"/>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0077C0"/>
              <w:right w:val="single" w:sz="8" w:color="0077C0"/>
            </w:tcBorders>
          </w:tcPr>
          <w:p>
            <w:pPr>
              <w:jc w:val="right"/>
              <w:ind w:right="303"/>
              <w:spacing w:after="0"/>
              <w:rPr>
                <w:sz w:val="20"/>
                <w:szCs w:val="20"/>
                <w:color w:val="auto"/>
              </w:rPr>
            </w:pPr>
            <w:r>
              <w:rPr>
                <w:rFonts w:ascii="Arial" w:cs="Arial" w:eastAsia="Arial" w:hAnsi="Arial"/>
                <w:sz w:val="12"/>
                <w:szCs w:val="12"/>
                <w:b w:val="1"/>
                <w:bCs w:val="1"/>
                <w:color w:val="auto"/>
              </w:rPr>
              <w:t>122,181</w:t>
            </w:r>
          </w:p>
        </w:tc>
        <w:tc>
          <w:tcPr>
            <w:tcW w:w="1280" w:type="dxa"/>
            <w:vAlign w:val="bottom"/>
            <w:tcBorders>
              <w:bottom w:val="single" w:sz="8" w:color="0077C0"/>
            </w:tcBorders>
          </w:tcPr>
          <w:p>
            <w:pPr>
              <w:spacing w:after="0"/>
              <w:rPr>
                <w:sz w:val="13"/>
                <w:szCs w:val="13"/>
                <w:color w:val="auto"/>
              </w:rPr>
            </w:pPr>
          </w:p>
        </w:tc>
        <w:tc>
          <w:tcPr>
            <w:tcW w:w="50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0077C0"/>
            </w:tcBorders>
          </w:tcPr>
          <w:p>
            <w:pPr>
              <w:jc w:val="right"/>
              <w:ind w:right="423"/>
              <w:spacing w:after="0"/>
              <w:rPr>
                <w:sz w:val="20"/>
                <w:szCs w:val="20"/>
                <w:color w:val="auto"/>
              </w:rPr>
            </w:pPr>
            <w:r>
              <w:rPr>
                <w:rFonts w:ascii="Arial" w:cs="Arial" w:eastAsia="Arial" w:hAnsi="Arial"/>
                <w:sz w:val="12"/>
                <w:szCs w:val="12"/>
                <w:color w:val="auto"/>
              </w:rPr>
              <w:t>105,811</w:t>
            </w:r>
          </w:p>
        </w:tc>
        <w:tc>
          <w:tcPr>
            <w:tcW w:w="1260" w:type="dxa"/>
            <w:vAlign w:val="bottom"/>
            <w:tcBorders>
              <w:bottom w:val="single" w:sz="8" w:color="0077C0"/>
            </w:tcBorders>
          </w:tcPr>
          <w:p>
            <w:pPr>
              <w:spacing w:after="0"/>
              <w:rPr>
                <w:sz w:val="13"/>
                <w:szCs w:val="13"/>
                <w:color w:val="auto"/>
              </w:rPr>
            </w:pPr>
          </w:p>
        </w:tc>
        <w:tc>
          <w:tcPr>
            <w:tcW w:w="480" w:type="dxa"/>
            <w:vAlign w:val="bottom"/>
            <w:tcBorders>
              <w:bottom w:val="single" w:sz="8" w:color="0077C0"/>
            </w:tcBorders>
          </w:tcPr>
          <w:p>
            <w:pPr>
              <w:jc w:val="right"/>
              <w:ind w:right="6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2"/>
                <w:szCs w:val="12"/>
                <w:color w:val="auto"/>
              </w:rPr>
              <w:t>92,561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0"/>
        <w:spacing w:after="0"/>
        <w:rPr>
          <w:sz w:val="20"/>
          <w:szCs w:val="20"/>
          <w:color w:val="auto"/>
        </w:rPr>
      </w:pPr>
      <w:r>
        <w:rPr>
          <w:rFonts w:ascii="Arial" w:cs="Arial" w:eastAsia="Arial" w:hAnsi="Arial"/>
          <w:sz w:val="9"/>
          <w:szCs w:val="9"/>
          <w:color w:val="auto"/>
        </w:rPr>
        <w:t>See accompanying Notes to the Consolidated Financial Statements.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FS-27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29297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500"/>
          </w:cols>
          <w:pgMar w:left="220" w:top="339" w:right="1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92"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auto"/>
        </w:rPr>
        <w:t>Notes to the Consolidated Financial Statements</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0"/>
          <w:szCs w:val="10"/>
          <w:color w:val="auto"/>
        </w:rPr>
        <w:t>Millions of dollars, except per-share amounts</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Summary of Significant Accounting Policies</w:t>
      </w:r>
    </w:p>
    <w:p>
      <w:pPr>
        <w:ind w:right="120"/>
        <w:spacing w:after="0" w:line="267" w:lineRule="auto"/>
        <w:rPr>
          <w:sz w:val="20"/>
          <w:szCs w:val="20"/>
          <w:color w:val="auto"/>
        </w:rPr>
      </w:pPr>
      <w:r>
        <w:rPr>
          <w:rFonts w:ascii="Arial" w:cs="Arial" w:eastAsia="Arial" w:hAnsi="Arial"/>
          <w:sz w:val="12"/>
          <w:szCs w:val="12"/>
          <w:i w:val="1"/>
          <w:iCs w:val="1"/>
          <w:color w:val="E51837"/>
        </w:rPr>
        <w:t xml:space="preserve">General </w:t>
      </w:r>
      <w:r>
        <w:rPr>
          <w:rFonts w:ascii="Arial" w:cs="Arial" w:eastAsia="Arial" w:hAnsi="Arial"/>
          <w:sz w:val="12"/>
          <w:szCs w:val="12"/>
          <w:color w:val="000000"/>
        </w:rPr>
        <w:t>Upstream operations consist primarily of exploring for, developing and producing crude oil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natural gas; liquefaction, transportation and regasification associated with liquefied natural gas (LNG); transporting crude oil by major international oil export pipelines; processing, transporting, storage and marketing of natural gas; and a gas-to-liquids project. Downstream operations relate primarily to refining crude oil into petroleum products; marketing of crude oil and refined products; transporting crude oil and refined products by pipeline, marine vessel, motor equipment and rail car; and manufacturing and marketing of commodity petrochemicals, plastics for industrial uses, and additives for fuels and lubricant oils.</w:t>
      </w:r>
    </w:p>
    <w:p>
      <w:pPr>
        <w:ind w:right="40" w:firstLine="158"/>
        <w:spacing w:after="0" w:line="272" w:lineRule="auto"/>
        <w:rPr>
          <w:sz w:val="20"/>
          <w:szCs w:val="20"/>
          <w:color w:val="auto"/>
        </w:rPr>
      </w:pPr>
      <w:r>
        <w:rPr>
          <w:rFonts w:ascii="Arial" w:cs="Arial" w:eastAsia="Arial" w:hAnsi="Arial"/>
          <w:sz w:val="12"/>
          <w:szCs w:val="12"/>
          <w:color w:val="auto"/>
        </w:rPr>
        <w:t>The company’s Consolidated Financial Statements are prepared in accordance with accounting principles generally accepted in the United States of America. These require the use of estimates and assumptions that affect the assets, liabilities, revenues and expenses reported in the financial statements, as well as amounts included in the notes thereto, including discussion and disclosure of contingent liabilities. Although the company uses its best estimates and judgments, actual results could differ from these estimates as future confirming events occur.</w:t>
      </w:r>
    </w:p>
    <w:p>
      <w:pPr>
        <w:spacing w:after="0" w:line="53"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i w:val="1"/>
          <w:iCs w:val="1"/>
          <w:color w:val="E51837"/>
        </w:rPr>
        <w:t xml:space="preserve">Subsidiary and Affiliated Companies </w:t>
      </w:r>
      <w:r>
        <w:rPr>
          <w:rFonts w:ascii="Arial" w:cs="Arial" w:eastAsia="Arial" w:hAnsi="Arial"/>
          <w:sz w:val="12"/>
          <w:szCs w:val="12"/>
          <w:color w:val="000000"/>
        </w:rPr>
        <w:t>The Consolidated Financial Statements include the accounts of</w:t>
      </w:r>
      <w:r>
        <w:rPr>
          <w:rFonts w:ascii="Arial" w:cs="Arial" w:eastAsia="Arial" w:hAnsi="Arial"/>
          <w:sz w:val="12"/>
          <w:szCs w:val="12"/>
          <w:i w:val="1"/>
          <w:iCs w:val="1"/>
          <w:color w:val="E51837"/>
        </w:rPr>
        <w:t xml:space="preserve"> </w:t>
      </w:r>
      <w:r>
        <w:rPr>
          <w:rFonts w:ascii="Arial" w:cs="Arial" w:eastAsia="Arial" w:hAnsi="Arial"/>
          <w:sz w:val="12"/>
          <w:szCs w:val="12"/>
          <w:color w:val="000000"/>
        </w:rPr>
        <w:t>controlled subsidiary companies more than 50 percent-owned and any variable-interest entities in which the company is the primary beneficiary. Undivided interests in oil and gas joint ventures and certain other assets are consolidated on a proportionate basis. Investments in and advances to affiliates in which the company has a substantial ownership interest of approximately 20 percent to 50 percent, or for which the company exercises significant influence but not control over policy decisions, are accounted for by the equity method. As part of that accounting, the company recognizes gains and losses that arise from the issuance of stock by an affiliate that results in changes in the company’s proportionate share of the dollar amount of the affiliate’s equity currently in income.</w:t>
      </w:r>
    </w:p>
    <w:p>
      <w:pPr>
        <w:ind w:firstLine="160"/>
        <w:spacing w:after="0" w:line="247" w:lineRule="auto"/>
        <w:rPr>
          <w:sz w:val="20"/>
          <w:szCs w:val="20"/>
          <w:color w:val="auto"/>
        </w:rPr>
      </w:pPr>
      <w:r>
        <w:rPr>
          <w:rFonts w:ascii="Arial" w:cs="Arial" w:eastAsia="Arial" w:hAnsi="Arial"/>
          <w:sz w:val="13"/>
          <w:szCs w:val="13"/>
          <w:color w:val="auto"/>
        </w:rPr>
        <w:t>Investments are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allow for any anticipated recovery in the investment’s market value. The new cost basis of investments in these equity investees is not changed for subsequent recoveries in fair value.</w:t>
      </w:r>
    </w:p>
    <w:p>
      <w:pPr>
        <w:spacing w:after="0" w:line="1" w:lineRule="exact"/>
        <w:rPr>
          <w:sz w:val="20"/>
          <w:szCs w:val="20"/>
          <w:color w:val="auto"/>
        </w:rPr>
      </w:pPr>
    </w:p>
    <w:p>
      <w:pPr>
        <w:ind w:right="20" w:firstLine="192"/>
        <w:spacing w:after="0" w:line="274" w:lineRule="auto"/>
        <w:rPr>
          <w:sz w:val="20"/>
          <w:szCs w:val="20"/>
          <w:color w:val="auto"/>
        </w:rPr>
      </w:pPr>
      <w:r>
        <w:rPr>
          <w:rFonts w:ascii="Arial" w:cs="Arial" w:eastAsia="Arial" w:hAnsi="Arial"/>
          <w:sz w:val="12"/>
          <w:szCs w:val="12"/>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When appropriate, the company’s share of the affiliate’s reported earnings is adjusted quarterly to reflect the difference between these allocated values and the affiliate’s historical book values.</w:t>
      </w:r>
    </w:p>
    <w:p>
      <w:pPr>
        <w:spacing w:after="0" w:line="50" w:lineRule="exact"/>
        <w:rPr>
          <w:sz w:val="20"/>
          <w:szCs w:val="20"/>
          <w:color w:val="auto"/>
        </w:rPr>
      </w:pPr>
    </w:p>
    <w:p>
      <w:pPr>
        <w:spacing w:after="0" w:line="297" w:lineRule="auto"/>
        <w:rPr>
          <w:sz w:val="20"/>
          <w:szCs w:val="20"/>
          <w:color w:val="auto"/>
        </w:rPr>
      </w:pPr>
      <w:r>
        <w:rPr>
          <w:rFonts w:ascii="Arial" w:cs="Arial" w:eastAsia="Arial" w:hAnsi="Arial"/>
          <w:sz w:val="11"/>
          <w:szCs w:val="11"/>
          <w:i w:val="1"/>
          <w:iCs w:val="1"/>
          <w:color w:val="E51837"/>
        </w:rPr>
        <w:t xml:space="preserve">Derivatives </w:t>
      </w:r>
      <w:r>
        <w:rPr>
          <w:rFonts w:ascii="Arial" w:cs="Arial" w:eastAsia="Arial" w:hAnsi="Arial"/>
          <w:sz w:val="11"/>
          <w:szCs w:val="11"/>
          <w:color w:val="000000"/>
        </w:rPr>
        <w:t>The majority of the company’s activity in derivative commodity instruments is intended to</w:t>
      </w:r>
      <w:r>
        <w:rPr>
          <w:rFonts w:ascii="Arial" w:cs="Arial" w:eastAsia="Arial" w:hAnsi="Arial"/>
          <w:sz w:val="11"/>
          <w:szCs w:val="11"/>
          <w:i w:val="1"/>
          <w:iCs w:val="1"/>
          <w:color w:val="E51837"/>
        </w:rPr>
        <w:t xml:space="preserve"> </w:t>
      </w:r>
      <w:r>
        <w:rPr>
          <w:rFonts w:ascii="Arial" w:cs="Arial" w:eastAsia="Arial" w:hAnsi="Arial"/>
          <w:sz w:val="11"/>
          <w:szCs w:val="11"/>
          <w:color w:val="000000"/>
        </w:rPr>
        <w:t>manage the financial risk posed by physical transactions. For some of this derivative activity, generally limited to large, discrete or infrequently occurring transactions, the company may elect to apply fair value or cash flow hedge accounting. For other similar derivative instruments, generally because of the short-term nature of the contracts or their limited use, the company does not apply hedge accounting, and changes in the fair value of those contracts are reflected in current income. For the company’s commodity trading activity, gains and losses from derivative instruments are reported in current income. The company may enter into interest rate swaps from time to time as part of its overall strategy to manage the interest rate risk on its debt. Interest rate swaps related to a portion of the company’s fixed-rate debt, if any, may be accounted for as fair value hedges. Interest rate swaps related to floating-rate debt, if any, are recorded at fair value on the balance sheet with resulting gains and losses reflected in income. Where Chevron is a party to master netting arrangements, fair value receivable and payable amounts recognized for derivative instruments executed with the same counterparty are generally offset on the balance sheet.</w:t>
      </w:r>
    </w:p>
    <w:p>
      <w:pPr>
        <w:spacing w:after="0" w:line="41" w:lineRule="exact"/>
        <w:rPr>
          <w:sz w:val="20"/>
          <w:szCs w:val="20"/>
          <w:color w:val="auto"/>
        </w:rPr>
      </w:pPr>
    </w:p>
    <w:p>
      <w:pPr>
        <w:ind w:right="120"/>
        <w:spacing w:after="0" w:line="275" w:lineRule="auto"/>
        <w:rPr>
          <w:sz w:val="20"/>
          <w:szCs w:val="20"/>
          <w:color w:val="auto"/>
        </w:rPr>
      </w:pPr>
      <w:r>
        <w:rPr>
          <w:rFonts w:ascii="Arial" w:cs="Arial" w:eastAsia="Arial" w:hAnsi="Arial"/>
          <w:sz w:val="12"/>
          <w:szCs w:val="12"/>
          <w:i w:val="1"/>
          <w:iCs w:val="1"/>
          <w:color w:val="E51837"/>
        </w:rPr>
        <w:t xml:space="preserve">Short-Term Investments </w:t>
      </w:r>
      <w:r>
        <w:rPr>
          <w:rFonts w:ascii="Arial" w:cs="Arial" w:eastAsia="Arial" w:hAnsi="Arial"/>
          <w:sz w:val="12"/>
          <w:szCs w:val="12"/>
          <w:color w:val="000000"/>
        </w:rPr>
        <w:t>All short-term investments are classified as available for sale and are in highly</w:t>
      </w:r>
      <w:r>
        <w:rPr>
          <w:rFonts w:ascii="Arial" w:cs="Arial" w:eastAsia="Arial" w:hAnsi="Arial"/>
          <w:sz w:val="12"/>
          <w:szCs w:val="12"/>
          <w:i w:val="1"/>
          <w:iCs w:val="1"/>
          <w:color w:val="E51837"/>
        </w:rPr>
        <w:t xml:space="preserve"> </w:t>
      </w:r>
      <w:r>
        <w:rPr>
          <w:rFonts w:ascii="Arial" w:cs="Arial" w:eastAsia="Arial" w:hAnsi="Arial"/>
          <w:sz w:val="12"/>
          <w:szCs w:val="12"/>
          <w:color w:val="000000"/>
        </w:rPr>
        <w:t>liquid debt securities. Those investments that are part of the company’s cash management portfolio and have original maturities of three months or less are reported as “Cash equivalents.” Bank time deposits with maturities greater than 90 days are reported as “Time deposits.” The balance of short-term investments is reported as “Marketable securities” and is marked-to-market, with any unrealized gains or losses included in “Other comprehensive income.”</w:t>
      </w:r>
    </w:p>
    <w:p>
      <w:pPr>
        <w:spacing w:after="0" w:line="51" w:lineRule="exact"/>
        <w:rPr>
          <w:sz w:val="20"/>
          <w:szCs w:val="20"/>
          <w:color w:val="auto"/>
        </w:rPr>
      </w:pPr>
    </w:p>
    <w:p>
      <w:pPr>
        <w:jc w:val="both"/>
        <w:ind w:right="160"/>
        <w:spacing w:after="0" w:line="256" w:lineRule="auto"/>
        <w:rPr>
          <w:sz w:val="20"/>
          <w:szCs w:val="20"/>
          <w:color w:val="auto"/>
        </w:rPr>
      </w:pPr>
      <w:r>
        <w:rPr>
          <w:rFonts w:ascii="Arial" w:cs="Arial" w:eastAsia="Arial" w:hAnsi="Arial"/>
          <w:sz w:val="13"/>
          <w:szCs w:val="13"/>
          <w:i w:val="1"/>
          <w:iCs w:val="1"/>
          <w:color w:val="E51837"/>
        </w:rPr>
        <w:t xml:space="preserve">Inventories </w:t>
      </w:r>
      <w:r>
        <w:rPr>
          <w:rFonts w:ascii="Arial" w:cs="Arial" w:eastAsia="Arial" w:hAnsi="Arial"/>
          <w:sz w:val="13"/>
          <w:szCs w:val="13"/>
          <w:color w:val="000000"/>
        </w:rPr>
        <w:t>Crude oil, petroleum products and chemicals inventories are generally stated at cost, using a</w:t>
      </w:r>
      <w:r>
        <w:rPr>
          <w:rFonts w:ascii="Arial" w:cs="Arial" w:eastAsia="Arial" w:hAnsi="Arial"/>
          <w:sz w:val="13"/>
          <w:szCs w:val="13"/>
          <w:i w:val="1"/>
          <w:iCs w:val="1"/>
          <w:color w:val="E51837"/>
        </w:rPr>
        <w:t xml:space="preserve"> </w:t>
      </w:r>
      <w:r>
        <w:rPr>
          <w:rFonts w:ascii="Arial" w:cs="Arial" w:eastAsia="Arial" w:hAnsi="Arial"/>
          <w:sz w:val="13"/>
          <w:szCs w:val="13"/>
          <w:color w:val="000000"/>
        </w:rPr>
        <w:t>last-in, first-out method. In the aggregate, these costs are below market. “Materials, supplies and other” inventories generally are stated at average cost.</w:t>
      </w:r>
    </w:p>
    <w:p>
      <w:pPr>
        <w:spacing w:after="0" w:line="48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 </w:t>
      </w:r>
      <w:r>
        <w:rPr>
          <w:rFonts w:ascii="Arial" w:cs="Arial" w:eastAsia="Arial" w:hAnsi="Arial"/>
          <w:sz w:val="8"/>
          <w:szCs w:val="8"/>
          <w:color w:val="000000"/>
        </w:rPr>
        <w:t>Summary of Significant Accounting Policies - Continued</w:t>
      </w:r>
    </w:p>
    <w:p>
      <w:pPr>
        <w:sectPr>
          <w:pgSz w:w="11900" w:h="16838" w:orient="portrait"/>
          <w:cols w:equalWidth="0" w:num="1">
            <w:col w:w="11460"/>
          </w:cols>
          <w:pgMar w:left="220" w:top="339" w:right="219" w:bottom="1440" w:gutter="0" w:footer="0" w:header="0"/>
        </w:sectPr>
      </w:pPr>
    </w:p>
    <w:p>
      <w:pPr>
        <w:spacing w:after="0" w:line="327"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i w:val="1"/>
          <w:iCs w:val="1"/>
          <w:color w:val="E51837"/>
        </w:rPr>
        <w:t xml:space="preserve">Properties, Plant and Equipment </w:t>
      </w:r>
      <w:r>
        <w:rPr>
          <w:rFonts w:ascii="Arial" w:cs="Arial" w:eastAsia="Arial" w:hAnsi="Arial"/>
          <w:sz w:val="12"/>
          <w:szCs w:val="12"/>
          <w:color w:val="000000"/>
        </w:rPr>
        <w:t>The successful efforts method is used for crude oil and natural gas</w:t>
      </w:r>
      <w:r>
        <w:rPr>
          <w:rFonts w:ascii="Arial" w:cs="Arial" w:eastAsia="Arial" w:hAnsi="Arial"/>
          <w:sz w:val="12"/>
          <w:szCs w:val="12"/>
          <w:i w:val="1"/>
          <w:iCs w:val="1"/>
          <w:color w:val="E51837"/>
        </w:rPr>
        <w:t xml:space="preserve"> </w:t>
      </w:r>
      <w:r>
        <w:rPr>
          <w:rFonts w:ascii="Arial" w:cs="Arial" w:eastAsia="Arial" w:hAnsi="Arial"/>
          <w:sz w:val="12"/>
          <w:szCs w:val="12"/>
          <w:color w:val="000000"/>
        </w:rPr>
        <w:t>exploration and production activities. All costs for development wells, related plant and equipment, proved mineral interests in crude oil and natural gas properties, and related asset retirement obligation</w:t>
      </w:r>
    </w:p>
    <w:p>
      <w:pPr>
        <w:ind w:right="40"/>
        <w:spacing w:after="0" w:line="267" w:lineRule="auto"/>
        <w:rPr>
          <w:sz w:val="20"/>
          <w:szCs w:val="20"/>
          <w:color w:val="auto"/>
        </w:rPr>
      </w:pPr>
      <w:r>
        <w:rPr>
          <w:rFonts w:ascii="Arial" w:cs="Arial" w:eastAsia="Arial" w:hAnsi="Arial"/>
          <w:sz w:val="12"/>
          <w:szCs w:val="12"/>
          <w:color w:val="auto"/>
        </w:rPr>
        <w:t>(ARO) assets are capitalized. Costs of exploratory wells are capitalized pending determination of whether the wells found proved reserves. Costs of wells that are assigned proved reserves remain capitalized. Costs also are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company is making sufficient progress assessing the reserves and the economic and operating viability of the project. All other exploratory wells and costs are expensed. Refer to Note 19, beginning on page FS-47, for additional discussion of accounting for suspended exploratory well costs.</w:t>
      </w:r>
    </w:p>
    <w:p>
      <w:pPr>
        <w:spacing w:after="0" w:line="2"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color w:val="auto"/>
        </w:rPr>
        <w:t>Long-lived assets to be held and used, including proved crude oil and natural gas properties, are assessed for possible impairment by comparing their carrying values with their associated undiscounted, future net before-tax cash flows. Events that can trigger assessments for possible impairments include write-downs of proved reserves based on field performance, significant decreases in the market value of an asset, significant change in the extent or manner of use of or a physical change in an asset, and a more-likely-than-not expectation that a long-lived asset or asset group will be sold or otherwise disposed of significantly sooner than the end of its previously estimated useful life. Impaired assets are written down to their estimated fair values, generally their discounted future net before-tax cash flows. For proved crude oil and natural gas properties in the United States, the company generally performs the impairment review on an individual field basis. Outside the United States, reviews are performed on a country, concession, development area or field basis, as appropriate. In Downstream, impairment reviews are performed on the basis of a refinery, a plant, a marketing/lubricants area or distribution area, as appropriate. Impairment amounts are recorded as incremental “Depreciation, depletion and amortization” expense.</w:t>
      </w:r>
    </w:p>
    <w:p>
      <w:pPr>
        <w:spacing w:after="0" w:line="5" w:lineRule="exact"/>
        <w:rPr>
          <w:sz w:val="20"/>
          <w:szCs w:val="20"/>
          <w:color w:val="auto"/>
        </w:rPr>
      </w:pPr>
    </w:p>
    <w:p>
      <w:pPr>
        <w:ind w:right="20" w:firstLine="160"/>
        <w:spacing w:after="0" w:line="246" w:lineRule="auto"/>
        <w:rPr>
          <w:sz w:val="20"/>
          <w:szCs w:val="20"/>
          <w:color w:val="auto"/>
        </w:rPr>
      </w:pPr>
      <w:r>
        <w:rPr>
          <w:rFonts w:ascii="Arial" w:cs="Arial" w:eastAsia="Arial" w:hAnsi="Arial"/>
          <w:sz w:val="13"/>
          <w:szCs w:val="13"/>
          <w:color w:val="auto"/>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 Refer to Note 9, beginning on page FS-34, relating to fair value measurements.</w:t>
      </w:r>
    </w:p>
    <w:p>
      <w:pPr>
        <w:spacing w:after="0" w:line="2" w:lineRule="exact"/>
        <w:rPr>
          <w:sz w:val="20"/>
          <w:szCs w:val="20"/>
          <w:color w:val="auto"/>
        </w:rPr>
      </w:pPr>
    </w:p>
    <w:p>
      <w:pPr>
        <w:ind w:right="340" w:firstLine="158"/>
        <w:spacing w:after="0" w:line="253" w:lineRule="auto"/>
        <w:rPr>
          <w:sz w:val="20"/>
          <w:szCs w:val="20"/>
          <w:color w:val="auto"/>
        </w:rPr>
      </w:pPr>
      <w:r>
        <w:rPr>
          <w:rFonts w:ascii="Arial" w:cs="Arial" w:eastAsia="Arial" w:hAnsi="Arial"/>
          <w:sz w:val="13"/>
          <w:szCs w:val="13"/>
          <w:color w:val="auto"/>
        </w:rPr>
        <w:t>The fair value of a liability for an ARO is recorded as an asset and a liability when there is a legal obligation associated with the retirement of a long-lived asset and the amount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60" w:right="400" w:hanging="159"/>
        <w:spacing w:after="0" w:line="299" w:lineRule="auto"/>
        <w:rPr>
          <w:sz w:val="20"/>
          <w:szCs w:val="20"/>
          <w:color w:val="auto"/>
        </w:rPr>
      </w:pPr>
      <w:r>
        <w:rPr>
          <w:rFonts w:ascii="Arial" w:cs="Arial" w:eastAsia="Arial" w:hAnsi="Arial"/>
          <w:sz w:val="11"/>
          <w:szCs w:val="11"/>
          <w:color w:val="auto"/>
        </w:rPr>
        <w:t>can be reasonably estimated. Refer also to Note 25, on page FS-58, relating to AROs. Depreciation and depletion of all capitalized costs of proved crude oil and natural gas producing</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Periodic valuation provisions for impairment of capitalized costs of unproved mineral interests are expensed.</w:t>
      </w:r>
    </w:p>
    <w:p>
      <w:pPr>
        <w:spacing w:after="0" w:line="1" w:lineRule="exact"/>
        <w:rPr>
          <w:sz w:val="20"/>
          <w:szCs w:val="20"/>
          <w:color w:val="auto"/>
        </w:rPr>
      </w:pPr>
    </w:p>
    <w:p>
      <w:pPr>
        <w:ind w:right="60" w:firstLine="158"/>
        <w:spacing w:after="0" w:line="246" w:lineRule="auto"/>
        <w:rPr>
          <w:sz w:val="20"/>
          <w:szCs w:val="20"/>
          <w:color w:val="auto"/>
        </w:rPr>
      </w:pPr>
      <w:r>
        <w:rPr>
          <w:rFonts w:ascii="Arial" w:cs="Arial" w:eastAsia="Arial" w:hAnsi="Arial"/>
          <w:sz w:val="13"/>
          <w:szCs w:val="13"/>
          <w:color w:val="auto"/>
        </w:rPr>
        <w:t>The capitalized costs of all other plant and equipment are depreciated or amortized over their estimated useful lives. In general, the declining-balance method is used to depreciate plant and equipment in the United States; the straight-line method is generally used to depreciate international plant and equipment and to amortize all capitalized leased assets.</w:t>
      </w:r>
    </w:p>
    <w:p>
      <w:pPr>
        <w:spacing w:after="0" w:line="2" w:lineRule="exact"/>
        <w:rPr>
          <w:sz w:val="20"/>
          <w:szCs w:val="20"/>
          <w:color w:val="auto"/>
        </w:rPr>
      </w:pPr>
    </w:p>
    <w:p>
      <w:pPr>
        <w:jc w:val="both"/>
        <w:ind w:right="80" w:firstLine="160"/>
        <w:spacing w:after="0" w:line="246" w:lineRule="auto"/>
        <w:rPr>
          <w:sz w:val="20"/>
          <w:szCs w:val="20"/>
          <w:color w:val="auto"/>
        </w:rPr>
      </w:pPr>
      <w:r>
        <w:rPr>
          <w:rFonts w:ascii="Arial" w:cs="Arial" w:eastAsia="Arial" w:hAnsi="Arial"/>
          <w:sz w:val="13"/>
          <w:szCs w:val="13"/>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2" w:lineRule="exact"/>
        <w:rPr>
          <w:sz w:val="20"/>
          <w:szCs w:val="20"/>
          <w:color w:val="auto"/>
        </w:rPr>
      </w:pPr>
    </w:p>
    <w:p>
      <w:pPr>
        <w:ind w:right="200" w:firstLine="160"/>
        <w:spacing w:after="0" w:line="250" w:lineRule="auto"/>
        <w:rPr>
          <w:sz w:val="20"/>
          <w:szCs w:val="20"/>
          <w:color w:val="auto"/>
        </w:rPr>
      </w:pPr>
      <w:r>
        <w:rPr>
          <w:rFonts w:ascii="Arial" w:cs="Arial" w:eastAsia="Arial" w:hAnsi="Arial"/>
          <w:sz w:val="13"/>
          <w:szCs w:val="13"/>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63" w:lineRule="exact"/>
        <w:rPr>
          <w:sz w:val="20"/>
          <w:szCs w:val="20"/>
          <w:color w:val="auto"/>
        </w:rPr>
      </w:pPr>
    </w:p>
    <w:p>
      <w:pPr>
        <w:ind w:right="100"/>
        <w:spacing w:after="0" w:line="314" w:lineRule="auto"/>
        <w:rPr>
          <w:sz w:val="20"/>
          <w:szCs w:val="20"/>
          <w:color w:val="auto"/>
        </w:rPr>
      </w:pPr>
      <w:r>
        <w:rPr>
          <w:rFonts w:ascii="Arial" w:cs="Arial" w:eastAsia="Arial" w:hAnsi="Arial"/>
          <w:sz w:val="11"/>
          <w:szCs w:val="11"/>
          <w:i w:val="1"/>
          <w:iCs w:val="1"/>
          <w:color w:val="E51837"/>
        </w:rPr>
        <w:t xml:space="preserve">Goodwill </w:t>
      </w:r>
      <w:r>
        <w:rPr>
          <w:rFonts w:ascii="Arial" w:cs="Arial" w:eastAsia="Arial" w:hAnsi="Arial"/>
          <w:sz w:val="11"/>
          <w:szCs w:val="11"/>
          <w:color w:val="000000"/>
        </w:rPr>
        <w:t>Goodwill resulting from a business combination is not subject to amortization. As required by</w:t>
      </w:r>
      <w:r>
        <w:rPr>
          <w:rFonts w:ascii="Arial" w:cs="Arial" w:eastAsia="Arial" w:hAnsi="Arial"/>
          <w:sz w:val="11"/>
          <w:szCs w:val="11"/>
          <w:i w:val="1"/>
          <w:iCs w:val="1"/>
          <w:color w:val="E51837"/>
        </w:rPr>
        <w:t xml:space="preserve"> </w:t>
      </w:r>
      <w:r>
        <w:rPr>
          <w:rFonts w:ascii="Arial" w:cs="Arial" w:eastAsia="Arial" w:hAnsi="Arial"/>
          <w:sz w:val="11"/>
          <w:szCs w:val="11"/>
          <w:color w:val="000000"/>
        </w:rPr>
        <w:t>accounting standards for goodwill (ASC 350), the company tests such goodwill at the reporting unit level for impairment on an annual basis and between annual tests if an event occurs or circumstances change that would more likely than not reduce the fair value of the reporting unit below its carrying amount.</w:t>
      </w:r>
    </w:p>
    <w:p>
      <w:pPr>
        <w:spacing w:after="0" w:line="3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i w:val="1"/>
          <w:iCs w:val="1"/>
          <w:color w:val="E51837"/>
        </w:rPr>
        <w:t xml:space="preserve">Environmental Expenditures </w:t>
      </w:r>
      <w:r>
        <w:rPr>
          <w:rFonts w:ascii="Arial" w:cs="Arial" w:eastAsia="Arial" w:hAnsi="Arial"/>
          <w:sz w:val="13"/>
          <w:szCs w:val="13"/>
          <w:color w:val="000000"/>
        </w:rPr>
        <w:t>Environmental expenditures that relate to ongoing operations or to conditions</w:t>
      </w:r>
      <w:r>
        <w:rPr>
          <w:rFonts w:ascii="Arial" w:cs="Arial" w:eastAsia="Arial" w:hAnsi="Arial"/>
          <w:sz w:val="13"/>
          <w:szCs w:val="13"/>
          <w:i w:val="1"/>
          <w:iCs w:val="1"/>
          <w:color w:val="E51837"/>
        </w:rPr>
        <w:t xml:space="preserve"> </w:t>
      </w:r>
      <w:r>
        <w:rPr>
          <w:rFonts w:ascii="Arial" w:cs="Arial" w:eastAsia="Arial" w:hAnsi="Arial"/>
          <w:sz w:val="13"/>
          <w:szCs w:val="13"/>
          <w:color w:val="000000"/>
        </w:rPr>
        <w:t>caused by past operations are expensed. Expenditures that create future benefits or contribute to future revenue generation are capitalized.</w:t>
      </w:r>
    </w:p>
    <w:p>
      <w:pPr>
        <w:spacing w:after="0" w:line="1" w:lineRule="exact"/>
        <w:rPr>
          <w:sz w:val="20"/>
          <w:szCs w:val="20"/>
          <w:color w:val="auto"/>
        </w:rPr>
      </w:pPr>
    </w:p>
    <w:p>
      <w:pPr>
        <w:ind w:right="20" w:firstLine="160"/>
        <w:spacing w:after="0" w:line="272" w:lineRule="auto"/>
        <w:rPr>
          <w:sz w:val="20"/>
          <w:szCs w:val="20"/>
          <w:color w:val="auto"/>
        </w:rPr>
      </w:pPr>
      <w:r>
        <w:rPr>
          <w:rFonts w:ascii="Arial" w:cs="Arial" w:eastAsia="Arial" w:hAnsi="Arial"/>
          <w:sz w:val="12"/>
          <w:szCs w:val="12"/>
          <w:color w:val="auto"/>
        </w:rPr>
        <w:t>Liabilities related to future remediation costs are recorded when environmental assessments or cleanups or both are probable and the costs can be reasonably estimated. For the company’s U.S. and Canadian marketing facilities, the accrual is based in part on the probability that a future remediation commitment will be required. For crude oil, natural gas and mineral-producing properties, a liability for an ARO is made in accordance with accounting standards for asset retirement and environmental obligations. Refer to Note 25, on page FS-58, for a discussion of the company’s AROs.</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980"/>
        <w:spacing w:after="0"/>
        <w:rPr>
          <w:sz w:val="20"/>
          <w:szCs w:val="20"/>
          <w:color w:val="auto"/>
        </w:rPr>
      </w:pPr>
      <w:r>
        <w:rPr>
          <w:rFonts w:ascii="Arial" w:cs="Arial" w:eastAsia="Arial" w:hAnsi="Arial"/>
          <w:sz w:val="10"/>
          <w:szCs w:val="10"/>
          <w:color w:val="0077C0"/>
        </w:rPr>
        <w:t>Notes to the Consolidated Financial Statements</w:t>
      </w:r>
    </w:p>
    <w:p>
      <w:pPr>
        <w:jc w:val="right"/>
        <w:ind w:right="596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 </w:t>
      </w:r>
      <w:r>
        <w:rPr>
          <w:rFonts w:ascii="Arial" w:cs="Arial" w:eastAsia="Arial" w:hAnsi="Arial"/>
          <w:sz w:val="8"/>
          <w:szCs w:val="8"/>
          <w:color w:val="000000"/>
        </w:rPr>
        <w:t>Summary of Significant Accounting Policies - Continued</w:t>
      </w:r>
    </w:p>
    <w:p>
      <w:pPr>
        <w:sectPr>
          <w:pgSz w:w="11900" w:h="16838" w:orient="portrait"/>
          <w:cols w:equalWidth="0" w:num="1">
            <w:col w:w="11460"/>
          </w:cols>
          <w:pgMar w:left="220" w:top="338" w:right="219" w:bottom="1440" w:gutter="0" w:footer="0" w:header="0"/>
        </w:sectPr>
      </w:pPr>
    </w:p>
    <w:p>
      <w:pPr>
        <w:spacing w:after="0" w:line="327"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For federal Superfund sites and analogous sites under state laws, the company records a liability for its designated share of the probable and estimable costs and probable amounts for other potentially responsible parties when mandated by the regulatory agencies because the other parties are not able to pay their respective shares.</w:t>
      </w:r>
    </w:p>
    <w:p>
      <w:pPr>
        <w:spacing w:after="0" w:line="1" w:lineRule="exact"/>
        <w:rPr>
          <w:sz w:val="20"/>
          <w:szCs w:val="20"/>
          <w:color w:val="auto"/>
        </w:rPr>
      </w:pPr>
    </w:p>
    <w:p>
      <w:pPr>
        <w:ind w:firstLine="158"/>
        <w:spacing w:after="0" w:line="249" w:lineRule="auto"/>
        <w:rPr>
          <w:sz w:val="20"/>
          <w:szCs w:val="20"/>
          <w:color w:val="auto"/>
        </w:rPr>
      </w:pPr>
      <w:r>
        <w:rPr>
          <w:rFonts w:ascii="Arial" w:cs="Arial" w:eastAsia="Arial" w:hAnsi="Arial"/>
          <w:sz w:val="13"/>
          <w:szCs w:val="13"/>
          <w:color w:val="auto"/>
        </w:rPr>
        <w:t>The gross amount of environmental liabilities is based on the company’s best estimate of future costs using currently available technology and applying current regulations and the company’s own internal environmental policies. Future amounts are not discounted. Recoveries or reimbursements are recorded as assets when receipt is reasonably assured.</w:t>
      </w:r>
    </w:p>
    <w:p>
      <w:pPr>
        <w:spacing w:after="0" w:line="63" w:lineRule="exact"/>
        <w:rPr>
          <w:sz w:val="20"/>
          <w:szCs w:val="20"/>
          <w:color w:val="auto"/>
        </w:rPr>
      </w:pPr>
    </w:p>
    <w:p>
      <w:pPr>
        <w:ind w:right="80"/>
        <w:spacing w:after="0" w:line="308" w:lineRule="auto"/>
        <w:rPr>
          <w:sz w:val="20"/>
          <w:szCs w:val="20"/>
          <w:color w:val="auto"/>
        </w:rPr>
      </w:pPr>
      <w:r>
        <w:rPr>
          <w:rFonts w:ascii="Arial" w:cs="Arial" w:eastAsia="Arial" w:hAnsi="Arial"/>
          <w:sz w:val="11"/>
          <w:szCs w:val="11"/>
          <w:i w:val="1"/>
          <w:iCs w:val="1"/>
          <w:color w:val="E51837"/>
        </w:rPr>
        <w:t xml:space="preserve">Currency Translation </w:t>
      </w:r>
      <w:r>
        <w:rPr>
          <w:rFonts w:ascii="Arial" w:cs="Arial" w:eastAsia="Arial" w:hAnsi="Arial"/>
          <w:sz w:val="11"/>
          <w:szCs w:val="11"/>
          <w:color w:val="000000"/>
        </w:rPr>
        <w:t>The U.S. dollar is the functional currency for substantially all of the company’s</w:t>
      </w:r>
      <w:r>
        <w:rPr>
          <w:rFonts w:ascii="Arial" w:cs="Arial" w:eastAsia="Arial" w:hAnsi="Arial"/>
          <w:sz w:val="11"/>
          <w:szCs w:val="11"/>
          <w:i w:val="1"/>
          <w:iCs w:val="1"/>
          <w:color w:val="E51837"/>
        </w:rPr>
        <w:t xml:space="preserve"> </w:t>
      </w:r>
      <w:r>
        <w:rPr>
          <w:rFonts w:ascii="Arial" w:cs="Arial" w:eastAsia="Arial" w:hAnsi="Arial"/>
          <w:sz w:val="11"/>
          <w:szCs w:val="11"/>
          <w:color w:val="000000"/>
        </w:rPr>
        <w:t>consolidated operations and those of its equity affiliates. For those operations, all gains and losses from currency remeasurement are included in current period income. The cumulative translation effects for those few entities, both consolidated and affiliated, using functional currencies other than the U.S. dollar are included in “Currency translation adjustment” on the Consolidated Statement of Equity.</w:t>
      </w:r>
    </w:p>
    <w:p>
      <w:pPr>
        <w:spacing w:after="0" w:line="34"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i w:val="1"/>
          <w:iCs w:val="1"/>
          <w:color w:val="E51837"/>
        </w:rPr>
        <w:t xml:space="preserve">Revenue Recognition </w:t>
      </w:r>
      <w:r>
        <w:rPr>
          <w:rFonts w:ascii="Arial" w:cs="Arial" w:eastAsia="Arial" w:hAnsi="Arial"/>
          <w:sz w:val="12"/>
          <w:szCs w:val="12"/>
          <w:color w:val="000000"/>
        </w:rPr>
        <w:t>Revenues associated with sales of crude oil, natural gas, coal, petroleum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chemicals products, and all other sources are recorded when title passes to the customer, net of royalties, discounts and allowances, as applicable. Revenues from natural gas production from properties in which Chevron has an interest with other producers are generally recognized on the entitlement method. Excise, value-added and similar taxes assessed by a governmental authority on a revenue-producing transaction between a seller and a customer are presented on a gross basis. The associated amounts are shown as a footnote to the Consolidated Statement of Income, on page FS-23. Purchases and sales of inventory with the same counterparty that are entered into in contemplation of one another (including buy/sell arrangements) are combined and recorded on a net basis and reported in “Purchased crude oil and products” on the Consolidated Statement of Income.</w:t>
      </w:r>
    </w:p>
    <w:p>
      <w:pPr>
        <w:spacing w:after="0" w:line="51"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i w:val="1"/>
          <w:iCs w:val="1"/>
          <w:color w:val="E51837"/>
        </w:rPr>
        <w:t xml:space="preserve">Stock Options and Other Share-Based Compensation </w:t>
      </w:r>
      <w:r>
        <w:rPr>
          <w:rFonts w:ascii="Arial" w:cs="Arial" w:eastAsia="Arial" w:hAnsi="Arial"/>
          <w:sz w:val="13"/>
          <w:szCs w:val="13"/>
          <w:color w:val="000000"/>
        </w:rPr>
        <w:t>The company issues stock options and other share-based compensation to its employees and accounts for these transactions under the accounting standards for share-based compensation (ASC 718). For equity awards, such as stock options, total compensation cost is based on the grant date fair value, and for liability awards, such as stock appreciation rights, total compensation cost is based on the settlement value. The company recognizes stock-based compensation expense for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60"/>
        <w:spacing w:after="0" w:line="277" w:lineRule="auto"/>
        <w:rPr>
          <w:sz w:val="20"/>
          <w:szCs w:val="20"/>
          <w:color w:val="auto"/>
        </w:rPr>
      </w:pPr>
      <w:r>
        <w:rPr>
          <w:rFonts w:ascii="Arial" w:cs="Arial" w:eastAsia="Arial" w:hAnsi="Arial"/>
          <w:sz w:val="12"/>
          <w:szCs w:val="12"/>
          <w:color w:val="auto"/>
        </w:rPr>
        <w:t>all awards over the service period required to earn the award, which is the shorter of the vesting period or the time period an employee becomes eligible to retain the award at retirement. Stock options and stock appreciation rights granted under the company’s Long-Term Incentive Plan have graded vesting provisions by which one-third of each award vests on the first, second and third anniversaries of the date of grant. The company amortizes these graded awards on a straight-line basis.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77C0"/>
        </w:rPr>
        <w:t>Note 2</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0"/>
          <w:szCs w:val="10"/>
          <w:color w:val="0077C0"/>
        </w:rPr>
        <w:t>Acquisition of Atlas Energy, Inc.</w:t>
      </w:r>
    </w:p>
    <w:p>
      <w:pPr>
        <w:ind w:left="360"/>
        <w:spacing w:after="0" w:line="267" w:lineRule="auto"/>
        <w:rPr>
          <w:sz w:val="20"/>
          <w:szCs w:val="20"/>
          <w:color w:val="auto"/>
        </w:rPr>
      </w:pPr>
      <w:r>
        <w:rPr>
          <w:rFonts w:ascii="Arial" w:cs="Arial" w:eastAsia="Arial" w:hAnsi="Arial"/>
          <w:sz w:val="12"/>
          <w:szCs w:val="12"/>
          <w:color w:val="auto"/>
        </w:rPr>
        <w:t>On February 17, 2011, the company acquired Atlas Energy, Inc. (Atlas), which held one of the premier acreage positions in the Marcellus Shale, concentrated in southwestern Pennsylvania. The aggregate purchase price of Atlas was approximately $4,500, which included $3,009 cash for all the common shares of Atlas, a $403 cash advance to facilitate Atlas’ purchase of a 49 percent interest in Laurel Mountain Midstream LLC and about $1,100 of assumed debt. Subsequent to the close of the transaction, the company paid off the assumed debt and made payments of $184 in connection with Atlas equity awards. As part of the acquisition, Chevron assumed the terms of a carry arrangement whereby Reliance Marcellus, LLC, funds 75 percent of Chevron’s drilling costs, up to $1,300.</w:t>
      </w:r>
    </w:p>
    <w:p>
      <w:pPr>
        <w:ind w:left="360" w:right="200" w:firstLine="158"/>
        <w:spacing w:after="0" w:line="267" w:lineRule="auto"/>
        <w:rPr>
          <w:sz w:val="20"/>
          <w:szCs w:val="20"/>
          <w:color w:val="auto"/>
        </w:rPr>
      </w:pPr>
      <w:r>
        <w:rPr>
          <w:rFonts w:ascii="Arial" w:cs="Arial" w:eastAsia="Arial" w:hAnsi="Arial"/>
          <w:sz w:val="12"/>
          <w:szCs w:val="12"/>
          <w:color w:val="auto"/>
        </w:rPr>
        <w:t>The acquisition was accounted for as a business combination (ASC 805) which, among other things, requires assets acquired and liabilities assumed to be measured at their acquisition date fair values. Provisional fair value measurements were made in first quarter 2011 for acquired assets and assumed liabilities, and the measurement process was finalized in fourth quarter 2011.</w:t>
      </w:r>
    </w:p>
    <w:p>
      <w:pPr>
        <w:spacing w:after="0" w:line="1" w:lineRule="exact"/>
        <w:rPr>
          <w:sz w:val="20"/>
          <w:szCs w:val="20"/>
          <w:color w:val="auto"/>
        </w:rPr>
      </w:pPr>
    </w:p>
    <w:p>
      <w:pPr>
        <w:ind w:left="360" w:right="460" w:firstLine="160"/>
        <w:spacing w:after="0" w:line="246" w:lineRule="auto"/>
        <w:rPr>
          <w:sz w:val="20"/>
          <w:szCs w:val="20"/>
          <w:color w:val="auto"/>
        </w:rPr>
      </w:pPr>
      <w:r>
        <w:rPr>
          <w:rFonts w:ascii="Arial" w:cs="Arial" w:eastAsia="Arial" w:hAnsi="Arial"/>
          <w:sz w:val="13"/>
          <w:szCs w:val="13"/>
          <w:color w:val="auto"/>
        </w:rPr>
        <w:t>Proforma financial information is not presented as it would not be materially different from the information presented in the Consolidated Statement of Income.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summarizes the measurement of the assets acquired and liabilities assumed:</w:t>
      </w:r>
    </w:p>
    <w:p>
      <w:pPr>
        <w:spacing w:after="0" w:line="111"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3140" w:type="dxa"/>
            <w:vAlign w:val="bottom"/>
            <w:gridSpan w:val="2"/>
          </w:tcPr>
          <w:p>
            <w:pPr>
              <w:spacing w:after="0"/>
              <w:rPr>
                <w:sz w:val="20"/>
                <w:szCs w:val="20"/>
                <w:color w:val="auto"/>
              </w:rPr>
            </w:pPr>
            <w:r>
              <w:rPr>
                <w:rFonts w:ascii="Arial" w:cs="Arial" w:eastAsia="Arial" w:hAnsi="Arial"/>
                <w:sz w:val="9"/>
                <w:szCs w:val="9"/>
                <w:i w:val="1"/>
                <w:iCs w:val="1"/>
                <w:color w:val="auto"/>
              </w:rPr>
              <w:t>Millions of Dollars</w:t>
            </w:r>
          </w:p>
        </w:tc>
        <w:tc>
          <w:tcPr>
            <w:tcW w:w="2360" w:type="dxa"/>
            <w:vAlign w:val="bottom"/>
            <w:gridSpan w:val="3"/>
          </w:tcPr>
          <w:p>
            <w:pPr>
              <w:jc w:val="right"/>
              <w:ind w:right="40"/>
              <w:spacing w:after="0"/>
              <w:rPr>
                <w:sz w:val="20"/>
                <w:szCs w:val="20"/>
                <w:color w:val="auto"/>
              </w:rPr>
            </w:pPr>
            <w:r>
              <w:rPr>
                <w:rFonts w:ascii="Arial" w:cs="Arial" w:eastAsia="Arial" w:hAnsi="Arial"/>
                <w:sz w:val="9"/>
                <w:szCs w:val="9"/>
                <w:color w:val="auto"/>
              </w:rPr>
              <w:t>At February 17, 2011</w:t>
            </w:r>
          </w:p>
        </w:tc>
      </w:tr>
      <w:tr>
        <w:trPr>
          <w:trHeight w:val="92"/>
        </w:trPr>
        <w:tc>
          <w:tcPr>
            <w:tcW w:w="3140" w:type="dxa"/>
            <w:vAlign w:val="bottom"/>
            <w:tcBorders>
              <w:top w:val="single" w:sz="8" w:color="0077C0"/>
            </w:tcBorders>
            <w:gridSpan w:val="2"/>
          </w:tcPr>
          <w:p>
            <w:pPr>
              <w:spacing w:after="0" w:line="92" w:lineRule="exact"/>
              <w:rPr>
                <w:sz w:val="20"/>
                <w:szCs w:val="20"/>
                <w:color w:val="auto"/>
              </w:rPr>
            </w:pPr>
            <w:r>
              <w:rPr>
                <w:rFonts w:ascii="Arial" w:cs="Arial" w:eastAsia="Arial" w:hAnsi="Arial"/>
                <w:sz w:val="10"/>
                <w:szCs w:val="10"/>
                <w:color w:val="auto"/>
              </w:rPr>
              <w:t>Current assets</w:t>
            </w:r>
          </w:p>
        </w:tc>
        <w:tc>
          <w:tcPr>
            <w:tcW w:w="2000" w:type="dxa"/>
            <w:vAlign w:val="bottom"/>
            <w:tcBorders>
              <w:top w:val="single" w:sz="8" w:color="0077C0"/>
            </w:tcBorders>
          </w:tcPr>
          <w:p>
            <w:pPr>
              <w:jc w:val="right"/>
              <w:ind w:right="11"/>
              <w:spacing w:after="0" w:line="92"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155</w:t>
            </w:r>
          </w:p>
        </w:tc>
        <w:tc>
          <w:tcPr>
            <w:tcW w:w="40" w:type="dxa"/>
            <w:vAlign w:val="bottom"/>
          </w:tcPr>
          <w:p>
            <w:pPr>
              <w:spacing w:after="0"/>
              <w:rPr>
                <w:sz w:val="8"/>
                <w:szCs w:val="8"/>
                <w:color w:val="auto"/>
              </w:rPr>
            </w:pPr>
          </w:p>
        </w:tc>
      </w:tr>
      <w:tr>
        <w:trPr>
          <w:trHeight w:val="106"/>
        </w:trPr>
        <w:tc>
          <w:tcPr>
            <w:tcW w:w="3140" w:type="dxa"/>
            <w:vAlign w:val="bottom"/>
            <w:gridSpan w:val="2"/>
          </w:tcPr>
          <w:p>
            <w:pPr>
              <w:spacing w:after="0" w:line="106" w:lineRule="exact"/>
              <w:rPr>
                <w:sz w:val="20"/>
                <w:szCs w:val="20"/>
                <w:color w:val="auto"/>
              </w:rPr>
            </w:pPr>
            <w:r>
              <w:rPr>
                <w:rFonts w:ascii="Arial" w:cs="Arial" w:eastAsia="Arial" w:hAnsi="Arial"/>
                <w:sz w:val="10"/>
                <w:szCs w:val="10"/>
                <w:color w:val="auto"/>
              </w:rPr>
              <w:t>Investments and long-term receivables</w:t>
            </w:r>
          </w:p>
        </w:tc>
        <w:tc>
          <w:tcPr>
            <w:tcW w:w="200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456</w:t>
            </w:r>
          </w:p>
        </w:tc>
        <w:tc>
          <w:tcPr>
            <w:tcW w:w="40" w:type="dxa"/>
            <w:vAlign w:val="bottom"/>
          </w:tcPr>
          <w:p>
            <w:pPr>
              <w:spacing w:after="0"/>
              <w:rPr>
                <w:sz w:val="9"/>
                <w:szCs w:val="9"/>
                <w:color w:val="auto"/>
              </w:rPr>
            </w:pPr>
          </w:p>
        </w:tc>
      </w:tr>
      <w:tr>
        <w:trPr>
          <w:trHeight w:val="106"/>
        </w:trPr>
        <w:tc>
          <w:tcPr>
            <w:tcW w:w="3140" w:type="dxa"/>
            <w:vAlign w:val="bottom"/>
            <w:gridSpan w:val="2"/>
          </w:tcPr>
          <w:p>
            <w:pPr>
              <w:spacing w:after="0" w:line="106" w:lineRule="exact"/>
              <w:rPr>
                <w:sz w:val="20"/>
                <w:szCs w:val="20"/>
                <w:color w:val="auto"/>
              </w:rPr>
            </w:pPr>
            <w:r>
              <w:rPr>
                <w:rFonts w:ascii="Arial" w:cs="Arial" w:eastAsia="Arial" w:hAnsi="Arial"/>
                <w:sz w:val="10"/>
                <w:szCs w:val="10"/>
                <w:color w:val="auto"/>
              </w:rPr>
              <w:t>Properties</w:t>
            </w:r>
          </w:p>
        </w:tc>
        <w:tc>
          <w:tcPr>
            <w:tcW w:w="200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6,051</w:t>
            </w:r>
          </w:p>
        </w:tc>
        <w:tc>
          <w:tcPr>
            <w:tcW w:w="40" w:type="dxa"/>
            <w:vAlign w:val="bottom"/>
          </w:tcPr>
          <w:p>
            <w:pPr>
              <w:spacing w:after="0"/>
              <w:rPr>
                <w:sz w:val="9"/>
                <w:szCs w:val="9"/>
                <w:color w:val="auto"/>
              </w:rPr>
            </w:pPr>
          </w:p>
        </w:tc>
      </w:tr>
      <w:tr>
        <w:trPr>
          <w:trHeight w:val="106"/>
        </w:trPr>
        <w:tc>
          <w:tcPr>
            <w:tcW w:w="3140" w:type="dxa"/>
            <w:vAlign w:val="bottom"/>
            <w:gridSpan w:val="2"/>
          </w:tcPr>
          <w:p>
            <w:pPr>
              <w:spacing w:after="0" w:line="106" w:lineRule="exact"/>
              <w:rPr>
                <w:sz w:val="20"/>
                <w:szCs w:val="20"/>
                <w:color w:val="auto"/>
              </w:rPr>
            </w:pPr>
            <w:r>
              <w:rPr>
                <w:rFonts w:ascii="Arial" w:cs="Arial" w:eastAsia="Arial" w:hAnsi="Arial"/>
                <w:sz w:val="10"/>
                <w:szCs w:val="10"/>
                <w:color w:val="auto"/>
              </w:rPr>
              <w:t>Goodwill</w:t>
            </w:r>
          </w:p>
        </w:tc>
        <w:tc>
          <w:tcPr>
            <w:tcW w:w="200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27</w:t>
            </w:r>
          </w:p>
        </w:tc>
        <w:tc>
          <w:tcPr>
            <w:tcW w:w="40" w:type="dxa"/>
            <w:vAlign w:val="bottom"/>
          </w:tcPr>
          <w:p>
            <w:pPr>
              <w:spacing w:after="0"/>
              <w:rPr>
                <w:sz w:val="9"/>
                <w:szCs w:val="9"/>
                <w:color w:val="auto"/>
              </w:rPr>
            </w:pPr>
          </w:p>
        </w:tc>
      </w:tr>
      <w:tr>
        <w:trPr>
          <w:trHeight w:val="118"/>
        </w:trPr>
        <w:tc>
          <w:tcPr>
            <w:tcW w:w="3140" w:type="dxa"/>
            <w:vAlign w:val="bottom"/>
            <w:gridSpan w:val="2"/>
          </w:tcPr>
          <w:p>
            <w:pPr>
              <w:spacing w:after="0"/>
              <w:rPr>
                <w:sz w:val="20"/>
                <w:szCs w:val="20"/>
                <w:color w:val="auto"/>
              </w:rPr>
            </w:pPr>
            <w:r>
              <w:rPr>
                <w:rFonts w:ascii="Arial" w:cs="Arial" w:eastAsia="Arial" w:hAnsi="Arial"/>
                <w:sz w:val="10"/>
                <w:szCs w:val="10"/>
                <w:color w:val="auto"/>
              </w:rPr>
              <w:t>Other assets</w:t>
            </w:r>
          </w:p>
        </w:tc>
        <w:tc>
          <w:tcPr>
            <w:tcW w:w="20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w:t>
            </w:r>
          </w:p>
        </w:tc>
        <w:tc>
          <w:tcPr>
            <w:tcW w:w="4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3120" w:type="dxa"/>
            <w:vAlign w:val="bottom"/>
            <w:tcBorders>
              <w:top w:val="single" w:sz="8" w:color="0077C0"/>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assets acquired</w:t>
            </w:r>
          </w:p>
        </w:tc>
        <w:tc>
          <w:tcPr>
            <w:tcW w:w="200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6,694</w:t>
            </w:r>
          </w:p>
        </w:tc>
        <w:tc>
          <w:tcPr>
            <w:tcW w:w="40" w:type="dxa"/>
            <w:vAlign w:val="bottom"/>
          </w:tcPr>
          <w:p>
            <w:pPr>
              <w:spacing w:after="0"/>
              <w:rPr>
                <w:sz w:val="9"/>
                <w:szCs w:val="9"/>
                <w:color w:val="auto"/>
              </w:rPr>
            </w:pPr>
          </w:p>
        </w:tc>
      </w:tr>
      <w:tr>
        <w:trPr>
          <w:trHeight w:val="92"/>
        </w:trPr>
        <w:tc>
          <w:tcPr>
            <w:tcW w:w="20" w:type="dxa"/>
            <w:vAlign w:val="bottom"/>
          </w:tcPr>
          <w:p>
            <w:pPr>
              <w:spacing w:after="0"/>
              <w:rPr>
                <w:sz w:val="8"/>
                <w:szCs w:val="8"/>
                <w:color w:val="auto"/>
              </w:rPr>
            </w:pPr>
          </w:p>
        </w:tc>
        <w:tc>
          <w:tcPr>
            <w:tcW w:w="3120" w:type="dxa"/>
            <w:vAlign w:val="bottom"/>
          </w:tcPr>
          <w:p>
            <w:pPr>
              <w:spacing w:after="0" w:line="92" w:lineRule="exact"/>
              <w:rPr>
                <w:sz w:val="20"/>
                <w:szCs w:val="20"/>
                <w:color w:val="auto"/>
              </w:rPr>
            </w:pPr>
            <w:r>
              <w:rPr>
                <w:rFonts w:ascii="Arial" w:cs="Arial" w:eastAsia="Arial" w:hAnsi="Arial"/>
                <w:sz w:val="10"/>
                <w:szCs w:val="10"/>
                <w:color w:val="auto"/>
              </w:rPr>
              <w:t>Current liabilities</w:t>
            </w:r>
          </w:p>
        </w:tc>
        <w:tc>
          <w:tcPr>
            <w:tcW w:w="2000" w:type="dxa"/>
            <w:vAlign w:val="bottom"/>
          </w:tcPr>
          <w:p>
            <w:pPr>
              <w:spacing w:after="0"/>
              <w:rPr>
                <w:sz w:val="8"/>
                <w:szCs w:val="8"/>
                <w:color w:val="auto"/>
              </w:rPr>
            </w:pPr>
          </w:p>
        </w:tc>
        <w:tc>
          <w:tcPr>
            <w:tcW w:w="320" w:type="dxa"/>
            <w:vAlign w:val="bottom"/>
          </w:tcPr>
          <w:p>
            <w:pPr>
              <w:jc w:val="right"/>
              <w:spacing w:after="0" w:line="92" w:lineRule="exact"/>
              <w:rPr>
                <w:sz w:val="20"/>
                <w:szCs w:val="20"/>
                <w:color w:val="auto"/>
              </w:rPr>
            </w:pPr>
            <w:r>
              <w:rPr>
                <w:rFonts w:ascii="Arial" w:cs="Arial" w:eastAsia="Arial" w:hAnsi="Arial"/>
                <w:sz w:val="10"/>
                <w:szCs w:val="10"/>
                <w:color w:val="auto"/>
              </w:rPr>
              <w:t>(560)</w:t>
            </w:r>
          </w:p>
        </w:tc>
        <w:tc>
          <w:tcPr>
            <w:tcW w:w="40" w:type="dxa"/>
            <w:vAlign w:val="bottom"/>
          </w:tcPr>
          <w:p>
            <w:pPr>
              <w:spacing w:after="0"/>
              <w:rPr>
                <w:sz w:val="8"/>
                <w:szCs w:val="8"/>
                <w:color w:val="auto"/>
              </w:rPr>
            </w:pPr>
          </w:p>
        </w:tc>
      </w:tr>
      <w:tr>
        <w:trPr>
          <w:trHeight w:val="106"/>
        </w:trPr>
        <w:tc>
          <w:tcPr>
            <w:tcW w:w="3140" w:type="dxa"/>
            <w:vAlign w:val="bottom"/>
            <w:gridSpan w:val="2"/>
          </w:tcPr>
          <w:p>
            <w:pPr>
              <w:spacing w:after="0" w:line="106" w:lineRule="exact"/>
              <w:rPr>
                <w:sz w:val="20"/>
                <w:szCs w:val="20"/>
                <w:color w:val="auto"/>
              </w:rPr>
            </w:pPr>
            <w:r>
              <w:rPr>
                <w:rFonts w:ascii="Arial" w:cs="Arial" w:eastAsia="Arial" w:hAnsi="Arial"/>
                <w:sz w:val="10"/>
                <w:szCs w:val="10"/>
                <w:color w:val="auto"/>
              </w:rPr>
              <w:t>Long-term debt and capital leases</w:t>
            </w:r>
          </w:p>
        </w:tc>
        <w:tc>
          <w:tcPr>
            <w:tcW w:w="2000" w:type="dxa"/>
            <w:vAlign w:val="bottom"/>
          </w:tcPr>
          <w:p>
            <w:pPr>
              <w:spacing w:after="0"/>
              <w:rPr>
                <w:sz w:val="9"/>
                <w:szCs w:val="9"/>
                <w:color w:val="auto"/>
              </w:rPr>
            </w:pPr>
          </w:p>
        </w:tc>
        <w:tc>
          <w:tcPr>
            <w:tcW w:w="3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(761)</w:t>
            </w:r>
          </w:p>
        </w:tc>
      </w:tr>
      <w:tr>
        <w:trPr>
          <w:trHeight w:val="106"/>
        </w:trPr>
        <w:tc>
          <w:tcPr>
            <w:tcW w:w="3140" w:type="dxa"/>
            <w:vAlign w:val="bottom"/>
            <w:gridSpan w:val="2"/>
          </w:tcPr>
          <w:p>
            <w:pPr>
              <w:spacing w:after="0" w:line="106" w:lineRule="exact"/>
              <w:rPr>
                <w:sz w:val="20"/>
                <w:szCs w:val="20"/>
                <w:color w:val="auto"/>
              </w:rPr>
            </w:pPr>
            <w:r>
              <w:rPr>
                <w:rFonts w:ascii="Arial" w:cs="Arial" w:eastAsia="Arial" w:hAnsi="Arial"/>
                <w:sz w:val="10"/>
                <w:szCs w:val="10"/>
                <w:color w:val="auto"/>
              </w:rPr>
              <w:t>Deferred income taxes</w:t>
            </w:r>
          </w:p>
        </w:tc>
        <w:tc>
          <w:tcPr>
            <w:tcW w:w="2000" w:type="dxa"/>
            <w:vAlign w:val="bottom"/>
          </w:tcPr>
          <w:p>
            <w:pPr>
              <w:spacing w:after="0"/>
              <w:rPr>
                <w:sz w:val="9"/>
                <w:szCs w:val="9"/>
                <w:color w:val="auto"/>
              </w:rPr>
            </w:pPr>
          </w:p>
        </w:tc>
        <w:tc>
          <w:tcPr>
            <w:tcW w:w="3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(1,915)</w:t>
            </w:r>
          </w:p>
        </w:tc>
      </w:tr>
      <w:tr>
        <w:trPr>
          <w:trHeight w:val="118"/>
        </w:trPr>
        <w:tc>
          <w:tcPr>
            <w:tcW w:w="314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200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(25)</w:t>
            </w:r>
          </w:p>
        </w:tc>
      </w:tr>
      <w:tr>
        <w:trPr>
          <w:trHeight w:val="105"/>
        </w:trPr>
        <w:tc>
          <w:tcPr>
            <w:tcW w:w="20" w:type="dxa"/>
            <w:vAlign w:val="bottom"/>
          </w:tcPr>
          <w:p>
            <w:pPr>
              <w:spacing w:after="0"/>
              <w:rPr>
                <w:sz w:val="9"/>
                <w:szCs w:val="9"/>
                <w:color w:val="auto"/>
              </w:rPr>
            </w:pPr>
          </w:p>
        </w:tc>
        <w:tc>
          <w:tcPr>
            <w:tcW w:w="3120" w:type="dxa"/>
            <w:vAlign w:val="bottom"/>
            <w:tcBorders>
              <w:top w:val="single" w:sz="8" w:color="0077C0"/>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liabilities assumed</w:t>
            </w:r>
          </w:p>
        </w:tc>
        <w:tc>
          <w:tcPr>
            <w:tcW w:w="2000" w:type="dxa"/>
            <w:vAlign w:val="bottom"/>
            <w:tcBorders>
              <w:top w:val="single" w:sz="8" w:color="0077C0"/>
              <w:bottom w:val="single" w:sz="8" w:color="0077C0"/>
            </w:tcBorders>
          </w:tcPr>
          <w:p>
            <w:pPr>
              <w:spacing w:after="0"/>
              <w:rPr>
                <w:sz w:val="9"/>
                <w:szCs w:val="9"/>
                <w:color w:val="auto"/>
              </w:rPr>
            </w:pPr>
          </w:p>
        </w:tc>
        <w:tc>
          <w:tcPr>
            <w:tcW w:w="3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4"/>
              </w:rPr>
              <w:t>(3,261)</w:t>
            </w:r>
          </w:p>
        </w:tc>
        <w:tc>
          <w:tcPr>
            <w:tcW w:w="40" w:type="dxa"/>
            <w:vAlign w:val="bottom"/>
          </w:tcPr>
          <w:p>
            <w:pPr>
              <w:spacing w:after="0"/>
              <w:rPr>
                <w:sz w:val="9"/>
                <w:szCs w:val="9"/>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31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Net assets acquired</w:t>
            </w:r>
          </w:p>
        </w:tc>
        <w:tc>
          <w:tcPr>
            <w:tcW w:w="2000" w:type="dxa"/>
            <w:vAlign w:val="bottom"/>
            <w:tcBorders>
              <w:bottom w:val="single" w:sz="8" w:color="0077C0"/>
            </w:tcBorders>
          </w:tcPr>
          <w:p>
            <w:pPr>
              <w:jc w:val="right"/>
              <w:ind w:right="11"/>
              <w:spacing w:after="0" w:line="105" w:lineRule="exact"/>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3,433</w:t>
            </w:r>
          </w:p>
        </w:tc>
        <w:tc>
          <w:tcPr>
            <w:tcW w:w="40" w:type="dxa"/>
            <w:vAlign w:val="bottom"/>
          </w:tcPr>
          <w:p>
            <w:pPr>
              <w:spacing w:after="0"/>
              <w:rPr>
                <w:sz w:val="9"/>
                <w:szCs w:val="9"/>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0"/>
          <w:szCs w:val="10"/>
          <w:color w:val="auto"/>
        </w:rPr>
        <w:t>FS-30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40" w:space="160"/>
            <w:col w:w="5860"/>
          </w:cols>
          <w:pgMar w:left="220" w:top="338" w:right="219" w:bottom="1440" w:gutter="0" w:footer="0" w:header="0"/>
          <w:type w:val="continuous"/>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 </w:t>
      </w:r>
      <w:r>
        <w:rPr>
          <w:rFonts w:ascii="Arial" w:cs="Arial" w:eastAsia="Arial" w:hAnsi="Arial"/>
          <w:sz w:val="8"/>
          <w:szCs w:val="8"/>
          <w:color w:val="000000"/>
        </w:rPr>
        <w:t>Acquisition of Atlas Energy Inc. - Continued</w:t>
      </w:r>
    </w:p>
    <w:p>
      <w:pPr>
        <w:sectPr>
          <w:pgSz w:w="11900" w:h="16838" w:orient="portrait"/>
          <w:cols w:equalWidth="0" w:num="1">
            <w:col w:w="11460"/>
          </w:cols>
          <w:pgMar w:left="220" w:top="339" w:right="219" w:bottom="1440" w:gutter="0" w:footer="0" w:header="0"/>
        </w:sectPr>
      </w:pPr>
    </w:p>
    <w:p>
      <w:pPr>
        <w:spacing w:after="0" w:line="327" w:lineRule="exact"/>
        <w:rPr>
          <w:sz w:val="20"/>
          <w:szCs w:val="20"/>
          <w:color w:val="auto"/>
        </w:rPr>
      </w:pPr>
    </w:p>
    <w:p>
      <w:pPr>
        <w:ind w:right="60" w:firstLine="160"/>
        <w:spacing w:after="0" w:line="269" w:lineRule="auto"/>
        <w:rPr>
          <w:sz w:val="20"/>
          <w:szCs w:val="20"/>
          <w:color w:val="auto"/>
        </w:rPr>
      </w:pPr>
      <w:r>
        <w:rPr>
          <w:rFonts w:ascii="Arial" w:cs="Arial" w:eastAsia="Arial" w:hAnsi="Arial"/>
          <w:sz w:val="12"/>
          <w:szCs w:val="12"/>
          <w:color w:val="auto"/>
        </w:rPr>
        <w:t>Properties were measured primarily using an income approach. The fair values of the acquired oil and gas properties were based on significant inputs not observable in the market and thus represent Level 3 measurements. Refer to Note 9, beginning on page FS-34 for a definition of fair value hierarchy levels. Significant inputs included estimated resource volumes, assumed future production profiles, estimated future commodity prices, a discount rate of 8 percent, and assumptions on the timing and amount of future operating and development costs. All the properties are in the United States and are included in the Upstream segment.</w:t>
      </w:r>
    </w:p>
    <w:p>
      <w:pPr>
        <w:spacing w:after="0" w:line="2" w:lineRule="exact"/>
        <w:rPr>
          <w:sz w:val="20"/>
          <w:szCs w:val="20"/>
          <w:color w:val="auto"/>
        </w:rPr>
      </w:pPr>
    </w:p>
    <w:p>
      <w:pPr>
        <w:ind w:right="20" w:firstLine="158"/>
        <w:spacing w:after="0" w:line="271" w:lineRule="auto"/>
        <w:rPr>
          <w:sz w:val="20"/>
          <w:szCs w:val="20"/>
          <w:color w:val="auto"/>
        </w:rPr>
      </w:pPr>
      <w:r>
        <w:rPr>
          <w:rFonts w:ascii="Arial" w:cs="Arial" w:eastAsia="Arial" w:hAnsi="Arial"/>
          <w:sz w:val="12"/>
          <w:szCs w:val="12"/>
          <w:color w:val="auto"/>
        </w:rPr>
        <w:t>The acquisition date fair value of the consideration transferred was $3,400 in cash. The $27 of goodwill was assigned to the Upstream segment and represents the amount of the consideration transferred in excess of the values assigned to the individual assets acquired and liabilities assumed. Goodwill represents the future economic benefits arising from other assets acquired that could not be individually identified and separately recognized. None of the goodwill is deductible for tax purposes. Goodwill recorded in the acquisition is not subject to amortization, but will be tested periodically for impairment as required by the applicable accounting standard (ASC 350).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3</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Noncontrolling Interests</w:t>
      </w:r>
    </w:p>
    <w:p>
      <w:pPr>
        <w:ind w:right="20"/>
        <w:spacing w:after="0" w:line="291" w:lineRule="auto"/>
        <w:rPr>
          <w:sz w:val="20"/>
          <w:szCs w:val="20"/>
          <w:color w:val="auto"/>
        </w:rPr>
      </w:pPr>
      <w:r>
        <w:rPr>
          <w:rFonts w:ascii="Arial" w:cs="Arial" w:eastAsia="Arial" w:hAnsi="Arial"/>
          <w:sz w:val="11"/>
          <w:szCs w:val="11"/>
          <w:color w:val="auto"/>
        </w:rPr>
        <w:t>The company adopted the accounting standard for noncontrolling interests (ASC 810) in the consolidated financial statements effective January 1, 2009, and retroactive to the earliest period presented. Ownership interests in the company’s subsidiaries held by parties other than the parent are presented separately from the parent’s equity on the Consolidated Balance Sheet. The amount of consolidated net income attributable to the parent and the noncontrolling interests are both presented on the face of the Consolidated Statement of Income. The term “earnings” is defined as “Net Income Attributable to Chevron Corporation.”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Activity for the equity attributable to noncontrolling interests for 2011, 2010 and 2009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740" w:type="dxa"/>
            <w:vAlign w:val="bottom"/>
            <w:tcBorders>
              <w:bottom w:val="single" w:sz="8" w:color="0077C0"/>
            </w:tcBorders>
          </w:tcPr>
          <w:p>
            <w:pPr>
              <w:spacing w:after="0"/>
              <w:rPr>
                <w:sz w:val="9"/>
                <w:szCs w:val="9"/>
                <w:color w:val="auto"/>
              </w:rPr>
            </w:pPr>
          </w:p>
        </w:tc>
        <w:tc>
          <w:tcPr>
            <w:tcW w:w="124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b w:val="1"/>
                <w:bCs w:val="1"/>
                <w:color w:val="auto"/>
                <w:w w:val="99"/>
              </w:rPr>
              <w:t>2011</w:t>
            </w:r>
          </w:p>
        </w:tc>
        <w:tc>
          <w:tcPr>
            <w:tcW w:w="200" w:type="dxa"/>
            <w:vAlign w:val="bottom"/>
            <w:tcBorders>
              <w:bottom w:val="single" w:sz="8" w:color="0077C0"/>
            </w:tcBorders>
          </w:tcPr>
          <w:p>
            <w:pPr>
              <w:spacing w:after="0"/>
              <w:rPr>
                <w:sz w:val="9"/>
                <w:szCs w:val="9"/>
                <w:color w:val="auto"/>
              </w:rPr>
            </w:pP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color w:val="auto"/>
              </w:rPr>
              <w:t>2010</w:t>
            </w:r>
          </w:p>
        </w:tc>
        <w:tc>
          <w:tcPr>
            <w:tcW w:w="240" w:type="dxa"/>
            <w:vAlign w:val="bottom"/>
            <w:tcBorders>
              <w:bottom w:val="single" w:sz="8" w:color="0077C0"/>
            </w:tcBorders>
          </w:tcPr>
          <w:p>
            <w:pPr>
              <w:spacing w:after="0"/>
              <w:rPr>
                <w:sz w:val="9"/>
                <w:szCs w:val="9"/>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r>
      <w:tr>
        <w:trPr>
          <w:trHeight w:val="90"/>
        </w:trPr>
        <w:tc>
          <w:tcPr>
            <w:tcW w:w="274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240" w:type="dxa"/>
            <w:vAlign w:val="bottom"/>
          </w:tcPr>
          <w:p>
            <w:pPr>
              <w:jc w:val="right"/>
              <w:ind w:right="9"/>
              <w:spacing w:after="0" w:line="91" w:lineRule="exact"/>
              <w:rPr>
                <w:sz w:val="20"/>
                <w:szCs w:val="20"/>
                <w:color w:val="auto"/>
              </w:rPr>
            </w:pPr>
            <w:r>
              <w:rPr>
                <w:rFonts w:ascii="Arial" w:cs="Arial" w:eastAsia="Arial" w:hAnsi="Arial"/>
                <w:sz w:val="10"/>
                <w:szCs w:val="10"/>
                <w:b w:val="1"/>
                <w:bCs w:val="1"/>
                <w:color w:val="auto"/>
              </w:rPr>
              <w:t>$</w:t>
            </w:r>
          </w:p>
        </w:tc>
        <w:tc>
          <w:tcPr>
            <w:tcW w:w="40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730</w:t>
            </w:r>
          </w:p>
        </w:tc>
        <w:tc>
          <w:tcPr>
            <w:tcW w:w="2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10"/>
              <w:spacing w:after="0" w:line="91" w:lineRule="exact"/>
              <w:rPr>
                <w:sz w:val="20"/>
                <w:szCs w:val="20"/>
                <w:color w:val="auto"/>
              </w:rPr>
            </w:pPr>
            <w:r>
              <w:rPr>
                <w:rFonts w:ascii="Arial" w:cs="Arial" w:eastAsia="Arial" w:hAnsi="Arial"/>
                <w:sz w:val="10"/>
                <w:szCs w:val="10"/>
                <w:color w:val="auto"/>
              </w:rPr>
              <w:t>647</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469</w:t>
            </w:r>
          </w:p>
        </w:tc>
        <w:tc>
          <w:tcPr>
            <w:tcW w:w="40" w:type="dxa"/>
            <w:vAlign w:val="bottom"/>
          </w:tcPr>
          <w:p>
            <w:pPr>
              <w:spacing w:after="0"/>
              <w:rPr>
                <w:sz w:val="7"/>
                <w:szCs w:val="7"/>
                <w:color w:val="auto"/>
              </w:rPr>
            </w:pPr>
          </w:p>
        </w:tc>
      </w:tr>
      <w:tr>
        <w:trPr>
          <w:trHeight w:val="106"/>
        </w:trPr>
        <w:tc>
          <w:tcPr>
            <w:tcW w:w="2740" w:type="dxa"/>
            <w:vAlign w:val="bottom"/>
          </w:tcPr>
          <w:p>
            <w:pPr>
              <w:spacing w:after="0" w:line="106" w:lineRule="exact"/>
              <w:rPr>
                <w:sz w:val="20"/>
                <w:szCs w:val="20"/>
                <w:color w:val="auto"/>
              </w:rPr>
            </w:pPr>
            <w:r>
              <w:rPr>
                <w:rFonts w:ascii="Arial" w:cs="Arial" w:eastAsia="Arial" w:hAnsi="Arial"/>
                <w:sz w:val="10"/>
                <w:szCs w:val="10"/>
                <w:color w:val="auto"/>
              </w:rPr>
              <w:t>Net income</w:t>
            </w:r>
          </w:p>
        </w:tc>
        <w:tc>
          <w:tcPr>
            <w:tcW w:w="1240" w:type="dxa"/>
            <w:vAlign w:val="bottom"/>
          </w:tcPr>
          <w:p>
            <w:pPr>
              <w:spacing w:after="0"/>
              <w:rPr>
                <w:sz w:val="9"/>
                <w:szCs w:val="9"/>
                <w:color w:val="auto"/>
              </w:rPr>
            </w:pPr>
          </w:p>
        </w:tc>
        <w:tc>
          <w:tcPr>
            <w:tcW w:w="40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113</w:t>
            </w:r>
          </w:p>
        </w:tc>
        <w:tc>
          <w:tcPr>
            <w:tcW w:w="200" w:type="dxa"/>
            <w:vAlign w:val="bottom"/>
          </w:tcPr>
          <w:p>
            <w:pPr>
              <w:spacing w:after="0"/>
              <w:rPr>
                <w:sz w:val="9"/>
                <w:szCs w:val="9"/>
                <w:color w:val="auto"/>
              </w:rPr>
            </w:pPr>
          </w:p>
        </w:tc>
        <w:tc>
          <w:tcPr>
            <w:tcW w:w="40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112</w:t>
            </w:r>
          </w:p>
        </w:tc>
        <w:tc>
          <w:tcPr>
            <w:tcW w:w="24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80</w:t>
            </w:r>
          </w:p>
        </w:tc>
        <w:tc>
          <w:tcPr>
            <w:tcW w:w="40" w:type="dxa"/>
            <w:vAlign w:val="bottom"/>
          </w:tcPr>
          <w:p>
            <w:pPr>
              <w:spacing w:after="0"/>
              <w:rPr>
                <w:sz w:val="9"/>
                <w:szCs w:val="9"/>
                <w:color w:val="auto"/>
              </w:rPr>
            </w:pPr>
          </w:p>
        </w:tc>
      </w:tr>
      <w:tr>
        <w:trPr>
          <w:trHeight w:val="106"/>
        </w:trPr>
        <w:tc>
          <w:tcPr>
            <w:tcW w:w="2740" w:type="dxa"/>
            <w:vAlign w:val="bottom"/>
          </w:tcPr>
          <w:p>
            <w:pPr>
              <w:spacing w:after="0" w:line="106" w:lineRule="exact"/>
              <w:rPr>
                <w:sz w:val="20"/>
                <w:szCs w:val="20"/>
                <w:color w:val="auto"/>
              </w:rPr>
            </w:pPr>
            <w:r>
              <w:rPr>
                <w:rFonts w:ascii="Arial" w:cs="Arial" w:eastAsia="Arial" w:hAnsi="Arial"/>
                <w:sz w:val="10"/>
                <w:szCs w:val="10"/>
                <w:color w:val="auto"/>
              </w:rPr>
              <w:t>Distributions to noncontrolling interests</w:t>
            </w:r>
          </w:p>
        </w:tc>
        <w:tc>
          <w:tcPr>
            <w:tcW w:w="1240" w:type="dxa"/>
            <w:vAlign w:val="bottom"/>
          </w:tcPr>
          <w:p>
            <w:pPr>
              <w:spacing w:after="0"/>
              <w:rPr>
                <w:sz w:val="9"/>
                <w:szCs w:val="9"/>
                <w:color w:val="auto"/>
              </w:rPr>
            </w:pPr>
          </w:p>
        </w:tc>
        <w:tc>
          <w:tcPr>
            <w:tcW w:w="400" w:type="dxa"/>
            <w:vAlign w:val="bottom"/>
            <w:tcBorders>
              <w:right w:val="single" w:sz="8" w:color="0077C0"/>
            </w:tcBorders>
          </w:tcPr>
          <w:p>
            <w:pPr>
              <w:jc w:val="right"/>
              <w:ind w:right="90"/>
              <w:spacing w:after="0" w:line="106" w:lineRule="exact"/>
              <w:rPr>
                <w:sz w:val="20"/>
                <w:szCs w:val="20"/>
                <w:color w:val="auto"/>
              </w:rPr>
            </w:pPr>
            <w:r>
              <w:rPr>
                <w:rFonts w:ascii="Arial" w:cs="Arial" w:eastAsia="Arial" w:hAnsi="Arial"/>
                <w:sz w:val="10"/>
                <w:szCs w:val="10"/>
                <w:b w:val="1"/>
                <w:bCs w:val="1"/>
                <w:color w:val="auto"/>
              </w:rPr>
              <w:t>(71)</w:t>
            </w:r>
          </w:p>
        </w:tc>
        <w:tc>
          <w:tcPr>
            <w:tcW w:w="200" w:type="dxa"/>
            <w:vAlign w:val="bottom"/>
          </w:tcPr>
          <w:p>
            <w:pPr>
              <w:spacing w:after="0"/>
              <w:rPr>
                <w:sz w:val="9"/>
                <w:szCs w:val="9"/>
                <w:color w:val="auto"/>
              </w:rPr>
            </w:pPr>
          </w:p>
        </w:tc>
        <w:tc>
          <w:tcPr>
            <w:tcW w:w="400" w:type="dxa"/>
            <w:vAlign w:val="bottom"/>
          </w:tcPr>
          <w:p>
            <w:pPr>
              <w:jc w:val="right"/>
              <w:ind w:right="90"/>
              <w:spacing w:after="0" w:line="106" w:lineRule="exact"/>
              <w:rPr>
                <w:sz w:val="20"/>
                <w:szCs w:val="20"/>
                <w:color w:val="auto"/>
              </w:rPr>
            </w:pPr>
            <w:r>
              <w:rPr>
                <w:rFonts w:ascii="Arial" w:cs="Arial" w:eastAsia="Arial" w:hAnsi="Arial"/>
                <w:sz w:val="10"/>
                <w:szCs w:val="10"/>
                <w:color w:val="auto"/>
              </w:rPr>
              <w:t>(72)</w:t>
            </w:r>
          </w:p>
        </w:tc>
        <w:tc>
          <w:tcPr>
            <w:tcW w:w="240" w:type="dxa"/>
            <w:vAlign w:val="bottom"/>
          </w:tcPr>
          <w:p>
            <w:pPr>
              <w:spacing w:after="0"/>
              <w:rPr>
                <w:sz w:val="9"/>
                <w:szCs w:val="9"/>
                <w:color w:val="auto"/>
              </w:rPr>
            </w:pPr>
          </w:p>
        </w:tc>
        <w:tc>
          <w:tcPr>
            <w:tcW w:w="2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(71)</w:t>
            </w:r>
          </w:p>
        </w:tc>
      </w:tr>
      <w:tr>
        <w:trPr>
          <w:trHeight w:val="120"/>
        </w:trPr>
        <w:tc>
          <w:tcPr>
            <w:tcW w:w="27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changes, net</w:t>
            </w:r>
          </w:p>
        </w:tc>
        <w:tc>
          <w:tcPr>
            <w:tcW w:w="124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27</w:t>
            </w:r>
          </w:p>
        </w:tc>
        <w:tc>
          <w:tcPr>
            <w:tcW w:w="2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169</w:t>
            </w:r>
          </w:p>
        </w:tc>
        <w:tc>
          <w:tcPr>
            <w:tcW w:w="40" w:type="dxa"/>
            <w:vAlign w:val="bottom"/>
            <w:tcBorders>
              <w:bottom w:val="single" w:sz="8" w:color="0077C0"/>
            </w:tcBorders>
          </w:tcPr>
          <w:p>
            <w:pPr>
              <w:spacing w:after="0"/>
              <w:rPr>
                <w:sz w:val="10"/>
                <w:szCs w:val="10"/>
                <w:color w:val="auto"/>
              </w:rPr>
            </w:pPr>
          </w:p>
        </w:tc>
      </w:tr>
      <w:tr>
        <w:trPr>
          <w:trHeight w:val="123"/>
        </w:trPr>
        <w:tc>
          <w:tcPr>
            <w:tcW w:w="27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Balance at December 31</w:t>
            </w:r>
          </w:p>
        </w:tc>
        <w:tc>
          <w:tcPr>
            <w:tcW w:w="124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799</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730</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647</w:t>
            </w:r>
          </w:p>
        </w:tc>
        <w:tc>
          <w:tcPr>
            <w:tcW w:w="40" w:type="dxa"/>
            <w:vAlign w:val="bottom"/>
            <w:tcBorders>
              <w:bottom w:val="single" w:sz="8" w:color="0077C0"/>
            </w:tcBorders>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4</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0077C0"/>
        </w:rPr>
        <w:t>Information Relating to the Consolidated Statement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9"/>
                <w:szCs w:val="9"/>
                <w:color w:val="auto"/>
                <w:w w:val="87"/>
              </w:rPr>
              <w:t>Year ended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40" w:type="dxa"/>
            <w:vAlign w:val="bottom"/>
            <w:tcBorders>
              <w:bottom w:val="single" w:sz="8" w:color="0077C0"/>
            </w:tcBorders>
          </w:tcPr>
          <w:p>
            <w:pPr>
              <w:spacing w:after="0"/>
              <w:rPr>
                <w:sz w:val="7"/>
                <w:szCs w:val="7"/>
                <w:color w:val="auto"/>
              </w:rPr>
            </w:pPr>
          </w:p>
        </w:tc>
        <w:tc>
          <w:tcPr>
            <w:tcW w:w="1080" w:type="dxa"/>
            <w:vAlign w:val="bottom"/>
            <w:tcBorders>
              <w:bottom w:val="single" w:sz="8" w:color="0077C0"/>
            </w:tcBorders>
          </w:tcPr>
          <w:p>
            <w:pPr>
              <w:spacing w:after="0"/>
              <w:rPr>
                <w:sz w:val="7"/>
                <w:szCs w:val="7"/>
                <w:color w:val="auto"/>
              </w:rPr>
            </w:pPr>
          </w:p>
        </w:tc>
        <w:tc>
          <w:tcPr>
            <w:tcW w:w="60" w:type="dxa"/>
            <w:vAlign w:val="bottom"/>
            <w:tcBorders>
              <w:top w:val="single" w:sz="8" w:color="0077C0"/>
              <w:bottom w:val="single" w:sz="8" w:color="0077C0"/>
            </w:tcBorders>
          </w:tcPr>
          <w:p>
            <w:pPr>
              <w:spacing w:after="0"/>
              <w:rPr>
                <w:sz w:val="7"/>
                <w:szCs w:val="7"/>
                <w:color w:val="auto"/>
              </w:rPr>
            </w:pPr>
          </w:p>
        </w:tc>
        <w:tc>
          <w:tcPr>
            <w:tcW w:w="480" w:type="dxa"/>
            <w:vAlign w:val="bottom"/>
            <w:tcBorders>
              <w:top w:val="single" w:sz="8" w:color="0077C0"/>
              <w:bottom w:val="single" w:sz="8" w:color="0077C0"/>
            </w:tcBorders>
          </w:tcPr>
          <w:p>
            <w:pPr>
              <w:jc w:val="right"/>
              <w:ind w:right="129"/>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ind w:right="130"/>
              <w:spacing w:after="0" w:line="86" w:lineRule="exact"/>
              <w:rPr>
                <w:sz w:val="20"/>
                <w:szCs w:val="20"/>
                <w:color w:val="auto"/>
              </w:rPr>
            </w:pPr>
            <w:r>
              <w:rPr>
                <w:rFonts w:ascii="Arial" w:cs="Arial" w:eastAsia="Arial" w:hAnsi="Arial"/>
                <w:sz w:val="9"/>
                <w:szCs w:val="9"/>
                <w:color w:val="auto"/>
              </w:rPr>
              <w:t>2010</w:t>
            </w:r>
          </w:p>
        </w:tc>
        <w:tc>
          <w:tcPr>
            <w:tcW w:w="200" w:type="dxa"/>
            <w:vAlign w:val="bottom"/>
            <w:tcBorders>
              <w:top w:val="single" w:sz="8" w:color="0077C0"/>
              <w:bottom w:val="single" w:sz="8" w:color="0077C0"/>
            </w:tcBorders>
          </w:tcPr>
          <w:p>
            <w:pPr>
              <w:spacing w:after="0"/>
              <w:rPr>
                <w:sz w:val="7"/>
                <w:szCs w:val="7"/>
                <w:color w:val="auto"/>
              </w:rPr>
            </w:pPr>
          </w:p>
        </w:tc>
        <w:tc>
          <w:tcPr>
            <w:tcW w:w="2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color w:val="auto"/>
              </w:rPr>
              <w:t>Net decrease (increase) in operating</w:t>
            </w: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working capital was composed of the</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following:</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Increase in accounts and</w:t>
            </w:r>
          </w:p>
        </w:tc>
        <w:tc>
          <w:tcPr>
            <w:tcW w:w="1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94"/>
              </w:rPr>
              <w:t>(2,156)</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notes receivable</w:t>
            </w:r>
          </w:p>
        </w:tc>
        <w:tc>
          <w:tcPr>
            <w:tcW w:w="1140" w:type="dxa"/>
            <w:vAlign w:val="bottom"/>
            <w:gridSpan w:val="2"/>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90"/>
              <w:spacing w:after="0" w:line="104" w:lineRule="exact"/>
              <w:rPr>
                <w:sz w:val="20"/>
                <w:szCs w:val="20"/>
                <w:color w:val="auto"/>
              </w:rPr>
            </w:pPr>
            <w:r>
              <w:rPr>
                <w:rFonts w:ascii="Arial" w:cs="Arial" w:eastAsia="Arial" w:hAnsi="Arial"/>
                <w:sz w:val="10"/>
                <w:szCs w:val="10"/>
                <w:color w:val="auto"/>
                <w:w w:val="94"/>
              </w:rPr>
              <w:t>(2,767)</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spacing w:after="0" w:line="104" w:lineRule="exact"/>
              <w:rPr>
                <w:sz w:val="20"/>
                <w:szCs w:val="20"/>
                <w:color w:val="auto"/>
              </w:rPr>
            </w:pPr>
            <w:r>
              <w:rPr>
                <w:rFonts w:ascii="Arial" w:cs="Arial" w:eastAsia="Arial" w:hAnsi="Arial"/>
                <w:sz w:val="10"/>
                <w:szCs w:val="10"/>
                <w:color w:val="auto"/>
                <w:w w:val="88"/>
              </w:rPr>
              <w:t>(1,476)</w:t>
            </w: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line="108" w:lineRule="exact"/>
              <w:rPr>
                <w:sz w:val="20"/>
                <w:szCs w:val="20"/>
                <w:color w:val="auto"/>
              </w:rPr>
            </w:pPr>
            <w:r>
              <w:rPr>
                <w:rFonts w:ascii="Arial" w:cs="Arial" w:eastAsia="Arial" w:hAnsi="Arial"/>
                <w:sz w:val="10"/>
                <w:szCs w:val="10"/>
                <w:color w:val="auto"/>
              </w:rPr>
              <w:t>(Increase) decrease in inventories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(404)</w:t>
            </w:r>
          </w:p>
        </w:tc>
        <w:tc>
          <w:tcPr>
            <w:tcW w:w="160" w:type="dxa"/>
            <w:vAlign w:val="bottom"/>
          </w:tcPr>
          <w:p>
            <w:pPr>
              <w:spacing w:after="0"/>
              <w:rPr>
                <w:sz w:val="9"/>
                <w:szCs w:val="9"/>
                <w:color w:val="auto"/>
              </w:rPr>
            </w:pPr>
          </w:p>
        </w:tc>
        <w:tc>
          <w:tcPr>
            <w:tcW w:w="460" w:type="dxa"/>
            <w:vAlign w:val="bottom"/>
          </w:tcPr>
          <w:p>
            <w:pPr>
              <w:jc w:val="right"/>
              <w:ind w:right="130"/>
              <w:spacing w:after="0" w:line="108" w:lineRule="exact"/>
              <w:rPr>
                <w:sz w:val="20"/>
                <w:szCs w:val="20"/>
                <w:color w:val="auto"/>
              </w:rPr>
            </w:pPr>
            <w:r>
              <w:rPr>
                <w:rFonts w:ascii="Arial" w:cs="Arial" w:eastAsia="Arial" w:hAnsi="Arial"/>
                <w:sz w:val="10"/>
                <w:szCs w:val="10"/>
                <w:color w:val="auto"/>
              </w:rPr>
              <w:t>15</w:t>
            </w:r>
          </w:p>
        </w:tc>
        <w:tc>
          <w:tcPr>
            <w:tcW w:w="200" w:type="dxa"/>
            <w:vAlign w:val="bottom"/>
          </w:tcPr>
          <w:p>
            <w:pPr>
              <w:spacing w:after="0"/>
              <w:rPr>
                <w:sz w:val="9"/>
                <w:szCs w:val="9"/>
                <w:color w:val="auto"/>
              </w:rPr>
            </w:pPr>
          </w:p>
        </w:tc>
        <w:tc>
          <w:tcPr>
            <w:tcW w:w="260" w:type="dxa"/>
            <w:vAlign w:val="bottom"/>
          </w:tcPr>
          <w:p>
            <w:pPr>
              <w:jc w:val="right"/>
              <w:spacing w:after="0" w:line="108" w:lineRule="exact"/>
              <w:rPr>
                <w:sz w:val="20"/>
                <w:szCs w:val="20"/>
                <w:color w:val="auto"/>
              </w:rPr>
            </w:pPr>
            <w:r>
              <w:rPr>
                <w:rFonts w:ascii="Arial" w:cs="Arial" w:eastAsia="Arial" w:hAnsi="Arial"/>
                <w:sz w:val="10"/>
                <w:szCs w:val="10"/>
                <w:color w:val="auto"/>
                <w:w w:val="95"/>
              </w:rPr>
              <w:t>1,213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Increase in prepaid expenses and</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(853)</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other current assets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90"/>
              <w:spacing w:after="0" w:line="106" w:lineRule="exact"/>
              <w:rPr>
                <w:sz w:val="20"/>
                <w:szCs w:val="20"/>
                <w:color w:val="auto"/>
              </w:rPr>
            </w:pPr>
            <w:r>
              <w:rPr>
                <w:rFonts w:ascii="Arial" w:cs="Arial" w:eastAsia="Arial" w:hAnsi="Arial"/>
                <w:sz w:val="10"/>
                <w:szCs w:val="10"/>
                <w:color w:val="auto"/>
              </w:rPr>
              <w:t>(542)</w:t>
            </w:r>
          </w:p>
        </w:tc>
        <w:tc>
          <w:tcPr>
            <w:tcW w:w="20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Increase (decrease) in accounts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3,839</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payable and accrued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3,049</w:t>
            </w:r>
          </w:p>
        </w:tc>
        <w:tc>
          <w:tcPr>
            <w:tcW w:w="20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w w:val="88"/>
              </w:rPr>
              <w:t>(1,121)</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Increase (decrease) in income and</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1,892</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ind w:left="120"/>
              <w:spacing w:after="0"/>
              <w:rPr>
                <w:sz w:val="20"/>
                <w:szCs w:val="20"/>
                <w:color w:val="auto"/>
              </w:rPr>
            </w:pPr>
            <w:r>
              <w:rPr>
                <w:rFonts w:ascii="Arial" w:cs="Arial" w:eastAsia="Arial" w:hAnsi="Arial"/>
                <w:sz w:val="10"/>
                <w:szCs w:val="10"/>
                <w:color w:val="auto"/>
              </w:rPr>
              <w:t>other taxes payable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0077C0"/>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ind w:right="130"/>
              <w:spacing w:after="0"/>
              <w:rPr>
                <w:sz w:val="20"/>
                <w:szCs w:val="20"/>
                <w:color w:val="auto"/>
              </w:rPr>
            </w:pPr>
            <w:r>
              <w:rPr>
                <w:rFonts w:ascii="Arial" w:cs="Arial" w:eastAsia="Arial" w:hAnsi="Arial"/>
                <w:sz w:val="10"/>
                <w:szCs w:val="10"/>
                <w:color w:val="auto"/>
              </w:rPr>
              <w:t>321</w:t>
            </w:r>
          </w:p>
        </w:tc>
        <w:tc>
          <w:tcPr>
            <w:tcW w:w="2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(653)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Net decrease (increase) in operating</w:t>
            </w:r>
          </w:p>
        </w:tc>
        <w:tc>
          <w:tcPr>
            <w:tcW w:w="1140" w:type="dxa"/>
            <w:vAlign w:val="bottom"/>
            <w:tcBorders>
              <w:top w:val="single" w:sz="8" w:color="0077C0"/>
            </w:tcBorders>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0077C0"/>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2,318</w:t>
            </w:r>
          </w:p>
        </w:tc>
        <w:tc>
          <w:tcPr>
            <w:tcW w:w="16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40" w:type="dxa"/>
            <w:vAlign w:val="bottom"/>
          </w:tcPr>
          <w:p>
            <w:pPr>
              <w:ind w:left="120"/>
              <w:spacing w:after="0"/>
              <w:rPr>
                <w:sz w:val="20"/>
                <w:szCs w:val="20"/>
                <w:color w:val="auto"/>
              </w:rPr>
            </w:pPr>
            <w:r>
              <w:rPr>
                <w:rFonts w:ascii="Arial" w:cs="Arial" w:eastAsia="Arial" w:hAnsi="Arial"/>
                <w:sz w:val="10"/>
                <w:szCs w:val="10"/>
                <w:color w:val="auto"/>
              </w:rPr>
              <w:t>working capital</w:t>
            </w:r>
          </w:p>
        </w:tc>
        <w:tc>
          <w:tcPr>
            <w:tcW w:w="1140" w:type="dxa"/>
            <w:vAlign w:val="bottom"/>
            <w:gridSpan w:val="2"/>
            <w:vMerge w:val="continue"/>
          </w:tcPr>
          <w:p>
            <w:pPr>
              <w:spacing w:after="0"/>
              <w:rPr>
                <w:sz w:val="11"/>
                <w:szCs w:val="11"/>
                <w:color w:val="auto"/>
              </w:rPr>
            </w:pPr>
          </w:p>
        </w:tc>
        <w:tc>
          <w:tcPr>
            <w:tcW w:w="480" w:type="dxa"/>
            <w:vAlign w:val="bottom"/>
            <w:tcBorders>
              <w:right w:val="single" w:sz="8" w:color="0077C0"/>
            </w:tcBorders>
            <w:vMerge w:val="continue"/>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30"/>
              <w:spacing w:after="0"/>
              <w:rPr>
                <w:sz w:val="20"/>
                <w:szCs w:val="20"/>
                <w:color w:val="auto"/>
              </w:rPr>
            </w:pPr>
            <w:r>
              <w:rPr>
                <w:rFonts w:ascii="Arial" w:cs="Arial" w:eastAsia="Arial" w:hAnsi="Arial"/>
                <w:sz w:val="10"/>
                <w:szCs w:val="10"/>
                <w:color w:val="auto"/>
              </w:rPr>
              <w:t>76</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spacing w:after="0"/>
              <w:rPr>
                <w:sz w:val="20"/>
                <w:szCs w:val="20"/>
                <w:color w:val="auto"/>
              </w:rPr>
            </w:pPr>
            <w:r>
              <w:rPr>
                <w:rFonts w:ascii="Arial" w:cs="Arial" w:eastAsia="Arial" w:hAnsi="Arial"/>
                <w:sz w:val="10"/>
                <w:szCs w:val="10"/>
                <w:color w:val="auto"/>
                <w:w w:val="88"/>
              </w:rPr>
              <w:t>(2,301)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740" w:type="dxa"/>
            <w:vAlign w:val="bottom"/>
            <w:tcBorders>
              <w:top w:val="single" w:sz="8" w:color="0077C0"/>
            </w:tcBorders>
          </w:tcPr>
          <w:p>
            <w:pPr>
              <w:spacing w:after="0" w:line="103" w:lineRule="exact"/>
              <w:rPr>
                <w:sz w:val="20"/>
                <w:szCs w:val="20"/>
                <w:color w:val="auto"/>
              </w:rPr>
            </w:pPr>
            <w:r>
              <w:rPr>
                <w:rFonts w:ascii="Arial" w:cs="Arial" w:eastAsia="Arial" w:hAnsi="Arial"/>
                <w:sz w:val="10"/>
                <w:szCs w:val="10"/>
                <w:color w:val="auto"/>
              </w:rPr>
              <w:t>Net cash provided by operating</w:t>
            </w:r>
          </w:p>
        </w:tc>
        <w:tc>
          <w:tcPr>
            <w:tcW w:w="1080" w:type="dxa"/>
            <w:vAlign w:val="bottom"/>
            <w:tcBorders>
              <w:top w:val="single" w:sz="8" w:color="0077C0"/>
            </w:tcBorders>
          </w:tcPr>
          <w:p>
            <w:pPr>
              <w:spacing w:after="0"/>
              <w:rPr>
                <w:sz w:val="8"/>
                <w:szCs w:val="8"/>
                <w:color w:val="auto"/>
              </w:rPr>
            </w:pPr>
          </w:p>
        </w:tc>
        <w:tc>
          <w:tcPr>
            <w:tcW w:w="60" w:type="dxa"/>
            <w:vAlign w:val="bottom"/>
            <w:tcBorders>
              <w:top w:val="single" w:sz="8" w:color="0077C0"/>
            </w:tcBorders>
          </w:tcPr>
          <w:p>
            <w:pPr>
              <w:spacing w:after="0"/>
              <w:rPr>
                <w:sz w:val="8"/>
                <w:szCs w:val="8"/>
                <w:color w:val="auto"/>
              </w:rPr>
            </w:pPr>
          </w:p>
        </w:tc>
        <w:tc>
          <w:tcPr>
            <w:tcW w:w="480" w:type="dxa"/>
            <w:vAlign w:val="bottom"/>
            <w:tcBorders>
              <w:top w:val="single" w:sz="8" w:color="0077C0"/>
              <w:right w:val="single" w:sz="8" w:color="0077C0"/>
            </w:tcBorders>
          </w:tcPr>
          <w:p>
            <w:pPr>
              <w:spacing w:after="0"/>
              <w:rPr>
                <w:sz w:val="8"/>
                <w:szCs w:val="8"/>
                <w:color w:val="auto"/>
              </w:rPr>
            </w:pPr>
          </w:p>
        </w:tc>
        <w:tc>
          <w:tcPr>
            <w:tcW w:w="16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activities includes the following</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cash payments for interest and</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income taxes: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Interest paid on debt</w:t>
            </w:r>
          </w:p>
        </w:tc>
        <w:tc>
          <w:tcPr>
            <w:tcW w:w="1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(net of capitalized interest)</w:t>
            </w:r>
          </w:p>
        </w:tc>
        <w:tc>
          <w:tcPr>
            <w:tcW w:w="1140" w:type="dxa"/>
            <w:vAlign w:val="bottom"/>
            <w:gridSpan w:val="2"/>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30"/>
              <w:spacing w:after="0" w:line="104" w:lineRule="exact"/>
              <w:rPr>
                <w:sz w:val="20"/>
                <w:szCs w:val="20"/>
                <w:color w:val="auto"/>
              </w:rPr>
            </w:pPr>
            <w:r>
              <w:rPr>
                <w:rFonts w:ascii="Arial" w:cs="Arial" w:eastAsia="Arial" w:hAnsi="Arial"/>
                <w:sz w:val="10"/>
                <w:szCs w:val="10"/>
                <w:color w:val="auto"/>
              </w:rPr>
              <w:t>34</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Income taxes</w:t>
            </w:r>
          </w:p>
        </w:tc>
        <w:tc>
          <w:tcPr>
            <w:tcW w:w="114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1"/>
              </w:rPr>
              <w:t>17,374</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w w:val="84"/>
              </w:rPr>
              <w:t>11,749</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7,537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760" w:type="dxa"/>
            <w:vAlign w:val="bottom"/>
            <w:gridSpan w:val="2"/>
          </w:tcPr>
          <w:p>
            <w:pPr>
              <w:spacing w:after="0" w:line="103" w:lineRule="exact"/>
              <w:rPr>
                <w:sz w:val="20"/>
                <w:szCs w:val="20"/>
                <w:color w:val="auto"/>
              </w:rPr>
            </w:pPr>
            <w:r>
              <w:rPr>
                <w:rFonts w:ascii="Arial" w:cs="Arial" w:eastAsia="Arial" w:hAnsi="Arial"/>
                <w:sz w:val="10"/>
                <w:szCs w:val="10"/>
                <w:color w:val="auto"/>
              </w:rPr>
              <w:t>Net sales of marketable securities</w:t>
            </w: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consisted of the following</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gross amounts:</w:t>
            </w:r>
          </w:p>
        </w:tc>
        <w:tc>
          <w:tcPr>
            <w:tcW w:w="1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(112)</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60" w:type="dxa"/>
            <w:vAlign w:val="bottom"/>
            <w:gridSpan w:val="2"/>
          </w:tcPr>
          <w:p>
            <w:pPr>
              <w:spacing w:after="0" w:line="104" w:lineRule="exact"/>
              <w:rPr>
                <w:sz w:val="20"/>
                <w:szCs w:val="20"/>
                <w:color w:val="auto"/>
              </w:rPr>
            </w:pPr>
            <w:r>
              <w:rPr>
                <w:rFonts w:ascii="Arial" w:cs="Arial" w:eastAsia="Arial" w:hAnsi="Arial"/>
                <w:sz w:val="10"/>
                <w:szCs w:val="10"/>
                <w:color w:val="auto"/>
              </w:rPr>
              <w:t>Marketable securities purchased</w:t>
            </w:r>
          </w:p>
        </w:tc>
        <w:tc>
          <w:tcPr>
            <w:tcW w:w="1140" w:type="dxa"/>
            <w:vAlign w:val="bottom"/>
            <w:gridSpan w:val="2"/>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90"/>
              <w:spacing w:after="0" w:line="104" w:lineRule="exact"/>
              <w:rPr>
                <w:sz w:val="20"/>
                <w:szCs w:val="20"/>
                <w:color w:val="auto"/>
              </w:rPr>
            </w:pPr>
            <w:r>
              <w:rPr>
                <w:rFonts w:ascii="Arial" w:cs="Arial" w:eastAsia="Arial" w:hAnsi="Arial"/>
                <w:sz w:val="10"/>
                <w:szCs w:val="10"/>
                <w:color w:val="auto"/>
              </w:rPr>
              <w:t>(90)</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Marketable securities sold</w:t>
            </w:r>
          </w:p>
        </w:tc>
        <w:tc>
          <w:tcPr>
            <w:tcW w:w="10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38</w:t>
            </w:r>
          </w:p>
        </w:tc>
        <w:tc>
          <w:tcPr>
            <w:tcW w:w="1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41</w:t>
            </w:r>
          </w:p>
        </w:tc>
        <w:tc>
          <w:tcPr>
            <w:tcW w:w="20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60" w:type="dxa"/>
            <w:vAlign w:val="bottom"/>
            <w:gridSpan w:val="2"/>
          </w:tcPr>
          <w:p>
            <w:pPr>
              <w:spacing w:after="0" w:line="92" w:lineRule="exact"/>
              <w:rPr>
                <w:sz w:val="20"/>
                <w:szCs w:val="20"/>
                <w:color w:val="auto"/>
              </w:rPr>
            </w:pPr>
            <w:r>
              <w:rPr>
                <w:rFonts w:ascii="Arial" w:cs="Arial" w:eastAsia="Arial" w:hAnsi="Arial"/>
                <w:sz w:val="10"/>
                <w:szCs w:val="10"/>
                <w:color w:val="auto"/>
              </w:rPr>
              <w:t>Net (purchases) sales of marketable</w:t>
            </w:r>
          </w:p>
        </w:tc>
        <w:tc>
          <w:tcPr>
            <w:tcW w:w="1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(74)</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securities</w:t>
            </w:r>
          </w:p>
        </w:tc>
        <w:tc>
          <w:tcPr>
            <w:tcW w:w="1140" w:type="dxa"/>
            <w:vAlign w:val="bottom"/>
            <w:tcBorders>
              <w:bottom w:val="single" w:sz="8" w:color="0077C0"/>
            </w:tcBorders>
            <w:gridSpan w:val="2"/>
            <w:vMerge w:val="continue"/>
          </w:tcPr>
          <w:p>
            <w:pPr>
              <w:spacing w:after="0"/>
              <w:rPr>
                <w:sz w:val="11"/>
                <w:szCs w:val="11"/>
                <w:color w:val="auto"/>
              </w:rPr>
            </w:pPr>
          </w:p>
        </w:tc>
        <w:tc>
          <w:tcPr>
            <w:tcW w:w="480" w:type="dxa"/>
            <w:vAlign w:val="bottom"/>
            <w:tcBorders>
              <w:bottom w:val="single" w:sz="8" w:color="0077C0"/>
              <w:right w:val="single" w:sz="8" w:color="0077C0"/>
            </w:tcBorders>
            <w:vMerge w:val="continue"/>
          </w:tcPr>
          <w:p>
            <w:pPr>
              <w:spacing w:after="0"/>
              <w:rPr>
                <w:sz w:val="11"/>
                <w:szCs w:val="11"/>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90"/>
              <w:spacing w:after="0"/>
              <w:rPr>
                <w:sz w:val="20"/>
                <w:szCs w:val="20"/>
                <w:color w:val="auto"/>
              </w:rPr>
            </w:pPr>
            <w:r>
              <w:rPr>
                <w:rFonts w:ascii="Arial" w:cs="Arial" w:eastAsia="Arial" w:hAnsi="Arial"/>
                <w:sz w:val="10"/>
                <w:szCs w:val="10"/>
                <w:color w:val="auto"/>
              </w:rPr>
              <w:t>(49)</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740" w:type="dxa"/>
            <w:vAlign w:val="bottom"/>
          </w:tcPr>
          <w:p>
            <w:pPr>
              <w:spacing w:after="0" w:line="103" w:lineRule="exact"/>
              <w:rPr>
                <w:sz w:val="20"/>
                <w:szCs w:val="20"/>
                <w:color w:val="auto"/>
              </w:rPr>
            </w:pPr>
            <w:r>
              <w:rPr>
                <w:rFonts w:ascii="Arial" w:cs="Arial" w:eastAsia="Arial" w:hAnsi="Arial"/>
                <w:sz w:val="10"/>
                <w:szCs w:val="10"/>
                <w:color w:val="auto"/>
              </w:rPr>
              <w:t>Net purchases of time deposits</w:t>
            </w: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consisted of the following</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gross amounts:</w:t>
            </w:r>
          </w:p>
        </w:tc>
        <w:tc>
          <w:tcPr>
            <w:tcW w:w="11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94"/>
              </w:rPr>
              <w:t>(6,439)</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60" w:type="dxa"/>
            <w:vAlign w:val="bottom"/>
            <w:gridSpan w:val="2"/>
          </w:tcPr>
          <w:p>
            <w:pPr>
              <w:spacing w:after="0" w:line="104" w:lineRule="exact"/>
              <w:rPr>
                <w:sz w:val="20"/>
                <w:szCs w:val="20"/>
                <w:color w:val="auto"/>
              </w:rPr>
            </w:pPr>
            <w:r>
              <w:rPr>
                <w:rFonts w:ascii="Arial" w:cs="Arial" w:eastAsia="Arial" w:hAnsi="Arial"/>
                <w:sz w:val="10"/>
                <w:szCs w:val="10"/>
                <w:color w:val="auto"/>
              </w:rPr>
              <w:t>Time deposits purchased</w:t>
            </w:r>
          </w:p>
        </w:tc>
        <w:tc>
          <w:tcPr>
            <w:tcW w:w="1140" w:type="dxa"/>
            <w:vAlign w:val="bottom"/>
            <w:gridSpan w:val="2"/>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90"/>
              <w:spacing w:after="0" w:line="104" w:lineRule="exact"/>
              <w:rPr>
                <w:sz w:val="20"/>
                <w:szCs w:val="20"/>
                <w:color w:val="auto"/>
              </w:rPr>
            </w:pPr>
            <w:r>
              <w:rPr>
                <w:rFonts w:ascii="Arial" w:cs="Arial" w:eastAsia="Arial" w:hAnsi="Arial"/>
                <w:sz w:val="10"/>
                <w:szCs w:val="10"/>
                <w:color w:val="auto"/>
                <w:w w:val="94"/>
              </w:rPr>
              <w:t>(5,060)</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gridSpan w:val="2"/>
          </w:tcPr>
          <w:p>
            <w:pPr>
              <w:spacing w:after="0"/>
              <w:rPr>
                <w:sz w:val="20"/>
                <w:szCs w:val="20"/>
                <w:color w:val="auto"/>
              </w:rPr>
            </w:pPr>
            <w:r>
              <w:rPr>
                <w:rFonts w:ascii="Arial" w:cs="Arial" w:eastAsia="Arial" w:hAnsi="Arial"/>
                <w:sz w:val="10"/>
                <w:szCs w:val="10"/>
                <w:color w:val="auto"/>
              </w:rPr>
              <w:t>Time deposits matured</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5,335</w:t>
            </w:r>
          </w:p>
        </w:tc>
        <w:tc>
          <w:tcPr>
            <w:tcW w:w="160" w:type="dxa"/>
            <w:vAlign w:val="bottom"/>
          </w:tcPr>
          <w:p>
            <w:pPr>
              <w:spacing w:after="0"/>
              <w:rPr>
                <w:sz w:val="10"/>
                <w:szCs w:val="10"/>
                <w:color w:val="auto"/>
              </w:rPr>
            </w:pPr>
          </w:p>
        </w:tc>
        <w:tc>
          <w:tcPr>
            <w:tcW w:w="460" w:type="dxa"/>
            <w:vAlign w:val="bottom"/>
          </w:tcPr>
          <w:p>
            <w:pPr>
              <w:jc w:val="right"/>
              <w:ind w:right="130"/>
              <w:spacing w:after="0"/>
              <w:rPr>
                <w:sz w:val="20"/>
                <w:szCs w:val="20"/>
                <w:color w:val="auto"/>
              </w:rPr>
            </w:pPr>
            <w:r>
              <w:rPr>
                <w:rFonts w:ascii="Arial" w:cs="Arial" w:eastAsia="Arial" w:hAnsi="Arial"/>
                <w:sz w:val="10"/>
                <w:szCs w:val="10"/>
                <w:color w:val="auto"/>
              </w:rPr>
              <w:t>2,205</w:t>
            </w:r>
          </w:p>
        </w:tc>
        <w:tc>
          <w:tcPr>
            <w:tcW w:w="200" w:type="dxa"/>
            <w:vAlign w:val="bottom"/>
          </w:tcPr>
          <w:p>
            <w:pPr>
              <w:spacing w:after="0"/>
              <w:rPr>
                <w:sz w:val="10"/>
                <w:szCs w:val="1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2760" w:type="dxa"/>
            <w:vAlign w:val="bottom"/>
            <w:tcBorders>
              <w:top w:val="single" w:sz="8" w:color="0077C0"/>
              <w:bottom w:val="single" w:sz="8" w:color="0077C0"/>
            </w:tcBorders>
            <w:gridSpan w:val="2"/>
          </w:tcPr>
          <w:p>
            <w:pPr>
              <w:spacing w:after="0"/>
              <w:rPr>
                <w:sz w:val="20"/>
                <w:szCs w:val="20"/>
                <w:color w:val="auto"/>
              </w:rPr>
            </w:pPr>
            <w:r>
              <w:rPr>
                <w:rFonts w:ascii="Arial" w:cs="Arial" w:eastAsia="Arial" w:hAnsi="Arial"/>
                <w:sz w:val="10"/>
                <w:szCs w:val="10"/>
                <w:color w:val="auto"/>
              </w:rPr>
              <w:t>Net purchases of time deposits</w:t>
            </w:r>
          </w:p>
        </w:tc>
        <w:tc>
          <w:tcPr>
            <w:tcW w:w="1140" w:type="dxa"/>
            <w:vAlign w:val="bottom"/>
            <w:tcBorders>
              <w:top w:val="single" w:sz="8" w:color="0077C0"/>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0077C0"/>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4"/>
              </w:rPr>
              <w:t>(1,104)</w:t>
            </w:r>
          </w:p>
        </w:tc>
        <w:tc>
          <w:tcPr>
            <w:tcW w:w="1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ind w:right="90"/>
              <w:spacing w:after="0"/>
              <w:rPr>
                <w:sz w:val="20"/>
                <w:szCs w:val="20"/>
                <w:color w:val="auto"/>
              </w:rPr>
            </w:pPr>
            <w:r>
              <w:rPr>
                <w:rFonts w:ascii="Arial" w:cs="Arial" w:eastAsia="Arial" w:hAnsi="Arial"/>
                <w:sz w:val="10"/>
                <w:szCs w:val="10"/>
                <w:color w:val="auto"/>
                <w:w w:val="94"/>
              </w:rPr>
              <w:t>(2,855)</w:t>
            </w:r>
          </w:p>
        </w:tc>
        <w:tc>
          <w:tcPr>
            <w:tcW w:w="2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20"/>
        <w:spacing w:after="0" w:line="295" w:lineRule="auto"/>
        <w:rPr>
          <w:sz w:val="20"/>
          <w:szCs w:val="20"/>
          <w:color w:val="auto"/>
        </w:rPr>
      </w:pPr>
      <w:r>
        <w:rPr>
          <w:rFonts w:ascii="Arial" w:cs="Arial" w:eastAsia="Arial" w:hAnsi="Arial"/>
          <w:sz w:val="11"/>
          <w:szCs w:val="11"/>
          <w:color w:val="auto"/>
        </w:rPr>
        <w:t>In accordance with accounting standards for cash-flow classifications for stock options (ASC 718), the “Net decrease (increase) in operating working capital” includes reductions of $121, $67 and $25 for excess income tax benefits associated with stock options exercised during 2011, 2010 and 2009, respectively. These amounts are offset by an equal amount in “Net (purchases) sales of treasury shares.”</w:t>
      </w:r>
    </w:p>
    <w:p>
      <w:pPr>
        <w:spacing w:after="0" w:line="2" w:lineRule="exact"/>
        <w:rPr>
          <w:sz w:val="20"/>
          <w:szCs w:val="20"/>
          <w:color w:val="auto"/>
        </w:rPr>
      </w:pPr>
    </w:p>
    <w:p>
      <w:pPr>
        <w:ind w:right="20" w:firstLine="158"/>
        <w:spacing w:after="0" w:line="304" w:lineRule="auto"/>
        <w:rPr>
          <w:sz w:val="20"/>
          <w:szCs w:val="20"/>
          <w:color w:val="auto"/>
        </w:rPr>
      </w:pPr>
      <w:r>
        <w:rPr>
          <w:rFonts w:ascii="Arial" w:cs="Arial" w:eastAsia="Arial" w:hAnsi="Arial"/>
          <w:sz w:val="11"/>
          <w:szCs w:val="11"/>
          <w:color w:val="auto"/>
        </w:rPr>
        <w:t>The “Acquisition of Atlas Energy” reflects the $3,009 of cash paid for all the common shares of Atlas. An “Advance to Atlas Energy” of $403 was made to facilitate the purchase of a 49 percent interest in Laurel Mountain Midstream LLC on the day of closing. The “Net decrease (increase) in operating working capital” includes $184 for payments made in connection with Atlas equity awards subsequent to the acquisition. Refer to Note 2, beginning on page FS-30 for additional discussion of the Atlas acquisition.</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12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5990" cy="512445"/>
                    </a:xfrm>
                    <a:prstGeom prst="rect">
                      <a:avLst/>
                    </a:prstGeom>
                    <a:noFill/>
                  </pic:spPr>
                </pic:pic>
              </a:graphicData>
            </a:graphic>
          </wp:anchor>
        </w:drawing>
      </w:r>
    </w:p>
    <w:p>
      <w:pPr>
        <w:spacing w:after="0" w:line="300" w:lineRule="exact"/>
        <w:rPr>
          <w:sz w:val="20"/>
          <w:szCs w:val="20"/>
          <w:color w:val="auto"/>
        </w:rPr>
      </w:pPr>
    </w:p>
    <w:p>
      <w:pPr>
        <w:jc w:val="right"/>
        <w:ind w:right="5960"/>
        <w:spacing w:after="0"/>
        <w:rPr>
          <w:sz w:val="20"/>
          <w:szCs w:val="20"/>
          <w:color w:val="auto"/>
        </w:rPr>
      </w:pPr>
      <w:r>
        <w:rPr>
          <w:rFonts w:ascii="Arial" w:cs="Arial" w:eastAsia="Arial" w:hAnsi="Arial"/>
          <w:sz w:val="10"/>
          <w:szCs w:val="10"/>
          <w:color w:val="0077C0"/>
        </w:rPr>
        <w:t>Notes to the Consolidated Financial Statements</w:t>
      </w:r>
    </w:p>
    <w:p>
      <w:pPr>
        <w:jc w:val="right"/>
        <w:ind w:right="594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4 </w:t>
      </w:r>
      <w:r>
        <w:rPr>
          <w:rFonts w:ascii="Arial" w:cs="Arial" w:eastAsia="Arial" w:hAnsi="Arial"/>
          <w:sz w:val="8"/>
          <w:szCs w:val="8"/>
          <w:color w:val="000000"/>
        </w:rPr>
        <w:t>Information Relating to the Consolidated Statement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9"/>
          <w:szCs w:val="9"/>
          <w:color w:val="auto"/>
        </w:rPr>
        <w:t>of Cash Flows - Continued</w:t>
      </w:r>
    </w:p>
    <w:p>
      <w:pPr>
        <w:sectPr>
          <w:pgSz w:w="11900" w:h="16838" w:orient="portrait"/>
          <w:cols w:equalWidth="0" w:num="1">
            <w:col w:w="11440"/>
          </w:cols>
          <w:pgMar w:left="220" w:top="339" w:right="239" w:bottom="1440" w:gutter="0" w:footer="0" w:header="0"/>
        </w:sectPr>
      </w:pPr>
    </w:p>
    <w:p>
      <w:pPr>
        <w:spacing w:after="0" w:line="238" w:lineRule="exact"/>
        <w:rPr>
          <w:sz w:val="20"/>
          <w:szCs w:val="20"/>
          <w:color w:val="auto"/>
        </w:rPr>
      </w:pPr>
    </w:p>
    <w:p>
      <w:pPr>
        <w:ind w:right="180" w:firstLine="158"/>
        <w:spacing w:after="0" w:line="253" w:lineRule="auto"/>
        <w:rPr>
          <w:sz w:val="20"/>
          <w:szCs w:val="20"/>
          <w:color w:val="auto"/>
        </w:rPr>
      </w:pPr>
      <w:r>
        <w:rPr>
          <w:rFonts w:ascii="Arial" w:cs="Arial" w:eastAsia="Arial" w:hAnsi="Arial"/>
          <w:sz w:val="13"/>
          <w:szCs w:val="13"/>
          <w:color w:val="auto"/>
        </w:rPr>
        <w:t>The “Repayments of long-term debt and other financing obligations” includes $761 for repayment of Atlas debt and $271 for payoff of the Atlas revolving credit facility.</w:t>
      </w:r>
    </w:p>
    <w:p>
      <w:pPr>
        <w:spacing w:after="0" w:line="1" w:lineRule="exact"/>
        <w:rPr>
          <w:sz w:val="20"/>
          <w:szCs w:val="20"/>
          <w:color w:val="auto"/>
        </w:rPr>
      </w:pPr>
    </w:p>
    <w:p>
      <w:pPr>
        <w:ind w:right="100" w:firstLine="158"/>
        <w:spacing w:after="0" w:line="291" w:lineRule="auto"/>
        <w:rPr>
          <w:sz w:val="20"/>
          <w:szCs w:val="20"/>
          <w:color w:val="auto"/>
        </w:rPr>
      </w:pPr>
      <w:r>
        <w:rPr>
          <w:rFonts w:ascii="Arial" w:cs="Arial" w:eastAsia="Arial" w:hAnsi="Arial"/>
          <w:sz w:val="11"/>
          <w:szCs w:val="11"/>
          <w:color w:val="auto"/>
        </w:rPr>
        <w:t>The “Net (purchases) sales of treasury shares” represents the cost of common shares acquired less the cost of shares issued for share-based compensation plans. Purchases totaled $4,262, $775 and $6 in 2011, 2010 and 2009, respectively. In 2011 and 2010, the company purchased 42.3 million and 8.8 million common shares for $4,250 and $750 under its ongoing share repurchase program, respectively.</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In 2011 and 2010, “Net sales (purchases) of other short-term investments” consist of restricted cash associated with capital-investment projects at the company’s Pascagoula and El Segundo refineries, acquisitions pending tax deferred exchanges, and Upstream abandonment activities that was invested in short-term securities and reclassified from “Cash and cash equivalents” to “Deferred charges and other assets” on the Consolidated Balance Sheet. The company issued $374, $1,250 and $350 in 2011, 2010 and 2009, respectively, of tax exempt bonds as a source of funds for U.S. refinery projects, which is included in “Proceeds from issuance of long-term debt.”</w:t>
      </w:r>
    </w:p>
    <w:p>
      <w:pPr>
        <w:spacing w:after="0" w:line="2" w:lineRule="exact"/>
        <w:rPr>
          <w:sz w:val="20"/>
          <w:szCs w:val="20"/>
          <w:color w:val="auto"/>
        </w:rPr>
      </w:pPr>
    </w:p>
    <w:p>
      <w:pPr>
        <w:ind w:right="140" w:firstLine="158"/>
        <w:spacing w:after="0" w:line="302" w:lineRule="auto"/>
        <w:rPr>
          <w:sz w:val="20"/>
          <w:szCs w:val="20"/>
          <w:color w:val="auto"/>
        </w:rPr>
      </w:pPr>
      <w:r>
        <w:rPr>
          <w:rFonts w:ascii="Arial" w:cs="Arial" w:eastAsia="Arial" w:hAnsi="Arial"/>
          <w:sz w:val="11"/>
          <w:szCs w:val="11"/>
          <w:color w:val="auto"/>
        </w:rPr>
        <w:t>The Consolidated Statement of Cash Flows excludes changes to the Consolidated Balance Sheet that did not affect cash. In 2009, payments related to “Accrued liabilities” were excluded from “Net decrease (increase) in operating working capital” and were reported as “Capital expenditures.” The “Accrued liabilities” were related to upstream operating agreements outside the United States recorded in 2008. Refer also to Note 25, on page FS-58, for a discussion of revisions to the company’s AROs that also did not involve cash receipts or payments for the three years ending December 31, 2011.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0" w:firstLine="158"/>
        <w:spacing w:after="0" w:line="359" w:lineRule="auto"/>
        <w:rPr>
          <w:sz w:val="20"/>
          <w:szCs w:val="20"/>
          <w:color w:val="auto"/>
        </w:rPr>
      </w:pPr>
      <w:r>
        <w:rPr>
          <w:rFonts w:ascii="Arial" w:cs="Arial" w:eastAsia="Arial" w:hAnsi="Arial"/>
          <w:sz w:val="11"/>
          <w:szCs w:val="11"/>
          <w:color w:val="auto"/>
        </w:rPr>
        <w:t>The major components of “Capital expenditures” and the reconciliation of this amount to the reported capital and exploratory expenditures, including equity affiliates, are presented in the following table: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1100" w:type="dxa"/>
            <w:vAlign w:val="bottom"/>
            <w:tcBorders>
              <w:bottom w:val="single" w:sz="8" w:color="0077C0"/>
            </w:tcBorders>
            <w:gridSpan w:val="2"/>
          </w:tcPr>
          <w:p>
            <w:pPr>
              <w:jc w:val="right"/>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680" w:type="dxa"/>
            <w:vAlign w:val="bottom"/>
            <w:tcBorders>
              <w:bottom w:val="single" w:sz="8" w:color="0077C0"/>
            </w:tcBorders>
          </w:tcPr>
          <w:p>
            <w:pPr>
              <w:spacing w:after="0"/>
              <w:rPr>
                <w:sz w:val="7"/>
                <w:szCs w:val="7"/>
                <w:color w:val="auto"/>
              </w:rPr>
            </w:pPr>
          </w:p>
        </w:tc>
        <w:tc>
          <w:tcPr>
            <w:tcW w:w="1140" w:type="dxa"/>
            <w:vAlign w:val="bottom"/>
            <w:tcBorders>
              <w:bottom w:val="single" w:sz="8" w:color="0077C0"/>
            </w:tcBorders>
          </w:tcPr>
          <w:p>
            <w:pPr>
              <w:spacing w:after="0"/>
              <w:rPr>
                <w:sz w:val="7"/>
                <w:szCs w:val="7"/>
                <w:color w:val="auto"/>
              </w:rPr>
            </w:pPr>
          </w:p>
        </w:tc>
        <w:tc>
          <w:tcPr>
            <w:tcW w:w="520" w:type="dxa"/>
            <w:vAlign w:val="bottom"/>
            <w:tcBorders>
              <w:bottom w:val="single" w:sz="8" w:color="0077C0"/>
            </w:tcBorders>
          </w:tcPr>
          <w:p>
            <w:pPr>
              <w:jc w:val="right"/>
              <w:ind w:right="115"/>
              <w:spacing w:after="0" w:line="86" w:lineRule="exact"/>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0077C0"/>
            </w:tcBorders>
          </w:tcPr>
          <w:p>
            <w:pPr>
              <w:jc w:val="right"/>
              <w:ind w:right="130"/>
              <w:spacing w:after="0" w:line="86" w:lineRule="exact"/>
              <w:rPr>
                <w:sz w:val="20"/>
                <w:szCs w:val="20"/>
                <w:color w:val="auto"/>
              </w:rPr>
            </w:pPr>
            <w:r>
              <w:rPr>
                <w:rFonts w:ascii="Arial" w:cs="Arial" w:eastAsia="Arial" w:hAnsi="Arial"/>
                <w:sz w:val="9"/>
                <w:szCs w:val="9"/>
                <w:color w:val="auto"/>
              </w:rPr>
              <w:t>2010</w:t>
            </w:r>
          </w:p>
        </w:tc>
        <w:tc>
          <w:tcPr>
            <w:tcW w:w="48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80" w:type="dxa"/>
            <w:vAlign w:val="bottom"/>
          </w:tcPr>
          <w:p>
            <w:pPr>
              <w:spacing w:after="0" w:line="92" w:lineRule="exact"/>
              <w:rPr>
                <w:sz w:val="20"/>
                <w:szCs w:val="20"/>
                <w:color w:val="auto"/>
              </w:rPr>
            </w:pPr>
            <w:r>
              <w:rPr>
                <w:rFonts w:ascii="Arial" w:cs="Arial" w:eastAsia="Arial" w:hAnsi="Arial"/>
                <w:sz w:val="10"/>
                <w:szCs w:val="10"/>
                <w:color w:val="auto"/>
              </w:rPr>
              <w:t>Additions to properties, plant</w:t>
            </w:r>
          </w:p>
        </w:tc>
        <w:tc>
          <w:tcPr>
            <w:tcW w:w="1660" w:type="dxa"/>
            <w:vAlign w:val="bottom"/>
            <w:tcBorders>
              <w:right w:val="single" w:sz="8" w:color="0077C0"/>
            </w:tcBorders>
            <w:gridSpan w:val="2"/>
            <w:vMerge w:val="restart"/>
          </w:tcPr>
          <w:p>
            <w:pPr>
              <w:jc w:val="right"/>
              <w:ind w:right="115"/>
              <w:spacing w:after="0"/>
              <w:rPr>
                <w:sz w:val="20"/>
                <w:szCs w:val="20"/>
                <w:color w:val="auto"/>
              </w:rPr>
            </w:pPr>
            <w:r>
              <w:rPr>
                <w:rFonts w:ascii="Arial" w:cs="Arial" w:eastAsia="Arial" w:hAnsi="Arial"/>
                <w:sz w:val="10"/>
                <w:szCs w:val="10"/>
                <w:b w:val="1"/>
                <w:bCs w:val="1"/>
                <w:color w:val="auto"/>
              </w:rPr>
              <w:t>$ 25,440</w:t>
            </w: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80" w:type="dxa"/>
            <w:vAlign w:val="bottom"/>
          </w:tcPr>
          <w:p>
            <w:pPr>
              <w:ind w:left="120"/>
              <w:spacing w:after="0" w:line="104" w:lineRule="exact"/>
              <w:rPr>
                <w:sz w:val="20"/>
                <w:szCs w:val="20"/>
                <w:color w:val="auto"/>
              </w:rPr>
            </w:pPr>
            <w:r>
              <w:rPr>
                <w:rFonts w:ascii="Arial" w:cs="Arial" w:eastAsia="Arial" w:hAnsi="Arial"/>
                <w:sz w:val="10"/>
                <w:szCs w:val="10"/>
                <w:color w:val="auto"/>
              </w:rPr>
              <w:t>and equipment</w:t>
            </w:r>
            <w:r>
              <w:rPr>
                <w:rFonts w:ascii="Arial" w:cs="Arial" w:eastAsia="Arial" w:hAnsi="Arial"/>
                <w:sz w:val="8"/>
                <w:szCs w:val="8"/>
                <w:color w:val="auto"/>
              </w:rPr>
              <w:t>1</w:t>
            </w:r>
          </w:p>
        </w:tc>
        <w:tc>
          <w:tcPr>
            <w:tcW w:w="1660" w:type="dxa"/>
            <w:vAlign w:val="bottom"/>
            <w:tcBorders>
              <w:right w:val="single" w:sz="8" w:color="0077C0"/>
            </w:tcBorders>
            <w:gridSpan w:val="2"/>
            <w:vMerge w:val="continue"/>
          </w:tcPr>
          <w:p>
            <w:pPr>
              <w:spacing w:after="0"/>
              <w:rPr>
                <w:sz w:val="9"/>
                <w:szCs w:val="9"/>
                <w:color w:val="auto"/>
              </w:rPr>
            </w:pPr>
          </w:p>
        </w:tc>
        <w:tc>
          <w:tcPr>
            <w:tcW w:w="620" w:type="dxa"/>
            <w:vAlign w:val="bottom"/>
          </w:tcPr>
          <w:p>
            <w:pPr>
              <w:jc w:val="right"/>
              <w:ind w:right="130"/>
              <w:spacing w:after="0" w:line="104" w:lineRule="exact"/>
              <w:rPr>
                <w:sz w:val="20"/>
                <w:szCs w:val="20"/>
                <w:color w:val="auto"/>
              </w:rPr>
            </w:pPr>
            <w:r>
              <w:rPr>
                <w:rFonts w:ascii="Arial" w:cs="Arial" w:eastAsia="Arial" w:hAnsi="Arial"/>
                <w:sz w:val="10"/>
                <w:szCs w:val="10"/>
                <w:color w:val="auto"/>
              </w:rPr>
              <w:t>$ 18,474</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$ 16,107</w:t>
            </w:r>
          </w:p>
        </w:tc>
        <w:tc>
          <w:tcPr>
            <w:tcW w:w="0" w:type="dxa"/>
            <w:vAlign w:val="bottom"/>
          </w:tcPr>
          <w:p>
            <w:pPr>
              <w:spacing w:after="0"/>
              <w:rPr>
                <w:sz w:val="1"/>
                <w:szCs w:val="1"/>
                <w:color w:val="auto"/>
              </w:rPr>
            </w:pPr>
          </w:p>
        </w:tc>
      </w:tr>
      <w:tr>
        <w:trPr>
          <w:trHeight w:val="106"/>
        </w:trPr>
        <w:tc>
          <w:tcPr>
            <w:tcW w:w="2700" w:type="dxa"/>
            <w:vAlign w:val="bottom"/>
            <w:gridSpan w:val="2"/>
          </w:tcPr>
          <w:p>
            <w:pPr>
              <w:spacing w:after="0" w:line="106" w:lineRule="exact"/>
              <w:rPr>
                <w:sz w:val="20"/>
                <w:szCs w:val="20"/>
                <w:color w:val="auto"/>
              </w:rPr>
            </w:pPr>
            <w:r>
              <w:rPr>
                <w:rFonts w:ascii="Arial" w:cs="Arial" w:eastAsia="Arial" w:hAnsi="Arial"/>
                <w:sz w:val="10"/>
                <w:szCs w:val="10"/>
                <w:color w:val="auto"/>
              </w:rPr>
              <w:t>Additions to investments</w:t>
            </w:r>
          </w:p>
        </w:tc>
        <w:tc>
          <w:tcPr>
            <w:tcW w:w="1660" w:type="dxa"/>
            <w:vAlign w:val="bottom"/>
            <w:tcBorders>
              <w:right w:val="single" w:sz="8" w:color="0077C0"/>
            </w:tcBorders>
            <w:gridSpan w:val="2"/>
          </w:tcPr>
          <w:p>
            <w:pPr>
              <w:jc w:val="right"/>
              <w:ind w:right="115"/>
              <w:spacing w:after="0" w:line="106" w:lineRule="exact"/>
              <w:rPr>
                <w:sz w:val="20"/>
                <w:szCs w:val="20"/>
                <w:color w:val="auto"/>
              </w:rPr>
            </w:pPr>
            <w:r>
              <w:rPr>
                <w:rFonts w:ascii="Arial" w:cs="Arial" w:eastAsia="Arial" w:hAnsi="Arial"/>
                <w:sz w:val="10"/>
                <w:szCs w:val="10"/>
                <w:b w:val="1"/>
                <w:bCs w:val="1"/>
                <w:color w:val="auto"/>
              </w:rPr>
              <w:t>900</w:t>
            </w:r>
          </w:p>
        </w:tc>
        <w:tc>
          <w:tcPr>
            <w:tcW w:w="62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861</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942</w:t>
            </w:r>
          </w:p>
        </w:tc>
        <w:tc>
          <w:tcPr>
            <w:tcW w:w="0" w:type="dxa"/>
            <w:vAlign w:val="bottom"/>
          </w:tcPr>
          <w:p>
            <w:pPr>
              <w:spacing w:after="0"/>
              <w:rPr>
                <w:sz w:val="1"/>
                <w:szCs w:val="1"/>
                <w:color w:val="auto"/>
              </w:rPr>
            </w:pPr>
          </w:p>
        </w:tc>
      </w:tr>
      <w:tr>
        <w:trPr>
          <w:trHeight w:val="108"/>
        </w:trPr>
        <w:tc>
          <w:tcPr>
            <w:tcW w:w="2700" w:type="dxa"/>
            <w:vAlign w:val="bottom"/>
            <w:gridSpan w:val="2"/>
          </w:tcPr>
          <w:p>
            <w:pPr>
              <w:spacing w:after="0" w:line="108" w:lineRule="exact"/>
              <w:rPr>
                <w:sz w:val="20"/>
                <w:szCs w:val="20"/>
                <w:color w:val="auto"/>
              </w:rPr>
            </w:pPr>
            <w:r>
              <w:rPr>
                <w:rFonts w:ascii="Arial" w:cs="Arial" w:eastAsia="Arial" w:hAnsi="Arial"/>
                <w:sz w:val="10"/>
                <w:szCs w:val="10"/>
                <w:color w:val="auto"/>
              </w:rPr>
              <w:t>Current year dry hole expenditures</w:t>
            </w:r>
          </w:p>
        </w:tc>
        <w:tc>
          <w:tcPr>
            <w:tcW w:w="1660" w:type="dxa"/>
            <w:vAlign w:val="bottom"/>
            <w:tcBorders>
              <w:right w:val="single" w:sz="8" w:color="0077C0"/>
            </w:tcBorders>
            <w:gridSpan w:val="2"/>
          </w:tcPr>
          <w:p>
            <w:pPr>
              <w:jc w:val="right"/>
              <w:ind w:right="115"/>
              <w:spacing w:after="0" w:line="108" w:lineRule="exact"/>
              <w:rPr>
                <w:sz w:val="20"/>
                <w:szCs w:val="20"/>
                <w:color w:val="auto"/>
              </w:rPr>
            </w:pPr>
            <w:r>
              <w:rPr>
                <w:rFonts w:ascii="Arial" w:cs="Arial" w:eastAsia="Arial" w:hAnsi="Arial"/>
                <w:sz w:val="10"/>
                <w:szCs w:val="10"/>
                <w:b w:val="1"/>
                <w:bCs w:val="1"/>
                <w:color w:val="auto"/>
              </w:rPr>
              <w:t>332</w:t>
            </w:r>
          </w:p>
        </w:tc>
        <w:tc>
          <w:tcPr>
            <w:tcW w:w="620" w:type="dxa"/>
            <w:vAlign w:val="bottom"/>
          </w:tcPr>
          <w:p>
            <w:pPr>
              <w:jc w:val="right"/>
              <w:ind w:right="130"/>
              <w:spacing w:after="0" w:line="108" w:lineRule="exact"/>
              <w:rPr>
                <w:sz w:val="20"/>
                <w:szCs w:val="20"/>
                <w:color w:val="auto"/>
              </w:rPr>
            </w:pPr>
            <w:r>
              <w:rPr>
                <w:rFonts w:ascii="Arial" w:cs="Arial" w:eastAsia="Arial" w:hAnsi="Arial"/>
                <w:sz w:val="10"/>
                <w:szCs w:val="10"/>
                <w:color w:val="auto"/>
              </w:rPr>
              <w:t>414</w:t>
            </w: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468</w:t>
            </w:r>
          </w:p>
        </w:tc>
        <w:tc>
          <w:tcPr>
            <w:tcW w:w="0" w:type="dxa"/>
            <w:vAlign w:val="bottom"/>
          </w:tcPr>
          <w:p>
            <w:pPr>
              <w:spacing w:after="0"/>
              <w:rPr>
                <w:sz w:val="1"/>
                <w:szCs w:val="1"/>
                <w:color w:val="auto"/>
              </w:rPr>
            </w:pPr>
          </w:p>
        </w:tc>
      </w:tr>
      <w:tr>
        <w:trPr>
          <w:trHeight w:val="106"/>
        </w:trPr>
        <w:tc>
          <w:tcPr>
            <w:tcW w:w="2700" w:type="dxa"/>
            <w:vAlign w:val="bottom"/>
            <w:gridSpan w:val="2"/>
          </w:tcPr>
          <w:p>
            <w:pPr>
              <w:spacing w:after="0" w:line="106" w:lineRule="exact"/>
              <w:rPr>
                <w:sz w:val="20"/>
                <w:szCs w:val="20"/>
                <w:color w:val="auto"/>
              </w:rPr>
            </w:pPr>
            <w:r>
              <w:rPr>
                <w:rFonts w:ascii="Arial" w:cs="Arial" w:eastAsia="Arial" w:hAnsi="Arial"/>
                <w:sz w:val="10"/>
                <w:szCs w:val="10"/>
                <w:color w:val="auto"/>
              </w:rPr>
              <w:t>Payments for other liabilities</w:t>
            </w:r>
          </w:p>
        </w:tc>
        <w:tc>
          <w:tcPr>
            <w:tcW w:w="1660" w:type="dxa"/>
            <w:vAlign w:val="bottom"/>
            <w:tcBorders>
              <w:right w:val="single" w:sz="8" w:color="0077C0"/>
            </w:tcBorders>
            <w:gridSpan w:val="2"/>
            <w:vMerge w:val="restart"/>
          </w:tcPr>
          <w:p>
            <w:pPr>
              <w:jc w:val="right"/>
              <w:ind w:right="95"/>
              <w:spacing w:after="0"/>
              <w:rPr>
                <w:sz w:val="20"/>
                <w:szCs w:val="20"/>
                <w:color w:val="auto"/>
              </w:rPr>
            </w:pPr>
            <w:r>
              <w:rPr>
                <w:rFonts w:ascii="Arial" w:cs="Arial" w:eastAsia="Arial" w:hAnsi="Arial"/>
                <w:sz w:val="10"/>
                <w:szCs w:val="10"/>
                <w:b w:val="1"/>
                <w:bCs w:val="1"/>
                <w:color w:val="auto"/>
              </w:rPr>
              <w:t>(172)</w:t>
            </w: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and assets, net</w:t>
            </w:r>
            <w:r>
              <w:rPr>
                <w:rFonts w:ascii="Arial" w:cs="Arial" w:eastAsia="Arial" w:hAnsi="Arial"/>
                <w:sz w:val="8"/>
                <w:szCs w:val="8"/>
                <w:color w:val="auto"/>
              </w:rPr>
              <w:t>2</w:t>
            </w:r>
          </w:p>
        </w:tc>
        <w:tc>
          <w:tcPr>
            <w:tcW w:w="1660" w:type="dxa"/>
            <w:vAlign w:val="bottom"/>
            <w:tcBorders>
              <w:bottom w:val="single" w:sz="8" w:color="0077C0"/>
              <w:right w:val="single" w:sz="8" w:color="0077C0"/>
            </w:tcBorders>
            <w:gridSpan w:val="2"/>
            <w:vMerge w:val="continue"/>
          </w:tcPr>
          <w:p>
            <w:pPr>
              <w:spacing w:after="0"/>
              <w:rPr>
                <w:sz w:val="10"/>
                <w:szCs w:val="10"/>
                <w:color w:val="auto"/>
              </w:rPr>
            </w:pPr>
          </w:p>
        </w:tc>
        <w:tc>
          <w:tcPr>
            <w:tcW w:w="620" w:type="dxa"/>
            <w:vAlign w:val="bottom"/>
            <w:tcBorders>
              <w:bottom w:val="single" w:sz="8" w:color="0077C0"/>
            </w:tcBorders>
          </w:tcPr>
          <w:p>
            <w:pPr>
              <w:jc w:val="right"/>
              <w:ind w:right="90"/>
              <w:spacing w:after="0"/>
              <w:rPr>
                <w:sz w:val="20"/>
                <w:szCs w:val="20"/>
                <w:color w:val="auto"/>
              </w:rPr>
            </w:pPr>
            <w:r>
              <w:rPr>
                <w:rFonts w:ascii="Arial" w:cs="Arial" w:eastAsia="Arial" w:hAnsi="Arial"/>
                <w:sz w:val="10"/>
                <w:szCs w:val="10"/>
                <w:color w:val="auto"/>
              </w:rPr>
              <w:t>(137)</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2,326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80" w:type="dxa"/>
            <w:vAlign w:val="bottom"/>
          </w:tcPr>
          <w:p>
            <w:pPr>
              <w:spacing w:after="0" w:line="91" w:lineRule="exact"/>
              <w:rPr>
                <w:sz w:val="20"/>
                <w:szCs w:val="20"/>
                <w:color w:val="auto"/>
              </w:rPr>
            </w:pPr>
            <w:r>
              <w:rPr>
                <w:rFonts w:ascii="Arial" w:cs="Arial" w:eastAsia="Arial" w:hAnsi="Arial"/>
                <w:sz w:val="10"/>
                <w:szCs w:val="10"/>
                <w:color w:val="auto"/>
              </w:rPr>
              <w:t>Capital expenditures</w:t>
            </w:r>
          </w:p>
        </w:tc>
        <w:tc>
          <w:tcPr>
            <w:tcW w:w="1660" w:type="dxa"/>
            <w:vAlign w:val="bottom"/>
            <w:tcBorders>
              <w:right w:val="single" w:sz="8" w:color="0077C0"/>
            </w:tcBorders>
            <w:gridSpan w:val="2"/>
          </w:tcPr>
          <w:p>
            <w:pPr>
              <w:jc w:val="right"/>
              <w:ind w:right="115"/>
              <w:spacing w:after="0" w:line="91" w:lineRule="exact"/>
              <w:rPr>
                <w:sz w:val="20"/>
                <w:szCs w:val="20"/>
                <w:color w:val="auto"/>
              </w:rPr>
            </w:pPr>
            <w:r>
              <w:rPr>
                <w:rFonts w:ascii="Arial" w:cs="Arial" w:eastAsia="Arial" w:hAnsi="Arial"/>
                <w:sz w:val="10"/>
                <w:szCs w:val="10"/>
                <w:b w:val="1"/>
                <w:bCs w:val="1"/>
                <w:color w:val="auto"/>
              </w:rPr>
              <w:t>26,500</w:t>
            </w:r>
          </w:p>
        </w:tc>
        <w:tc>
          <w:tcPr>
            <w:tcW w:w="620" w:type="dxa"/>
            <w:vAlign w:val="bottom"/>
          </w:tcPr>
          <w:p>
            <w:pPr>
              <w:jc w:val="right"/>
              <w:ind w:right="130"/>
              <w:spacing w:after="0" w:line="91" w:lineRule="exact"/>
              <w:rPr>
                <w:sz w:val="20"/>
                <w:szCs w:val="20"/>
                <w:color w:val="auto"/>
              </w:rPr>
            </w:pPr>
            <w:r>
              <w:rPr>
                <w:rFonts w:ascii="Arial" w:cs="Arial" w:eastAsia="Arial" w:hAnsi="Arial"/>
                <w:sz w:val="10"/>
                <w:szCs w:val="10"/>
                <w:color w:val="auto"/>
              </w:rPr>
              <w:t>19,612</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19,843</w:t>
            </w:r>
          </w:p>
        </w:tc>
        <w:tc>
          <w:tcPr>
            <w:tcW w:w="0" w:type="dxa"/>
            <w:vAlign w:val="bottom"/>
          </w:tcPr>
          <w:p>
            <w:pPr>
              <w:spacing w:after="0"/>
              <w:rPr>
                <w:sz w:val="1"/>
                <w:szCs w:val="1"/>
                <w:color w:val="auto"/>
              </w:rPr>
            </w:pPr>
          </w:p>
        </w:tc>
      </w:tr>
      <w:tr>
        <w:trPr>
          <w:trHeight w:val="108"/>
        </w:trPr>
        <w:tc>
          <w:tcPr>
            <w:tcW w:w="2700" w:type="dxa"/>
            <w:vAlign w:val="bottom"/>
            <w:gridSpan w:val="2"/>
          </w:tcPr>
          <w:p>
            <w:pPr>
              <w:spacing w:after="0" w:line="108" w:lineRule="exact"/>
              <w:rPr>
                <w:sz w:val="20"/>
                <w:szCs w:val="20"/>
                <w:color w:val="auto"/>
              </w:rPr>
            </w:pPr>
            <w:r>
              <w:rPr>
                <w:rFonts w:ascii="Arial" w:cs="Arial" w:eastAsia="Arial" w:hAnsi="Arial"/>
                <w:sz w:val="10"/>
                <w:szCs w:val="10"/>
                <w:color w:val="auto"/>
              </w:rPr>
              <w:t>Expensed exploration expenditures</w:t>
            </w:r>
          </w:p>
        </w:tc>
        <w:tc>
          <w:tcPr>
            <w:tcW w:w="1660" w:type="dxa"/>
            <w:vAlign w:val="bottom"/>
            <w:tcBorders>
              <w:right w:val="single" w:sz="8" w:color="0077C0"/>
            </w:tcBorders>
            <w:gridSpan w:val="2"/>
          </w:tcPr>
          <w:p>
            <w:pPr>
              <w:jc w:val="right"/>
              <w:ind w:right="115"/>
              <w:spacing w:after="0" w:line="108" w:lineRule="exact"/>
              <w:rPr>
                <w:sz w:val="20"/>
                <w:szCs w:val="20"/>
                <w:color w:val="auto"/>
              </w:rPr>
            </w:pPr>
            <w:r>
              <w:rPr>
                <w:rFonts w:ascii="Arial" w:cs="Arial" w:eastAsia="Arial" w:hAnsi="Arial"/>
                <w:sz w:val="10"/>
                <w:szCs w:val="10"/>
                <w:b w:val="1"/>
                <w:bCs w:val="1"/>
                <w:color w:val="auto"/>
              </w:rPr>
              <w:t>839</w:t>
            </w:r>
          </w:p>
        </w:tc>
        <w:tc>
          <w:tcPr>
            <w:tcW w:w="620" w:type="dxa"/>
            <w:vAlign w:val="bottom"/>
          </w:tcPr>
          <w:p>
            <w:pPr>
              <w:jc w:val="right"/>
              <w:ind w:right="130"/>
              <w:spacing w:after="0" w:line="108" w:lineRule="exact"/>
              <w:rPr>
                <w:sz w:val="20"/>
                <w:szCs w:val="20"/>
                <w:color w:val="auto"/>
              </w:rPr>
            </w:pPr>
            <w:r>
              <w:rPr>
                <w:rFonts w:ascii="Arial" w:cs="Arial" w:eastAsia="Arial" w:hAnsi="Arial"/>
                <w:sz w:val="10"/>
                <w:szCs w:val="10"/>
                <w:color w:val="auto"/>
              </w:rPr>
              <w:t>651</w:t>
            </w: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790</w:t>
            </w:r>
          </w:p>
        </w:tc>
        <w:tc>
          <w:tcPr>
            <w:tcW w:w="0" w:type="dxa"/>
            <w:vAlign w:val="bottom"/>
          </w:tcPr>
          <w:p>
            <w:pPr>
              <w:spacing w:after="0"/>
              <w:rPr>
                <w:sz w:val="1"/>
                <w:szCs w:val="1"/>
                <w:color w:val="auto"/>
              </w:rPr>
            </w:pPr>
          </w:p>
        </w:tc>
      </w:tr>
      <w:tr>
        <w:trPr>
          <w:trHeight w:val="106"/>
        </w:trPr>
        <w:tc>
          <w:tcPr>
            <w:tcW w:w="2700" w:type="dxa"/>
            <w:vAlign w:val="bottom"/>
            <w:gridSpan w:val="2"/>
          </w:tcPr>
          <w:p>
            <w:pPr>
              <w:spacing w:after="0" w:line="106" w:lineRule="exact"/>
              <w:rPr>
                <w:sz w:val="20"/>
                <w:szCs w:val="20"/>
                <w:color w:val="auto"/>
              </w:rPr>
            </w:pPr>
            <w:r>
              <w:rPr>
                <w:rFonts w:ascii="Arial" w:cs="Arial" w:eastAsia="Arial" w:hAnsi="Arial"/>
                <w:sz w:val="10"/>
                <w:szCs w:val="10"/>
                <w:color w:val="auto"/>
              </w:rPr>
              <w:t>Assets acquired through capital</w:t>
            </w:r>
          </w:p>
        </w:tc>
        <w:tc>
          <w:tcPr>
            <w:tcW w:w="1140" w:type="dxa"/>
            <w:vAlign w:val="bottom"/>
          </w:tcPr>
          <w:p>
            <w:pPr>
              <w:spacing w:after="0"/>
              <w:rPr>
                <w:sz w:val="9"/>
                <w:szCs w:val="9"/>
                <w:color w:val="auto"/>
              </w:rPr>
            </w:pPr>
          </w:p>
        </w:tc>
        <w:tc>
          <w:tcPr>
            <w:tcW w:w="520" w:type="dxa"/>
            <w:vAlign w:val="bottom"/>
            <w:tcBorders>
              <w:right w:val="single" w:sz="8" w:color="0077C0"/>
            </w:tcBorders>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Pr>
          <w:p>
            <w:pPr>
              <w:ind w:left="120"/>
              <w:spacing w:after="0" w:line="106" w:lineRule="exact"/>
              <w:rPr>
                <w:sz w:val="20"/>
                <w:szCs w:val="20"/>
                <w:color w:val="auto"/>
              </w:rPr>
            </w:pPr>
            <w:r>
              <w:rPr>
                <w:rFonts w:ascii="Arial" w:cs="Arial" w:eastAsia="Arial" w:hAnsi="Arial"/>
                <w:sz w:val="10"/>
                <w:szCs w:val="10"/>
                <w:color w:val="auto"/>
              </w:rPr>
              <w:t>lease obligations and other</w:t>
            </w:r>
          </w:p>
        </w:tc>
        <w:tc>
          <w:tcPr>
            <w:tcW w:w="1660" w:type="dxa"/>
            <w:vAlign w:val="bottom"/>
            <w:tcBorders>
              <w:right w:val="single" w:sz="8" w:color="0077C0"/>
            </w:tcBorders>
            <w:gridSpan w:val="2"/>
            <w:vMerge w:val="restart"/>
          </w:tcPr>
          <w:p>
            <w:pPr>
              <w:jc w:val="right"/>
              <w:ind w:right="115"/>
              <w:spacing w:after="0"/>
              <w:rPr>
                <w:sz w:val="20"/>
                <w:szCs w:val="20"/>
                <w:color w:val="auto"/>
              </w:rPr>
            </w:pPr>
            <w:r>
              <w:rPr>
                <w:rFonts w:ascii="Arial" w:cs="Arial" w:eastAsia="Arial" w:hAnsi="Arial"/>
                <w:sz w:val="10"/>
                <w:szCs w:val="10"/>
                <w:b w:val="1"/>
                <w:bCs w:val="1"/>
                <w:color w:val="auto"/>
              </w:rPr>
              <w:t>32</w:t>
            </w: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financing obligations</w:t>
            </w:r>
          </w:p>
        </w:tc>
        <w:tc>
          <w:tcPr>
            <w:tcW w:w="1660" w:type="dxa"/>
            <w:vAlign w:val="bottom"/>
            <w:tcBorders>
              <w:bottom w:val="single" w:sz="8" w:color="0077C0"/>
              <w:right w:val="single" w:sz="8" w:color="0077C0"/>
            </w:tcBorders>
            <w:gridSpan w:val="2"/>
            <w:vMerge w:val="continue"/>
          </w:tcPr>
          <w:p>
            <w:pPr>
              <w:spacing w:after="0"/>
              <w:rPr>
                <w:sz w:val="10"/>
                <w:szCs w:val="10"/>
                <w:color w:val="auto"/>
              </w:rPr>
            </w:pPr>
          </w:p>
        </w:tc>
        <w:tc>
          <w:tcPr>
            <w:tcW w:w="62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104</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80" w:type="dxa"/>
            <w:vAlign w:val="bottom"/>
          </w:tcPr>
          <w:p>
            <w:pPr>
              <w:spacing w:after="0" w:line="92" w:lineRule="exact"/>
              <w:rPr>
                <w:sz w:val="20"/>
                <w:szCs w:val="20"/>
                <w:color w:val="auto"/>
              </w:rPr>
            </w:pPr>
            <w:r>
              <w:rPr>
                <w:rFonts w:ascii="Arial" w:cs="Arial" w:eastAsia="Arial" w:hAnsi="Arial"/>
                <w:sz w:val="10"/>
                <w:szCs w:val="10"/>
                <w:color w:val="auto"/>
              </w:rPr>
              <w:t>Capital and exploratory expenditures,</w:t>
            </w:r>
          </w:p>
        </w:tc>
        <w:tc>
          <w:tcPr>
            <w:tcW w:w="1660" w:type="dxa"/>
            <w:vAlign w:val="bottom"/>
            <w:tcBorders>
              <w:right w:val="single" w:sz="8" w:color="0077C0"/>
            </w:tcBorders>
            <w:gridSpan w:val="2"/>
            <w:vMerge w:val="restart"/>
          </w:tcPr>
          <w:p>
            <w:pPr>
              <w:jc w:val="right"/>
              <w:ind w:right="115"/>
              <w:spacing w:after="0"/>
              <w:rPr>
                <w:sz w:val="20"/>
                <w:szCs w:val="20"/>
                <w:color w:val="auto"/>
              </w:rPr>
            </w:pPr>
            <w:r>
              <w:rPr>
                <w:rFonts w:ascii="Arial" w:cs="Arial" w:eastAsia="Arial" w:hAnsi="Arial"/>
                <w:sz w:val="10"/>
                <w:szCs w:val="10"/>
                <w:b w:val="1"/>
                <w:bCs w:val="1"/>
                <w:color w:val="auto"/>
              </w:rPr>
              <w:t>27,371</w:t>
            </w: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Pr>
          <w:p>
            <w:pPr>
              <w:ind w:left="120"/>
              <w:spacing w:after="0" w:line="106" w:lineRule="exact"/>
              <w:rPr>
                <w:sz w:val="20"/>
                <w:szCs w:val="20"/>
                <w:color w:val="auto"/>
              </w:rPr>
            </w:pPr>
            <w:r>
              <w:rPr>
                <w:rFonts w:ascii="Arial" w:cs="Arial" w:eastAsia="Arial" w:hAnsi="Arial"/>
                <w:sz w:val="10"/>
                <w:szCs w:val="10"/>
                <w:color w:val="auto"/>
              </w:rPr>
              <w:t>excluding equity affiliates</w:t>
            </w:r>
          </w:p>
        </w:tc>
        <w:tc>
          <w:tcPr>
            <w:tcW w:w="1660" w:type="dxa"/>
            <w:vAlign w:val="bottom"/>
            <w:tcBorders>
              <w:right w:val="single" w:sz="8" w:color="0077C0"/>
            </w:tcBorders>
            <w:gridSpan w:val="2"/>
            <w:vMerge w:val="continue"/>
          </w:tcPr>
          <w:p>
            <w:pPr>
              <w:spacing w:after="0"/>
              <w:rPr>
                <w:sz w:val="9"/>
                <w:szCs w:val="9"/>
                <w:color w:val="auto"/>
              </w:rPr>
            </w:pPr>
          </w:p>
        </w:tc>
        <w:tc>
          <w:tcPr>
            <w:tcW w:w="62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20,367</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20,652</w:t>
            </w:r>
          </w:p>
        </w:tc>
        <w:tc>
          <w:tcPr>
            <w:tcW w:w="0" w:type="dxa"/>
            <w:vAlign w:val="bottom"/>
          </w:tcPr>
          <w:p>
            <w:pPr>
              <w:spacing w:after="0"/>
              <w:rPr>
                <w:sz w:val="1"/>
                <w:szCs w:val="1"/>
                <w:color w:val="auto"/>
              </w:rPr>
            </w:pPr>
          </w:p>
        </w:tc>
      </w:tr>
      <w:tr>
        <w:trPr>
          <w:trHeight w:val="106"/>
        </w:trPr>
        <w:tc>
          <w:tcPr>
            <w:tcW w:w="2700" w:type="dxa"/>
            <w:vAlign w:val="bottom"/>
            <w:gridSpan w:val="2"/>
          </w:tcPr>
          <w:p>
            <w:pPr>
              <w:spacing w:after="0" w:line="106" w:lineRule="exact"/>
              <w:rPr>
                <w:sz w:val="20"/>
                <w:szCs w:val="20"/>
                <w:color w:val="auto"/>
              </w:rPr>
            </w:pPr>
            <w:r>
              <w:rPr>
                <w:rFonts w:ascii="Arial" w:cs="Arial" w:eastAsia="Arial" w:hAnsi="Arial"/>
                <w:sz w:val="10"/>
                <w:szCs w:val="10"/>
                <w:color w:val="auto"/>
              </w:rPr>
              <w:t>Company’s share of expenditures</w:t>
            </w:r>
          </w:p>
        </w:tc>
        <w:tc>
          <w:tcPr>
            <w:tcW w:w="1660" w:type="dxa"/>
            <w:vAlign w:val="bottom"/>
            <w:tcBorders>
              <w:right w:val="single" w:sz="8" w:color="0077C0"/>
            </w:tcBorders>
            <w:gridSpan w:val="2"/>
            <w:vMerge w:val="restart"/>
          </w:tcPr>
          <w:p>
            <w:pPr>
              <w:jc w:val="right"/>
              <w:ind w:right="115"/>
              <w:spacing w:after="0"/>
              <w:rPr>
                <w:sz w:val="20"/>
                <w:szCs w:val="20"/>
                <w:color w:val="auto"/>
              </w:rPr>
            </w:pPr>
            <w:r>
              <w:rPr>
                <w:rFonts w:ascii="Arial" w:cs="Arial" w:eastAsia="Arial" w:hAnsi="Arial"/>
                <w:sz w:val="10"/>
                <w:szCs w:val="10"/>
                <w:b w:val="1"/>
                <w:bCs w:val="1"/>
                <w:color w:val="auto"/>
              </w:rPr>
              <w:t>1,695</w:t>
            </w: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by equity affiliates</w:t>
            </w:r>
          </w:p>
        </w:tc>
        <w:tc>
          <w:tcPr>
            <w:tcW w:w="1660" w:type="dxa"/>
            <w:vAlign w:val="bottom"/>
            <w:tcBorders>
              <w:bottom w:val="single" w:sz="8" w:color="0077C0"/>
              <w:right w:val="single" w:sz="8" w:color="0077C0"/>
            </w:tcBorders>
            <w:gridSpan w:val="2"/>
            <w:vMerge w:val="continue"/>
          </w:tcPr>
          <w:p>
            <w:pPr>
              <w:spacing w:after="0"/>
              <w:rPr>
                <w:sz w:val="10"/>
                <w:szCs w:val="10"/>
                <w:color w:val="auto"/>
              </w:rPr>
            </w:pPr>
          </w:p>
        </w:tc>
        <w:tc>
          <w:tcPr>
            <w:tcW w:w="62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1,388</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1,585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80" w:type="dxa"/>
            <w:vAlign w:val="bottom"/>
          </w:tcPr>
          <w:p>
            <w:pPr>
              <w:spacing w:after="0" w:line="92" w:lineRule="exact"/>
              <w:rPr>
                <w:sz w:val="20"/>
                <w:szCs w:val="20"/>
                <w:color w:val="auto"/>
              </w:rPr>
            </w:pPr>
            <w:r>
              <w:rPr>
                <w:rFonts w:ascii="Arial" w:cs="Arial" w:eastAsia="Arial" w:hAnsi="Arial"/>
                <w:sz w:val="10"/>
                <w:szCs w:val="10"/>
                <w:color w:val="auto"/>
              </w:rPr>
              <w:t>Capital and exploratory expenditures,</w:t>
            </w:r>
          </w:p>
        </w:tc>
        <w:tc>
          <w:tcPr>
            <w:tcW w:w="1660" w:type="dxa"/>
            <w:vAlign w:val="bottom"/>
            <w:tcBorders>
              <w:right w:val="single" w:sz="8" w:color="0077C0"/>
            </w:tcBorders>
            <w:gridSpan w:val="2"/>
            <w:vMerge w:val="restart"/>
          </w:tcPr>
          <w:p>
            <w:pPr>
              <w:jc w:val="right"/>
              <w:ind w:right="115"/>
              <w:spacing w:after="0"/>
              <w:rPr>
                <w:sz w:val="20"/>
                <w:szCs w:val="20"/>
                <w:color w:val="auto"/>
              </w:rPr>
            </w:pPr>
            <w:r>
              <w:rPr>
                <w:rFonts w:ascii="Arial" w:cs="Arial" w:eastAsia="Arial" w:hAnsi="Arial"/>
                <w:sz w:val="10"/>
                <w:szCs w:val="10"/>
                <w:b w:val="1"/>
                <w:bCs w:val="1"/>
                <w:color w:val="auto"/>
              </w:rPr>
              <w:t>$ 29,066</w:t>
            </w: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including equity affiliates</w:t>
            </w:r>
          </w:p>
        </w:tc>
        <w:tc>
          <w:tcPr>
            <w:tcW w:w="1660" w:type="dxa"/>
            <w:vAlign w:val="bottom"/>
            <w:tcBorders>
              <w:bottom w:val="single" w:sz="8" w:color="0077C0"/>
              <w:right w:val="single" w:sz="8" w:color="0077C0"/>
            </w:tcBorders>
            <w:gridSpan w:val="2"/>
            <w:vMerge w:val="continue"/>
          </w:tcPr>
          <w:p>
            <w:pPr>
              <w:spacing w:after="0"/>
              <w:rPr>
                <w:sz w:val="11"/>
                <w:szCs w:val="11"/>
                <w:color w:val="auto"/>
              </w:rPr>
            </w:pPr>
          </w:p>
        </w:tc>
        <w:tc>
          <w:tcPr>
            <w:tcW w:w="62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$ 21,755</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$ 22,237</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 w:hanging="56"/>
        <w:spacing w:after="0"/>
        <w:tabs>
          <w:tab w:leader="none" w:pos="60" w:val="left"/>
        </w:tabs>
        <w:numPr>
          <w:ilvl w:val="0"/>
          <w:numId w:val="35"/>
        </w:numPr>
        <w:rPr>
          <w:rFonts w:ascii="Arial" w:cs="Arial" w:eastAsia="Arial" w:hAnsi="Arial"/>
          <w:sz w:val="8"/>
          <w:szCs w:val="8"/>
          <w:color w:val="auto"/>
        </w:rPr>
      </w:pPr>
      <w:r>
        <w:rPr>
          <w:rFonts w:ascii="Arial" w:cs="Arial" w:eastAsia="Arial" w:hAnsi="Arial"/>
          <w:sz w:val="9"/>
          <w:szCs w:val="9"/>
          <w:color w:val="auto"/>
        </w:rPr>
        <w:t>Excludes noncash additions of $945 in 2011, $2,753 in 2010 and $985 in 2009.</w:t>
      </w:r>
    </w:p>
    <w:p>
      <w:pPr>
        <w:spacing w:after="0" w:line="10"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8"/>
          <w:szCs w:val="8"/>
          <w:color w:val="auto"/>
        </w:rPr>
        <w:t>2 2009 includes payments of $2,450 for accruals recorded in 2008.</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5</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Summarized Financial Data – Chevron U.S.A. Inc.</w:t>
      </w:r>
    </w:p>
    <w:p>
      <w:pPr>
        <w:spacing w:after="0" w:line="301" w:lineRule="auto"/>
        <w:rPr>
          <w:sz w:val="20"/>
          <w:szCs w:val="20"/>
          <w:color w:val="auto"/>
        </w:rPr>
      </w:pPr>
      <w:r>
        <w:rPr>
          <w:rFonts w:ascii="Arial" w:cs="Arial" w:eastAsia="Arial" w:hAnsi="Arial"/>
          <w:sz w:val="11"/>
          <w:szCs w:val="11"/>
          <w:color w:val="auto"/>
        </w:rPr>
        <w:t>Chevron U.S.A. Inc. (CUSA) is a major subsidiary of Chevron Corporation. CUSA and its subsidiaries manage and operate most of Chevron’s U.S. businesses. Assets include those related to the exploration and production of crude oil, natural gas and natural gas liquids and those associated with the refining, marketing, supply and distribution of products derived from petroleum, excluding most of the regulated pipeline operations of Chevron. CUSA also holds the company’s investment in the Chevron Phillips Chemical Company LLC joint venture, which is accounted for using the equity method.</w:t>
      </w:r>
    </w:p>
    <w:p>
      <w:pPr>
        <w:spacing w:after="0" w:line="200" w:lineRule="exact"/>
        <w:rPr>
          <w:sz w:val="20"/>
          <w:szCs w:val="20"/>
          <w:color w:val="auto"/>
        </w:rPr>
      </w:pPr>
    </w:p>
    <w:p>
      <w:pPr>
        <w:sectPr>
          <w:pgSz w:w="11900" w:h="16838" w:orient="portrait"/>
          <w:cols w:equalWidth="0" w:num="2">
            <w:col w:w="5500" w:space="460"/>
            <w:col w:w="5480"/>
          </w:cols>
          <w:pgMar w:left="220" w:top="339" w:right="239" w:bottom="144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9" w:right="239" w:bottom="1440" w:gutter="0" w:footer="0" w:header="0"/>
          <w:type w:val="continuous"/>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5 </w:t>
      </w:r>
      <w:r>
        <w:rPr>
          <w:rFonts w:ascii="Arial" w:cs="Arial" w:eastAsia="Arial" w:hAnsi="Arial"/>
          <w:sz w:val="8"/>
          <w:szCs w:val="8"/>
          <w:color w:val="000000"/>
        </w:rPr>
        <w:t>Summarized Financial Data - Chevron U.S.A. Inc. - Continued</w:t>
      </w:r>
    </w:p>
    <w:p>
      <w:pPr>
        <w:sectPr>
          <w:pgSz w:w="11900" w:h="16838" w:orient="portrait"/>
          <w:cols w:equalWidth="0" w:num="1">
            <w:col w:w="11420"/>
          </w:cols>
          <w:pgMar w:left="220" w:top="339" w:right="2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summarized financial information for CUSA and its consolidated subsidiaries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3700" w:type="dxa"/>
            <w:vAlign w:val="bottom"/>
            <w:tcBorders>
              <w:bottom w:val="single" w:sz="8" w:color="0077C0"/>
            </w:tcBorders>
          </w:tcPr>
          <w:p>
            <w:pPr>
              <w:spacing w:after="0"/>
              <w:rPr>
                <w:sz w:val="7"/>
                <w:szCs w:val="7"/>
                <w:color w:val="auto"/>
              </w:rPr>
            </w:pPr>
          </w:p>
        </w:tc>
        <w:tc>
          <w:tcPr>
            <w:tcW w:w="480" w:type="dxa"/>
            <w:vAlign w:val="bottom"/>
            <w:tcBorders>
              <w:top w:val="single" w:sz="8" w:color="0077C0"/>
              <w:bottom w:val="single" w:sz="8" w:color="0077C0"/>
            </w:tcBorders>
          </w:tcPr>
          <w:p>
            <w:pPr>
              <w:jc w:val="right"/>
              <w:ind w:right="30"/>
              <w:spacing w:after="0" w:line="86" w:lineRule="exact"/>
              <w:rPr>
                <w:sz w:val="20"/>
                <w:szCs w:val="20"/>
                <w:color w:val="auto"/>
              </w:rPr>
            </w:pPr>
            <w:r>
              <w:rPr>
                <w:rFonts w:ascii="Arial" w:cs="Arial" w:eastAsia="Arial" w:hAnsi="Arial"/>
                <w:sz w:val="9"/>
                <w:szCs w:val="9"/>
                <w:b w:val="1"/>
                <w:bCs w:val="1"/>
                <w:color w:val="auto"/>
              </w:rPr>
              <w:t>2011</w:t>
            </w:r>
          </w:p>
        </w:tc>
        <w:tc>
          <w:tcPr>
            <w:tcW w:w="80" w:type="dxa"/>
            <w:vAlign w:val="bottom"/>
            <w:tcBorders>
              <w:top w:val="single" w:sz="8" w:color="0077C0"/>
              <w:bottom w:val="single" w:sz="8" w:color="0077C0"/>
            </w:tcBorders>
          </w:tcPr>
          <w:p>
            <w:pPr>
              <w:spacing w:after="0"/>
              <w:rPr>
                <w:sz w:val="7"/>
                <w:szCs w:val="7"/>
                <w:color w:val="auto"/>
              </w:rPr>
            </w:pPr>
          </w:p>
        </w:tc>
        <w:tc>
          <w:tcPr>
            <w:tcW w:w="14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50"/>
              <w:spacing w:after="0" w:line="86" w:lineRule="exact"/>
              <w:rPr>
                <w:sz w:val="20"/>
                <w:szCs w:val="20"/>
                <w:color w:val="auto"/>
              </w:rPr>
            </w:pPr>
            <w:r>
              <w:rPr>
                <w:rFonts w:ascii="Arial" w:cs="Arial" w:eastAsia="Arial" w:hAnsi="Arial"/>
                <w:sz w:val="9"/>
                <w:szCs w:val="9"/>
                <w:color w:val="auto"/>
              </w:rPr>
              <w:t>2010</w:t>
            </w:r>
          </w:p>
        </w:tc>
        <w:tc>
          <w:tcPr>
            <w:tcW w:w="320" w:type="dxa"/>
            <w:vAlign w:val="bottom"/>
            <w:tcBorders>
              <w:top w:val="single" w:sz="8" w:color="0077C0"/>
              <w:bottom w:val="single" w:sz="8" w:color="0077C0"/>
            </w:tcBorders>
          </w:tcPr>
          <w:p>
            <w:pPr>
              <w:spacing w:after="0"/>
              <w:rPr>
                <w:sz w:val="7"/>
                <w:szCs w:val="7"/>
                <w:color w:val="auto"/>
              </w:rPr>
            </w:pPr>
          </w:p>
        </w:tc>
        <w:tc>
          <w:tcPr>
            <w:tcW w:w="30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line="92" w:lineRule="exact"/>
              <w:rPr>
                <w:sz w:val="20"/>
                <w:szCs w:val="20"/>
                <w:color w:val="auto"/>
              </w:rPr>
            </w:pPr>
            <w:r>
              <w:rPr>
                <w:rFonts w:ascii="Arial" w:cs="Arial" w:eastAsia="Arial" w:hAnsi="Arial"/>
                <w:sz w:val="10"/>
                <w:szCs w:val="10"/>
                <w:color w:val="auto"/>
              </w:rPr>
              <w:t>Sales and other operating</w:t>
            </w:r>
          </w:p>
        </w:tc>
        <w:tc>
          <w:tcPr>
            <w:tcW w:w="480" w:type="dxa"/>
            <w:vAlign w:val="bottom"/>
            <w:vMerge w:val="restart"/>
          </w:tcPr>
          <w:p>
            <w:pPr>
              <w:jc w:val="right"/>
              <w:ind w:right="30"/>
              <w:spacing w:after="0"/>
              <w:rPr>
                <w:sz w:val="20"/>
                <w:szCs w:val="20"/>
                <w:color w:val="auto"/>
              </w:rPr>
            </w:pPr>
            <w:r>
              <w:rPr>
                <w:rFonts w:ascii="Arial" w:cs="Arial" w:eastAsia="Arial" w:hAnsi="Arial"/>
                <w:sz w:val="10"/>
                <w:szCs w:val="10"/>
                <w:b w:val="1"/>
                <w:bCs w:val="1"/>
                <w:color w:val="auto"/>
                <w:w w:val="91"/>
              </w:rPr>
              <w:t>$187,917</w:t>
            </w:r>
          </w:p>
        </w:tc>
        <w:tc>
          <w:tcPr>
            <w:tcW w:w="80" w:type="dxa"/>
            <w:vAlign w:val="bottom"/>
            <w:tcBorders>
              <w:right w:val="single" w:sz="8" w:color="0077C0"/>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00" w:type="dxa"/>
            <w:vAlign w:val="bottom"/>
          </w:tcPr>
          <w:p>
            <w:pPr>
              <w:ind w:left="140"/>
              <w:spacing w:after="0" w:line="104" w:lineRule="exact"/>
              <w:rPr>
                <w:sz w:val="20"/>
                <w:szCs w:val="20"/>
                <w:color w:val="auto"/>
              </w:rPr>
            </w:pPr>
            <w:r>
              <w:rPr>
                <w:rFonts w:ascii="Arial" w:cs="Arial" w:eastAsia="Arial" w:hAnsi="Arial"/>
                <w:sz w:val="10"/>
                <w:szCs w:val="10"/>
                <w:color w:val="auto"/>
              </w:rPr>
              <w:t>revenues</w:t>
            </w:r>
          </w:p>
        </w:tc>
        <w:tc>
          <w:tcPr>
            <w:tcW w:w="480" w:type="dxa"/>
            <w:vAlign w:val="bottom"/>
            <w:vMerge w:val="continue"/>
          </w:tcPr>
          <w:p>
            <w:pPr>
              <w:spacing w:after="0"/>
              <w:rPr>
                <w:sz w:val="9"/>
                <w:szCs w:val="9"/>
                <w:color w:val="auto"/>
              </w:rPr>
            </w:pPr>
          </w:p>
        </w:tc>
        <w:tc>
          <w:tcPr>
            <w:tcW w:w="80" w:type="dxa"/>
            <w:vAlign w:val="bottom"/>
            <w:tcBorders>
              <w:right w:val="single" w:sz="8" w:color="0077C0"/>
            </w:tcBorders>
          </w:tcPr>
          <w:p>
            <w:pPr>
              <w:spacing w:after="0"/>
              <w:rPr>
                <w:sz w:val="9"/>
                <w:szCs w:val="9"/>
                <w:color w:val="auto"/>
              </w:rPr>
            </w:pPr>
          </w:p>
        </w:tc>
        <w:tc>
          <w:tcPr>
            <w:tcW w:w="1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50"/>
              <w:spacing w:after="0" w:line="104" w:lineRule="exact"/>
              <w:rPr>
                <w:sz w:val="20"/>
                <w:szCs w:val="20"/>
                <w:color w:val="auto"/>
              </w:rPr>
            </w:pPr>
            <w:r>
              <w:rPr>
                <w:rFonts w:ascii="Arial" w:cs="Arial" w:eastAsia="Arial" w:hAnsi="Arial"/>
                <w:sz w:val="10"/>
                <w:szCs w:val="10"/>
                <w:color w:val="auto"/>
                <w:w w:val="88"/>
              </w:rPr>
              <w:t>145,381</w:t>
            </w:r>
          </w:p>
        </w:tc>
        <w:tc>
          <w:tcPr>
            <w:tcW w:w="62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$121,553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00" w:type="dxa"/>
            <w:vAlign w:val="bottom"/>
          </w:tcPr>
          <w:p>
            <w:pPr>
              <w:spacing w:after="0" w:line="106" w:lineRule="exact"/>
              <w:rPr>
                <w:sz w:val="20"/>
                <w:szCs w:val="20"/>
                <w:color w:val="auto"/>
              </w:rPr>
            </w:pPr>
            <w:r>
              <w:rPr>
                <w:rFonts w:ascii="Arial" w:cs="Arial" w:eastAsia="Arial" w:hAnsi="Arial"/>
                <w:sz w:val="10"/>
                <w:szCs w:val="10"/>
                <w:color w:val="auto"/>
              </w:rPr>
              <w:t>Total costs and other deductions</w:t>
            </w:r>
          </w:p>
        </w:tc>
        <w:tc>
          <w:tcPr>
            <w:tcW w:w="480" w:type="dxa"/>
            <w:vAlign w:val="bottom"/>
          </w:tcPr>
          <w:p>
            <w:pPr>
              <w:jc w:val="right"/>
              <w:ind w:right="30"/>
              <w:spacing w:after="0" w:line="106" w:lineRule="exact"/>
              <w:rPr>
                <w:sz w:val="20"/>
                <w:szCs w:val="20"/>
                <w:color w:val="auto"/>
              </w:rPr>
            </w:pPr>
            <w:r>
              <w:rPr>
                <w:rFonts w:ascii="Arial" w:cs="Arial" w:eastAsia="Arial" w:hAnsi="Arial"/>
                <w:sz w:val="10"/>
                <w:szCs w:val="10"/>
                <w:b w:val="1"/>
                <w:bCs w:val="1"/>
                <w:color w:val="auto"/>
              </w:rPr>
              <w:t>178,498</w:t>
            </w:r>
          </w:p>
        </w:tc>
        <w:tc>
          <w:tcPr>
            <w:tcW w:w="80" w:type="dxa"/>
            <w:vAlign w:val="bottom"/>
            <w:tcBorders>
              <w:right w:val="single" w:sz="8" w:color="0077C0"/>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50"/>
              <w:spacing w:after="0" w:line="106" w:lineRule="exact"/>
              <w:rPr>
                <w:sz w:val="20"/>
                <w:szCs w:val="20"/>
                <w:color w:val="auto"/>
              </w:rPr>
            </w:pPr>
            <w:r>
              <w:rPr>
                <w:rFonts w:ascii="Arial" w:cs="Arial" w:eastAsia="Arial" w:hAnsi="Arial"/>
                <w:sz w:val="10"/>
                <w:szCs w:val="10"/>
                <w:color w:val="auto"/>
                <w:w w:val="88"/>
              </w:rPr>
              <w:t>139,984</w:t>
            </w:r>
          </w:p>
        </w:tc>
        <w:tc>
          <w:tcPr>
            <w:tcW w:w="6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120,053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7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Net income attributable to CUSA</w:t>
            </w:r>
          </w:p>
        </w:tc>
        <w:tc>
          <w:tcPr>
            <w:tcW w:w="480" w:type="dxa"/>
            <w:vAlign w:val="bottom"/>
            <w:tcBorders>
              <w:bottom w:val="single" w:sz="8" w:color="0077C0"/>
            </w:tcBorders>
          </w:tcPr>
          <w:p>
            <w:pPr>
              <w:jc w:val="right"/>
              <w:ind w:right="30"/>
              <w:spacing w:after="0"/>
              <w:rPr>
                <w:sz w:val="20"/>
                <w:szCs w:val="20"/>
                <w:color w:val="auto"/>
              </w:rPr>
            </w:pPr>
            <w:r>
              <w:rPr>
                <w:rFonts w:ascii="Arial" w:cs="Arial" w:eastAsia="Arial" w:hAnsi="Arial"/>
                <w:sz w:val="10"/>
                <w:szCs w:val="10"/>
                <w:b w:val="1"/>
                <w:bCs w:val="1"/>
                <w:color w:val="auto"/>
              </w:rPr>
              <w:t>6,899</w:t>
            </w:r>
          </w:p>
        </w:tc>
        <w:tc>
          <w:tcPr>
            <w:tcW w:w="80" w:type="dxa"/>
            <w:vAlign w:val="bottom"/>
            <w:tcBorders>
              <w:bottom w:val="single" w:sz="8" w:color="0077C0"/>
              <w:right w:val="single" w:sz="8" w:color="0077C0"/>
            </w:tcBorders>
          </w:tcPr>
          <w:p>
            <w:pPr>
              <w:spacing w:after="0"/>
              <w:rPr>
                <w:sz w:val="12"/>
                <w:szCs w:val="12"/>
                <w:color w:val="auto"/>
              </w:rPr>
            </w:pPr>
          </w:p>
        </w:tc>
        <w:tc>
          <w:tcPr>
            <w:tcW w:w="140" w:type="dxa"/>
            <w:vAlign w:val="bottom"/>
            <w:tcBorders>
              <w:bottom w:val="single" w:sz="8" w:color="0077C0"/>
            </w:tcBorders>
          </w:tcPr>
          <w:p>
            <w:pPr>
              <w:spacing w:after="0"/>
              <w:rPr>
                <w:sz w:val="12"/>
                <w:szCs w:val="12"/>
                <w:color w:val="auto"/>
              </w:rPr>
            </w:pPr>
          </w:p>
        </w:tc>
        <w:tc>
          <w:tcPr>
            <w:tcW w:w="440" w:type="dxa"/>
            <w:vAlign w:val="bottom"/>
            <w:tcBorders>
              <w:bottom w:val="single" w:sz="8" w:color="0077C0"/>
            </w:tcBorders>
          </w:tcPr>
          <w:p>
            <w:pPr>
              <w:jc w:val="right"/>
              <w:ind w:right="50"/>
              <w:spacing w:after="0"/>
              <w:rPr>
                <w:sz w:val="20"/>
                <w:szCs w:val="20"/>
                <w:color w:val="auto"/>
              </w:rPr>
            </w:pPr>
            <w:r>
              <w:rPr>
                <w:rFonts w:ascii="Arial" w:cs="Arial" w:eastAsia="Arial" w:hAnsi="Arial"/>
                <w:sz w:val="10"/>
                <w:szCs w:val="10"/>
                <w:color w:val="auto"/>
              </w:rPr>
              <w:t>4,159</w:t>
            </w:r>
          </w:p>
        </w:tc>
        <w:tc>
          <w:tcPr>
            <w:tcW w:w="320" w:type="dxa"/>
            <w:vAlign w:val="bottom"/>
            <w:tcBorders>
              <w:bottom w:val="single" w:sz="8" w:color="0077C0"/>
            </w:tcBorders>
          </w:tcPr>
          <w:p>
            <w:pPr>
              <w:spacing w:after="0"/>
              <w:rPr>
                <w:sz w:val="12"/>
                <w:szCs w:val="12"/>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0077C0"/>
            </w:tcBorders>
          </w:tcPr>
          <w:p>
            <w:pPr>
              <w:spacing w:after="0"/>
              <w:rPr>
                <w:sz w:val="17"/>
                <w:szCs w:val="17"/>
                <w:color w:val="auto"/>
              </w:rPr>
            </w:pPr>
          </w:p>
        </w:tc>
        <w:tc>
          <w:tcPr>
            <w:tcW w:w="140" w:type="dxa"/>
            <w:vAlign w:val="bottom"/>
            <w:tcBorders>
              <w:bottom w:val="single" w:sz="8" w:color="0077C0"/>
            </w:tcBorders>
          </w:tcPr>
          <w:p>
            <w:pPr>
              <w:spacing w:after="0"/>
              <w:rPr>
                <w:sz w:val="17"/>
                <w:szCs w:val="17"/>
                <w:color w:val="auto"/>
              </w:rPr>
            </w:pPr>
          </w:p>
        </w:tc>
        <w:tc>
          <w:tcPr>
            <w:tcW w:w="440" w:type="dxa"/>
            <w:vAlign w:val="bottom"/>
            <w:tcBorders>
              <w:bottom w:val="single" w:sz="8" w:color="0077C0"/>
            </w:tcBorders>
          </w:tcPr>
          <w:p>
            <w:pPr>
              <w:spacing w:after="0"/>
              <w:rPr>
                <w:sz w:val="17"/>
                <w:szCs w:val="17"/>
                <w:color w:val="auto"/>
              </w:rPr>
            </w:pPr>
          </w:p>
        </w:tc>
        <w:tc>
          <w:tcPr>
            <w:tcW w:w="640" w:type="dxa"/>
            <w:vAlign w:val="bottom"/>
            <w:tcBorders>
              <w:bottom w:val="single" w:sz="8" w:color="0077C0"/>
            </w:tcBorders>
            <w:gridSpan w:val="3"/>
          </w:tcPr>
          <w:p>
            <w:pPr>
              <w:jc w:val="right"/>
              <w:spacing w:after="0"/>
              <w:rPr>
                <w:sz w:val="20"/>
                <w:szCs w:val="20"/>
                <w:color w:val="auto"/>
              </w:rPr>
            </w:pPr>
            <w:r>
              <w:rPr>
                <w:rFonts w:ascii="Arial" w:cs="Arial" w:eastAsia="Arial" w:hAnsi="Arial"/>
                <w:sz w:val="9"/>
                <w:szCs w:val="9"/>
                <w:color w:val="auto"/>
                <w:w w:val="95"/>
              </w:rPr>
              <w:t>At December 31</w:t>
            </w:r>
          </w:p>
        </w:tc>
        <w:tc>
          <w:tcPr>
            <w:tcW w:w="0" w:type="dxa"/>
            <w:vAlign w:val="bottom"/>
          </w:tcPr>
          <w:p>
            <w:pPr>
              <w:spacing w:after="0"/>
              <w:rPr>
                <w:sz w:val="1"/>
                <w:szCs w:val="1"/>
                <w:color w:val="auto"/>
              </w:rPr>
            </w:pPr>
          </w:p>
        </w:tc>
      </w:tr>
      <w:tr>
        <w:trPr>
          <w:trHeight w:val="86"/>
        </w:trPr>
        <w:tc>
          <w:tcPr>
            <w:tcW w:w="3700" w:type="dxa"/>
            <w:vAlign w:val="bottom"/>
            <w:tcBorders>
              <w:bottom w:val="single" w:sz="8" w:color="0077C0"/>
            </w:tcBorders>
          </w:tcPr>
          <w:p>
            <w:pPr>
              <w:spacing w:after="0"/>
              <w:rPr>
                <w:sz w:val="7"/>
                <w:szCs w:val="7"/>
                <w:color w:val="auto"/>
              </w:rPr>
            </w:pPr>
          </w:p>
        </w:tc>
        <w:tc>
          <w:tcPr>
            <w:tcW w:w="480" w:type="dxa"/>
            <w:vAlign w:val="bottom"/>
            <w:tcBorders>
              <w:bottom w:val="single" w:sz="8" w:color="0077C0"/>
            </w:tcBorders>
          </w:tcPr>
          <w:p>
            <w:pPr>
              <w:spacing w:after="0"/>
              <w:rPr>
                <w:sz w:val="7"/>
                <w:szCs w:val="7"/>
                <w:color w:val="auto"/>
              </w:rPr>
            </w:pPr>
          </w:p>
        </w:tc>
        <w:tc>
          <w:tcPr>
            <w:tcW w:w="80" w:type="dxa"/>
            <w:vAlign w:val="bottom"/>
            <w:tcBorders>
              <w:bottom w:val="single" w:sz="8" w:color="0077C0"/>
            </w:tcBorders>
          </w:tcPr>
          <w:p>
            <w:pPr>
              <w:spacing w:after="0"/>
              <w:rPr>
                <w:sz w:val="7"/>
                <w:szCs w:val="7"/>
                <w:color w:val="auto"/>
              </w:rPr>
            </w:pPr>
          </w:p>
        </w:tc>
        <w:tc>
          <w:tcPr>
            <w:tcW w:w="140" w:type="dxa"/>
            <w:vAlign w:val="bottom"/>
            <w:tcBorders>
              <w:bottom w:val="single" w:sz="8" w:color="0077C0"/>
            </w:tcBorders>
          </w:tcPr>
          <w:p>
            <w:pPr>
              <w:spacing w:after="0"/>
              <w:rPr>
                <w:sz w:val="7"/>
                <w:szCs w:val="7"/>
                <w:color w:val="auto"/>
              </w:rPr>
            </w:pPr>
          </w:p>
        </w:tc>
        <w:tc>
          <w:tcPr>
            <w:tcW w:w="440" w:type="dxa"/>
            <w:vAlign w:val="bottom"/>
            <w:tcBorders>
              <w:bottom w:val="single" w:sz="8" w:color="0077C0"/>
            </w:tcBorders>
          </w:tcPr>
          <w:p>
            <w:pPr>
              <w:jc w:val="right"/>
              <w:ind w:right="50"/>
              <w:spacing w:after="0" w:line="86" w:lineRule="exact"/>
              <w:rPr>
                <w:sz w:val="20"/>
                <w:szCs w:val="20"/>
                <w:color w:val="auto"/>
              </w:rPr>
            </w:pPr>
            <w:r>
              <w:rPr>
                <w:rFonts w:ascii="Arial" w:cs="Arial" w:eastAsia="Arial" w:hAnsi="Arial"/>
                <w:sz w:val="9"/>
                <w:szCs w:val="9"/>
                <w:b w:val="1"/>
                <w:bCs w:val="1"/>
                <w:color w:val="auto"/>
              </w:rPr>
              <w:t>2011</w:t>
            </w:r>
          </w:p>
        </w:tc>
        <w:tc>
          <w:tcPr>
            <w:tcW w:w="320" w:type="dxa"/>
            <w:vAlign w:val="bottom"/>
            <w:tcBorders>
              <w:bottom w:val="single" w:sz="8" w:color="0077C0"/>
            </w:tcBorders>
          </w:tcPr>
          <w:p>
            <w:pPr>
              <w:spacing w:after="0"/>
              <w:rPr>
                <w:sz w:val="7"/>
                <w:szCs w:val="7"/>
                <w:color w:val="auto"/>
              </w:rPr>
            </w:pPr>
          </w:p>
        </w:tc>
        <w:tc>
          <w:tcPr>
            <w:tcW w:w="320" w:type="dxa"/>
            <w:vAlign w:val="bottom"/>
            <w:tcBorders>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90"/>
        </w:trPr>
        <w:tc>
          <w:tcPr>
            <w:tcW w:w="370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480" w:type="dxa"/>
            <w:vAlign w:val="bottom"/>
          </w:tcPr>
          <w:p>
            <w:pPr>
              <w:spacing w:after="0"/>
              <w:rPr>
                <w:sz w:val="7"/>
                <w:szCs w:val="7"/>
                <w:color w:val="auto"/>
              </w:rPr>
            </w:pPr>
          </w:p>
        </w:tc>
        <w:tc>
          <w:tcPr>
            <w:tcW w:w="8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7"/>
                <w:szCs w:val="7"/>
                <w:color w:val="auto"/>
              </w:rPr>
            </w:pPr>
          </w:p>
        </w:tc>
        <w:tc>
          <w:tcPr>
            <w:tcW w:w="440" w:type="dxa"/>
            <w:vAlign w:val="bottom"/>
            <w:tcBorders>
              <w:right w:val="single" w:sz="8" w:color="0077C0"/>
            </w:tcBorders>
          </w:tcPr>
          <w:p>
            <w:pPr>
              <w:jc w:val="right"/>
              <w:ind w:right="50"/>
              <w:spacing w:after="0" w:line="91" w:lineRule="exact"/>
              <w:rPr>
                <w:sz w:val="20"/>
                <w:szCs w:val="20"/>
                <w:color w:val="auto"/>
              </w:rPr>
            </w:pPr>
            <w:r>
              <w:rPr>
                <w:rFonts w:ascii="Arial" w:cs="Arial" w:eastAsia="Arial" w:hAnsi="Arial"/>
                <w:sz w:val="10"/>
                <w:szCs w:val="10"/>
                <w:b w:val="1"/>
                <w:bCs w:val="1"/>
                <w:color w:val="auto"/>
              </w:rPr>
              <w:t>34,478</w:t>
            </w:r>
          </w:p>
        </w:tc>
        <w:tc>
          <w:tcPr>
            <w:tcW w:w="3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spacing w:after="0" w:line="91" w:lineRule="exact"/>
              <w:rPr>
                <w:sz w:val="20"/>
                <w:szCs w:val="20"/>
                <w:color w:val="auto"/>
              </w:rPr>
            </w:pPr>
            <w:r>
              <w:rPr>
                <w:rFonts w:ascii="Arial" w:cs="Arial" w:eastAsia="Arial" w:hAnsi="Arial"/>
                <w:sz w:val="10"/>
                <w:szCs w:val="10"/>
                <w:color w:val="auto"/>
                <w:w w:val="97"/>
              </w:rPr>
              <w:t>29,211</w:t>
            </w:r>
          </w:p>
        </w:tc>
        <w:tc>
          <w:tcPr>
            <w:tcW w:w="0" w:type="dxa"/>
            <w:vAlign w:val="bottom"/>
          </w:tcPr>
          <w:p>
            <w:pPr>
              <w:spacing w:after="0"/>
              <w:rPr>
                <w:sz w:val="1"/>
                <w:szCs w:val="1"/>
                <w:color w:val="auto"/>
              </w:rPr>
            </w:pPr>
          </w:p>
        </w:tc>
      </w:tr>
      <w:tr>
        <w:trPr>
          <w:trHeight w:val="106"/>
        </w:trPr>
        <w:tc>
          <w:tcPr>
            <w:tcW w:w="3700" w:type="dxa"/>
            <w:vAlign w:val="bottom"/>
          </w:tcPr>
          <w:p>
            <w:pPr>
              <w:spacing w:after="0" w:line="106" w:lineRule="exact"/>
              <w:rPr>
                <w:sz w:val="20"/>
                <w:szCs w:val="20"/>
                <w:color w:val="auto"/>
              </w:rPr>
            </w:pPr>
            <w:r>
              <w:rPr>
                <w:rFonts w:ascii="Arial" w:cs="Arial" w:eastAsia="Arial" w:hAnsi="Arial"/>
                <w:sz w:val="10"/>
                <w:szCs w:val="10"/>
                <w:color w:val="auto"/>
              </w:rPr>
              <w:t>Other assets</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right w:val="single" w:sz="8" w:color="0077C0"/>
            </w:tcBorders>
          </w:tcPr>
          <w:p>
            <w:pPr>
              <w:jc w:val="right"/>
              <w:ind w:right="50"/>
              <w:spacing w:after="0" w:line="106" w:lineRule="exact"/>
              <w:rPr>
                <w:sz w:val="20"/>
                <w:szCs w:val="20"/>
                <w:color w:val="auto"/>
              </w:rPr>
            </w:pPr>
            <w:r>
              <w:rPr>
                <w:rFonts w:ascii="Arial" w:cs="Arial" w:eastAsia="Arial" w:hAnsi="Arial"/>
                <w:sz w:val="10"/>
                <w:szCs w:val="10"/>
                <w:b w:val="1"/>
                <w:bCs w:val="1"/>
                <w:color w:val="auto"/>
              </w:rPr>
              <w:t>47,556</w:t>
            </w:r>
          </w:p>
        </w:tc>
        <w:tc>
          <w:tcPr>
            <w:tcW w:w="3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w w:val="97"/>
              </w:rPr>
              <w:t>35,294</w:t>
            </w:r>
          </w:p>
        </w:tc>
        <w:tc>
          <w:tcPr>
            <w:tcW w:w="0" w:type="dxa"/>
            <w:vAlign w:val="bottom"/>
          </w:tcPr>
          <w:p>
            <w:pPr>
              <w:spacing w:after="0"/>
              <w:rPr>
                <w:sz w:val="1"/>
                <w:szCs w:val="1"/>
                <w:color w:val="auto"/>
              </w:rPr>
            </w:pPr>
          </w:p>
        </w:tc>
      </w:tr>
      <w:tr>
        <w:trPr>
          <w:trHeight w:val="106"/>
        </w:trPr>
        <w:tc>
          <w:tcPr>
            <w:tcW w:w="3700" w:type="dxa"/>
            <w:vAlign w:val="bottom"/>
          </w:tcPr>
          <w:p>
            <w:pPr>
              <w:spacing w:after="0" w:line="106" w:lineRule="exact"/>
              <w:rPr>
                <w:sz w:val="20"/>
                <w:szCs w:val="20"/>
                <w:color w:val="auto"/>
              </w:rPr>
            </w:pPr>
            <w:r>
              <w:rPr>
                <w:rFonts w:ascii="Arial" w:cs="Arial" w:eastAsia="Arial" w:hAnsi="Arial"/>
                <w:sz w:val="10"/>
                <w:szCs w:val="10"/>
                <w:color w:val="auto"/>
              </w:rPr>
              <w:t>Current liabilities</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right w:val="single" w:sz="8" w:color="0077C0"/>
            </w:tcBorders>
          </w:tcPr>
          <w:p>
            <w:pPr>
              <w:jc w:val="right"/>
              <w:ind w:right="50"/>
              <w:spacing w:after="0" w:line="106" w:lineRule="exact"/>
              <w:rPr>
                <w:sz w:val="20"/>
                <w:szCs w:val="20"/>
                <w:color w:val="auto"/>
              </w:rPr>
            </w:pPr>
            <w:r>
              <w:rPr>
                <w:rFonts w:ascii="Arial" w:cs="Arial" w:eastAsia="Arial" w:hAnsi="Arial"/>
                <w:sz w:val="10"/>
                <w:szCs w:val="10"/>
                <w:b w:val="1"/>
                <w:bCs w:val="1"/>
                <w:color w:val="auto"/>
              </w:rPr>
              <w:t>19,082</w:t>
            </w:r>
          </w:p>
        </w:tc>
        <w:tc>
          <w:tcPr>
            <w:tcW w:w="32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w w:val="97"/>
              </w:rPr>
              <w:t>18,098</w:t>
            </w:r>
          </w:p>
        </w:tc>
        <w:tc>
          <w:tcPr>
            <w:tcW w:w="0" w:type="dxa"/>
            <w:vAlign w:val="bottom"/>
          </w:tcPr>
          <w:p>
            <w:pPr>
              <w:spacing w:after="0"/>
              <w:rPr>
                <w:sz w:val="1"/>
                <w:szCs w:val="1"/>
                <w:color w:val="auto"/>
              </w:rPr>
            </w:pPr>
          </w:p>
        </w:tc>
      </w:tr>
      <w:tr>
        <w:trPr>
          <w:trHeight w:val="120"/>
        </w:trPr>
        <w:tc>
          <w:tcPr>
            <w:tcW w:w="37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liabilities</w:t>
            </w:r>
          </w:p>
        </w:tc>
        <w:tc>
          <w:tcPr>
            <w:tcW w:w="4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1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50"/>
              <w:spacing w:after="0"/>
              <w:rPr>
                <w:sz w:val="20"/>
                <w:szCs w:val="20"/>
                <w:color w:val="auto"/>
              </w:rPr>
            </w:pPr>
            <w:r>
              <w:rPr>
                <w:rFonts w:ascii="Arial" w:cs="Arial" w:eastAsia="Arial" w:hAnsi="Arial"/>
                <w:sz w:val="10"/>
                <w:szCs w:val="10"/>
                <w:b w:val="1"/>
                <w:bCs w:val="1"/>
                <w:color w:val="auto"/>
              </w:rPr>
              <w:t>26,153</w:t>
            </w:r>
          </w:p>
        </w:tc>
        <w:tc>
          <w:tcPr>
            <w:tcW w:w="32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97"/>
              </w:rPr>
              <w:t>16,785</w:t>
            </w:r>
          </w:p>
        </w:tc>
        <w:tc>
          <w:tcPr>
            <w:tcW w:w="0" w:type="dxa"/>
            <w:vAlign w:val="bottom"/>
          </w:tcPr>
          <w:p>
            <w:pPr>
              <w:spacing w:after="0"/>
              <w:rPr>
                <w:sz w:val="1"/>
                <w:szCs w:val="1"/>
                <w:color w:val="auto"/>
              </w:rPr>
            </w:pPr>
          </w:p>
        </w:tc>
      </w:tr>
      <w:tr>
        <w:trPr>
          <w:trHeight w:val="114"/>
        </w:trPr>
        <w:tc>
          <w:tcPr>
            <w:tcW w:w="37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CUSA net equity</w:t>
            </w:r>
          </w:p>
        </w:tc>
        <w:tc>
          <w:tcPr>
            <w:tcW w:w="48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140" w:type="dxa"/>
            <w:vAlign w:val="bottom"/>
            <w:tcBorders>
              <w:bottom w:val="single" w:sz="8" w:color="0077C0"/>
            </w:tcBorders>
          </w:tcPr>
          <w:p>
            <w:pPr>
              <w:spacing w:after="0"/>
              <w:rPr>
                <w:sz w:val="9"/>
                <w:szCs w:val="9"/>
                <w:color w:val="auto"/>
              </w:rPr>
            </w:pPr>
          </w:p>
        </w:tc>
        <w:tc>
          <w:tcPr>
            <w:tcW w:w="440" w:type="dxa"/>
            <w:vAlign w:val="bottom"/>
            <w:tcBorders>
              <w:bottom w:val="single" w:sz="8" w:color="0077C0"/>
              <w:right w:val="single" w:sz="8" w:color="0077C0"/>
            </w:tcBorders>
          </w:tcPr>
          <w:p>
            <w:pPr>
              <w:jc w:val="right"/>
              <w:ind w:right="50"/>
              <w:spacing w:after="0" w:line="105" w:lineRule="exact"/>
              <w:rPr>
                <w:sz w:val="20"/>
                <w:szCs w:val="20"/>
                <w:color w:val="auto"/>
              </w:rPr>
            </w:pPr>
            <w:r>
              <w:rPr>
                <w:rFonts w:ascii="Arial" w:cs="Arial" w:eastAsia="Arial" w:hAnsi="Arial"/>
                <w:sz w:val="10"/>
                <w:szCs w:val="10"/>
                <w:b w:val="1"/>
                <w:bCs w:val="1"/>
                <w:color w:val="auto"/>
              </w:rPr>
              <w:t>36,799</w:t>
            </w:r>
          </w:p>
        </w:tc>
        <w:tc>
          <w:tcPr>
            <w:tcW w:w="32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w w:val="97"/>
              </w:rPr>
              <w:t>29,622</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0"/>
                <w:szCs w:val="10"/>
                <w:color w:val="auto"/>
              </w:rPr>
              <w:t>Memo: Total debt</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0"/>
                <w:szCs w:val="10"/>
                <w:b w:val="1"/>
                <w:bCs w:val="1"/>
                <w:color w:val="auto"/>
              </w:rPr>
              <w:t>14,763</w:t>
            </w: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spacing w:after="0"/>
              <w:rPr>
                <w:sz w:val="20"/>
                <w:szCs w:val="20"/>
                <w:color w:val="auto"/>
              </w:rPr>
            </w:pPr>
            <w:r>
              <w:rPr>
                <w:rFonts w:ascii="Arial" w:cs="Arial" w:eastAsia="Arial" w:hAnsi="Arial"/>
                <w:sz w:val="10"/>
                <w:szCs w:val="10"/>
                <w:color w:val="auto"/>
              </w:rPr>
              <w:t>8,284</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6</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Summarized Financial Data – Chevron Transport Corporation Ltd.</w:t>
      </w:r>
    </w:p>
    <w:p>
      <w:pPr>
        <w:ind w:right="80"/>
        <w:spacing w:after="0" w:line="271" w:lineRule="auto"/>
        <w:rPr>
          <w:sz w:val="20"/>
          <w:szCs w:val="20"/>
          <w:color w:val="auto"/>
        </w:rPr>
      </w:pPr>
      <w:r>
        <w:rPr>
          <w:rFonts w:ascii="Arial" w:cs="Arial" w:eastAsia="Arial" w:hAnsi="Arial"/>
          <w:sz w:val="12"/>
          <w:szCs w:val="12"/>
          <w:color w:val="auto"/>
        </w:rPr>
        <w:t>Chevron Transport Corporation Ltd. (CTC), incorporated in Bermuda, is an indirect, wholly owned subsidiary of Chevron Corporation. CTC is the principal operator of Chevron’s international tanker fleet and is engaged in the marine transportation of crude oil and refined petroleum products. Most of CTC’s shipping revenue is derived from providing transportation services to other Chevron companies. Chevron Corporation has fully and unconditionally guaranteed this subsidiary’s obligations in connection with certain debt securities issued by a third party. Summarized financial information for CTC and its consolidated subsidiaries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9"/>
                <w:szCs w:val="9"/>
                <w:color w:val="auto"/>
              </w:rPr>
              <w:t>Year ended December 31</w:t>
            </w:r>
          </w:p>
        </w:tc>
      </w:tr>
      <w:tr>
        <w:trPr>
          <w:trHeight w:val="86"/>
        </w:trPr>
        <w:tc>
          <w:tcPr>
            <w:tcW w:w="3860" w:type="dxa"/>
            <w:vAlign w:val="bottom"/>
            <w:tcBorders>
              <w:bottom w:val="single" w:sz="8" w:color="0077C0"/>
            </w:tcBorders>
          </w:tcPr>
          <w:p>
            <w:pPr>
              <w:spacing w:after="0"/>
              <w:rPr>
                <w:sz w:val="7"/>
                <w:szCs w:val="7"/>
                <w:color w:val="auto"/>
              </w:rPr>
            </w:pPr>
          </w:p>
        </w:tc>
        <w:tc>
          <w:tcPr>
            <w:tcW w:w="520" w:type="dxa"/>
            <w:vAlign w:val="bottom"/>
            <w:tcBorders>
              <w:top w:val="single" w:sz="8" w:color="0077C0"/>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2011</w:t>
            </w:r>
          </w:p>
        </w:tc>
        <w:tc>
          <w:tcPr>
            <w:tcW w:w="480" w:type="dxa"/>
            <w:vAlign w:val="bottom"/>
            <w:tcBorders>
              <w:top w:val="single" w:sz="8" w:color="0077C0"/>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2010</w:t>
            </w:r>
          </w:p>
        </w:tc>
        <w:tc>
          <w:tcPr>
            <w:tcW w:w="200" w:type="dxa"/>
            <w:vAlign w:val="bottom"/>
            <w:tcBorders>
              <w:top w:val="single" w:sz="8" w:color="0077C0"/>
              <w:bottom w:val="single" w:sz="8" w:color="0077C0"/>
            </w:tcBorders>
          </w:tcPr>
          <w:p>
            <w:pPr>
              <w:spacing w:after="0"/>
              <w:rPr>
                <w:sz w:val="7"/>
                <w:szCs w:val="7"/>
                <w:color w:val="auto"/>
              </w:rPr>
            </w:pPr>
          </w:p>
        </w:tc>
        <w:tc>
          <w:tcPr>
            <w:tcW w:w="200" w:type="dxa"/>
            <w:vAlign w:val="bottom"/>
            <w:tcBorders>
              <w:top w:val="single" w:sz="8" w:color="0077C0"/>
              <w:bottom w:val="single" w:sz="8" w:color="0077C0"/>
            </w:tcBorders>
          </w:tcPr>
          <w:p>
            <w:pPr>
              <w:spacing w:after="0"/>
              <w:rPr>
                <w:sz w:val="7"/>
                <w:szCs w:val="7"/>
                <w:color w:val="auto"/>
              </w:rPr>
            </w:pPr>
          </w:p>
        </w:tc>
        <w:tc>
          <w:tcPr>
            <w:tcW w:w="20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w w:val="89"/>
              </w:rPr>
              <w:t>2009</w:t>
            </w:r>
          </w:p>
        </w:tc>
        <w:tc>
          <w:tcPr>
            <w:tcW w:w="20" w:type="dxa"/>
            <w:vAlign w:val="bottom"/>
          </w:tcPr>
          <w:p>
            <w:pPr>
              <w:spacing w:after="0"/>
              <w:rPr>
                <w:sz w:val="7"/>
                <w:szCs w:val="7"/>
                <w:color w:val="auto"/>
              </w:rPr>
            </w:pPr>
          </w:p>
        </w:tc>
      </w:tr>
      <w:tr>
        <w:trPr>
          <w:trHeight w:val="90"/>
        </w:trPr>
        <w:tc>
          <w:tcPr>
            <w:tcW w:w="3860" w:type="dxa"/>
            <w:vAlign w:val="bottom"/>
          </w:tcPr>
          <w:p>
            <w:pPr>
              <w:spacing w:after="0" w:line="91" w:lineRule="exact"/>
              <w:rPr>
                <w:sz w:val="20"/>
                <w:szCs w:val="20"/>
                <w:color w:val="auto"/>
              </w:rPr>
            </w:pPr>
            <w:r>
              <w:rPr>
                <w:rFonts w:ascii="Arial" w:cs="Arial" w:eastAsia="Arial" w:hAnsi="Arial"/>
                <w:sz w:val="10"/>
                <w:szCs w:val="10"/>
                <w:color w:val="auto"/>
              </w:rPr>
              <w:t>Sales and other operating revenues</w:t>
            </w:r>
          </w:p>
        </w:tc>
        <w:tc>
          <w:tcPr>
            <w:tcW w:w="52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   793</w:t>
            </w:r>
          </w:p>
        </w:tc>
        <w:tc>
          <w:tcPr>
            <w:tcW w:w="480" w:type="dxa"/>
            <w:vAlign w:val="bottom"/>
            <w:gridSpan w:val="2"/>
          </w:tcPr>
          <w:p>
            <w:pPr>
              <w:jc w:val="right"/>
              <w:spacing w:after="0" w:line="91" w:lineRule="exact"/>
              <w:rPr>
                <w:sz w:val="20"/>
                <w:szCs w:val="20"/>
                <w:color w:val="auto"/>
              </w:rPr>
            </w:pPr>
            <w:r>
              <w:rPr>
                <w:rFonts w:ascii="Arial" w:cs="Arial" w:eastAsia="Arial" w:hAnsi="Arial"/>
                <w:sz w:val="10"/>
                <w:szCs w:val="10"/>
                <w:color w:val="auto"/>
              </w:rPr>
              <w:t>$   885</w:t>
            </w:r>
          </w:p>
        </w:tc>
        <w:tc>
          <w:tcPr>
            <w:tcW w:w="400" w:type="dxa"/>
            <w:vAlign w:val="bottom"/>
            <w:gridSpan w:val="2"/>
          </w:tcPr>
          <w:p>
            <w:pPr>
              <w:jc w:val="right"/>
              <w:ind w:right="29"/>
              <w:spacing w:after="0" w:line="91"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91" w:lineRule="exact"/>
              <w:rPr>
                <w:sz w:val="20"/>
                <w:szCs w:val="20"/>
                <w:color w:val="auto"/>
              </w:rPr>
            </w:pPr>
            <w:r>
              <w:rPr>
                <w:rFonts w:ascii="Arial" w:cs="Arial" w:eastAsia="Arial" w:hAnsi="Arial"/>
                <w:sz w:val="10"/>
                <w:szCs w:val="10"/>
                <w:color w:val="auto"/>
              </w:rPr>
              <w:t>683</w:t>
            </w:r>
          </w:p>
        </w:tc>
        <w:tc>
          <w:tcPr>
            <w:tcW w:w="20" w:type="dxa"/>
            <w:vAlign w:val="bottom"/>
          </w:tcPr>
          <w:p>
            <w:pPr>
              <w:spacing w:after="0"/>
              <w:rPr>
                <w:sz w:val="7"/>
                <w:szCs w:val="7"/>
                <w:color w:val="auto"/>
              </w:rPr>
            </w:pP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Total costs and other deductions</w:t>
            </w:r>
          </w:p>
        </w:tc>
        <w:tc>
          <w:tcPr>
            <w:tcW w:w="52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974</w:t>
            </w:r>
          </w:p>
        </w:tc>
        <w:tc>
          <w:tcPr>
            <w:tcW w:w="4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1,008</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jc w:val="right"/>
              <w:spacing w:after="0" w:line="106" w:lineRule="exact"/>
              <w:rPr>
                <w:sz w:val="20"/>
                <w:szCs w:val="20"/>
                <w:color w:val="auto"/>
              </w:rPr>
            </w:pPr>
            <w:r>
              <w:rPr>
                <w:rFonts w:ascii="Arial" w:cs="Arial" w:eastAsia="Arial" w:hAnsi="Arial"/>
                <w:sz w:val="10"/>
                <w:szCs w:val="10"/>
                <w:color w:val="auto"/>
              </w:rPr>
              <w:t>810</w:t>
            </w:r>
          </w:p>
        </w:tc>
        <w:tc>
          <w:tcPr>
            <w:tcW w:w="20" w:type="dxa"/>
            <w:vAlign w:val="bottom"/>
          </w:tcPr>
          <w:p>
            <w:pPr>
              <w:spacing w:after="0"/>
              <w:rPr>
                <w:sz w:val="9"/>
                <w:szCs w:val="9"/>
                <w:color w:val="auto"/>
              </w:rPr>
            </w:pPr>
          </w:p>
        </w:tc>
      </w:tr>
      <w:tr>
        <w:trPr>
          <w:trHeight w:val="139"/>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Net loss attributable to CTC</w:t>
            </w:r>
          </w:p>
        </w:tc>
        <w:tc>
          <w:tcPr>
            <w:tcW w:w="520" w:type="dxa"/>
            <w:vAlign w:val="bottom"/>
            <w:tcBorders>
              <w:bottom w:val="single" w:sz="8" w:color="0077C0"/>
              <w:right w:val="single" w:sz="8" w:color="0077C0"/>
            </w:tcBorders>
          </w:tcPr>
          <w:p>
            <w:pPr>
              <w:jc w:val="right"/>
              <w:ind w:right="90"/>
              <w:spacing w:after="0"/>
              <w:rPr>
                <w:sz w:val="20"/>
                <w:szCs w:val="20"/>
                <w:color w:val="auto"/>
              </w:rPr>
            </w:pPr>
            <w:r>
              <w:rPr>
                <w:rFonts w:ascii="Arial" w:cs="Arial" w:eastAsia="Arial" w:hAnsi="Arial"/>
                <w:sz w:val="10"/>
                <w:szCs w:val="10"/>
                <w:b w:val="1"/>
                <w:bCs w:val="1"/>
                <w:color w:val="auto"/>
              </w:rPr>
              <w:t>(177)</w:t>
            </w:r>
          </w:p>
        </w:tc>
        <w:tc>
          <w:tcPr>
            <w:tcW w:w="48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(116)</w:t>
            </w:r>
          </w:p>
        </w:tc>
        <w:tc>
          <w:tcPr>
            <w:tcW w:w="200" w:type="dxa"/>
            <w:vAlign w:val="bottom"/>
            <w:tcBorders>
              <w:bottom w:val="single" w:sz="8" w:color="0077C0"/>
            </w:tcBorders>
          </w:tcPr>
          <w:p>
            <w:pPr>
              <w:spacing w:after="0"/>
              <w:rPr>
                <w:sz w:val="12"/>
                <w:szCs w:val="12"/>
                <w:color w:val="auto"/>
              </w:rPr>
            </w:pPr>
          </w:p>
        </w:tc>
        <w:tc>
          <w:tcPr>
            <w:tcW w:w="200" w:type="dxa"/>
            <w:vAlign w:val="bottom"/>
            <w:tcBorders>
              <w:bottom w:val="single" w:sz="8" w:color="0077C0"/>
            </w:tcBorders>
          </w:tcPr>
          <w:p>
            <w:pPr>
              <w:spacing w:after="0"/>
              <w:rPr>
                <w:sz w:val="12"/>
                <w:szCs w:val="12"/>
                <w:color w:val="auto"/>
              </w:rPr>
            </w:pPr>
          </w:p>
        </w:tc>
        <w:tc>
          <w:tcPr>
            <w:tcW w:w="2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w w:val="85"/>
              </w:rPr>
              <w:t>(124)</w:t>
            </w:r>
          </w:p>
        </w:tc>
      </w:tr>
      <w:tr>
        <w:trPr>
          <w:trHeight w:val="202"/>
        </w:trPr>
        <w:tc>
          <w:tcPr>
            <w:tcW w:w="3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77C0"/>
            </w:tcBorders>
          </w:tcPr>
          <w:p>
            <w:pPr>
              <w:spacing w:after="0"/>
              <w:rPr>
                <w:sz w:val="17"/>
                <w:szCs w:val="17"/>
                <w:color w:val="auto"/>
              </w:rPr>
            </w:pPr>
          </w:p>
        </w:tc>
        <w:tc>
          <w:tcPr>
            <w:tcW w:w="620" w:type="dxa"/>
            <w:vAlign w:val="bottom"/>
            <w:tcBorders>
              <w:bottom w:val="single" w:sz="8" w:color="0077C0"/>
            </w:tcBorders>
            <w:gridSpan w:val="4"/>
          </w:tcPr>
          <w:p>
            <w:pPr>
              <w:jc w:val="right"/>
              <w:spacing w:after="0"/>
              <w:rPr>
                <w:sz w:val="20"/>
                <w:szCs w:val="20"/>
                <w:color w:val="auto"/>
              </w:rPr>
            </w:pPr>
            <w:r>
              <w:rPr>
                <w:rFonts w:ascii="Arial" w:cs="Arial" w:eastAsia="Arial" w:hAnsi="Arial"/>
                <w:sz w:val="9"/>
                <w:szCs w:val="9"/>
                <w:color w:val="auto"/>
                <w:w w:val="92"/>
              </w:rPr>
              <w:t>At December 31</w:t>
            </w:r>
          </w:p>
        </w:tc>
      </w:tr>
      <w:tr>
        <w:trPr>
          <w:trHeight w:val="86"/>
        </w:trPr>
        <w:tc>
          <w:tcPr>
            <w:tcW w:w="3860" w:type="dxa"/>
            <w:vAlign w:val="bottom"/>
            <w:tcBorders>
              <w:bottom w:val="single" w:sz="8" w:color="0077C0"/>
            </w:tcBorders>
          </w:tcPr>
          <w:p>
            <w:pPr>
              <w:spacing w:after="0"/>
              <w:rPr>
                <w:sz w:val="7"/>
                <w:szCs w:val="7"/>
                <w:color w:val="auto"/>
              </w:rPr>
            </w:pPr>
          </w:p>
        </w:tc>
        <w:tc>
          <w:tcPr>
            <w:tcW w:w="520" w:type="dxa"/>
            <w:vAlign w:val="bottom"/>
            <w:tcBorders>
              <w:bottom w:val="single" w:sz="8" w:color="0077C0"/>
            </w:tcBorders>
          </w:tcPr>
          <w:p>
            <w:pPr>
              <w:spacing w:after="0"/>
              <w:rPr>
                <w:sz w:val="7"/>
                <w:szCs w:val="7"/>
                <w:color w:val="auto"/>
              </w:rPr>
            </w:pPr>
          </w:p>
        </w:tc>
        <w:tc>
          <w:tcPr>
            <w:tcW w:w="20" w:type="dxa"/>
            <w:vAlign w:val="bottom"/>
            <w:tcBorders>
              <w:bottom w:val="single" w:sz="8" w:color="0077C0"/>
            </w:tcBorders>
          </w:tcPr>
          <w:p>
            <w:pPr>
              <w:spacing w:after="0"/>
              <w:rPr>
                <w:sz w:val="7"/>
                <w:szCs w:val="7"/>
                <w:color w:val="auto"/>
              </w:rPr>
            </w:pPr>
          </w:p>
        </w:tc>
        <w:tc>
          <w:tcPr>
            <w:tcW w:w="460" w:type="dxa"/>
            <w:vAlign w:val="bottom"/>
            <w:tcBorders>
              <w:bottom w:val="single" w:sz="8" w:color="0077C0"/>
            </w:tcBorders>
          </w:tcPr>
          <w:p>
            <w:pPr>
              <w:jc w:val="right"/>
              <w:ind w:right="155"/>
              <w:spacing w:after="0" w:line="86" w:lineRule="exact"/>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0077C0"/>
            </w:tcBorders>
            <w:gridSpan w:val="4"/>
          </w:tcPr>
          <w:p>
            <w:pPr>
              <w:jc w:val="right"/>
              <w:spacing w:after="0" w:line="86" w:lineRule="exact"/>
              <w:rPr>
                <w:sz w:val="20"/>
                <w:szCs w:val="20"/>
                <w:color w:val="auto"/>
              </w:rPr>
            </w:pPr>
            <w:r>
              <w:rPr>
                <w:rFonts w:ascii="Arial" w:cs="Arial" w:eastAsia="Arial" w:hAnsi="Arial"/>
                <w:sz w:val="9"/>
                <w:szCs w:val="9"/>
                <w:color w:val="auto"/>
              </w:rPr>
              <w:t>2010*</w:t>
            </w:r>
          </w:p>
        </w:tc>
      </w:tr>
      <w:tr>
        <w:trPr>
          <w:trHeight w:val="90"/>
        </w:trPr>
        <w:tc>
          <w:tcPr>
            <w:tcW w:w="386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520" w:type="dxa"/>
            <w:vAlign w:val="bottom"/>
          </w:tcPr>
          <w:p>
            <w:pPr>
              <w:spacing w:after="0"/>
              <w:rPr>
                <w:sz w:val="7"/>
                <w:szCs w:val="7"/>
                <w:color w:val="auto"/>
              </w:rPr>
            </w:pPr>
          </w:p>
        </w:tc>
        <w:tc>
          <w:tcPr>
            <w:tcW w:w="480" w:type="dxa"/>
            <w:vAlign w:val="bottom"/>
            <w:gridSpan w:val="2"/>
          </w:tcPr>
          <w:p>
            <w:pPr>
              <w:jc w:val="right"/>
              <w:ind w:right="155"/>
              <w:spacing w:after="0" w:line="91" w:lineRule="exact"/>
              <w:rPr>
                <w:sz w:val="20"/>
                <w:szCs w:val="20"/>
                <w:color w:val="auto"/>
              </w:rPr>
            </w:pPr>
            <w:r>
              <w:rPr>
                <w:rFonts w:ascii="Arial" w:cs="Arial" w:eastAsia="Arial" w:hAnsi="Arial"/>
                <w:sz w:val="10"/>
                <w:szCs w:val="10"/>
                <w:b w:val="1"/>
                <w:bCs w:val="1"/>
                <w:color w:val="auto"/>
              </w:rPr>
              <w:t>$ 290</w:t>
            </w:r>
          </w:p>
        </w:tc>
        <w:tc>
          <w:tcPr>
            <w:tcW w:w="200" w:type="dxa"/>
            <w:vAlign w:val="bottom"/>
            <w:tcBorders>
              <w:right w:val="single" w:sz="8" w:color="0077C0"/>
            </w:tcBorders>
          </w:tcPr>
          <w:p>
            <w:pPr>
              <w:spacing w:after="0"/>
              <w:rPr>
                <w:sz w:val="7"/>
                <w:szCs w:val="7"/>
                <w:color w:val="auto"/>
              </w:rPr>
            </w:pPr>
          </w:p>
        </w:tc>
        <w:tc>
          <w:tcPr>
            <w:tcW w:w="2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20" w:type="dxa"/>
            <w:vAlign w:val="bottom"/>
            <w:gridSpan w:val="2"/>
          </w:tcPr>
          <w:p>
            <w:pPr>
              <w:jc w:val="right"/>
              <w:spacing w:after="0" w:line="91" w:lineRule="exact"/>
              <w:rPr>
                <w:sz w:val="20"/>
                <w:szCs w:val="20"/>
                <w:color w:val="auto"/>
              </w:rPr>
            </w:pPr>
            <w:r>
              <w:rPr>
                <w:rFonts w:ascii="Arial" w:cs="Arial" w:eastAsia="Arial" w:hAnsi="Arial"/>
                <w:sz w:val="10"/>
                <w:szCs w:val="10"/>
                <w:color w:val="auto"/>
              </w:rPr>
              <w:t>309</w:t>
            </w: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Other assets</w:t>
            </w:r>
          </w:p>
        </w:tc>
        <w:tc>
          <w:tcPr>
            <w:tcW w:w="520" w:type="dxa"/>
            <w:vAlign w:val="bottom"/>
          </w:tcPr>
          <w:p>
            <w:pPr>
              <w:spacing w:after="0"/>
              <w:rPr>
                <w:sz w:val="9"/>
                <w:szCs w:val="9"/>
                <w:color w:val="auto"/>
              </w:rPr>
            </w:pPr>
          </w:p>
        </w:tc>
        <w:tc>
          <w:tcPr>
            <w:tcW w:w="480" w:type="dxa"/>
            <w:vAlign w:val="bottom"/>
            <w:gridSpan w:val="2"/>
          </w:tcPr>
          <w:p>
            <w:pPr>
              <w:jc w:val="right"/>
              <w:ind w:right="155"/>
              <w:spacing w:after="0" w:line="106" w:lineRule="exact"/>
              <w:rPr>
                <w:sz w:val="20"/>
                <w:szCs w:val="20"/>
                <w:color w:val="auto"/>
              </w:rPr>
            </w:pPr>
            <w:r>
              <w:rPr>
                <w:rFonts w:ascii="Arial" w:cs="Arial" w:eastAsia="Arial" w:hAnsi="Arial"/>
                <w:sz w:val="10"/>
                <w:szCs w:val="10"/>
                <w:b w:val="1"/>
                <w:bCs w:val="1"/>
                <w:color w:val="auto"/>
              </w:rPr>
              <w:t>228</w:t>
            </w:r>
          </w:p>
        </w:tc>
        <w:tc>
          <w:tcPr>
            <w:tcW w:w="20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201</w:t>
            </w:r>
          </w:p>
        </w:tc>
      </w:tr>
      <w:tr>
        <w:trPr>
          <w:trHeight w:val="106"/>
        </w:trPr>
        <w:tc>
          <w:tcPr>
            <w:tcW w:w="3860" w:type="dxa"/>
            <w:vAlign w:val="bottom"/>
          </w:tcPr>
          <w:p>
            <w:pPr>
              <w:spacing w:after="0" w:line="106" w:lineRule="exact"/>
              <w:rPr>
                <w:sz w:val="20"/>
                <w:szCs w:val="20"/>
                <w:color w:val="auto"/>
              </w:rPr>
            </w:pPr>
            <w:r>
              <w:rPr>
                <w:rFonts w:ascii="Arial" w:cs="Arial" w:eastAsia="Arial" w:hAnsi="Arial"/>
                <w:sz w:val="10"/>
                <w:szCs w:val="10"/>
                <w:color w:val="auto"/>
              </w:rPr>
              <w:t>Current liabilities</w:t>
            </w:r>
          </w:p>
        </w:tc>
        <w:tc>
          <w:tcPr>
            <w:tcW w:w="520" w:type="dxa"/>
            <w:vAlign w:val="bottom"/>
          </w:tcPr>
          <w:p>
            <w:pPr>
              <w:spacing w:after="0"/>
              <w:rPr>
                <w:sz w:val="9"/>
                <w:szCs w:val="9"/>
                <w:color w:val="auto"/>
              </w:rPr>
            </w:pPr>
          </w:p>
        </w:tc>
        <w:tc>
          <w:tcPr>
            <w:tcW w:w="480" w:type="dxa"/>
            <w:vAlign w:val="bottom"/>
            <w:gridSpan w:val="2"/>
          </w:tcPr>
          <w:p>
            <w:pPr>
              <w:jc w:val="right"/>
              <w:ind w:right="155"/>
              <w:spacing w:after="0" w:line="106" w:lineRule="exact"/>
              <w:rPr>
                <w:sz w:val="20"/>
                <w:szCs w:val="20"/>
                <w:color w:val="auto"/>
              </w:rPr>
            </w:pPr>
            <w:r>
              <w:rPr>
                <w:rFonts w:ascii="Arial" w:cs="Arial" w:eastAsia="Arial" w:hAnsi="Arial"/>
                <w:sz w:val="10"/>
                <w:szCs w:val="10"/>
                <w:b w:val="1"/>
                <w:bCs w:val="1"/>
                <w:color w:val="auto"/>
              </w:rPr>
              <w:t>114</w:t>
            </w:r>
          </w:p>
        </w:tc>
        <w:tc>
          <w:tcPr>
            <w:tcW w:w="20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101</w:t>
            </w:r>
          </w:p>
        </w:tc>
      </w:tr>
      <w:tr>
        <w:trPr>
          <w:trHeight w:val="120"/>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liabilities</w:t>
            </w:r>
          </w:p>
        </w:tc>
        <w:tc>
          <w:tcPr>
            <w:tcW w:w="52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155"/>
              <w:spacing w:after="0"/>
              <w:rPr>
                <w:sz w:val="20"/>
                <w:szCs w:val="20"/>
                <w:color w:val="auto"/>
              </w:rPr>
            </w:pPr>
            <w:r>
              <w:rPr>
                <w:rFonts w:ascii="Arial" w:cs="Arial" w:eastAsia="Arial" w:hAnsi="Arial"/>
                <w:sz w:val="10"/>
                <w:szCs w:val="10"/>
                <w:b w:val="1"/>
                <w:bCs w:val="1"/>
                <w:color w:val="auto"/>
              </w:rPr>
              <w:t>346</w:t>
            </w:r>
          </w:p>
        </w:tc>
        <w:tc>
          <w:tcPr>
            <w:tcW w:w="20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175</w:t>
            </w:r>
          </w:p>
        </w:tc>
      </w:tr>
      <w:tr>
        <w:trPr>
          <w:trHeight w:val="123"/>
        </w:trPr>
        <w:tc>
          <w:tcPr>
            <w:tcW w:w="38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Total CTC net equity</w:t>
            </w:r>
          </w:p>
        </w:tc>
        <w:tc>
          <w:tcPr>
            <w:tcW w:w="52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gridSpan w:val="2"/>
          </w:tcPr>
          <w:p>
            <w:pPr>
              <w:jc w:val="right"/>
              <w:ind w:right="155"/>
              <w:spacing w:after="0"/>
              <w:rPr>
                <w:sz w:val="20"/>
                <w:szCs w:val="20"/>
                <w:color w:val="auto"/>
              </w:rPr>
            </w:pPr>
            <w:r>
              <w:rPr>
                <w:rFonts w:ascii="Arial" w:cs="Arial" w:eastAsia="Arial" w:hAnsi="Arial"/>
                <w:sz w:val="10"/>
                <w:szCs w:val="10"/>
                <w:b w:val="1"/>
                <w:bCs w:val="1"/>
                <w:color w:val="auto"/>
              </w:rPr>
              <w:t>58</w:t>
            </w:r>
          </w:p>
        </w:tc>
        <w:tc>
          <w:tcPr>
            <w:tcW w:w="20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2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234</w:t>
            </w:r>
          </w:p>
        </w:tc>
      </w:tr>
    </w:tbl>
    <w:p>
      <w:pPr>
        <w:spacing w:after="0" w:line="27" w:lineRule="exact"/>
        <w:rPr>
          <w:sz w:val="20"/>
          <w:szCs w:val="20"/>
          <w:color w:val="auto"/>
        </w:rPr>
      </w:pPr>
    </w:p>
    <w:p>
      <w:pPr>
        <w:spacing w:after="0"/>
        <w:tabs>
          <w:tab w:leader="none" w:pos="100" w:val="left"/>
        </w:tabs>
        <w:rPr>
          <w:sz w:val="20"/>
          <w:szCs w:val="20"/>
          <w:color w:val="auto"/>
        </w:rPr>
      </w:pPr>
      <w:r>
        <w:rPr>
          <w:rFonts w:ascii="Arial" w:cs="Arial" w:eastAsia="Arial" w:hAnsi="Arial"/>
          <w:sz w:val="9"/>
          <w:szCs w:val="9"/>
          <w:color w:val="auto"/>
        </w:rPr>
        <w:t>*</w:t>
      </w:r>
      <w:r>
        <w:rPr>
          <w:sz w:val="20"/>
          <w:szCs w:val="20"/>
          <w:color w:val="auto"/>
        </w:rPr>
        <w:tab/>
      </w:r>
      <w:r>
        <w:rPr>
          <w:rFonts w:ascii="Arial" w:cs="Arial" w:eastAsia="Arial" w:hAnsi="Arial"/>
          <w:sz w:val="8"/>
          <w:szCs w:val="8"/>
          <w:color w:val="auto"/>
        </w:rPr>
        <w:t>2010 current assets and other liabilities conformed with 2011 presentation.</w:t>
      </w:r>
    </w:p>
    <w:p>
      <w:pPr>
        <w:spacing w:after="0" w:line="72" w:lineRule="exact"/>
        <w:rPr>
          <w:sz w:val="20"/>
          <w:szCs w:val="20"/>
          <w:color w:val="auto"/>
        </w:rPr>
      </w:pPr>
    </w:p>
    <w:p>
      <w:pPr>
        <w:ind w:right="700" w:firstLine="158"/>
        <w:spacing w:after="0" w:line="267" w:lineRule="auto"/>
        <w:rPr>
          <w:sz w:val="20"/>
          <w:szCs w:val="20"/>
          <w:color w:val="auto"/>
        </w:rPr>
      </w:pPr>
      <w:r>
        <w:rPr>
          <w:rFonts w:ascii="Arial" w:cs="Arial" w:eastAsia="Arial" w:hAnsi="Arial"/>
          <w:sz w:val="13"/>
          <w:szCs w:val="13"/>
          <w:color w:val="auto"/>
        </w:rPr>
        <w:t>There were no restrictions on CTC’s ability to pay dividends or make loans or advances at December 31,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77C0"/>
        </w:rPr>
        <w:t>Note 7</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0"/>
          <w:szCs w:val="10"/>
          <w:color w:val="0077C0"/>
        </w:rPr>
        <w:t>Summarized Financial Data – Tengizchevroil LLP</w:t>
      </w:r>
    </w:p>
    <w:p>
      <w:pPr>
        <w:ind w:left="360" w:right="160"/>
        <w:spacing w:after="0" w:line="245" w:lineRule="auto"/>
        <w:rPr>
          <w:sz w:val="20"/>
          <w:szCs w:val="20"/>
          <w:color w:val="auto"/>
        </w:rPr>
      </w:pPr>
      <w:r>
        <w:rPr>
          <w:rFonts w:ascii="Arial" w:cs="Arial" w:eastAsia="Arial" w:hAnsi="Arial"/>
          <w:sz w:val="13"/>
          <w:szCs w:val="13"/>
          <w:color w:val="auto"/>
        </w:rPr>
        <w:t>Chevron has a 50 percent equity ownership interest in Tengizchevroil LLP (TCO). Refer to Note 12, on page FS-39, for a discussion of TCO operations.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Summarized financial information for 100 percent of TCO is presented in the following table:</w:t>
      </w:r>
    </w:p>
    <w:p>
      <w:pPr>
        <w:spacing w:after="0" w:line="99"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920" w:type="dxa"/>
            <w:vAlign w:val="bottom"/>
            <w:tcBorders>
              <w:bottom w:val="single" w:sz="8" w:color="0077C0"/>
            </w:tcBorders>
            <w:gridSpan w:val="3"/>
          </w:tcPr>
          <w:p>
            <w:pPr>
              <w:jc w:val="right"/>
              <w:spacing w:after="0"/>
              <w:rPr>
                <w:sz w:val="20"/>
                <w:szCs w:val="20"/>
                <w:color w:val="auto"/>
              </w:rPr>
            </w:pPr>
            <w:r>
              <w:rPr>
                <w:rFonts w:ascii="Arial" w:cs="Arial" w:eastAsia="Arial" w:hAnsi="Arial"/>
                <w:sz w:val="9"/>
                <w:szCs w:val="9"/>
                <w:color w:val="auto"/>
                <w:w w:val="87"/>
              </w:rPr>
              <w:t>Year ended December 31</w:t>
            </w:r>
          </w:p>
        </w:tc>
      </w:tr>
      <w:tr>
        <w:trPr>
          <w:trHeight w:val="86"/>
        </w:trPr>
        <w:tc>
          <w:tcPr>
            <w:tcW w:w="20" w:type="dxa"/>
            <w:vAlign w:val="bottom"/>
          </w:tcPr>
          <w:p>
            <w:pPr>
              <w:spacing w:after="0"/>
              <w:rPr>
                <w:sz w:val="7"/>
                <w:szCs w:val="7"/>
                <w:color w:val="auto"/>
              </w:rPr>
            </w:pPr>
          </w:p>
        </w:tc>
        <w:tc>
          <w:tcPr>
            <w:tcW w:w="2620" w:type="dxa"/>
            <w:vAlign w:val="bottom"/>
            <w:tcBorders>
              <w:bottom w:val="single" w:sz="8" w:color="0077C0"/>
            </w:tcBorders>
          </w:tcPr>
          <w:p>
            <w:pPr>
              <w:spacing w:after="0"/>
              <w:rPr>
                <w:sz w:val="7"/>
                <w:szCs w:val="7"/>
                <w:color w:val="auto"/>
              </w:rPr>
            </w:pPr>
          </w:p>
        </w:tc>
        <w:tc>
          <w:tcPr>
            <w:tcW w:w="1200" w:type="dxa"/>
            <w:vAlign w:val="bottom"/>
            <w:tcBorders>
              <w:bottom w:val="single" w:sz="8" w:color="0077C0"/>
            </w:tcBorders>
          </w:tcPr>
          <w:p>
            <w:pPr>
              <w:spacing w:after="0"/>
              <w:rPr>
                <w:sz w:val="7"/>
                <w:szCs w:val="7"/>
                <w:color w:val="auto"/>
              </w:rPr>
            </w:pPr>
          </w:p>
        </w:tc>
        <w:tc>
          <w:tcPr>
            <w:tcW w:w="520" w:type="dxa"/>
            <w:vAlign w:val="bottom"/>
            <w:tcBorders>
              <w:bottom w:val="single" w:sz="8" w:color="0077C0"/>
            </w:tcBorders>
          </w:tcPr>
          <w:p>
            <w:pPr>
              <w:jc w:val="right"/>
              <w:ind w:right="115"/>
              <w:spacing w:after="0" w:line="86" w:lineRule="exact"/>
              <w:rPr>
                <w:sz w:val="20"/>
                <w:szCs w:val="20"/>
                <w:color w:val="auto"/>
              </w:rPr>
            </w:pPr>
            <w:r>
              <w:rPr>
                <w:rFonts w:ascii="Arial" w:cs="Arial" w:eastAsia="Arial" w:hAnsi="Arial"/>
                <w:sz w:val="9"/>
                <w:szCs w:val="9"/>
                <w:b w:val="1"/>
                <w:bCs w:val="1"/>
                <w:color w:val="auto"/>
              </w:rPr>
              <w:t>2011</w:t>
            </w:r>
          </w:p>
        </w:tc>
        <w:tc>
          <w:tcPr>
            <w:tcW w:w="500" w:type="dxa"/>
            <w:vAlign w:val="bottom"/>
            <w:tcBorders>
              <w:bottom w:val="single" w:sz="8" w:color="0077C0"/>
            </w:tcBorders>
            <w:gridSpan w:val="2"/>
          </w:tcPr>
          <w:p>
            <w:pPr>
              <w:jc w:val="right"/>
              <w:ind w:right="15"/>
              <w:spacing w:after="0" w:line="86" w:lineRule="exact"/>
              <w:rPr>
                <w:sz w:val="20"/>
                <w:szCs w:val="20"/>
                <w:color w:val="auto"/>
              </w:rPr>
            </w:pPr>
            <w:r>
              <w:rPr>
                <w:rFonts w:ascii="Arial" w:cs="Arial" w:eastAsia="Arial" w:hAnsi="Arial"/>
                <w:sz w:val="9"/>
                <w:szCs w:val="9"/>
                <w:color w:val="auto"/>
              </w:rPr>
              <w:t>2010</w:t>
            </w:r>
          </w:p>
        </w:tc>
        <w:tc>
          <w:tcPr>
            <w:tcW w:w="600" w:type="dxa"/>
            <w:vAlign w:val="bottom"/>
            <w:tcBorders>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2009</w:t>
            </w:r>
          </w:p>
        </w:tc>
      </w:tr>
      <w:tr>
        <w:trPr>
          <w:trHeight w:val="90"/>
        </w:trPr>
        <w:tc>
          <w:tcPr>
            <w:tcW w:w="20" w:type="dxa"/>
            <w:vAlign w:val="bottom"/>
          </w:tcPr>
          <w:p>
            <w:pPr>
              <w:spacing w:after="0"/>
              <w:rPr>
                <w:sz w:val="7"/>
                <w:szCs w:val="7"/>
                <w:color w:val="auto"/>
              </w:rPr>
            </w:pPr>
          </w:p>
        </w:tc>
        <w:tc>
          <w:tcPr>
            <w:tcW w:w="2620" w:type="dxa"/>
            <w:vAlign w:val="bottom"/>
          </w:tcPr>
          <w:p>
            <w:pPr>
              <w:spacing w:after="0" w:line="91" w:lineRule="exact"/>
              <w:rPr>
                <w:sz w:val="20"/>
                <w:szCs w:val="20"/>
                <w:color w:val="auto"/>
              </w:rPr>
            </w:pPr>
            <w:r>
              <w:rPr>
                <w:rFonts w:ascii="Arial" w:cs="Arial" w:eastAsia="Arial" w:hAnsi="Arial"/>
                <w:sz w:val="10"/>
                <w:szCs w:val="10"/>
                <w:color w:val="auto"/>
              </w:rPr>
              <w:t>Sales and other operating revenues</w:t>
            </w:r>
          </w:p>
        </w:tc>
        <w:tc>
          <w:tcPr>
            <w:tcW w:w="1720" w:type="dxa"/>
            <w:vAlign w:val="bottom"/>
            <w:tcBorders>
              <w:right w:val="single" w:sz="8" w:color="0077C0"/>
            </w:tcBorders>
            <w:gridSpan w:val="2"/>
          </w:tcPr>
          <w:p>
            <w:pPr>
              <w:jc w:val="right"/>
              <w:ind w:right="115"/>
              <w:spacing w:after="0" w:line="91" w:lineRule="exact"/>
              <w:rPr>
                <w:sz w:val="20"/>
                <w:szCs w:val="20"/>
                <w:color w:val="auto"/>
              </w:rPr>
            </w:pPr>
            <w:r>
              <w:rPr>
                <w:rFonts w:ascii="Arial" w:cs="Arial" w:eastAsia="Arial" w:hAnsi="Arial"/>
                <w:sz w:val="10"/>
                <w:szCs w:val="10"/>
                <w:b w:val="1"/>
                <w:bCs w:val="1"/>
                <w:color w:val="auto"/>
              </w:rPr>
              <w:t>$ 25,278</w:t>
            </w:r>
          </w:p>
        </w:tc>
        <w:tc>
          <w:tcPr>
            <w:tcW w:w="500" w:type="dxa"/>
            <w:vAlign w:val="bottom"/>
            <w:gridSpan w:val="2"/>
          </w:tcPr>
          <w:p>
            <w:pPr>
              <w:jc w:val="right"/>
              <w:ind w:right="15"/>
              <w:spacing w:after="0" w:line="91" w:lineRule="exact"/>
              <w:rPr>
                <w:sz w:val="20"/>
                <w:szCs w:val="20"/>
                <w:color w:val="auto"/>
              </w:rPr>
            </w:pPr>
            <w:r>
              <w:rPr>
                <w:rFonts w:ascii="Arial" w:cs="Arial" w:eastAsia="Arial" w:hAnsi="Arial"/>
                <w:sz w:val="10"/>
                <w:szCs w:val="10"/>
                <w:color w:val="auto"/>
              </w:rPr>
              <w:t>$ 17,812</w:t>
            </w:r>
          </w:p>
        </w:tc>
        <w:tc>
          <w:tcPr>
            <w:tcW w:w="600" w:type="dxa"/>
            <w:vAlign w:val="bottom"/>
            <w:gridSpan w:val="2"/>
          </w:tcPr>
          <w:p>
            <w:pPr>
              <w:jc w:val="right"/>
              <w:spacing w:after="0" w:line="91" w:lineRule="exact"/>
              <w:rPr>
                <w:sz w:val="20"/>
                <w:szCs w:val="20"/>
                <w:color w:val="auto"/>
              </w:rPr>
            </w:pPr>
            <w:r>
              <w:rPr>
                <w:rFonts w:ascii="Arial" w:cs="Arial" w:eastAsia="Arial" w:hAnsi="Arial"/>
                <w:sz w:val="10"/>
                <w:szCs w:val="10"/>
                <w:color w:val="auto"/>
              </w:rPr>
              <w:t>$ 12,013</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Costs and other deductions</w:t>
            </w:r>
          </w:p>
        </w:tc>
        <w:tc>
          <w:tcPr>
            <w:tcW w:w="1720" w:type="dxa"/>
            <w:vAlign w:val="bottom"/>
            <w:tcBorders>
              <w:right w:val="single" w:sz="8" w:color="0077C0"/>
            </w:tcBorders>
            <w:gridSpan w:val="2"/>
          </w:tcPr>
          <w:p>
            <w:pPr>
              <w:jc w:val="right"/>
              <w:ind w:right="115"/>
              <w:spacing w:after="0" w:line="106" w:lineRule="exact"/>
              <w:rPr>
                <w:sz w:val="20"/>
                <w:szCs w:val="20"/>
                <w:color w:val="auto"/>
              </w:rPr>
            </w:pPr>
            <w:r>
              <w:rPr>
                <w:rFonts w:ascii="Arial" w:cs="Arial" w:eastAsia="Arial" w:hAnsi="Arial"/>
                <w:sz w:val="10"/>
                <w:szCs w:val="10"/>
                <w:b w:val="1"/>
                <w:bCs w:val="1"/>
                <w:color w:val="auto"/>
              </w:rPr>
              <w:t>10,941</w:t>
            </w:r>
          </w:p>
        </w:tc>
        <w:tc>
          <w:tcPr>
            <w:tcW w:w="500" w:type="dxa"/>
            <w:vAlign w:val="bottom"/>
            <w:gridSpan w:val="2"/>
          </w:tcPr>
          <w:p>
            <w:pPr>
              <w:jc w:val="right"/>
              <w:ind w:right="15"/>
              <w:spacing w:after="0" w:line="106" w:lineRule="exact"/>
              <w:rPr>
                <w:sz w:val="20"/>
                <w:szCs w:val="20"/>
                <w:color w:val="auto"/>
              </w:rPr>
            </w:pPr>
            <w:r>
              <w:rPr>
                <w:rFonts w:ascii="Arial" w:cs="Arial" w:eastAsia="Arial" w:hAnsi="Arial"/>
                <w:sz w:val="10"/>
                <w:szCs w:val="10"/>
                <w:color w:val="auto"/>
              </w:rPr>
              <w:t>8,394</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6,044</w:t>
            </w:r>
          </w:p>
        </w:tc>
      </w:tr>
      <w:tr>
        <w:trPr>
          <w:trHeight w:val="139"/>
        </w:trPr>
        <w:tc>
          <w:tcPr>
            <w:tcW w:w="2640" w:type="dxa"/>
            <w:vAlign w:val="bottom"/>
            <w:gridSpan w:val="2"/>
          </w:tcPr>
          <w:p>
            <w:pPr>
              <w:spacing w:after="0"/>
              <w:rPr>
                <w:sz w:val="20"/>
                <w:szCs w:val="20"/>
                <w:color w:val="auto"/>
              </w:rPr>
            </w:pPr>
            <w:r>
              <w:rPr>
                <w:rFonts w:ascii="Arial" w:cs="Arial" w:eastAsia="Arial" w:hAnsi="Arial"/>
                <w:sz w:val="10"/>
                <w:szCs w:val="10"/>
                <w:color w:val="auto"/>
              </w:rPr>
              <w:t>Net income attributable to TCO</w:t>
            </w:r>
          </w:p>
        </w:tc>
        <w:tc>
          <w:tcPr>
            <w:tcW w:w="1720" w:type="dxa"/>
            <w:vAlign w:val="bottom"/>
            <w:tcBorders>
              <w:right w:val="single" w:sz="8" w:color="0077C0"/>
            </w:tcBorders>
            <w:gridSpan w:val="2"/>
          </w:tcPr>
          <w:p>
            <w:pPr>
              <w:jc w:val="right"/>
              <w:ind w:right="115"/>
              <w:spacing w:after="0"/>
              <w:rPr>
                <w:sz w:val="20"/>
                <w:szCs w:val="20"/>
                <w:color w:val="auto"/>
              </w:rPr>
            </w:pPr>
            <w:r>
              <w:rPr>
                <w:rFonts w:ascii="Arial" w:cs="Arial" w:eastAsia="Arial" w:hAnsi="Arial"/>
                <w:sz w:val="10"/>
                <w:szCs w:val="10"/>
                <w:b w:val="1"/>
                <w:bCs w:val="1"/>
                <w:color w:val="auto"/>
              </w:rPr>
              <w:t>10,039</w:t>
            </w:r>
          </w:p>
        </w:tc>
        <w:tc>
          <w:tcPr>
            <w:tcW w:w="500" w:type="dxa"/>
            <w:vAlign w:val="bottom"/>
            <w:gridSpan w:val="2"/>
          </w:tcPr>
          <w:p>
            <w:pPr>
              <w:jc w:val="right"/>
              <w:ind w:right="15"/>
              <w:spacing w:after="0"/>
              <w:rPr>
                <w:sz w:val="20"/>
                <w:szCs w:val="20"/>
                <w:color w:val="auto"/>
              </w:rPr>
            </w:pPr>
            <w:r>
              <w:rPr>
                <w:rFonts w:ascii="Arial" w:cs="Arial" w:eastAsia="Arial" w:hAnsi="Arial"/>
                <w:sz w:val="10"/>
                <w:szCs w:val="10"/>
                <w:color w:val="auto"/>
              </w:rPr>
              <w:t>6,593</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4,178</w:t>
            </w:r>
          </w:p>
        </w:tc>
      </w:tr>
      <w:tr>
        <w:trPr>
          <w:trHeight w:val="202"/>
        </w:trPr>
        <w:tc>
          <w:tcPr>
            <w:tcW w:w="20" w:type="dxa"/>
            <w:vAlign w:val="bottom"/>
          </w:tcPr>
          <w:p>
            <w:pPr>
              <w:spacing w:after="0"/>
              <w:rPr>
                <w:sz w:val="17"/>
                <w:szCs w:val="17"/>
                <w:color w:val="auto"/>
              </w:rPr>
            </w:pPr>
          </w:p>
        </w:tc>
        <w:tc>
          <w:tcPr>
            <w:tcW w:w="2620" w:type="dxa"/>
            <w:vAlign w:val="bottom"/>
            <w:tcBorders>
              <w:top w:val="single" w:sz="8" w:color="0077C0"/>
            </w:tcBorders>
          </w:tcPr>
          <w:p>
            <w:pPr>
              <w:spacing w:after="0"/>
              <w:rPr>
                <w:sz w:val="17"/>
                <w:szCs w:val="17"/>
                <w:color w:val="auto"/>
              </w:rPr>
            </w:pPr>
          </w:p>
        </w:tc>
        <w:tc>
          <w:tcPr>
            <w:tcW w:w="1200" w:type="dxa"/>
            <w:vAlign w:val="bottom"/>
            <w:tcBorders>
              <w:top w:val="single" w:sz="8" w:color="0077C0"/>
            </w:tcBorders>
          </w:tcPr>
          <w:p>
            <w:pPr>
              <w:spacing w:after="0"/>
              <w:rPr>
                <w:sz w:val="17"/>
                <w:szCs w:val="17"/>
                <w:color w:val="auto"/>
              </w:rPr>
            </w:pPr>
          </w:p>
        </w:tc>
        <w:tc>
          <w:tcPr>
            <w:tcW w:w="520" w:type="dxa"/>
            <w:vAlign w:val="bottom"/>
            <w:tcBorders>
              <w:top w:val="single" w:sz="8" w:color="0077C0"/>
            </w:tcBorders>
          </w:tcPr>
          <w:p>
            <w:pPr>
              <w:spacing w:after="0"/>
              <w:rPr>
                <w:sz w:val="17"/>
                <w:szCs w:val="17"/>
                <w:color w:val="auto"/>
              </w:rPr>
            </w:pPr>
          </w:p>
        </w:tc>
        <w:tc>
          <w:tcPr>
            <w:tcW w:w="180" w:type="dxa"/>
            <w:vAlign w:val="bottom"/>
            <w:tcBorders>
              <w:top w:val="single" w:sz="8" w:color="0077C0"/>
            </w:tcBorders>
          </w:tcPr>
          <w:p>
            <w:pPr>
              <w:spacing w:after="0"/>
              <w:rPr>
                <w:sz w:val="17"/>
                <w:szCs w:val="17"/>
                <w:color w:val="auto"/>
              </w:rPr>
            </w:pPr>
          </w:p>
        </w:tc>
        <w:tc>
          <w:tcPr>
            <w:tcW w:w="320" w:type="dxa"/>
            <w:vAlign w:val="bottom"/>
            <w:tcBorders>
              <w:top w:val="single" w:sz="8" w:color="0077C0"/>
              <w:bottom w:val="single" w:sz="8" w:color="0077C0"/>
            </w:tcBorders>
          </w:tcPr>
          <w:p>
            <w:pPr>
              <w:spacing w:after="0"/>
              <w:rPr>
                <w:sz w:val="17"/>
                <w:szCs w:val="17"/>
                <w:color w:val="auto"/>
              </w:rPr>
            </w:pPr>
          </w:p>
        </w:tc>
        <w:tc>
          <w:tcPr>
            <w:tcW w:w="600" w:type="dxa"/>
            <w:vAlign w:val="bottom"/>
            <w:tcBorders>
              <w:top w:val="single" w:sz="8" w:color="0077C0"/>
              <w:bottom w:val="single" w:sz="8" w:color="0077C0"/>
            </w:tcBorders>
            <w:gridSpan w:val="2"/>
          </w:tcPr>
          <w:p>
            <w:pPr>
              <w:jc w:val="right"/>
              <w:spacing w:after="0"/>
              <w:rPr>
                <w:sz w:val="20"/>
                <w:szCs w:val="20"/>
                <w:color w:val="auto"/>
              </w:rPr>
            </w:pPr>
            <w:r>
              <w:rPr>
                <w:rFonts w:ascii="Arial" w:cs="Arial" w:eastAsia="Arial" w:hAnsi="Arial"/>
                <w:sz w:val="9"/>
                <w:szCs w:val="9"/>
                <w:color w:val="auto"/>
                <w:w w:val="89"/>
              </w:rPr>
              <w:t>At December 31</w:t>
            </w:r>
          </w:p>
        </w:tc>
      </w:tr>
      <w:tr>
        <w:trPr>
          <w:trHeight w:val="86"/>
        </w:trPr>
        <w:tc>
          <w:tcPr>
            <w:tcW w:w="20" w:type="dxa"/>
            <w:vAlign w:val="bottom"/>
          </w:tcPr>
          <w:p>
            <w:pPr>
              <w:spacing w:after="0"/>
              <w:rPr>
                <w:sz w:val="7"/>
                <w:szCs w:val="7"/>
                <w:color w:val="auto"/>
              </w:rPr>
            </w:pPr>
          </w:p>
        </w:tc>
        <w:tc>
          <w:tcPr>
            <w:tcW w:w="2620" w:type="dxa"/>
            <w:vAlign w:val="bottom"/>
            <w:tcBorders>
              <w:bottom w:val="single" w:sz="8" w:color="0077C0"/>
            </w:tcBorders>
          </w:tcPr>
          <w:p>
            <w:pPr>
              <w:spacing w:after="0"/>
              <w:rPr>
                <w:sz w:val="7"/>
                <w:szCs w:val="7"/>
                <w:color w:val="auto"/>
              </w:rPr>
            </w:pPr>
          </w:p>
        </w:tc>
        <w:tc>
          <w:tcPr>
            <w:tcW w:w="1200" w:type="dxa"/>
            <w:vAlign w:val="bottom"/>
            <w:tcBorders>
              <w:bottom w:val="single" w:sz="8" w:color="0077C0"/>
            </w:tcBorders>
          </w:tcPr>
          <w:p>
            <w:pPr>
              <w:spacing w:after="0"/>
              <w:rPr>
                <w:sz w:val="7"/>
                <w:szCs w:val="7"/>
                <w:color w:val="auto"/>
              </w:rPr>
            </w:pPr>
          </w:p>
        </w:tc>
        <w:tc>
          <w:tcPr>
            <w:tcW w:w="520" w:type="dxa"/>
            <w:vAlign w:val="bottom"/>
            <w:tcBorders>
              <w:bottom w:val="single" w:sz="8" w:color="0077C0"/>
            </w:tcBorders>
          </w:tcPr>
          <w:p>
            <w:pPr>
              <w:spacing w:after="0"/>
              <w:rPr>
                <w:sz w:val="7"/>
                <w:szCs w:val="7"/>
                <w:color w:val="auto"/>
              </w:rPr>
            </w:pPr>
          </w:p>
        </w:tc>
        <w:tc>
          <w:tcPr>
            <w:tcW w:w="180" w:type="dxa"/>
            <w:vAlign w:val="bottom"/>
            <w:tcBorders>
              <w:bottom w:val="single" w:sz="8" w:color="0077C0"/>
            </w:tcBorders>
          </w:tcPr>
          <w:p>
            <w:pPr>
              <w:spacing w:after="0"/>
              <w:rPr>
                <w:sz w:val="7"/>
                <w:szCs w:val="7"/>
                <w:color w:val="auto"/>
              </w:rPr>
            </w:pPr>
          </w:p>
        </w:tc>
        <w:tc>
          <w:tcPr>
            <w:tcW w:w="32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2010</w:t>
            </w:r>
          </w:p>
        </w:tc>
      </w:tr>
      <w:tr>
        <w:trPr>
          <w:trHeight w:val="90"/>
        </w:trPr>
        <w:tc>
          <w:tcPr>
            <w:tcW w:w="20" w:type="dxa"/>
            <w:vAlign w:val="bottom"/>
          </w:tcPr>
          <w:p>
            <w:pPr>
              <w:spacing w:after="0"/>
              <w:rPr>
                <w:sz w:val="7"/>
                <w:szCs w:val="7"/>
                <w:color w:val="auto"/>
              </w:rPr>
            </w:pPr>
          </w:p>
        </w:tc>
        <w:tc>
          <w:tcPr>
            <w:tcW w:w="2620" w:type="dxa"/>
            <w:vAlign w:val="bottom"/>
          </w:tcPr>
          <w:p>
            <w:pPr>
              <w:spacing w:after="0" w:line="91" w:lineRule="exact"/>
              <w:rPr>
                <w:sz w:val="20"/>
                <w:szCs w:val="20"/>
                <w:color w:val="auto"/>
              </w:rPr>
            </w:pPr>
            <w:r>
              <w:rPr>
                <w:rFonts w:ascii="Arial" w:cs="Arial" w:eastAsia="Arial" w:hAnsi="Arial"/>
                <w:sz w:val="10"/>
                <w:szCs w:val="10"/>
                <w:color w:val="auto"/>
              </w:rPr>
              <w:t>Current assets</w:t>
            </w:r>
          </w:p>
        </w:tc>
        <w:tc>
          <w:tcPr>
            <w:tcW w:w="1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$ 3,477</w:t>
            </w:r>
          </w:p>
        </w:tc>
        <w:tc>
          <w:tcPr>
            <w:tcW w:w="180" w:type="dxa"/>
            <w:vAlign w:val="bottom"/>
            <w:tcBorders>
              <w:right w:val="single" w:sz="8" w:color="0077C0"/>
            </w:tcBorders>
          </w:tcPr>
          <w:p>
            <w:pPr>
              <w:spacing w:after="0"/>
              <w:rPr>
                <w:sz w:val="7"/>
                <w:szCs w:val="7"/>
                <w:color w:val="auto"/>
              </w:rPr>
            </w:pPr>
          </w:p>
        </w:tc>
        <w:tc>
          <w:tcPr>
            <w:tcW w:w="420" w:type="dxa"/>
            <w:vAlign w:val="bottom"/>
          </w:tcPr>
          <w:p>
            <w:pPr>
              <w:jc w:val="right"/>
              <w:spacing w:after="0" w:line="91" w:lineRule="exact"/>
              <w:rPr>
                <w:sz w:val="20"/>
                <w:szCs w:val="20"/>
                <w:color w:val="auto"/>
              </w:rPr>
            </w:pPr>
            <w:r>
              <w:rPr>
                <w:rFonts w:ascii="Arial" w:cs="Arial" w:eastAsia="Arial" w:hAnsi="Arial"/>
                <w:sz w:val="10"/>
                <w:szCs w:val="10"/>
                <w:color w:val="auto"/>
              </w:rPr>
              <w:t>$ 3,376</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Other assets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11,619</w:t>
            </w:r>
          </w:p>
        </w:tc>
        <w:tc>
          <w:tcPr>
            <w:tcW w:w="180" w:type="dxa"/>
            <w:vAlign w:val="bottom"/>
            <w:tcBorders>
              <w:right w:val="single" w:sz="8" w:color="0077C0"/>
            </w:tcBorders>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11,813</w:t>
            </w: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Current liabilities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2,995</w:t>
            </w:r>
          </w:p>
        </w:tc>
        <w:tc>
          <w:tcPr>
            <w:tcW w:w="180" w:type="dxa"/>
            <w:vAlign w:val="bottom"/>
            <w:tcBorders>
              <w:right w:val="single" w:sz="8" w:color="0077C0"/>
            </w:tcBorders>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2,402</w:t>
            </w:r>
          </w:p>
        </w:tc>
      </w:tr>
      <w:tr>
        <w:trPr>
          <w:trHeight w:val="120"/>
        </w:trPr>
        <w:tc>
          <w:tcPr>
            <w:tcW w:w="26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Other liabilities</w:t>
            </w:r>
          </w:p>
        </w:tc>
        <w:tc>
          <w:tcPr>
            <w:tcW w:w="1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3,759</w:t>
            </w:r>
          </w:p>
        </w:tc>
        <w:tc>
          <w:tcPr>
            <w:tcW w:w="180" w:type="dxa"/>
            <w:vAlign w:val="bottom"/>
            <w:tcBorders>
              <w:bottom w:val="single" w:sz="8" w:color="0077C0"/>
              <w:right w:val="single" w:sz="8" w:color="0077C0"/>
            </w:tcBorders>
          </w:tcPr>
          <w:p>
            <w:pPr>
              <w:spacing w:after="0"/>
              <w:rPr>
                <w:sz w:val="10"/>
                <w:szCs w:val="10"/>
                <w:color w:val="auto"/>
              </w:rPr>
            </w:pP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4,130</w:t>
            </w:r>
          </w:p>
        </w:tc>
      </w:tr>
      <w:tr>
        <w:trPr>
          <w:trHeight w:val="123"/>
        </w:trPr>
        <w:tc>
          <w:tcPr>
            <w:tcW w:w="26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TCO net equity</w:t>
            </w:r>
          </w:p>
        </w:tc>
        <w:tc>
          <w:tcPr>
            <w:tcW w:w="1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8,342</w:t>
            </w:r>
          </w:p>
        </w:tc>
        <w:tc>
          <w:tcPr>
            <w:tcW w:w="180" w:type="dxa"/>
            <w:vAlign w:val="bottom"/>
            <w:tcBorders>
              <w:bottom w:val="single" w:sz="8" w:color="0077C0"/>
              <w:right w:val="single" w:sz="8" w:color="0077C0"/>
            </w:tcBorders>
          </w:tcPr>
          <w:p>
            <w:pPr>
              <w:spacing w:after="0"/>
              <w:rPr>
                <w:sz w:val="10"/>
                <w:szCs w:val="10"/>
                <w:color w:val="auto"/>
              </w:rPr>
            </w:pP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8,657</w:t>
            </w:r>
          </w:p>
        </w:tc>
      </w:tr>
    </w:tbl>
    <w:p>
      <w:pPr>
        <w:spacing w:after="0" w:line="10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077C0"/>
        </w:rPr>
        <w:t>Note 8</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0"/>
          <w:szCs w:val="10"/>
          <w:color w:val="0077C0"/>
        </w:rPr>
        <w:t>Lease Commitments</w:t>
      </w:r>
    </w:p>
    <w:p>
      <w:pPr>
        <w:ind w:left="360" w:right="60"/>
        <w:spacing w:after="0" w:line="303" w:lineRule="auto"/>
        <w:rPr>
          <w:sz w:val="20"/>
          <w:szCs w:val="20"/>
          <w:color w:val="auto"/>
        </w:rPr>
      </w:pPr>
      <w:r>
        <w:rPr>
          <w:rFonts w:ascii="Arial" w:cs="Arial" w:eastAsia="Arial" w:hAnsi="Arial"/>
          <w:sz w:val="11"/>
          <w:szCs w:val="11"/>
          <w:color w:val="auto"/>
        </w:rPr>
        <w:t>Certain noncancelable leases are classified as capital leases, and the leased assets are included as part of “Properties, plant and equipment, at cost” on the Consolidated Balance Sheet. Such leasing arrangements involve crude oil production and processing equipment, service stations, bareboat charters, office buildings, and other facilities. Other leases are classified as operating leases and are not capitalized. The payments on such leases are recorded as expense. Details of the capitalized leased assets are as follows:</w:t>
      </w:r>
    </w:p>
    <w:p>
      <w:pPr>
        <w:spacing w:after="0" w:line="64"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820" w:type="dxa"/>
            <w:vAlign w:val="bottom"/>
            <w:tcBorders>
              <w:bottom w:val="single" w:sz="8" w:color="0077C0"/>
            </w:tcBorders>
            <w:gridSpan w:val="3"/>
          </w:tcPr>
          <w:p>
            <w:pPr>
              <w:jc w:val="center"/>
              <w:ind w:left="190"/>
              <w:spacing w:after="0"/>
              <w:rPr>
                <w:sz w:val="20"/>
                <w:szCs w:val="20"/>
                <w:color w:val="auto"/>
              </w:rPr>
            </w:pPr>
            <w:r>
              <w:rPr>
                <w:rFonts w:ascii="Arial" w:cs="Arial" w:eastAsia="Arial" w:hAnsi="Arial"/>
                <w:sz w:val="9"/>
                <w:szCs w:val="9"/>
                <w:color w:val="auto"/>
                <w:w w:val="89"/>
              </w:rPr>
              <w:t>At December 31</w:t>
            </w:r>
          </w:p>
        </w:tc>
      </w:tr>
      <w:tr>
        <w:trPr>
          <w:trHeight w:val="86"/>
        </w:trPr>
        <w:tc>
          <w:tcPr>
            <w:tcW w:w="20" w:type="dxa"/>
            <w:vAlign w:val="bottom"/>
          </w:tcPr>
          <w:p>
            <w:pPr>
              <w:spacing w:after="0"/>
              <w:rPr>
                <w:sz w:val="7"/>
                <w:szCs w:val="7"/>
                <w:color w:val="auto"/>
              </w:rPr>
            </w:pPr>
          </w:p>
        </w:tc>
        <w:tc>
          <w:tcPr>
            <w:tcW w:w="2920" w:type="dxa"/>
            <w:vAlign w:val="bottom"/>
            <w:tcBorders>
              <w:bottom w:val="single" w:sz="8" w:color="0077C0"/>
            </w:tcBorders>
          </w:tcPr>
          <w:p>
            <w:pPr>
              <w:spacing w:after="0"/>
              <w:rPr>
                <w:sz w:val="7"/>
                <w:szCs w:val="7"/>
                <w:color w:val="auto"/>
              </w:rPr>
            </w:pPr>
          </w:p>
        </w:tc>
        <w:tc>
          <w:tcPr>
            <w:tcW w:w="1600" w:type="dxa"/>
            <w:vAlign w:val="bottom"/>
            <w:tcBorders>
              <w:bottom w:val="single" w:sz="8" w:color="0077C0"/>
            </w:tcBorders>
          </w:tcPr>
          <w:p>
            <w:pPr>
              <w:spacing w:after="0"/>
              <w:rPr>
                <w:sz w:val="7"/>
                <w:szCs w:val="7"/>
                <w:color w:val="auto"/>
              </w:rPr>
            </w:pPr>
          </w:p>
        </w:tc>
        <w:tc>
          <w:tcPr>
            <w:tcW w:w="100" w:type="dxa"/>
            <w:vAlign w:val="bottom"/>
            <w:tcBorders>
              <w:bottom w:val="single" w:sz="8" w:color="0077C0"/>
            </w:tcBorders>
          </w:tcPr>
          <w:p>
            <w:pPr>
              <w:spacing w:after="0"/>
              <w:rPr>
                <w:sz w:val="7"/>
                <w:szCs w:val="7"/>
                <w:color w:val="auto"/>
              </w:rPr>
            </w:pPr>
          </w:p>
        </w:tc>
        <w:tc>
          <w:tcPr>
            <w:tcW w:w="400" w:type="dxa"/>
            <w:vAlign w:val="bottom"/>
            <w:tcBorders>
              <w:bottom w:val="single" w:sz="8" w:color="0077C0"/>
            </w:tcBorders>
          </w:tcPr>
          <w:p>
            <w:pPr>
              <w:jc w:val="right"/>
              <w:ind w:right="110"/>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0077C0"/>
            </w:tcBorders>
          </w:tcPr>
          <w:p>
            <w:pPr>
              <w:spacing w:after="0"/>
              <w:rPr>
                <w:sz w:val="7"/>
                <w:szCs w:val="7"/>
                <w:color w:val="auto"/>
              </w:rPr>
            </w:pPr>
          </w:p>
        </w:tc>
        <w:tc>
          <w:tcPr>
            <w:tcW w:w="26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r>
      <w:tr>
        <w:trPr>
          <w:trHeight w:val="90"/>
        </w:trPr>
        <w:tc>
          <w:tcPr>
            <w:tcW w:w="20" w:type="dxa"/>
            <w:vAlign w:val="bottom"/>
          </w:tcPr>
          <w:p>
            <w:pPr>
              <w:spacing w:after="0"/>
              <w:rPr>
                <w:sz w:val="7"/>
                <w:szCs w:val="7"/>
                <w:color w:val="auto"/>
              </w:rPr>
            </w:pPr>
          </w:p>
        </w:tc>
        <w:tc>
          <w:tcPr>
            <w:tcW w:w="2920" w:type="dxa"/>
            <w:vAlign w:val="bottom"/>
          </w:tcPr>
          <w:p>
            <w:pPr>
              <w:spacing w:after="0" w:line="91" w:lineRule="exact"/>
              <w:rPr>
                <w:sz w:val="20"/>
                <w:szCs w:val="20"/>
                <w:color w:val="auto"/>
              </w:rPr>
            </w:pPr>
            <w:r>
              <w:rPr>
                <w:rFonts w:ascii="Arial" w:cs="Arial" w:eastAsia="Arial" w:hAnsi="Arial"/>
                <w:sz w:val="10"/>
                <w:szCs w:val="10"/>
                <w:color w:val="auto"/>
              </w:rPr>
              <w:t>Upstream</w:t>
            </w:r>
          </w:p>
        </w:tc>
        <w:tc>
          <w:tcPr>
            <w:tcW w:w="1700" w:type="dxa"/>
            <w:vAlign w:val="bottom"/>
            <w:gridSpan w:val="2"/>
          </w:tcPr>
          <w:p>
            <w:pPr>
              <w:jc w:val="right"/>
              <w:ind w:right="60"/>
              <w:spacing w:after="0" w:line="91" w:lineRule="exact"/>
              <w:rPr>
                <w:sz w:val="20"/>
                <w:szCs w:val="20"/>
                <w:color w:val="auto"/>
              </w:rPr>
            </w:pPr>
            <w:r>
              <w:rPr>
                <w:rFonts w:ascii="Arial" w:cs="Arial" w:eastAsia="Arial" w:hAnsi="Arial"/>
                <w:sz w:val="10"/>
                <w:szCs w:val="10"/>
                <w:b w:val="1"/>
                <w:bCs w:val="1"/>
                <w:color w:val="auto"/>
              </w:rPr>
              <w:t>$</w:t>
            </w:r>
          </w:p>
        </w:tc>
        <w:tc>
          <w:tcPr>
            <w:tcW w:w="40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585</w:t>
            </w:r>
          </w:p>
        </w:tc>
        <w:tc>
          <w:tcPr>
            <w:tcW w:w="160" w:type="dxa"/>
            <w:vAlign w:val="bottom"/>
          </w:tcPr>
          <w:p>
            <w:pPr>
              <w:jc w:val="center"/>
              <w:ind w:left="29"/>
              <w:spacing w:after="0" w:line="91"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561</w:t>
            </w:r>
          </w:p>
        </w:tc>
      </w:tr>
      <w:tr>
        <w:trPr>
          <w:trHeight w:val="106"/>
        </w:trPr>
        <w:tc>
          <w:tcPr>
            <w:tcW w:w="2940" w:type="dxa"/>
            <w:vAlign w:val="bottom"/>
            <w:gridSpan w:val="2"/>
          </w:tcPr>
          <w:p>
            <w:pPr>
              <w:spacing w:after="0" w:line="106" w:lineRule="exact"/>
              <w:rPr>
                <w:sz w:val="20"/>
                <w:szCs w:val="20"/>
                <w:color w:val="auto"/>
              </w:rPr>
            </w:pPr>
            <w:r>
              <w:rPr>
                <w:rFonts w:ascii="Arial" w:cs="Arial" w:eastAsia="Arial" w:hAnsi="Arial"/>
                <w:sz w:val="10"/>
                <w:szCs w:val="10"/>
                <w:color w:val="auto"/>
              </w:rPr>
              <w:t>Downstream</w:t>
            </w: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right w:val="single" w:sz="8" w:color="0077C0"/>
            </w:tcBorders>
          </w:tcPr>
          <w:p>
            <w:pPr>
              <w:jc w:val="right"/>
              <w:ind w:right="110"/>
              <w:spacing w:after="0" w:line="106" w:lineRule="exact"/>
              <w:rPr>
                <w:sz w:val="20"/>
                <w:szCs w:val="20"/>
                <w:color w:val="auto"/>
              </w:rPr>
            </w:pPr>
            <w:r>
              <w:rPr>
                <w:rFonts w:ascii="Arial" w:cs="Arial" w:eastAsia="Arial" w:hAnsi="Arial"/>
                <w:sz w:val="10"/>
                <w:szCs w:val="10"/>
                <w:b w:val="1"/>
                <w:bCs w:val="1"/>
                <w:color w:val="auto"/>
              </w:rPr>
              <w:t>316</w:t>
            </w:r>
          </w:p>
        </w:tc>
        <w:tc>
          <w:tcPr>
            <w:tcW w:w="1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316</w:t>
            </w:r>
          </w:p>
        </w:tc>
      </w:tr>
      <w:tr>
        <w:trPr>
          <w:trHeight w:val="120"/>
        </w:trPr>
        <w:tc>
          <w:tcPr>
            <w:tcW w:w="2940" w:type="dxa"/>
            <w:vAlign w:val="bottom"/>
            <w:gridSpan w:val="2"/>
          </w:tcPr>
          <w:p>
            <w:pPr>
              <w:spacing w:after="0"/>
              <w:rPr>
                <w:sz w:val="20"/>
                <w:szCs w:val="20"/>
                <w:color w:val="auto"/>
              </w:rPr>
            </w:pPr>
            <w:r>
              <w:rPr>
                <w:rFonts w:ascii="Arial" w:cs="Arial" w:eastAsia="Arial" w:hAnsi="Arial"/>
                <w:sz w:val="10"/>
                <w:szCs w:val="10"/>
                <w:color w:val="auto"/>
              </w:rPr>
              <w:t>All Other</w:t>
            </w: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169</w:t>
            </w:r>
          </w:p>
        </w:tc>
      </w:tr>
      <w:tr>
        <w:trPr>
          <w:trHeight w:val="90"/>
        </w:trPr>
        <w:tc>
          <w:tcPr>
            <w:tcW w:w="20" w:type="dxa"/>
            <w:vAlign w:val="bottom"/>
          </w:tcPr>
          <w:p>
            <w:pPr>
              <w:spacing w:after="0"/>
              <w:rPr>
                <w:sz w:val="7"/>
                <w:szCs w:val="7"/>
                <w:color w:val="auto"/>
              </w:rPr>
            </w:pPr>
          </w:p>
        </w:tc>
        <w:tc>
          <w:tcPr>
            <w:tcW w:w="2920" w:type="dxa"/>
            <w:vAlign w:val="bottom"/>
            <w:tcBorders>
              <w:top w:val="single" w:sz="8" w:color="0077C0"/>
            </w:tcBorders>
          </w:tcPr>
          <w:p>
            <w:pPr>
              <w:ind w:left="120"/>
              <w:spacing w:after="0" w:line="91" w:lineRule="exact"/>
              <w:rPr>
                <w:sz w:val="20"/>
                <w:szCs w:val="20"/>
                <w:color w:val="auto"/>
              </w:rPr>
            </w:pPr>
            <w:r>
              <w:rPr>
                <w:rFonts w:ascii="Arial" w:cs="Arial" w:eastAsia="Arial" w:hAnsi="Arial"/>
                <w:sz w:val="10"/>
                <w:szCs w:val="10"/>
                <w:color w:val="auto"/>
              </w:rPr>
              <w:t>Total</w:t>
            </w:r>
          </w:p>
        </w:tc>
        <w:tc>
          <w:tcPr>
            <w:tcW w:w="160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00" w:type="dxa"/>
            <w:vAlign w:val="bottom"/>
            <w:tcBorders>
              <w:top w:val="single" w:sz="8" w:color="0077C0"/>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901</w:t>
            </w:r>
          </w:p>
        </w:tc>
        <w:tc>
          <w:tcPr>
            <w:tcW w:w="160" w:type="dxa"/>
            <w:vAlign w:val="bottom"/>
            <w:tcBorders>
              <w:top w:val="single" w:sz="8" w:color="0077C0"/>
            </w:tcBorders>
          </w:tcPr>
          <w:p>
            <w:pPr>
              <w:spacing w:after="0"/>
              <w:rPr>
                <w:sz w:val="7"/>
                <w:szCs w:val="7"/>
                <w:color w:val="auto"/>
              </w:rPr>
            </w:pPr>
          </w:p>
        </w:tc>
        <w:tc>
          <w:tcPr>
            <w:tcW w:w="2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w w:val="95"/>
              </w:rPr>
              <w:t>1,046</w:t>
            </w:r>
          </w:p>
        </w:tc>
      </w:tr>
      <w:tr>
        <w:trPr>
          <w:trHeight w:val="120"/>
        </w:trPr>
        <w:tc>
          <w:tcPr>
            <w:tcW w:w="29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Less: Accumulated amortization</w:t>
            </w:r>
          </w:p>
        </w:tc>
        <w:tc>
          <w:tcPr>
            <w:tcW w:w="160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568</w:t>
            </w:r>
          </w:p>
        </w:tc>
        <w:tc>
          <w:tcPr>
            <w:tcW w:w="1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573</w:t>
            </w:r>
          </w:p>
        </w:tc>
      </w:tr>
      <w:tr>
        <w:trPr>
          <w:trHeight w:val="123"/>
        </w:trPr>
        <w:tc>
          <w:tcPr>
            <w:tcW w:w="29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Net capitalized leased assets</w:t>
            </w:r>
          </w:p>
        </w:tc>
        <w:tc>
          <w:tcPr>
            <w:tcW w:w="170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333</w:t>
            </w:r>
          </w:p>
        </w:tc>
        <w:tc>
          <w:tcPr>
            <w:tcW w:w="160" w:type="dxa"/>
            <w:vAlign w:val="bottom"/>
            <w:tcBorders>
              <w:bottom w:val="single" w:sz="8" w:color="0077C0"/>
            </w:tcBorders>
          </w:tcPr>
          <w:p>
            <w:pPr>
              <w:jc w:val="center"/>
              <w:ind w:left="29"/>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473</w:t>
            </w:r>
          </w:p>
        </w:tc>
      </w:tr>
    </w:tbl>
    <w:p>
      <w:pPr>
        <w:spacing w:after="0" w:line="6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Rental expenses incurred for operating leases during 2011, 2010 and 2009 were as follows:</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spacing w:after="0"/>
              <w:rPr>
                <w:sz w:val="9"/>
                <w:szCs w:val="9"/>
                <w:color w:val="auto"/>
              </w:rPr>
            </w:pPr>
          </w:p>
        </w:tc>
        <w:tc>
          <w:tcPr>
            <w:tcW w:w="1000" w:type="dxa"/>
            <w:vAlign w:val="bottom"/>
            <w:tcBorders>
              <w:bottom w:val="single" w:sz="8" w:color="0077C0"/>
            </w:tcBorders>
            <w:gridSpan w:val="4"/>
          </w:tcPr>
          <w:p>
            <w:pPr>
              <w:ind w:left="100"/>
              <w:spacing w:after="0"/>
              <w:rPr>
                <w:sz w:val="20"/>
                <w:szCs w:val="20"/>
                <w:color w:val="auto"/>
              </w:rPr>
            </w:pPr>
            <w:r>
              <w:rPr>
                <w:rFonts w:ascii="Arial" w:cs="Arial" w:eastAsia="Arial" w:hAnsi="Arial"/>
                <w:sz w:val="9"/>
                <w:szCs w:val="9"/>
                <w:color w:val="auto"/>
                <w:w w:val="85"/>
              </w:rPr>
              <w:t>Year ended December 31</w:t>
            </w:r>
          </w:p>
        </w:tc>
      </w:tr>
      <w:tr>
        <w:trPr>
          <w:trHeight w:val="86"/>
        </w:trPr>
        <w:tc>
          <w:tcPr>
            <w:tcW w:w="20" w:type="dxa"/>
            <w:vAlign w:val="bottom"/>
          </w:tcPr>
          <w:p>
            <w:pPr>
              <w:spacing w:after="0"/>
              <w:rPr>
                <w:sz w:val="7"/>
                <w:szCs w:val="7"/>
                <w:color w:val="auto"/>
              </w:rPr>
            </w:pPr>
          </w:p>
        </w:tc>
        <w:tc>
          <w:tcPr>
            <w:tcW w:w="2520" w:type="dxa"/>
            <w:vAlign w:val="bottom"/>
            <w:tcBorders>
              <w:bottom w:val="single" w:sz="8" w:color="0077C0"/>
            </w:tcBorders>
          </w:tcPr>
          <w:p>
            <w:pPr>
              <w:spacing w:after="0"/>
              <w:rPr>
                <w:sz w:val="7"/>
                <w:szCs w:val="7"/>
                <w:color w:val="auto"/>
              </w:rPr>
            </w:pPr>
          </w:p>
        </w:tc>
        <w:tc>
          <w:tcPr>
            <w:tcW w:w="1320" w:type="dxa"/>
            <w:vAlign w:val="bottom"/>
            <w:tcBorders>
              <w:bottom w:val="single" w:sz="8" w:color="0077C0"/>
            </w:tcBorders>
          </w:tcPr>
          <w:p>
            <w:pPr>
              <w:spacing w:after="0"/>
              <w:rPr>
                <w:sz w:val="7"/>
                <w:szCs w:val="7"/>
                <w:color w:val="auto"/>
              </w:rPr>
            </w:pPr>
          </w:p>
        </w:tc>
        <w:tc>
          <w:tcPr>
            <w:tcW w:w="120" w:type="dxa"/>
            <w:vAlign w:val="bottom"/>
            <w:tcBorders>
              <w:bottom w:val="single" w:sz="8" w:color="0077C0"/>
            </w:tcBorders>
          </w:tcPr>
          <w:p>
            <w:pPr>
              <w:spacing w:after="0"/>
              <w:rPr>
                <w:sz w:val="7"/>
                <w:szCs w:val="7"/>
                <w:color w:val="auto"/>
              </w:rPr>
            </w:pPr>
          </w:p>
        </w:tc>
        <w:tc>
          <w:tcPr>
            <w:tcW w:w="420" w:type="dxa"/>
            <w:vAlign w:val="bottom"/>
            <w:tcBorders>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0077C0"/>
            </w:tcBorders>
          </w:tcPr>
          <w:p>
            <w:pPr>
              <w:spacing w:after="0"/>
              <w:rPr>
                <w:sz w:val="7"/>
                <w:szCs w:val="7"/>
                <w:color w:val="auto"/>
              </w:rPr>
            </w:pPr>
          </w:p>
        </w:tc>
        <w:tc>
          <w:tcPr>
            <w:tcW w:w="380" w:type="dxa"/>
            <w:vAlign w:val="bottom"/>
            <w:tcBorders>
              <w:bottom w:val="single" w:sz="8" w:color="0077C0"/>
            </w:tcBorders>
          </w:tcPr>
          <w:p>
            <w:pPr>
              <w:jc w:val="right"/>
              <w:ind w:right="70"/>
              <w:spacing w:after="0" w:line="86" w:lineRule="exact"/>
              <w:rPr>
                <w:sz w:val="20"/>
                <w:szCs w:val="20"/>
                <w:color w:val="auto"/>
              </w:rPr>
            </w:pPr>
            <w:r>
              <w:rPr>
                <w:rFonts w:ascii="Arial" w:cs="Arial" w:eastAsia="Arial" w:hAnsi="Arial"/>
                <w:sz w:val="9"/>
                <w:szCs w:val="9"/>
                <w:color w:val="auto"/>
              </w:rPr>
              <w:t>2010*</w:t>
            </w:r>
          </w:p>
        </w:tc>
        <w:tc>
          <w:tcPr>
            <w:tcW w:w="220" w:type="dxa"/>
            <w:vAlign w:val="bottom"/>
            <w:tcBorders>
              <w:bottom w:val="single" w:sz="8" w:color="0077C0"/>
            </w:tcBorders>
          </w:tcPr>
          <w:p>
            <w:pPr>
              <w:spacing w:after="0"/>
              <w:rPr>
                <w:sz w:val="7"/>
                <w:szCs w:val="7"/>
                <w:color w:val="auto"/>
              </w:rPr>
            </w:pPr>
          </w:p>
        </w:tc>
        <w:tc>
          <w:tcPr>
            <w:tcW w:w="24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w w:val="93"/>
              </w:rPr>
              <w:t>2009*</w:t>
            </w: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color w:val="auto"/>
              </w:rPr>
              <w:t>Minimum rentals</w:t>
            </w:r>
          </w:p>
        </w:tc>
        <w:tc>
          <w:tcPr>
            <w:tcW w:w="1440" w:type="dxa"/>
            <w:vAlign w:val="bottom"/>
            <w:gridSpan w:val="2"/>
          </w:tcPr>
          <w:p>
            <w:pPr>
              <w:jc w:val="right"/>
              <w:ind w:right="60"/>
              <w:spacing w:after="0" w:line="91" w:lineRule="exact"/>
              <w:rPr>
                <w:sz w:val="20"/>
                <w:szCs w:val="20"/>
                <w:color w:val="auto"/>
              </w:rPr>
            </w:pPr>
            <w:r>
              <w:rPr>
                <w:rFonts w:ascii="Arial" w:cs="Arial" w:eastAsia="Arial" w:hAnsi="Arial"/>
                <w:sz w:val="10"/>
                <w:szCs w:val="10"/>
                <w:b w:val="1"/>
                <w:bCs w:val="1"/>
                <w:color w:val="auto"/>
              </w:rPr>
              <w:t>$</w:t>
            </w:r>
          </w:p>
        </w:tc>
        <w:tc>
          <w:tcPr>
            <w:tcW w:w="42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892</w:t>
            </w:r>
          </w:p>
        </w:tc>
        <w:tc>
          <w:tcPr>
            <w:tcW w:w="160" w:type="dxa"/>
            <w:vAlign w:val="bottom"/>
          </w:tcPr>
          <w:p>
            <w:pPr>
              <w:ind w:left="100"/>
              <w:spacing w:after="0" w:line="91" w:lineRule="exact"/>
              <w:rPr>
                <w:sz w:val="20"/>
                <w:szCs w:val="20"/>
                <w:color w:val="auto"/>
              </w:rPr>
            </w:pPr>
            <w:r>
              <w:rPr>
                <w:rFonts w:ascii="Arial" w:cs="Arial" w:eastAsia="Arial" w:hAnsi="Arial"/>
                <w:sz w:val="10"/>
                <w:szCs w:val="10"/>
                <w:color w:val="auto"/>
                <w:w w:val="71"/>
              </w:rPr>
              <w:t>$</w:t>
            </w:r>
          </w:p>
        </w:tc>
        <w:tc>
          <w:tcPr>
            <w:tcW w:w="380" w:type="dxa"/>
            <w:vAlign w:val="bottom"/>
          </w:tcPr>
          <w:p>
            <w:pPr>
              <w:jc w:val="right"/>
              <w:ind w:right="70"/>
              <w:spacing w:after="0" w:line="91" w:lineRule="exact"/>
              <w:rPr>
                <w:sz w:val="20"/>
                <w:szCs w:val="20"/>
                <w:color w:val="auto"/>
              </w:rPr>
            </w:pPr>
            <w:r>
              <w:rPr>
                <w:rFonts w:ascii="Arial" w:cs="Arial" w:eastAsia="Arial" w:hAnsi="Arial"/>
                <w:sz w:val="10"/>
                <w:szCs w:val="10"/>
                <w:color w:val="auto"/>
              </w:rPr>
              <w:t>931</w:t>
            </w:r>
          </w:p>
        </w:tc>
        <w:tc>
          <w:tcPr>
            <w:tcW w:w="2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91" w:lineRule="exact"/>
              <w:rPr>
                <w:sz w:val="20"/>
                <w:szCs w:val="20"/>
                <w:color w:val="auto"/>
              </w:rPr>
            </w:pPr>
            <w:r>
              <w:rPr>
                <w:rFonts w:ascii="Arial" w:cs="Arial" w:eastAsia="Arial" w:hAnsi="Arial"/>
                <w:sz w:val="10"/>
                <w:szCs w:val="10"/>
                <w:color w:val="auto"/>
              </w:rPr>
              <w:t>933</w:t>
            </w:r>
          </w:p>
        </w:tc>
      </w:tr>
      <w:tr>
        <w:trPr>
          <w:trHeight w:val="120"/>
        </w:trPr>
        <w:tc>
          <w:tcPr>
            <w:tcW w:w="2540" w:type="dxa"/>
            <w:vAlign w:val="bottom"/>
            <w:gridSpan w:val="2"/>
          </w:tcPr>
          <w:p>
            <w:pPr>
              <w:spacing w:after="0"/>
              <w:rPr>
                <w:sz w:val="20"/>
                <w:szCs w:val="20"/>
                <w:color w:val="auto"/>
              </w:rPr>
            </w:pPr>
            <w:r>
              <w:rPr>
                <w:rFonts w:ascii="Arial" w:cs="Arial" w:eastAsia="Arial" w:hAnsi="Arial"/>
                <w:sz w:val="10"/>
                <w:szCs w:val="10"/>
                <w:color w:val="auto"/>
              </w:rPr>
              <w:t>Contingent rentals</w:t>
            </w: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11</w:t>
            </w:r>
          </w:p>
        </w:tc>
        <w:tc>
          <w:tcPr>
            <w:tcW w:w="160" w:type="dxa"/>
            <w:vAlign w:val="bottom"/>
          </w:tcPr>
          <w:p>
            <w:pPr>
              <w:spacing w:after="0"/>
              <w:rPr>
                <w:sz w:val="10"/>
                <w:szCs w:val="10"/>
                <w:color w:val="auto"/>
              </w:rPr>
            </w:pPr>
          </w:p>
        </w:tc>
        <w:tc>
          <w:tcPr>
            <w:tcW w:w="380" w:type="dxa"/>
            <w:vAlign w:val="bottom"/>
          </w:tcPr>
          <w:p>
            <w:pPr>
              <w:jc w:val="right"/>
              <w:ind w:right="70"/>
              <w:spacing w:after="0"/>
              <w:rPr>
                <w:sz w:val="20"/>
                <w:szCs w:val="20"/>
                <w:color w:val="auto"/>
              </w:rPr>
            </w:pPr>
            <w:r>
              <w:rPr>
                <w:rFonts w:ascii="Arial" w:cs="Arial" w:eastAsia="Arial" w:hAnsi="Arial"/>
                <w:sz w:val="10"/>
                <w:szCs w:val="10"/>
                <w:color w:val="auto"/>
              </w:rPr>
              <w:t>10</w:t>
            </w:r>
          </w:p>
        </w:tc>
        <w:tc>
          <w:tcPr>
            <w:tcW w:w="2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90"/>
        </w:trPr>
        <w:tc>
          <w:tcPr>
            <w:tcW w:w="20" w:type="dxa"/>
            <w:vAlign w:val="bottom"/>
          </w:tcPr>
          <w:p>
            <w:pPr>
              <w:spacing w:after="0"/>
              <w:rPr>
                <w:sz w:val="7"/>
                <w:szCs w:val="7"/>
                <w:color w:val="auto"/>
              </w:rPr>
            </w:pPr>
          </w:p>
        </w:tc>
        <w:tc>
          <w:tcPr>
            <w:tcW w:w="2520" w:type="dxa"/>
            <w:vAlign w:val="bottom"/>
            <w:tcBorders>
              <w:top w:val="single" w:sz="8" w:color="0077C0"/>
            </w:tcBorders>
          </w:tcPr>
          <w:p>
            <w:pPr>
              <w:ind w:left="120"/>
              <w:spacing w:after="0" w:line="91" w:lineRule="exact"/>
              <w:rPr>
                <w:sz w:val="20"/>
                <w:szCs w:val="20"/>
                <w:color w:val="auto"/>
              </w:rPr>
            </w:pPr>
            <w:r>
              <w:rPr>
                <w:rFonts w:ascii="Arial" w:cs="Arial" w:eastAsia="Arial" w:hAnsi="Arial"/>
                <w:sz w:val="10"/>
                <w:szCs w:val="10"/>
                <w:color w:val="auto"/>
              </w:rPr>
              <w:t>Total</w:t>
            </w:r>
          </w:p>
        </w:tc>
        <w:tc>
          <w:tcPr>
            <w:tcW w:w="1320" w:type="dxa"/>
            <w:vAlign w:val="bottom"/>
            <w:tcBorders>
              <w:top w:val="single" w:sz="8" w:color="0077C0"/>
            </w:tcBorders>
          </w:tcPr>
          <w:p>
            <w:pPr>
              <w:spacing w:after="0"/>
              <w:rPr>
                <w:sz w:val="7"/>
                <w:szCs w:val="7"/>
                <w:color w:val="auto"/>
              </w:rPr>
            </w:pPr>
          </w:p>
        </w:tc>
        <w:tc>
          <w:tcPr>
            <w:tcW w:w="120" w:type="dxa"/>
            <w:vAlign w:val="bottom"/>
            <w:tcBorders>
              <w:top w:val="single" w:sz="8" w:color="0077C0"/>
            </w:tcBorders>
          </w:tcPr>
          <w:p>
            <w:pPr>
              <w:spacing w:after="0"/>
              <w:rPr>
                <w:sz w:val="7"/>
                <w:szCs w:val="7"/>
                <w:color w:val="auto"/>
              </w:rPr>
            </w:pPr>
          </w:p>
        </w:tc>
        <w:tc>
          <w:tcPr>
            <w:tcW w:w="420" w:type="dxa"/>
            <w:vAlign w:val="bottom"/>
            <w:tcBorders>
              <w:top w:val="single" w:sz="8" w:color="0077C0"/>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903</w:t>
            </w:r>
          </w:p>
        </w:tc>
        <w:tc>
          <w:tcPr>
            <w:tcW w:w="16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jc w:val="right"/>
              <w:ind w:right="70"/>
              <w:spacing w:after="0" w:line="91" w:lineRule="exact"/>
              <w:rPr>
                <w:sz w:val="20"/>
                <w:szCs w:val="20"/>
                <w:color w:val="auto"/>
              </w:rPr>
            </w:pPr>
            <w:r>
              <w:rPr>
                <w:rFonts w:ascii="Arial" w:cs="Arial" w:eastAsia="Arial" w:hAnsi="Arial"/>
                <w:sz w:val="10"/>
                <w:szCs w:val="10"/>
                <w:color w:val="auto"/>
              </w:rPr>
              <w:t>941</w:t>
            </w:r>
          </w:p>
        </w:tc>
        <w:tc>
          <w:tcPr>
            <w:tcW w:w="22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940</w:t>
            </w:r>
          </w:p>
        </w:tc>
      </w:tr>
      <w:tr>
        <w:trPr>
          <w:trHeight w:val="120"/>
        </w:trPr>
        <w:tc>
          <w:tcPr>
            <w:tcW w:w="25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Less: Sublease rental income</w:t>
            </w:r>
          </w:p>
        </w:tc>
        <w:tc>
          <w:tcPr>
            <w:tcW w:w="1320" w:type="dxa"/>
            <w:vAlign w:val="bottom"/>
            <w:tcBorders>
              <w:bottom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39</w:t>
            </w:r>
          </w:p>
        </w:tc>
        <w:tc>
          <w:tcPr>
            <w:tcW w:w="1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ind w:right="70"/>
              <w:spacing w:after="0"/>
              <w:rPr>
                <w:sz w:val="20"/>
                <w:szCs w:val="20"/>
                <w:color w:val="auto"/>
              </w:rPr>
            </w:pPr>
            <w:r>
              <w:rPr>
                <w:rFonts w:ascii="Arial" w:cs="Arial" w:eastAsia="Arial" w:hAnsi="Arial"/>
                <w:sz w:val="10"/>
                <w:szCs w:val="10"/>
                <w:color w:val="auto"/>
              </w:rPr>
              <w:t>41</w:t>
            </w:r>
          </w:p>
        </w:tc>
        <w:tc>
          <w:tcPr>
            <w:tcW w:w="22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41</w:t>
            </w:r>
          </w:p>
        </w:tc>
      </w:tr>
      <w:tr>
        <w:trPr>
          <w:trHeight w:val="123"/>
        </w:trPr>
        <w:tc>
          <w:tcPr>
            <w:tcW w:w="25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Net rental expense</w:t>
            </w:r>
          </w:p>
        </w:tc>
        <w:tc>
          <w:tcPr>
            <w:tcW w:w="144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864</w:t>
            </w:r>
          </w:p>
        </w:tc>
        <w:tc>
          <w:tcPr>
            <w:tcW w:w="160" w:type="dxa"/>
            <w:vAlign w:val="bottom"/>
            <w:tcBorders>
              <w:bottom w:val="single" w:sz="8" w:color="0077C0"/>
            </w:tcBorders>
          </w:tcPr>
          <w:p>
            <w:pPr>
              <w:ind w:left="10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0077C0"/>
            </w:tcBorders>
          </w:tcPr>
          <w:p>
            <w:pPr>
              <w:jc w:val="right"/>
              <w:ind w:right="70"/>
              <w:spacing w:after="0"/>
              <w:rPr>
                <w:sz w:val="20"/>
                <w:szCs w:val="20"/>
                <w:color w:val="auto"/>
              </w:rPr>
            </w:pPr>
            <w:r>
              <w:rPr>
                <w:rFonts w:ascii="Arial" w:cs="Arial" w:eastAsia="Arial" w:hAnsi="Arial"/>
                <w:sz w:val="10"/>
                <w:szCs w:val="10"/>
                <w:color w:val="auto"/>
              </w:rPr>
              <w:t>900</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899</w:t>
            </w:r>
          </w:p>
        </w:tc>
      </w:tr>
    </w:tbl>
    <w:p>
      <w:pPr>
        <w:spacing w:after="0" w:line="27" w:lineRule="exact"/>
        <w:rPr>
          <w:sz w:val="20"/>
          <w:szCs w:val="20"/>
          <w:color w:val="auto"/>
        </w:rPr>
      </w:pPr>
    </w:p>
    <w:p>
      <w:pPr>
        <w:ind w:left="360"/>
        <w:spacing w:after="0"/>
        <w:tabs>
          <w:tab w:leader="none" w:pos="460" w:val="left"/>
        </w:tabs>
        <w:rPr>
          <w:sz w:val="20"/>
          <w:szCs w:val="20"/>
          <w:color w:val="auto"/>
        </w:rPr>
      </w:pPr>
      <w:r>
        <w:rPr>
          <w:rFonts w:ascii="Arial" w:cs="Arial" w:eastAsia="Arial" w:hAnsi="Arial"/>
          <w:sz w:val="9"/>
          <w:szCs w:val="9"/>
          <w:color w:val="auto"/>
        </w:rPr>
        <w:t>*</w:t>
      </w:r>
      <w:r>
        <w:rPr>
          <w:sz w:val="20"/>
          <w:szCs w:val="20"/>
          <w:color w:val="auto"/>
        </w:rPr>
        <w:tab/>
      </w:r>
      <w:r>
        <w:rPr>
          <w:rFonts w:ascii="Arial" w:cs="Arial" w:eastAsia="Arial" w:hAnsi="Arial"/>
          <w:sz w:val="8"/>
          <w:szCs w:val="8"/>
          <w:color w:val="auto"/>
        </w:rPr>
        <w:t>Prior years have been adjusted to exclude cost of certain charters from rental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auto"/>
        </w:rPr>
        <w:t>FS-33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20"/>
            <w:col w:w="5820"/>
          </w:cols>
          <w:pgMar w:left="220" w:top="339" w:right="259" w:bottom="1440" w:gutter="0" w:footer="0" w:header="0"/>
          <w:type w:val="continuous"/>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740"/>
        <w:spacing w:after="0"/>
        <w:rPr>
          <w:sz w:val="20"/>
          <w:szCs w:val="20"/>
          <w:color w:val="auto"/>
        </w:rPr>
      </w:pPr>
      <w:r>
        <w:rPr>
          <w:rFonts w:ascii="Arial" w:cs="Arial" w:eastAsia="Arial" w:hAnsi="Arial"/>
          <w:sz w:val="10"/>
          <w:szCs w:val="10"/>
          <w:color w:val="0077C0"/>
        </w:rPr>
        <w:t>Notes to the Consolidated Financial Statements</w:t>
      </w:r>
    </w:p>
    <w:p>
      <w:pPr>
        <w:jc w:val="right"/>
        <w:ind w:right="574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8 </w:t>
      </w:r>
      <w:r>
        <w:rPr>
          <w:rFonts w:ascii="Arial" w:cs="Arial" w:eastAsia="Arial" w:hAnsi="Arial"/>
          <w:sz w:val="8"/>
          <w:szCs w:val="8"/>
          <w:color w:val="000000"/>
        </w:rPr>
        <w:t>Lease Commitments - Continued</w:t>
      </w:r>
    </w:p>
    <w:p>
      <w:pPr>
        <w:sectPr>
          <w:pgSz w:w="11900" w:h="16838" w:orient="portrait"/>
          <w:cols w:equalWidth="0" w:num="1">
            <w:col w:w="11480"/>
          </w:cols>
          <w:pgMar w:left="220" w:top="339" w:right="199" w:bottom="1440" w:gutter="0" w:footer="0" w:header="0"/>
        </w:sectPr>
      </w:pPr>
    </w:p>
    <w:p>
      <w:pPr>
        <w:spacing w:after="0" w:line="327" w:lineRule="exact"/>
        <w:rPr>
          <w:sz w:val="20"/>
          <w:szCs w:val="20"/>
          <w:color w:val="auto"/>
        </w:rPr>
      </w:pPr>
    </w:p>
    <w:p>
      <w:pPr>
        <w:ind w:firstLine="160"/>
        <w:spacing w:after="0" w:line="249" w:lineRule="auto"/>
        <w:rPr>
          <w:sz w:val="20"/>
          <w:szCs w:val="20"/>
          <w:color w:val="auto"/>
        </w:rPr>
      </w:pPr>
      <w:r>
        <w:rPr>
          <w:rFonts w:ascii="Arial" w:cs="Arial" w:eastAsia="Arial" w:hAnsi="Arial"/>
          <w:sz w:val="13"/>
          <w:szCs w:val="13"/>
          <w:color w:val="auto"/>
        </w:rPr>
        <w:t>Contingent rentals are based on factors other than the passage of time, principally sales volumes at leased service stations. Certain leases include escalation clauses for adjusting rentals to reflect changes in price indices, renewal options ranging up to 25 years, and options to purchase the leased property during or at the end of the initial or renewal lease period for the fair market value or other specified amount at that time.</w:t>
      </w:r>
    </w:p>
    <w:p>
      <w:pPr>
        <w:spacing w:after="0" w:line="2" w:lineRule="exact"/>
        <w:rPr>
          <w:sz w:val="20"/>
          <w:szCs w:val="20"/>
          <w:color w:val="auto"/>
        </w:rPr>
      </w:pPr>
    </w:p>
    <w:p>
      <w:pPr>
        <w:ind w:right="100" w:firstLine="153"/>
        <w:spacing w:after="0" w:line="250" w:lineRule="auto"/>
        <w:rPr>
          <w:sz w:val="20"/>
          <w:szCs w:val="20"/>
          <w:color w:val="auto"/>
        </w:rPr>
      </w:pPr>
      <w:r>
        <w:rPr>
          <w:rFonts w:ascii="Arial" w:cs="Arial" w:eastAsia="Arial" w:hAnsi="Arial"/>
          <w:sz w:val="13"/>
          <w:szCs w:val="13"/>
          <w:color w:val="auto"/>
        </w:rPr>
        <w:t>At December 31, 2011, the estimated future minimum lease payments (net of noncancelable sublease rentals) under operating and capital leases, which at inception had a noncancelable term of more than one year,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9"/>
                <w:szCs w:val="9"/>
                <w:color w:val="auto"/>
              </w:rPr>
              <w:t>At December 31</w:t>
            </w:r>
          </w:p>
        </w:tc>
      </w:tr>
      <w:tr>
        <w:trPr>
          <w:trHeight w:val="75"/>
        </w:trPr>
        <w:tc>
          <w:tcPr>
            <w:tcW w:w="4520" w:type="dxa"/>
            <w:vAlign w:val="bottom"/>
          </w:tcPr>
          <w:p>
            <w:pPr>
              <w:spacing w:after="0"/>
              <w:rPr>
                <w:sz w:val="6"/>
                <w:szCs w:val="6"/>
                <w:color w:val="auto"/>
              </w:rPr>
            </w:pPr>
          </w:p>
        </w:tc>
        <w:tc>
          <w:tcPr>
            <w:tcW w:w="520" w:type="dxa"/>
            <w:vAlign w:val="bottom"/>
            <w:tcBorders>
              <w:top w:val="single" w:sz="8" w:color="0077C0"/>
            </w:tcBorders>
            <w:gridSpan w:val="2"/>
          </w:tcPr>
          <w:p>
            <w:pPr>
              <w:jc w:val="right"/>
              <w:ind w:right="110"/>
              <w:spacing w:after="0" w:line="75" w:lineRule="exact"/>
              <w:rPr>
                <w:sz w:val="20"/>
                <w:szCs w:val="20"/>
                <w:color w:val="auto"/>
              </w:rPr>
            </w:pPr>
            <w:r>
              <w:rPr>
                <w:rFonts w:ascii="Arial" w:cs="Arial" w:eastAsia="Arial" w:hAnsi="Arial"/>
                <w:sz w:val="8"/>
                <w:szCs w:val="8"/>
                <w:color w:val="auto"/>
                <w:w w:val="96"/>
              </w:rPr>
              <w:t>Operating</w:t>
            </w:r>
          </w:p>
        </w:tc>
        <w:tc>
          <w:tcPr>
            <w:tcW w:w="140" w:type="dxa"/>
            <w:vAlign w:val="bottom"/>
            <w:tcBorders>
              <w:top w:val="single" w:sz="8" w:color="0077C0"/>
            </w:tcBorders>
          </w:tcPr>
          <w:p>
            <w:pPr>
              <w:spacing w:after="0"/>
              <w:rPr>
                <w:sz w:val="6"/>
                <w:szCs w:val="6"/>
                <w:color w:val="auto"/>
              </w:rPr>
            </w:pPr>
          </w:p>
        </w:tc>
        <w:tc>
          <w:tcPr>
            <w:tcW w:w="280" w:type="dxa"/>
            <w:vAlign w:val="bottom"/>
            <w:tcBorders>
              <w:top w:val="single" w:sz="8" w:color="0077C0"/>
            </w:tcBorders>
          </w:tcPr>
          <w:p>
            <w:pPr>
              <w:jc w:val="right"/>
              <w:spacing w:after="0" w:line="75" w:lineRule="exact"/>
              <w:rPr>
                <w:sz w:val="20"/>
                <w:szCs w:val="20"/>
                <w:color w:val="auto"/>
              </w:rPr>
            </w:pPr>
            <w:r>
              <w:rPr>
                <w:rFonts w:ascii="Arial" w:cs="Arial" w:eastAsia="Arial" w:hAnsi="Arial"/>
                <w:sz w:val="8"/>
                <w:szCs w:val="8"/>
                <w:color w:val="auto"/>
              </w:rPr>
              <w:t>Capital</w:t>
            </w:r>
          </w:p>
        </w:tc>
        <w:tc>
          <w:tcPr>
            <w:tcW w:w="20" w:type="dxa"/>
            <w:vAlign w:val="bottom"/>
          </w:tcPr>
          <w:p>
            <w:pPr>
              <w:spacing w:after="0"/>
              <w:rPr>
                <w:sz w:val="6"/>
                <w:szCs w:val="6"/>
                <w:color w:val="auto"/>
              </w:rPr>
            </w:pPr>
          </w:p>
        </w:tc>
      </w:tr>
      <w:tr>
        <w:trPr>
          <w:trHeight w:val="107"/>
        </w:trPr>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30"/>
              <w:spacing w:after="0"/>
              <w:rPr>
                <w:sz w:val="20"/>
                <w:szCs w:val="20"/>
                <w:color w:val="auto"/>
              </w:rPr>
            </w:pPr>
            <w:r>
              <w:rPr>
                <w:rFonts w:ascii="Arial" w:cs="Arial" w:eastAsia="Arial" w:hAnsi="Arial"/>
                <w:sz w:val="9"/>
                <w:szCs w:val="9"/>
                <w:color w:val="auto"/>
                <w:w w:val="82"/>
              </w:rPr>
              <w:t>Leases</w:t>
            </w:r>
          </w:p>
        </w:tc>
        <w:tc>
          <w:tcPr>
            <w:tcW w:w="140" w:type="dxa"/>
            <w:vAlign w:val="bottom"/>
          </w:tcPr>
          <w:p>
            <w:pPr>
              <w:spacing w:after="0"/>
              <w:rPr>
                <w:sz w:val="9"/>
                <w:szCs w:val="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9"/>
                <w:szCs w:val="9"/>
                <w:color w:val="auto"/>
                <w:w w:val="89"/>
              </w:rPr>
              <w:t>Leases</w:t>
            </w:r>
          </w:p>
        </w:tc>
      </w:tr>
      <w:tr>
        <w:trPr>
          <w:trHeight w:val="92"/>
        </w:trPr>
        <w:tc>
          <w:tcPr>
            <w:tcW w:w="45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Year: 2012</w:t>
            </w:r>
          </w:p>
        </w:tc>
        <w:tc>
          <w:tcPr>
            <w:tcW w:w="80" w:type="dxa"/>
            <w:vAlign w:val="bottom"/>
            <w:tcBorders>
              <w:top w:val="single" w:sz="8" w:color="0077C0"/>
            </w:tcBorders>
          </w:tcPr>
          <w:p>
            <w:pPr>
              <w:spacing w:after="0"/>
              <w:rPr>
                <w:sz w:val="8"/>
                <w:szCs w:val="8"/>
                <w:color w:val="auto"/>
              </w:rPr>
            </w:pPr>
          </w:p>
        </w:tc>
        <w:tc>
          <w:tcPr>
            <w:tcW w:w="440" w:type="dxa"/>
            <w:vAlign w:val="bottom"/>
            <w:tcBorders>
              <w:top w:val="single" w:sz="8" w:color="0077C0"/>
              <w:right w:val="single" w:sz="8" w:color="0077C0"/>
            </w:tcBorders>
          </w:tcPr>
          <w:p>
            <w:pPr>
              <w:jc w:val="right"/>
              <w:ind w:right="130"/>
              <w:spacing w:after="0" w:line="92" w:lineRule="exact"/>
              <w:rPr>
                <w:sz w:val="20"/>
                <w:szCs w:val="20"/>
                <w:color w:val="auto"/>
              </w:rPr>
            </w:pPr>
            <w:r>
              <w:rPr>
                <w:rFonts w:ascii="Arial" w:cs="Arial" w:eastAsia="Arial" w:hAnsi="Arial"/>
                <w:sz w:val="10"/>
                <w:szCs w:val="10"/>
                <w:color w:val="auto"/>
              </w:rPr>
              <w:t>693</w:t>
            </w:r>
          </w:p>
        </w:tc>
        <w:tc>
          <w:tcPr>
            <w:tcW w:w="1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70</w:t>
            </w:r>
          </w:p>
        </w:tc>
        <w:tc>
          <w:tcPr>
            <w:tcW w:w="20" w:type="dxa"/>
            <w:vAlign w:val="bottom"/>
          </w:tcPr>
          <w:p>
            <w:pPr>
              <w:spacing w:after="0"/>
              <w:rPr>
                <w:sz w:val="8"/>
                <w:szCs w:val="8"/>
                <w:color w:val="auto"/>
              </w:rPr>
            </w:pPr>
          </w:p>
        </w:tc>
      </w:tr>
      <w:tr>
        <w:trPr>
          <w:trHeight w:val="106"/>
        </w:trPr>
        <w:tc>
          <w:tcPr>
            <w:tcW w:w="4520" w:type="dxa"/>
            <w:vAlign w:val="bottom"/>
          </w:tcPr>
          <w:p>
            <w:pPr>
              <w:ind w:left="260"/>
              <w:spacing w:after="0" w:line="106" w:lineRule="exact"/>
              <w:rPr>
                <w:sz w:val="20"/>
                <w:szCs w:val="20"/>
                <w:color w:val="auto"/>
              </w:rPr>
            </w:pPr>
            <w:r>
              <w:rPr>
                <w:rFonts w:ascii="Arial" w:cs="Arial" w:eastAsia="Arial" w:hAnsi="Arial"/>
                <w:sz w:val="10"/>
                <w:szCs w:val="10"/>
                <w:color w:val="auto"/>
              </w:rPr>
              <w:t>2013</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632</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47</w:t>
            </w:r>
          </w:p>
        </w:tc>
        <w:tc>
          <w:tcPr>
            <w:tcW w:w="20" w:type="dxa"/>
            <w:vAlign w:val="bottom"/>
          </w:tcPr>
          <w:p>
            <w:pPr>
              <w:spacing w:after="0"/>
              <w:rPr>
                <w:sz w:val="9"/>
                <w:szCs w:val="9"/>
                <w:color w:val="auto"/>
              </w:rPr>
            </w:pPr>
          </w:p>
        </w:tc>
      </w:tr>
      <w:tr>
        <w:trPr>
          <w:trHeight w:val="106"/>
        </w:trPr>
        <w:tc>
          <w:tcPr>
            <w:tcW w:w="4520" w:type="dxa"/>
            <w:vAlign w:val="bottom"/>
          </w:tcPr>
          <w:p>
            <w:pPr>
              <w:ind w:left="260"/>
              <w:spacing w:after="0" w:line="106" w:lineRule="exact"/>
              <w:rPr>
                <w:sz w:val="20"/>
                <w:szCs w:val="20"/>
                <w:color w:val="auto"/>
              </w:rPr>
            </w:pPr>
            <w:r>
              <w:rPr>
                <w:rFonts w:ascii="Arial" w:cs="Arial" w:eastAsia="Arial" w:hAnsi="Arial"/>
                <w:sz w:val="10"/>
                <w:szCs w:val="10"/>
                <w:color w:val="auto"/>
              </w:rPr>
              <w:t>2014</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523</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9"/>
                <w:szCs w:val="9"/>
                <w:color w:val="auto"/>
              </w:rPr>
            </w:pPr>
          </w:p>
        </w:tc>
      </w:tr>
      <w:tr>
        <w:trPr>
          <w:trHeight w:val="106"/>
        </w:trPr>
        <w:tc>
          <w:tcPr>
            <w:tcW w:w="4520" w:type="dxa"/>
            <w:vAlign w:val="bottom"/>
          </w:tcPr>
          <w:p>
            <w:pPr>
              <w:ind w:left="260"/>
              <w:spacing w:after="0" w:line="106" w:lineRule="exact"/>
              <w:rPr>
                <w:sz w:val="20"/>
                <w:szCs w:val="20"/>
                <w:color w:val="auto"/>
              </w:rPr>
            </w:pPr>
            <w:r>
              <w:rPr>
                <w:rFonts w:ascii="Arial" w:cs="Arial" w:eastAsia="Arial" w:hAnsi="Arial"/>
                <w:sz w:val="10"/>
                <w:szCs w:val="10"/>
                <w:color w:val="auto"/>
              </w:rPr>
              <w:t>2015</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475</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21</w:t>
            </w:r>
          </w:p>
        </w:tc>
        <w:tc>
          <w:tcPr>
            <w:tcW w:w="20" w:type="dxa"/>
            <w:vAlign w:val="bottom"/>
          </w:tcPr>
          <w:p>
            <w:pPr>
              <w:spacing w:after="0"/>
              <w:rPr>
                <w:sz w:val="9"/>
                <w:szCs w:val="9"/>
                <w:color w:val="auto"/>
              </w:rPr>
            </w:pPr>
          </w:p>
        </w:tc>
      </w:tr>
      <w:tr>
        <w:trPr>
          <w:trHeight w:val="106"/>
        </w:trPr>
        <w:tc>
          <w:tcPr>
            <w:tcW w:w="4520" w:type="dxa"/>
            <w:vAlign w:val="bottom"/>
          </w:tcPr>
          <w:p>
            <w:pPr>
              <w:ind w:left="260"/>
              <w:spacing w:after="0" w:line="106" w:lineRule="exact"/>
              <w:rPr>
                <w:sz w:val="20"/>
                <w:szCs w:val="20"/>
                <w:color w:val="auto"/>
              </w:rPr>
            </w:pPr>
            <w:r>
              <w:rPr>
                <w:rFonts w:ascii="Arial" w:cs="Arial" w:eastAsia="Arial" w:hAnsi="Arial"/>
                <w:sz w:val="10"/>
                <w:szCs w:val="10"/>
                <w:color w:val="auto"/>
              </w:rPr>
              <w:t>2016</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color w:val="auto"/>
              </w:rPr>
              <w:t>393</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13</w:t>
            </w:r>
          </w:p>
        </w:tc>
        <w:tc>
          <w:tcPr>
            <w:tcW w:w="20" w:type="dxa"/>
            <w:vAlign w:val="bottom"/>
          </w:tcPr>
          <w:p>
            <w:pPr>
              <w:spacing w:after="0"/>
              <w:rPr>
                <w:sz w:val="9"/>
                <w:szCs w:val="9"/>
                <w:color w:val="auto"/>
              </w:rPr>
            </w:pPr>
          </w:p>
        </w:tc>
      </w:tr>
      <w:tr>
        <w:trPr>
          <w:trHeight w:val="118"/>
        </w:trPr>
        <w:tc>
          <w:tcPr>
            <w:tcW w:w="45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Thereafter</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color w:val="auto"/>
              </w:rPr>
              <w:t>793</w:t>
            </w:r>
          </w:p>
        </w:tc>
        <w:tc>
          <w:tcPr>
            <w:tcW w:w="1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68</w:t>
            </w:r>
          </w:p>
        </w:tc>
        <w:tc>
          <w:tcPr>
            <w:tcW w:w="20" w:type="dxa"/>
            <w:vAlign w:val="bottom"/>
          </w:tcPr>
          <w:p>
            <w:pPr>
              <w:spacing w:after="0"/>
              <w:rPr>
                <w:sz w:val="10"/>
                <w:szCs w:val="10"/>
                <w:color w:val="auto"/>
              </w:rPr>
            </w:pPr>
          </w:p>
        </w:tc>
      </w:tr>
      <w:tr>
        <w:trPr>
          <w:trHeight w:val="114"/>
        </w:trPr>
        <w:tc>
          <w:tcPr>
            <w:tcW w:w="45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0077C0"/>
            </w:tcBorders>
          </w:tcPr>
          <w:p>
            <w:pPr>
              <w:jc w:val="right"/>
              <w:ind w:right="8"/>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0077C0"/>
              <w:right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w w:val="95"/>
              </w:rPr>
              <w:t>3,509</w:t>
            </w:r>
          </w:p>
        </w:tc>
        <w:tc>
          <w:tcPr>
            <w:tcW w:w="1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251</w:t>
            </w:r>
          </w:p>
        </w:tc>
        <w:tc>
          <w:tcPr>
            <w:tcW w:w="20" w:type="dxa"/>
            <w:vAlign w:val="bottom"/>
          </w:tcPr>
          <w:p>
            <w:pPr>
              <w:spacing w:after="0"/>
              <w:rPr>
                <w:sz w:val="9"/>
                <w:szCs w:val="9"/>
                <w:color w:val="auto"/>
              </w:rPr>
            </w:pPr>
          </w:p>
        </w:tc>
      </w:tr>
      <w:tr>
        <w:trPr>
          <w:trHeight w:val="103"/>
        </w:trPr>
        <w:tc>
          <w:tcPr>
            <w:tcW w:w="4520" w:type="dxa"/>
            <w:vAlign w:val="bottom"/>
          </w:tcPr>
          <w:p>
            <w:pPr>
              <w:spacing w:after="0" w:line="103" w:lineRule="exact"/>
              <w:rPr>
                <w:sz w:val="20"/>
                <w:szCs w:val="20"/>
                <w:color w:val="auto"/>
              </w:rPr>
            </w:pPr>
            <w:r>
              <w:rPr>
                <w:rFonts w:ascii="Arial" w:cs="Arial" w:eastAsia="Arial" w:hAnsi="Arial"/>
                <w:sz w:val="10"/>
                <w:szCs w:val="10"/>
                <w:color w:val="auto"/>
              </w:rPr>
              <w:t>Less: Amounts representing interest</w:t>
            </w:r>
          </w:p>
        </w:tc>
        <w:tc>
          <w:tcPr>
            <w:tcW w:w="80" w:type="dxa"/>
            <w:vAlign w:val="bottom"/>
          </w:tcPr>
          <w:p>
            <w:pPr>
              <w:spacing w:after="0"/>
              <w:rPr>
                <w:sz w:val="8"/>
                <w:szCs w:val="8"/>
                <w:color w:val="auto"/>
              </w:rPr>
            </w:pPr>
          </w:p>
        </w:tc>
        <w:tc>
          <w:tcPr>
            <w:tcW w:w="440" w:type="dxa"/>
            <w:vAlign w:val="bottom"/>
            <w:tcBorders>
              <w:right w:val="single" w:sz="8" w:color="0077C0"/>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8"/>
        </w:trPr>
        <w:tc>
          <w:tcPr>
            <w:tcW w:w="4520" w:type="dxa"/>
            <w:vAlign w:val="bottom"/>
          </w:tcPr>
          <w:p>
            <w:pPr>
              <w:ind w:left="140"/>
              <w:spacing w:after="0"/>
              <w:rPr>
                <w:sz w:val="20"/>
                <w:szCs w:val="20"/>
                <w:color w:val="auto"/>
              </w:rPr>
            </w:pPr>
            <w:r>
              <w:rPr>
                <w:rFonts w:ascii="Arial" w:cs="Arial" w:eastAsia="Arial" w:hAnsi="Arial"/>
                <w:sz w:val="10"/>
                <w:szCs w:val="10"/>
                <w:color w:val="auto"/>
              </w:rPr>
              <w:t>and executory costs</w:t>
            </w:r>
          </w:p>
        </w:tc>
        <w:tc>
          <w:tcPr>
            <w:tcW w:w="80" w:type="dxa"/>
            <w:vAlign w:val="bottom"/>
          </w:tcPr>
          <w:p>
            <w:pPr>
              <w:spacing w:after="0"/>
              <w:rPr>
                <w:sz w:val="10"/>
                <w:szCs w:val="10"/>
                <w:color w:val="auto"/>
              </w:rPr>
            </w:pPr>
          </w:p>
        </w:tc>
        <w:tc>
          <w:tcPr>
            <w:tcW w:w="440" w:type="dxa"/>
            <w:vAlign w:val="bottom"/>
            <w:tcBorders>
              <w:right w:val="single" w:sz="8" w:color="0077C0"/>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(55)</w:t>
            </w:r>
          </w:p>
        </w:tc>
      </w:tr>
      <w:tr>
        <w:trPr>
          <w:trHeight w:val="92"/>
        </w:trPr>
        <w:tc>
          <w:tcPr>
            <w:tcW w:w="45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Net present values</w:t>
            </w:r>
          </w:p>
        </w:tc>
        <w:tc>
          <w:tcPr>
            <w:tcW w:w="80" w:type="dxa"/>
            <w:vAlign w:val="bottom"/>
            <w:tcBorders>
              <w:top w:val="single" w:sz="8" w:color="0077C0"/>
            </w:tcBorders>
          </w:tcPr>
          <w:p>
            <w:pPr>
              <w:spacing w:after="0"/>
              <w:rPr>
                <w:sz w:val="8"/>
                <w:szCs w:val="8"/>
                <w:color w:val="auto"/>
              </w:rPr>
            </w:pPr>
          </w:p>
        </w:tc>
        <w:tc>
          <w:tcPr>
            <w:tcW w:w="440" w:type="dxa"/>
            <w:vAlign w:val="bottom"/>
            <w:tcBorders>
              <w:top w:val="single" w:sz="8" w:color="0077C0"/>
              <w:right w:val="single" w:sz="8" w:color="0077C0"/>
            </w:tcBorders>
          </w:tcPr>
          <w:p>
            <w:pPr>
              <w:spacing w:after="0"/>
              <w:rPr>
                <w:sz w:val="8"/>
                <w:szCs w:val="8"/>
                <w:color w:val="auto"/>
              </w:rPr>
            </w:pPr>
          </w:p>
        </w:tc>
        <w:tc>
          <w:tcPr>
            <w:tcW w:w="140" w:type="dxa"/>
            <w:vAlign w:val="bottom"/>
            <w:tcBorders>
              <w:top w:val="single" w:sz="8" w:color="0077C0"/>
            </w:tcBorders>
          </w:tcPr>
          <w:p>
            <w:pPr>
              <w:spacing w:after="0"/>
              <w:rPr>
                <w:sz w:val="8"/>
                <w:szCs w:val="8"/>
                <w:color w:val="auto"/>
              </w:rPr>
            </w:pPr>
          </w:p>
        </w:tc>
        <w:tc>
          <w:tcPr>
            <w:tcW w:w="2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196</w:t>
            </w:r>
          </w:p>
        </w:tc>
        <w:tc>
          <w:tcPr>
            <w:tcW w:w="20" w:type="dxa"/>
            <w:vAlign w:val="bottom"/>
          </w:tcPr>
          <w:p>
            <w:pPr>
              <w:spacing w:after="0"/>
              <w:rPr>
                <w:sz w:val="8"/>
                <w:szCs w:val="8"/>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Less: Capital lease obligations</w:t>
            </w:r>
          </w:p>
        </w:tc>
        <w:tc>
          <w:tcPr>
            <w:tcW w:w="80" w:type="dxa"/>
            <w:vAlign w:val="bottom"/>
          </w:tcPr>
          <w:p>
            <w:pPr>
              <w:spacing w:after="0"/>
              <w:rPr>
                <w:sz w:val="9"/>
                <w:szCs w:val="9"/>
                <w:color w:val="auto"/>
              </w:rPr>
            </w:pPr>
          </w:p>
        </w:tc>
        <w:tc>
          <w:tcPr>
            <w:tcW w:w="440" w:type="dxa"/>
            <w:vAlign w:val="bottom"/>
            <w:tcBorders>
              <w:right w:val="single" w:sz="8" w:color="0077C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4520" w:type="dxa"/>
            <w:vAlign w:val="bottom"/>
          </w:tcPr>
          <w:p>
            <w:pPr>
              <w:ind w:left="140"/>
              <w:spacing w:after="0"/>
              <w:rPr>
                <w:sz w:val="20"/>
                <w:szCs w:val="20"/>
                <w:color w:val="auto"/>
              </w:rPr>
            </w:pPr>
            <w:r>
              <w:rPr>
                <w:rFonts w:ascii="Arial" w:cs="Arial" w:eastAsia="Arial" w:hAnsi="Arial"/>
                <w:sz w:val="10"/>
                <w:szCs w:val="10"/>
                <w:color w:val="auto"/>
              </w:rPr>
              <w:t>included in short-term debt</w:t>
            </w:r>
          </w:p>
        </w:tc>
        <w:tc>
          <w:tcPr>
            <w:tcW w:w="80" w:type="dxa"/>
            <w:vAlign w:val="bottom"/>
          </w:tcPr>
          <w:p>
            <w:pPr>
              <w:spacing w:after="0"/>
              <w:rPr>
                <w:sz w:val="10"/>
                <w:szCs w:val="10"/>
                <w:color w:val="auto"/>
              </w:rPr>
            </w:pPr>
          </w:p>
        </w:tc>
        <w:tc>
          <w:tcPr>
            <w:tcW w:w="440" w:type="dxa"/>
            <w:vAlign w:val="bottom"/>
            <w:tcBorders>
              <w:right w:val="single" w:sz="8" w:color="0077C0"/>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color w:val="auto"/>
              </w:rPr>
              <w:t>(68)</w:t>
            </w:r>
          </w:p>
        </w:tc>
      </w:tr>
      <w:tr>
        <w:trPr>
          <w:trHeight w:val="123"/>
        </w:trPr>
        <w:tc>
          <w:tcPr>
            <w:tcW w:w="4520" w:type="dxa"/>
            <w:vAlign w:val="bottom"/>
            <w:tcBorders>
              <w:top w:val="single" w:sz="8" w:color="0077C0"/>
              <w:bottom w:val="single" w:sz="8" w:color="0077C0"/>
            </w:tcBorders>
          </w:tcPr>
          <w:p>
            <w:pPr>
              <w:spacing w:after="0"/>
              <w:rPr>
                <w:sz w:val="20"/>
                <w:szCs w:val="20"/>
                <w:color w:val="auto"/>
              </w:rPr>
            </w:pPr>
            <w:r>
              <w:rPr>
                <w:rFonts w:ascii="Arial" w:cs="Arial" w:eastAsia="Arial" w:hAnsi="Arial"/>
                <w:sz w:val="10"/>
                <w:szCs w:val="10"/>
                <w:color w:val="auto"/>
              </w:rPr>
              <w:t>Long-term capital lease obligations</w:t>
            </w:r>
          </w:p>
        </w:tc>
        <w:tc>
          <w:tcPr>
            <w:tcW w:w="80" w:type="dxa"/>
            <w:vAlign w:val="bottom"/>
            <w:tcBorders>
              <w:top w:val="single" w:sz="8" w:color="0077C0"/>
              <w:bottom w:val="single" w:sz="8" w:color="0077C0"/>
            </w:tcBorders>
          </w:tcPr>
          <w:p>
            <w:pPr>
              <w:spacing w:after="0"/>
              <w:rPr>
                <w:sz w:val="10"/>
                <w:szCs w:val="10"/>
                <w:color w:val="auto"/>
              </w:rPr>
            </w:pPr>
          </w:p>
        </w:tc>
        <w:tc>
          <w:tcPr>
            <w:tcW w:w="440" w:type="dxa"/>
            <w:vAlign w:val="bottom"/>
            <w:tcBorders>
              <w:top w:val="single" w:sz="8" w:color="0077C0"/>
              <w:bottom w:val="single" w:sz="8" w:color="0077C0"/>
              <w:right w:val="single" w:sz="8" w:color="0077C0"/>
            </w:tcBorders>
          </w:tcPr>
          <w:p>
            <w:pPr>
              <w:spacing w:after="0"/>
              <w:rPr>
                <w:sz w:val="10"/>
                <w:szCs w:val="10"/>
                <w:color w:val="auto"/>
              </w:rPr>
            </w:pPr>
          </w:p>
        </w:tc>
        <w:tc>
          <w:tcPr>
            <w:tcW w:w="14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128</w:t>
            </w:r>
          </w:p>
        </w:tc>
        <w:tc>
          <w:tcPr>
            <w:tcW w:w="20" w:type="dxa"/>
            <w:vAlign w:val="bottom"/>
          </w:tcPr>
          <w:p>
            <w:pPr>
              <w:spacing w:after="0"/>
              <w:rPr>
                <w:sz w:val="10"/>
                <w:szCs w:val="10"/>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9</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Fair Value Measurements</w:t>
      </w:r>
    </w:p>
    <w:p>
      <w:pPr>
        <w:ind w:right="160"/>
        <w:spacing w:after="0" w:line="273" w:lineRule="auto"/>
        <w:rPr>
          <w:sz w:val="20"/>
          <w:szCs w:val="20"/>
          <w:color w:val="auto"/>
        </w:rPr>
      </w:pPr>
      <w:r>
        <w:rPr>
          <w:rFonts w:ascii="Arial" w:cs="Arial" w:eastAsia="Arial" w:hAnsi="Arial"/>
          <w:sz w:val="12"/>
          <w:szCs w:val="12"/>
          <w:color w:val="auto"/>
        </w:rPr>
        <w:t>Accounting standards for fair value measurement (ASC 820) establish a framework for measuring fair value and stipulate disclosures about fair value measurements. The standards apply to recurring and nonrecurring fair value measurements of financial and nonfinancial assets and liabilities. Among the required disclosures is the fair value hierarchy of inputs the company uses to value an asset or a liability. The three levels of the fair value hierarchy are described as follows:</w:t>
      </w:r>
    </w:p>
    <w:p>
      <w:pPr>
        <w:spacing w:after="0" w:line="51" w:lineRule="exact"/>
        <w:rPr>
          <w:sz w:val="20"/>
          <w:szCs w:val="20"/>
          <w:color w:val="auto"/>
        </w:rPr>
      </w:pPr>
    </w:p>
    <w:p>
      <w:pPr>
        <w:ind w:left="220" w:right="60"/>
        <w:spacing w:after="0" w:line="256" w:lineRule="auto"/>
        <w:rPr>
          <w:sz w:val="20"/>
          <w:szCs w:val="20"/>
          <w:color w:val="auto"/>
        </w:rPr>
      </w:pPr>
      <w:r>
        <w:rPr>
          <w:rFonts w:ascii="Arial" w:cs="Arial" w:eastAsia="Arial" w:hAnsi="Arial"/>
          <w:sz w:val="13"/>
          <w:szCs w:val="13"/>
          <w:color w:val="auto"/>
        </w:rPr>
        <w:t>Level 1: Quoted prices (unadjusted) in active markets for identical assets and liabilities. For the company, Level 1 inputs include exchange-traded futures contracts for which the parties are willing to transact at the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exchange-quoted price and marketable securities that are actively traded.</w:t>
      </w:r>
    </w:p>
    <w:p>
      <w:pPr>
        <w:spacing w:after="0" w:line="81" w:lineRule="exact"/>
        <w:rPr>
          <w:sz w:val="20"/>
          <w:szCs w:val="20"/>
          <w:color w:val="auto"/>
        </w:rPr>
      </w:pPr>
    </w:p>
    <w:p>
      <w:pPr>
        <w:ind w:left="220" w:right="40"/>
        <w:spacing w:after="0" w:line="253" w:lineRule="auto"/>
        <w:rPr>
          <w:sz w:val="20"/>
          <w:szCs w:val="20"/>
          <w:color w:val="auto"/>
        </w:rPr>
      </w:pPr>
      <w:r>
        <w:rPr>
          <w:rFonts w:ascii="Arial" w:cs="Arial" w:eastAsia="Arial" w:hAnsi="Arial"/>
          <w:sz w:val="13"/>
          <w:szCs w:val="13"/>
          <w:color w:val="auto"/>
        </w:rPr>
        <w:t>Level 2: Inputs other than Level 1 that are observable, either directly or indirectly. For the company, Level 2 inputs include quoted prices for similar assets or liabilities, prices obtained through third-party broker quotes and prices that can be corroborated with other observable inputs for substantially the complete term of a contract.</w:t>
      </w:r>
    </w:p>
    <w:p>
      <w:pPr>
        <w:spacing w:after="0" w:line="62" w:lineRule="exact"/>
        <w:rPr>
          <w:sz w:val="20"/>
          <w:szCs w:val="20"/>
          <w:color w:val="auto"/>
        </w:rPr>
      </w:pPr>
    </w:p>
    <w:p>
      <w:pPr>
        <w:ind w:left="220" w:right="180"/>
        <w:spacing w:after="0" w:line="288" w:lineRule="auto"/>
        <w:rPr>
          <w:sz w:val="20"/>
          <w:szCs w:val="20"/>
          <w:color w:val="auto"/>
        </w:rPr>
      </w:pPr>
      <w:r>
        <w:rPr>
          <w:rFonts w:ascii="Arial" w:cs="Arial" w:eastAsia="Arial" w:hAnsi="Arial"/>
          <w:sz w:val="12"/>
          <w:szCs w:val="12"/>
          <w:color w:val="auto"/>
        </w:rPr>
        <w:t>Level 3: Unobservable inputs. The company does not use Level 3 inputs for any of its recurring fair value measurements. Level 3 inputs may be required for the determination of fair value associated with certain nonrecurring measurements of nonfinancial assets and liabilities.</w:t>
      </w:r>
    </w:p>
    <w:p>
      <w:pPr>
        <w:spacing w:after="0" w:line="41" w:lineRule="exact"/>
        <w:rPr>
          <w:sz w:val="20"/>
          <w:szCs w:val="20"/>
          <w:color w:val="auto"/>
        </w:rPr>
      </w:pPr>
    </w:p>
    <w:p>
      <w:pPr>
        <w:ind w:right="460"/>
        <w:spacing w:after="0" w:line="267" w:lineRule="auto"/>
        <w:rPr>
          <w:sz w:val="20"/>
          <w:szCs w:val="20"/>
          <w:color w:val="auto"/>
        </w:rPr>
      </w:pPr>
      <w:r>
        <w:rPr>
          <w:rFonts w:ascii="Arial" w:cs="Arial" w:eastAsia="Arial" w:hAnsi="Arial"/>
          <w:sz w:val="13"/>
          <w:szCs w:val="13"/>
          <w:color w:val="auto"/>
        </w:rPr>
        <w:t>The table below shows the fair value hierarchy for assets and liabilities measured at fair value on a recurring basis at December 31, 2011 and December 31, 2010.</w:t>
      </w:r>
    </w:p>
    <w:p>
      <w:pPr>
        <w:spacing w:after="0" w:line="52" w:lineRule="exact"/>
        <w:rPr>
          <w:sz w:val="20"/>
          <w:szCs w:val="20"/>
          <w:color w:val="auto"/>
        </w:rPr>
      </w:pPr>
    </w:p>
    <w:p>
      <w:pPr>
        <w:jc w:val="both"/>
        <w:ind w:right="280"/>
        <w:spacing w:after="0" w:line="256" w:lineRule="auto"/>
        <w:rPr>
          <w:sz w:val="20"/>
          <w:szCs w:val="20"/>
          <w:color w:val="auto"/>
        </w:rPr>
      </w:pPr>
      <w:r>
        <w:rPr>
          <w:rFonts w:ascii="Arial" w:cs="Arial" w:eastAsia="Arial" w:hAnsi="Arial"/>
          <w:sz w:val="13"/>
          <w:szCs w:val="13"/>
          <w:i w:val="1"/>
          <w:iCs w:val="1"/>
          <w:color w:val="E51837"/>
        </w:rPr>
        <w:t xml:space="preserve">Marketable Securities </w:t>
      </w:r>
      <w:r>
        <w:rPr>
          <w:rFonts w:ascii="Arial" w:cs="Arial" w:eastAsia="Arial" w:hAnsi="Arial"/>
          <w:sz w:val="13"/>
          <w:szCs w:val="13"/>
          <w:color w:val="000000"/>
        </w:rPr>
        <w:t>The company calculates fair value for its marketable securities based on quoted</w:t>
      </w:r>
      <w:r>
        <w:rPr>
          <w:rFonts w:ascii="Arial" w:cs="Arial" w:eastAsia="Arial" w:hAnsi="Arial"/>
          <w:sz w:val="13"/>
          <w:szCs w:val="13"/>
          <w:i w:val="1"/>
          <w:iCs w:val="1"/>
          <w:color w:val="E51837"/>
        </w:rPr>
        <w:t xml:space="preserve"> </w:t>
      </w:r>
      <w:r>
        <w:rPr>
          <w:rFonts w:ascii="Arial" w:cs="Arial" w:eastAsia="Arial" w:hAnsi="Arial"/>
          <w:sz w:val="13"/>
          <w:szCs w:val="13"/>
          <w:color w:val="000000"/>
        </w:rPr>
        <w:t>market prices for identical assets and liabilities. The fair values reflect the cash that would have been received if the instruments were sold at December 31, 2011.</w:t>
      </w:r>
    </w:p>
    <w:p>
      <w:pPr>
        <w:spacing w:after="0" w:line="60"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i w:val="1"/>
          <w:iCs w:val="1"/>
          <w:color w:val="E51837"/>
        </w:rPr>
        <w:t xml:space="preserve">Derivatives </w:t>
      </w:r>
      <w:r>
        <w:rPr>
          <w:rFonts w:ascii="Arial" w:cs="Arial" w:eastAsia="Arial" w:hAnsi="Arial"/>
          <w:sz w:val="12"/>
          <w:szCs w:val="12"/>
          <w:color w:val="000000"/>
        </w:rPr>
        <w:t>The company records its derivative instruments – other than any commodity derivative</w:t>
      </w:r>
      <w:r>
        <w:rPr>
          <w:rFonts w:ascii="Arial" w:cs="Arial" w:eastAsia="Arial" w:hAnsi="Arial"/>
          <w:sz w:val="12"/>
          <w:szCs w:val="12"/>
          <w:i w:val="1"/>
          <w:iCs w:val="1"/>
          <w:color w:val="E51837"/>
        </w:rPr>
        <w:t xml:space="preserve"> </w:t>
      </w:r>
      <w:r>
        <w:rPr>
          <w:rFonts w:ascii="Arial" w:cs="Arial" w:eastAsia="Arial" w:hAnsi="Arial"/>
          <w:sz w:val="12"/>
          <w:szCs w:val="12"/>
          <w:color w:val="000000"/>
        </w:rPr>
        <w:t>contracts that are designated as normal purchase and normal sale – on the Consolidated Balance Sheet at fair value, with the offsetting amount to the Consolidated Statement of Income. For derivatives with identical or similar provisions as contracts that are publicly traded on a regular basis, the company uses the market values of the publicly traded instruments as an input for fair value calculations.</w:t>
      </w:r>
    </w:p>
    <w:p>
      <w:pPr>
        <w:spacing w:after="0" w:line="49" w:lineRule="exact"/>
        <w:rPr>
          <w:sz w:val="20"/>
          <w:szCs w:val="20"/>
          <w:color w:val="auto"/>
        </w:rPr>
      </w:pPr>
    </w:p>
    <w:p>
      <w:pPr>
        <w:jc w:val="both"/>
        <w:ind w:right="40" w:firstLine="158"/>
        <w:spacing w:after="0" w:line="325" w:lineRule="auto"/>
        <w:rPr>
          <w:sz w:val="20"/>
          <w:szCs w:val="20"/>
          <w:color w:val="auto"/>
        </w:rPr>
      </w:pPr>
      <w:r>
        <w:rPr>
          <w:rFonts w:ascii="Arial" w:cs="Arial" w:eastAsia="Arial" w:hAnsi="Arial"/>
          <w:sz w:val="11"/>
          <w:szCs w:val="11"/>
          <w:color w:val="auto"/>
        </w:rPr>
        <w:t>The company’s derivative instruments principally include futures, swaps, options and forward contracts for crude oil, natural gas and refined products. Derivatives classified as Level 1 include futures, swaps and options contracts traded in active markets such as the New York Mercantile Exchange.</w:t>
      </w:r>
    </w:p>
    <w:p>
      <w:pPr>
        <w:spacing w:after="0" w:line="1365" w:lineRule="exact"/>
        <w:rPr>
          <w:sz w:val="20"/>
          <w:szCs w:val="20"/>
          <w:color w:val="auto"/>
        </w:rPr>
      </w:pPr>
    </w:p>
    <w:p>
      <w:pPr>
        <w:sectPr>
          <w:pgSz w:w="11900" w:h="16838" w:orient="portrait"/>
          <w:cols w:equalWidth="0" w:num="2">
            <w:col w:w="5500" w:space="460"/>
            <w:col w:w="5520"/>
          </w:cols>
          <w:pgMar w:left="220" w:top="339" w:right="1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i w:val="1"/>
          <w:iCs w:val="1"/>
          <w:color w:val="E51837"/>
        </w:rPr>
        <w:t>Assets and Liabilities Measured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spacing w:after="0"/>
              <w:rPr>
                <w:sz w:val="9"/>
                <w:szCs w:val="9"/>
                <w:color w:val="auto"/>
              </w:rPr>
            </w:pPr>
          </w:p>
        </w:tc>
        <w:tc>
          <w:tcPr>
            <w:tcW w:w="1160" w:type="dxa"/>
            <w:vAlign w:val="bottom"/>
            <w:tcBorders>
              <w:bottom w:val="single" w:sz="8" w:color="0077C0"/>
            </w:tcBorders>
            <w:gridSpan w:val="2"/>
          </w:tcPr>
          <w:p>
            <w:pPr>
              <w:jc w:val="right"/>
              <w:ind w:right="190"/>
              <w:spacing w:after="0"/>
              <w:rPr>
                <w:sz w:val="20"/>
                <w:szCs w:val="20"/>
                <w:color w:val="auto"/>
              </w:rPr>
            </w:pPr>
            <w:r>
              <w:rPr>
                <w:rFonts w:ascii="Arial" w:cs="Arial" w:eastAsia="Arial" w:hAnsi="Arial"/>
                <w:sz w:val="9"/>
                <w:szCs w:val="9"/>
                <w:color w:val="auto"/>
                <w:w w:val="99"/>
              </w:rPr>
              <w:t>At December 31, 2011</w:t>
            </w:r>
          </w:p>
        </w:tc>
        <w:tc>
          <w:tcPr>
            <w:tcW w:w="74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68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spacing w:after="0"/>
              <w:rPr>
                <w:sz w:val="9"/>
                <w:szCs w:val="9"/>
                <w:color w:val="auto"/>
              </w:rPr>
            </w:pPr>
          </w:p>
        </w:tc>
        <w:tc>
          <w:tcPr>
            <w:tcW w:w="420" w:type="dxa"/>
            <w:vAlign w:val="bottom"/>
            <w:tcBorders>
              <w:bottom w:val="single" w:sz="8" w:color="0077C0"/>
            </w:tcBorders>
          </w:tcPr>
          <w:p>
            <w:pPr>
              <w:spacing w:after="0"/>
              <w:rPr>
                <w:sz w:val="9"/>
                <w:szCs w:val="9"/>
                <w:color w:val="auto"/>
              </w:rPr>
            </w:pPr>
          </w:p>
        </w:tc>
        <w:tc>
          <w:tcPr>
            <w:tcW w:w="900" w:type="dxa"/>
            <w:vAlign w:val="bottom"/>
            <w:tcBorders>
              <w:bottom w:val="single" w:sz="8" w:color="0077C0"/>
            </w:tcBorders>
            <w:gridSpan w:val="2"/>
          </w:tcPr>
          <w:p>
            <w:pPr>
              <w:jc w:val="right"/>
              <w:spacing w:after="0"/>
              <w:rPr>
                <w:sz w:val="20"/>
                <w:szCs w:val="20"/>
                <w:color w:val="auto"/>
              </w:rPr>
            </w:pPr>
            <w:r>
              <w:rPr>
                <w:rFonts w:ascii="Arial" w:cs="Arial" w:eastAsia="Arial" w:hAnsi="Arial"/>
                <w:sz w:val="9"/>
                <w:szCs w:val="9"/>
                <w:color w:val="auto"/>
                <w:w w:val="97"/>
              </w:rPr>
              <w:t>At December 31, 2010</w:t>
            </w:r>
          </w:p>
        </w:tc>
        <w:tc>
          <w:tcPr>
            <w:tcW w:w="40" w:type="dxa"/>
            <w:vAlign w:val="bottom"/>
          </w:tcPr>
          <w:p>
            <w:pPr>
              <w:spacing w:after="0"/>
              <w:rPr>
                <w:sz w:val="9"/>
                <w:szCs w:val="9"/>
                <w:color w:val="auto"/>
              </w:rPr>
            </w:pPr>
          </w:p>
        </w:tc>
      </w:tr>
      <w:tr>
        <w:trPr>
          <w:trHeight w:val="86"/>
        </w:trPr>
        <w:tc>
          <w:tcPr>
            <w:tcW w:w="20" w:type="dxa"/>
            <w:vAlign w:val="bottom"/>
          </w:tcPr>
          <w:p>
            <w:pPr>
              <w:spacing w:after="0"/>
              <w:rPr>
                <w:sz w:val="7"/>
                <w:szCs w:val="7"/>
                <w:color w:val="auto"/>
              </w:rPr>
            </w:pPr>
          </w:p>
        </w:tc>
        <w:tc>
          <w:tcPr>
            <w:tcW w:w="2960" w:type="dxa"/>
            <w:vAlign w:val="bottom"/>
            <w:tcBorders>
              <w:bottom w:val="single" w:sz="8" w:color="0077C0"/>
            </w:tcBorders>
          </w:tcPr>
          <w:p>
            <w:pPr>
              <w:spacing w:after="0"/>
              <w:rPr>
                <w:sz w:val="7"/>
                <w:szCs w:val="7"/>
                <w:color w:val="auto"/>
              </w:rPr>
            </w:pPr>
          </w:p>
        </w:tc>
        <w:tc>
          <w:tcPr>
            <w:tcW w:w="180" w:type="dxa"/>
            <w:vAlign w:val="bottom"/>
            <w:tcBorders>
              <w:bottom w:val="single" w:sz="8" w:color="0077C0"/>
            </w:tcBorders>
          </w:tcPr>
          <w:p>
            <w:pPr>
              <w:spacing w:after="0"/>
              <w:rPr>
                <w:sz w:val="7"/>
                <w:szCs w:val="7"/>
                <w:color w:val="auto"/>
              </w:rPr>
            </w:pPr>
          </w:p>
        </w:tc>
        <w:tc>
          <w:tcPr>
            <w:tcW w:w="640" w:type="dxa"/>
            <w:vAlign w:val="bottom"/>
            <w:tcBorders>
              <w:bottom w:val="single" w:sz="8" w:color="0077C0"/>
            </w:tcBorders>
          </w:tcPr>
          <w:p>
            <w:pPr>
              <w:jc w:val="right"/>
              <w:ind w:right="310"/>
              <w:spacing w:after="0" w:line="86" w:lineRule="exact"/>
              <w:rPr>
                <w:sz w:val="20"/>
                <w:szCs w:val="20"/>
                <w:color w:val="auto"/>
              </w:rPr>
            </w:pPr>
            <w:r>
              <w:rPr>
                <w:rFonts w:ascii="Arial" w:cs="Arial" w:eastAsia="Arial" w:hAnsi="Arial"/>
                <w:sz w:val="9"/>
                <w:szCs w:val="9"/>
                <w:color w:val="auto"/>
              </w:rPr>
              <w:t>Total</w:t>
            </w:r>
          </w:p>
        </w:tc>
        <w:tc>
          <w:tcPr>
            <w:tcW w:w="460" w:type="dxa"/>
            <w:vAlign w:val="bottom"/>
            <w:tcBorders>
              <w:bottom w:val="single" w:sz="8" w:color="0077C0"/>
            </w:tcBorders>
          </w:tcPr>
          <w:p>
            <w:pPr>
              <w:spacing w:after="0"/>
              <w:rPr>
                <w:sz w:val="7"/>
                <w:szCs w:val="7"/>
                <w:color w:val="auto"/>
              </w:rPr>
            </w:pPr>
          </w:p>
        </w:tc>
        <w:tc>
          <w:tcPr>
            <w:tcW w:w="680" w:type="dxa"/>
            <w:vAlign w:val="bottom"/>
            <w:tcBorders>
              <w:bottom w:val="single" w:sz="8" w:color="0077C0"/>
            </w:tcBorders>
          </w:tcPr>
          <w:p>
            <w:pPr>
              <w:jc w:val="right"/>
              <w:ind w:right="290"/>
              <w:spacing w:after="0" w:line="86" w:lineRule="exact"/>
              <w:rPr>
                <w:sz w:val="20"/>
                <w:szCs w:val="20"/>
                <w:color w:val="auto"/>
              </w:rPr>
            </w:pPr>
            <w:r>
              <w:rPr>
                <w:rFonts w:ascii="Arial" w:cs="Arial" w:eastAsia="Arial" w:hAnsi="Arial"/>
                <w:sz w:val="9"/>
                <w:szCs w:val="9"/>
                <w:color w:val="auto"/>
              </w:rPr>
              <w:t>Level 1</w:t>
            </w:r>
          </w:p>
        </w:tc>
        <w:tc>
          <w:tcPr>
            <w:tcW w:w="480" w:type="dxa"/>
            <w:vAlign w:val="bottom"/>
            <w:tcBorders>
              <w:bottom w:val="single" w:sz="8" w:color="0077C0"/>
            </w:tcBorders>
          </w:tcPr>
          <w:p>
            <w:pPr>
              <w:spacing w:after="0"/>
              <w:rPr>
                <w:sz w:val="7"/>
                <w:szCs w:val="7"/>
                <w:color w:val="auto"/>
              </w:rPr>
            </w:pPr>
          </w:p>
        </w:tc>
        <w:tc>
          <w:tcPr>
            <w:tcW w:w="560" w:type="dxa"/>
            <w:vAlign w:val="bottom"/>
            <w:tcBorders>
              <w:bottom w:val="single" w:sz="8" w:color="0077C0"/>
            </w:tcBorders>
          </w:tcPr>
          <w:p>
            <w:pPr>
              <w:jc w:val="right"/>
              <w:ind w:right="170"/>
              <w:spacing w:after="0" w:line="86" w:lineRule="exact"/>
              <w:rPr>
                <w:sz w:val="20"/>
                <w:szCs w:val="20"/>
                <w:color w:val="auto"/>
              </w:rPr>
            </w:pPr>
            <w:r>
              <w:rPr>
                <w:rFonts w:ascii="Arial" w:cs="Arial" w:eastAsia="Arial" w:hAnsi="Arial"/>
                <w:sz w:val="9"/>
                <w:szCs w:val="9"/>
                <w:color w:val="auto"/>
              </w:rPr>
              <w:t>Level 2</w:t>
            </w:r>
          </w:p>
        </w:tc>
        <w:tc>
          <w:tcPr>
            <w:tcW w:w="580" w:type="dxa"/>
            <w:vAlign w:val="bottom"/>
            <w:tcBorders>
              <w:bottom w:val="single" w:sz="8" w:color="0077C0"/>
            </w:tcBorders>
          </w:tcPr>
          <w:p>
            <w:pPr>
              <w:spacing w:after="0"/>
              <w:rPr>
                <w:sz w:val="7"/>
                <w:szCs w:val="7"/>
                <w:color w:val="auto"/>
              </w:rPr>
            </w:pPr>
          </w:p>
        </w:tc>
        <w:tc>
          <w:tcPr>
            <w:tcW w:w="580" w:type="dxa"/>
            <w:vAlign w:val="bottom"/>
            <w:tcBorders>
              <w:bottom w:val="single" w:sz="8" w:color="0077C0"/>
              <w:right w:val="single" w:sz="8" w:color="0077C0"/>
            </w:tcBorders>
          </w:tcPr>
          <w:p>
            <w:pPr>
              <w:jc w:val="right"/>
              <w:ind w:right="190"/>
              <w:spacing w:after="0" w:line="86" w:lineRule="exact"/>
              <w:rPr>
                <w:sz w:val="20"/>
                <w:szCs w:val="20"/>
                <w:color w:val="auto"/>
              </w:rPr>
            </w:pPr>
            <w:r>
              <w:rPr>
                <w:rFonts w:ascii="Arial" w:cs="Arial" w:eastAsia="Arial" w:hAnsi="Arial"/>
                <w:sz w:val="9"/>
                <w:szCs w:val="9"/>
                <w:color w:val="auto"/>
              </w:rPr>
              <w:t>Level 3</w:t>
            </w:r>
          </w:p>
        </w:tc>
        <w:tc>
          <w:tcPr>
            <w:tcW w:w="740" w:type="dxa"/>
            <w:vAlign w:val="bottom"/>
            <w:tcBorders>
              <w:bottom w:val="single" w:sz="8" w:color="0077C0"/>
            </w:tcBorders>
          </w:tcPr>
          <w:p>
            <w:pPr>
              <w:spacing w:after="0"/>
              <w:rPr>
                <w:sz w:val="7"/>
                <w:szCs w:val="7"/>
                <w:color w:val="auto"/>
              </w:rPr>
            </w:pPr>
          </w:p>
        </w:tc>
        <w:tc>
          <w:tcPr>
            <w:tcW w:w="640" w:type="dxa"/>
            <w:vAlign w:val="bottom"/>
            <w:tcBorders>
              <w:bottom w:val="single" w:sz="8" w:color="0077C0"/>
            </w:tcBorders>
          </w:tcPr>
          <w:p>
            <w:pPr>
              <w:jc w:val="right"/>
              <w:ind w:right="290"/>
              <w:spacing w:after="0" w:line="86" w:lineRule="exact"/>
              <w:rPr>
                <w:sz w:val="20"/>
                <w:szCs w:val="20"/>
                <w:color w:val="auto"/>
              </w:rPr>
            </w:pPr>
            <w:r>
              <w:rPr>
                <w:rFonts w:ascii="Arial" w:cs="Arial" w:eastAsia="Arial" w:hAnsi="Arial"/>
                <w:sz w:val="9"/>
                <w:szCs w:val="9"/>
                <w:color w:val="auto"/>
              </w:rPr>
              <w:t>Total</w:t>
            </w:r>
          </w:p>
        </w:tc>
        <w:tc>
          <w:tcPr>
            <w:tcW w:w="460" w:type="dxa"/>
            <w:vAlign w:val="bottom"/>
            <w:tcBorders>
              <w:bottom w:val="single" w:sz="8" w:color="0077C0"/>
            </w:tcBorders>
          </w:tcPr>
          <w:p>
            <w:pPr>
              <w:spacing w:after="0"/>
              <w:rPr>
                <w:sz w:val="7"/>
                <w:szCs w:val="7"/>
                <w:color w:val="auto"/>
              </w:rPr>
            </w:pPr>
          </w:p>
        </w:tc>
        <w:tc>
          <w:tcPr>
            <w:tcW w:w="680" w:type="dxa"/>
            <w:vAlign w:val="bottom"/>
            <w:tcBorders>
              <w:bottom w:val="single" w:sz="8" w:color="0077C0"/>
            </w:tcBorders>
          </w:tcPr>
          <w:p>
            <w:pPr>
              <w:jc w:val="right"/>
              <w:ind w:right="290"/>
              <w:spacing w:after="0" w:line="86" w:lineRule="exact"/>
              <w:rPr>
                <w:sz w:val="20"/>
                <w:szCs w:val="20"/>
                <w:color w:val="auto"/>
              </w:rPr>
            </w:pPr>
            <w:r>
              <w:rPr>
                <w:rFonts w:ascii="Arial" w:cs="Arial" w:eastAsia="Arial" w:hAnsi="Arial"/>
                <w:sz w:val="9"/>
                <w:szCs w:val="9"/>
                <w:color w:val="auto"/>
              </w:rPr>
              <w:t>Level 1</w:t>
            </w:r>
          </w:p>
        </w:tc>
        <w:tc>
          <w:tcPr>
            <w:tcW w:w="460" w:type="dxa"/>
            <w:vAlign w:val="bottom"/>
            <w:tcBorders>
              <w:bottom w:val="single" w:sz="8" w:color="0077C0"/>
            </w:tcBorders>
          </w:tcPr>
          <w:p>
            <w:pPr>
              <w:spacing w:after="0"/>
              <w:rPr>
                <w:sz w:val="7"/>
                <w:szCs w:val="7"/>
                <w:color w:val="auto"/>
              </w:rPr>
            </w:pPr>
          </w:p>
        </w:tc>
        <w:tc>
          <w:tcPr>
            <w:tcW w:w="420" w:type="dxa"/>
            <w:vAlign w:val="bottom"/>
            <w:tcBorders>
              <w:bottom w:val="single" w:sz="8" w:color="0077C0"/>
            </w:tcBorders>
          </w:tcPr>
          <w:p>
            <w:pPr>
              <w:jc w:val="right"/>
              <w:ind w:right="50"/>
              <w:spacing w:after="0" w:line="86" w:lineRule="exact"/>
              <w:rPr>
                <w:sz w:val="20"/>
                <w:szCs w:val="20"/>
                <w:color w:val="auto"/>
              </w:rPr>
            </w:pPr>
            <w:r>
              <w:rPr>
                <w:rFonts w:ascii="Arial" w:cs="Arial" w:eastAsia="Arial" w:hAnsi="Arial"/>
                <w:sz w:val="9"/>
                <w:szCs w:val="9"/>
                <w:color w:val="auto"/>
              </w:rPr>
              <w:t>Level 2</w:t>
            </w:r>
          </w:p>
        </w:tc>
        <w:tc>
          <w:tcPr>
            <w:tcW w:w="620" w:type="dxa"/>
            <w:vAlign w:val="bottom"/>
            <w:tcBorders>
              <w:bottom w:val="single" w:sz="8" w:color="0077C0"/>
            </w:tcBorders>
          </w:tcPr>
          <w:p>
            <w:pPr>
              <w:spacing w:after="0"/>
              <w:rPr>
                <w:sz w:val="7"/>
                <w:szCs w:val="7"/>
                <w:color w:val="auto"/>
              </w:rPr>
            </w:pPr>
          </w:p>
        </w:tc>
        <w:tc>
          <w:tcPr>
            <w:tcW w:w="28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w w:val="89"/>
              </w:rPr>
              <w:t>Level 3</w:t>
            </w:r>
          </w:p>
        </w:tc>
        <w:tc>
          <w:tcPr>
            <w:tcW w:w="4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960" w:type="dxa"/>
            <w:vAlign w:val="bottom"/>
          </w:tcPr>
          <w:p>
            <w:pPr>
              <w:spacing w:after="0" w:line="91" w:lineRule="exact"/>
              <w:rPr>
                <w:sz w:val="20"/>
                <w:szCs w:val="20"/>
                <w:color w:val="auto"/>
              </w:rPr>
            </w:pPr>
            <w:r>
              <w:rPr>
                <w:rFonts w:ascii="Arial" w:cs="Arial" w:eastAsia="Arial" w:hAnsi="Arial"/>
                <w:sz w:val="10"/>
                <w:szCs w:val="10"/>
                <w:color w:val="auto"/>
              </w:rPr>
              <w:t>Marketable securities</w:t>
            </w:r>
          </w:p>
        </w:tc>
        <w:tc>
          <w:tcPr>
            <w:tcW w:w="180" w:type="dxa"/>
            <w:vAlign w:val="bottom"/>
          </w:tcPr>
          <w:p>
            <w:pPr>
              <w:spacing w:after="0"/>
              <w:rPr>
                <w:sz w:val="7"/>
                <w:szCs w:val="7"/>
                <w:color w:val="auto"/>
              </w:rPr>
            </w:pPr>
          </w:p>
        </w:tc>
        <w:tc>
          <w:tcPr>
            <w:tcW w:w="640" w:type="dxa"/>
            <w:vAlign w:val="bottom"/>
          </w:tcPr>
          <w:p>
            <w:pPr>
              <w:jc w:val="right"/>
              <w:ind w:right="310"/>
              <w:spacing w:after="0" w:line="91" w:lineRule="exact"/>
              <w:rPr>
                <w:sz w:val="20"/>
                <w:szCs w:val="20"/>
                <w:color w:val="auto"/>
              </w:rPr>
            </w:pPr>
            <w:r>
              <w:rPr>
                <w:rFonts w:ascii="Arial" w:cs="Arial" w:eastAsia="Arial" w:hAnsi="Arial"/>
                <w:sz w:val="10"/>
                <w:szCs w:val="10"/>
                <w:b w:val="1"/>
                <w:bCs w:val="1"/>
                <w:color w:val="auto"/>
              </w:rPr>
              <w:t>249</w:t>
            </w:r>
          </w:p>
        </w:tc>
        <w:tc>
          <w:tcPr>
            <w:tcW w:w="460" w:type="dxa"/>
            <w:vAlign w:val="bottom"/>
          </w:tcPr>
          <w:p>
            <w:pPr>
              <w:spacing w:after="0"/>
              <w:rPr>
                <w:sz w:val="7"/>
                <w:szCs w:val="7"/>
                <w:color w:val="auto"/>
              </w:rPr>
            </w:pPr>
          </w:p>
        </w:tc>
        <w:tc>
          <w:tcPr>
            <w:tcW w:w="680" w:type="dxa"/>
            <w:vAlign w:val="bottom"/>
          </w:tcPr>
          <w:p>
            <w:pPr>
              <w:jc w:val="right"/>
              <w:ind w:right="290"/>
              <w:spacing w:after="0" w:line="91" w:lineRule="exact"/>
              <w:rPr>
                <w:sz w:val="20"/>
                <w:szCs w:val="20"/>
                <w:color w:val="auto"/>
              </w:rPr>
            </w:pPr>
            <w:r>
              <w:rPr>
                <w:rFonts w:ascii="Arial" w:cs="Arial" w:eastAsia="Arial" w:hAnsi="Arial"/>
                <w:sz w:val="10"/>
                <w:szCs w:val="10"/>
                <w:b w:val="1"/>
                <w:bCs w:val="1"/>
                <w:color w:val="auto"/>
              </w:rPr>
              <w:t>249</w:t>
            </w:r>
          </w:p>
        </w:tc>
        <w:tc>
          <w:tcPr>
            <w:tcW w:w="480" w:type="dxa"/>
            <w:vAlign w:val="bottom"/>
          </w:tcPr>
          <w:p>
            <w:pPr>
              <w:spacing w:after="0"/>
              <w:rPr>
                <w:sz w:val="7"/>
                <w:szCs w:val="7"/>
                <w:color w:val="auto"/>
              </w:rPr>
            </w:pPr>
          </w:p>
        </w:tc>
        <w:tc>
          <w:tcPr>
            <w:tcW w:w="560" w:type="dxa"/>
            <w:vAlign w:val="bottom"/>
          </w:tcPr>
          <w:p>
            <w:pPr>
              <w:jc w:val="right"/>
              <w:ind w:right="170"/>
              <w:spacing w:after="0" w:line="91" w:lineRule="exact"/>
              <w:rPr>
                <w:sz w:val="20"/>
                <w:szCs w:val="20"/>
                <w:color w:val="auto"/>
              </w:rPr>
            </w:pPr>
            <w:r>
              <w:rPr>
                <w:rFonts w:ascii="Arial" w:cs="Arial" w:eastAsia="Arial" w:hAnsi="Arial"/>
                <w:sz w:val="10"/>
                <w:szCs w:val="10"/>
                <w:b w:val="1"/>
                <w:bCs w:val="1"/>
                <w:color w:val="auto"/>
              </w:rPr>
              <w:t>–</w:t>
            </w:r>
          </w:p>
        </w:tc>
        <w:tc>
          <w:tcPr>
            <w:tcW w:w="580" w:type="dxa"/>
            <w:vAlign w:val="bottom"/>
          </w:tcPr>
          <w:p>
            <w:pPr>
              <w:spacing w:after="0"/>
              <w:rPr>
                <w:sz w:val="7"/>
                <w:szCs w:val="7"/>
                <w:color w:val="auto"/>
              </w:rPr>
            </w:pPr>
          </w:p>
        </w:tc>
        <w:tc>
          <w:tcPr>
            <w:tcW w:w="580" w:type="dxa"/>
            <w:vAlign w:val="bottom"/>
            <w:tcBorders>
              <w:right w:val="single" w:sz="8" w:color="0077C0"/>
            </w:tcBorders>
          </w:tcPr>
          <w:p>
            <w:pPr>
              <w:jc w:val="right"/>
              <w:ind w:right="190"/>
              <w:spacing w:after="0" w:line="91" w:lineRule="exact"/>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7"/>
                <w:szCs w:val="7"/>
                <w:color w:val="auto"/>
              </w:rPr>
            </w:pPr>
          </w:p>
        </w:tc>
        <w:tc>
          <w:tcPr>
            <w:tcW w:w="640" w:type="dxa"/>
            <w:vAlign w:val="bottom"/>
          </w:tcPr>
          <w:p>
            <w:pPr>
              <w:jc w:val="right"/>
              <w:ind w:right="290"/>
              <w:spacing w:after="0" w:line="91" w:lineRule="exact"/>
              <w:rPr>
                <w:sz w:val="20"/>
                <w:szCs w:val="20"/>
                <w:color w:val="auto"/>
              </w:rPr>
            </w:pPr>
            <w:r>
              <w:rPr>
                <w:rFonts w:ascii="Arial" w:cs="Arial" w:eastAsia="Arial" w:hAnsi="Arial"/>
                <w:sz w:val="10"/>
                <w:szCs w:val="10"/>
                <w:color w:val="auto"/>
              </w:rPr>
              <w:t>155</w:t>
            </w:r>
          </w:p>
        </w:tc>
        <w:tc>
          <w:tcPr>
            <w:tcW w:w="460" w:type="dxa"/>
            <w:vAlign w:val="bottom"/>
          </w:tcPr>
          <w:p>
            <w:pPr>
              <w:spacing w:after="0"/>
              <w:rPr>
                <w:sz w:val="7"/>
                <w:szCs w:val="7"/>
                <w:color w:val="auto"/>
              </w:rPr>
            </w:pPr>
          </w:p>
        </w:tc>
        <w:tc>
          <w:tcPr>
            <w:tcW w:w="680" w:type="dxa"/>
            <w:vAlign w:val="bottom"/>
          </w:tcPr>
          <w:p>
            <w:pPr>
              <w:jc w:val="right"/>
              <w:ind w:right="290"/>
              <w:spacing w:after="0" w:line="91" w:lineRule="exact"/>
              <w:rPr>
                <w:sz w:val="20"/>
                <w:szCs w:val="20"/>
                <w:color w:val="auto"/>
              </w:rPr>
            </w:pPr>
            <w:r>
              <w:rPr>
                <w:rFonts w:ascii="Arial" w:cs="Arial" w:eastAsia="Arial" w:hAnsi="Arial"/>
                <w:sz w:val="10"/>
                <w:szCs w:val="10"/>
                <w:color w:val="auto"/>
              </w:rPr>
              <w:t>155</w:t>
            </w:r>
          </w:p>
        </w:tc>
        <w:tc>
          <w:tcPr>
            <w:tcW w:w="460" w:type="dxa"/>
            <w:vAlign w:val="bottom"/>
          </w:tcPr>
          <w:p>
            <w:pPr>
              <w:spacing w:after="0"/>
              <w:rPr>
                <w:sz w:val="7"/>
                <w:szCs w:val="7"/>
                <w:color w:val="auto"/>
              </w:rPr>
            </w:pPr>
          </w:p>
        </w:tc>
        <w:tc>
          <w:tcPr>
            <w:tcW w:w="420" w:type="dxa"/>
            <w:vAlign w:val="bottom"/>
          </w:tcPr>
          <w:p>
            <w:pPr>
              <w:jc w:val="right"/>
              <w:ind w:right="50"/>
              <w:spacing w:after="0" w:line="91"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7"/>
                <w:szCs w:val="7"/>
                <w:color w:val="auto"/>
              </w:rPr>
            </w:pP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r>
      <w:tr>
        <w:trPr>
          <w:trHeight w:val="120"/>
        </w:trPr>
        <w:tc>
          <w:tcPr>
            <w:tcW w:w="2980" w:type="dxa"/>
            <w:vAlign w:val="bottom"/>
            <w:gridSpan w:val="2"/>
          </w:tcPr>
          <w:p>
            <w:pPr>
              <w:spacing w:after="0"/>
              <w:rPr>
                <w:sz w:val="20"/>
                <w:szCs w:val="20"/>
                <w:color w:val="auto"/>
              </w:rPr>
            </w:pPr>
            <w:r>
              <w:rPr>
                <w:rFonts w:ascii="Arial" w:cs="Arial" w:eastAsia="Arial" w:hAnsi="Arial"/>
                <w:sz w:val="10"/>
                <w:szCs w:val="10"/>
                <w:color w:val="auto"/>
              </w:rPr>
              <w:t>Derivatives</w:t>
            </w:r>
          </w:p>
        </w:tc>
        <w:tc>
          <w:tcPr>
            <w:tcW w:w="180" w:type="dxa"/>
            <w:vAlign w:val="bottom"/>
          </w:tcPr>
          <w:p>
            <w:pPr>
              <w:spacing w:after="0"/>
              <w:rPr>
                <w:sz w:val="10"/>
                <w:szCs w:val="10"/>
                <w:color w:val="auto"/>
              </w:rPr>
            </w:pPr>
          </w:p>
        </w:tc>
        <w:tc>
          <w:tcPr>
            <w:tcW w:w="640" w:type="dxa"/>
            <w:vAlign w:val="bottom"/>
          </w:tcPr>
          <w:p>
            <w:pPr>
              <w:jc w:val="right"/>
              <w:ind w:right="310"/>
              <w:spacing w:after="0"/>
              <w:rPr>
                <w:sz w:val="20"/>
                <w:szCs w:val="20"/>
                <w:color w:val="auto"/>
              </w:rPr>
            </w:pPr>
            <w:r>
              <w:rPr>
                <w:rFonts w:ascii="Arial" w:cs="Arial" w:eastAsia="Arial" w:hAnsi="Arial"/>
                <w:sz w:val="10"/>
                <w:szCs w:val="10"/>
                <w:b w:val="1"/>
                <w:bCs w:val="1"/>
                <w:color w:val="auto"/>
              </w:rPr>
              <w:t>208</w:t>
            </w:r>
          </w:p>
        </w:tc>
        <w:tc>
          <w:tcPr>
            <w:tcW w:w="460" w:type="dxa"/>
            <w:vAlign w:val="bottom"/>
          </w:tcPr>
          <w:p>
            <w:pPr>
              <w:spacing w:after="0"/>
              <w:rPr>
                <w:sz w:val="10"/>
                <w:szCs w:val="10"/>
                <w:color w:val="auto"/>
              </w:rPr>
            </w:pPr>
          </w:p>
        </w:tc>
        <w:tc>
          <w:tcPr>
            <w:tcW w:w="680" w:type="dxa"/>
            <w:vAlign w:val="bottom"/>
          </w:tcPr>
          <w:p>
            <w:pPr>
              <w:jc w:val="right"/>
              <w:ind w:right="290"/>
              <w:spacing w:after="0"/>
              <w:rPr>
                <w:sz w:val="20"/>
                <w:szCs w:val="20"/>
                <w:color w:val="auto"/>
              </w:rPr>
            </w:pPr>
            <w:r>
              <w:rPr>
                <w:rFonts w:ascii="Arial" w:cs="Arial" w:eastAsia="Arial" w:hAnsi="Arial"/>
                <w:sz w:val="10"/>
                <w:szCs w:val="10"/>
                <w:b w:val="1"/>
                <w:bCs w:val="1"/>
                <w:color w:val="auto"/>
              </w:rPr>
              <w:t>104</w:t>
            </w:r>
          </w:p>
        </w:tc>
        <w:tc>
          <w:tcPr>
            <w:tcW w:w="480" w:type="dxa"/>
            <w:vAlign w:val="bottom"/>
          </w:tcPr>
          <w:p>
            <w:pPr>
              <w:spacing w:after="0"/>
              <w:rPr>
                <w:sz w:val="10"/>
                <w:szCs w:val="10"/>
                <w:color w:val="auto"/>
              </w:rPr>
            </w:pPr>
          </w:p>
        </w:tc>
        <w:tc>
          <w:tcPr>
            <w:tcW w:w="560" w:type="dxa"/>
            <w:vAlign w:val="bottom"/>
          </w:tcPr>
          <w:p>
            <w:pPr>
              <w:jc w:val="right"/>
              <w:ind w:right="170"/>
              <w:spacing w:after="0"/>
              <w:rPr>
                <w:sz w:val="20"/>
                <w:szCs w:val="20"/>
                <w:color w:val="auto"/>
              </w:rPr>
            </w:pPr>
            <w:r>
              <w:rPr>
                <w:rFonts w:ascii="Arial" w:cs="Arial" w:eastAsia="Arial" w:hAnsi="Arial"/>
                <w:sz w:val="10"/>
                <w:szCs w:val="10"/>
                <w:b w:val="1"/>
                <w:bCs w:val="1"/>
                <w:color w:val="auto"/>
              </w:rPr>
              <w:t>104</w:t>
            </w:r>
          </w:p>
        </w:tc>
        <w:tc>
          <w:tcPr>
            <w:tcW w:w="580" w:type="dxa"/>
            <w:vAlign w:val="bottom"/>
          </w:tcPr>
          <w:p>
            <w:pPr>
              <w:spacing w:after="0"/>
              <w:rPr>
                <w:sz w:val="10"/>
                <w:szCs w:val="10"/>
                <w:color w:val="auto"/>
              </w:rPr>
            </w:pPr>
          </w:p>
        </w:tc>
        <w:tc>
          <w:tcPr>
            <w:tcW w:w="580" w:type="dxa"/>
            <w:vAlign w:val="bottom"/>
            <w:tcBorders>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640" w:type="dxa"/>
            <w:vAlign w:val="bottom"/>
          </w:tcPr>
          <w:p>
            <w:pPr>
              <w:jc w:val="right"/>
              <w:ind w:right="290"/>
              <w:spacing w:after="0"/>
              <w:rPr>
                <w:sz w:val="20"/>
                <w:szCs w:val="20"/>
                <w:color w:val="auto"/>
              </w:rPr>
            </w:pPr>
            <w:r>
              <w:rPr>
                <w:rFonts w:ascii="Arial" w:cs="Arial" w:eastAsia="Arial" w:hAnsi="Arial"/>
                <w:sz w:val="10"/>
                <w:szCs w:val="10"/>
                <w:color w:val="auto"/>
              </w:rPr>
              <w:t>122</w:t>
            </w:r>
          </w:p>
        </w:tc>
        <w:tc>
          <w:tcPr>
            <w:tcW w:w="460" w:type="dxa"/>
            <w:vAlign w:val="bottom"/>
          </w:tcPr>
          <w:p>
            <w:pPr>
              <w:spacing w:after="0"/>
              <w:rPr>
                <w:sz w:val="10"/>
                <w:szCs w:val="10"/>
                <w:color w:val="auto"/>
              </w:rPr>
            </w:pPr>
          </w:p>
        </w:tc>
        <w:tc>
          <w:tcPr>
            <w:tcW w:w="680" w:type="dxa"/>
            <w:vAlign w:val="bottom"/>
          </w:tcPr>
          <w:p>
            <w:pPr>
              <w:jc w:val="right"/>
              <w:ind w:right="290"/>
              <w:spacing w:after="0"/>
              <w:rPr>
                <w:sz w:val="20"/>
                <w:szCs w:val="20"/>
                <w:color w:val="auto"/>
              </w:rPr>
            </w:pPr>
            <w:r>
              <w:rPr>
                <w:rFonts w:ascii="Arial" w:cs="Arial" w:eastAsia="Arial" w:hAnsi="Arial"/>
                <w:sz w:val="10"/>
                <w:szCs w:val="10"/>
                <w:color w:val="auto"/>
              </w:rPr>
              <w:t>11</w:t>
            </w:r>
          </w:p>
        </w:tc>
        <w:tc>
          <w:tcPr>
            <w:tcW w:w="460" w:type="dxa"/>
            <w:vAlign w:val="bottom"/>
          </w:tcPr>
          <w:p>
            <w:pPr>
              <w:spacing w:after="0"/>
              <w:rPr>
                <w:sz w:val="10"/>
                <w:szCs w:val="10"/>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111</w:t>
            </w:r>
          </w:p>
        </w:tc>
        <w:tc>
          <w:tcPr>
            <w:tcW w:w="62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r>
      <w:tr>
        <w:trPr>
          <w:trHeight w:val="90"/>
        </w:trPr>
        <w:tc>
          <w:tcPr>
            <w:tcW w:w="20" w:type="dxa"/>
            <w:vAlign w:val="bottom"/>
          </w:tcPr>
          <w:p>
            <w:pPr>
              <w:spacing w:after="0"/>
              <w:rPr>
                <w:sz w:val="7"/>
                <w:szCs w:val="7"/>
                <w:color w:val="auto"/>
              </w:rPr>
            </w:pPr>
          </w:p>
        </w:tc>
        <w:tc>
          <w:tcPr>
            <w:tcW w:w="2960" w:type="dxa"/>
            <w:vAlign w:val="bottom"/>
            <w:tcBorders>
              <w:top w:val="single" w:sz="8" w:color="0077C0"/>
            </w:tcBorders>
          </w:tcPr>
          <w:p>
            <w:pPr>
              <w:ind w:left="120"/>
              <w:spacing w:after="0" w:line="91" w:lineRule="exact"/>
              <w:rPr>
                <w:sz w:val="20"/>
                <w:szCs w:val="20"/>
                <w:color w:val="auto"/>
              </w:rPr>
            </w:pPr>
            <w:r>
              <w:rPr>
                <w:rFonts w:ascii="Arial" w:cs="Arial" w:eastAsia="Arial" w:hAnsi="Arial"/>
                <w:sz w:val="10"/>
                <w:szCs w:val="10"/>
                <w:b w:val="1"/>
                <w:bCs w:val="1"/>
                <w:color w:val="auto"/>
              </w:rPr>
              <w:t>Total Assets at Fair Value</w:t>
            </w:r>
          </w:p>
        </w:tc>
        <w:tc>
          <w:tcPr>
            <w:tcW w:w="18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0077C0"/>
            </w:tcBorders>
          </w:tcPr>
          <w:p>
            <w:pPr>
              <w:jc w:val="right"/>
              <w:ind w:right="310"/>
              <w:spacing w:after="0" w:line="91" w:lineRule="exact"/>
              <w:rPr>
                <w:sz w:val="20"/>
                <w:szCs w:val="20"/>
                <w:color w:val="auto"/>
              </w:rPr>
            </w:pPr>
            <w:r>
              <w:rPr>
                <w:rFonts w:ascii="Arial" w:cs="Arial" w:eastAsia="Arial" w:hAnsi="Arial"/>
                <w:sz w:val="10"/>
                <w:szCs w:val="10"/>
                <w:b w:val="1"/>
                <w:bCs w:val="1"/>
                <w:color w:val="auto"/>
              </w:rPr>
              <w:t>457</w:t>
            </w:r>
          </w:p>
        </w:tc>
        <w:tc>
          <w:tcPr>
            <w:tcW w:w="460" w:type="dxa"/>
            <w:vAlign w:val="bottom"/>
            <w:tcBorders>
              <w:top w:val="single" w:sz="8" w:color="0077C0"/>
            </w:tcBorders>
          </w:tcPr>
          <w:p>
            <w:pPr>
              <w:jc w:val="right"/>
              <w:ind w:right="9"/>
              <w:spacing w:after="0" w:line="91" w:lineRule="exact"/>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tcBorders>
          </w:tcPr>
          <w:p>
            <w:pPr>
              <w:jc w:val="right"/>
              <w:ind w:right="290"/>
              <w:spacing w:after="0" w:line="91" w:lineRule="exact"/>
              <w:rPr>
                <w:sz w:val="20"/>
                <w:szCs w:val="20"/>
                <w:color w:val="auto"/>
              </w:rPr>
            </w:pPr>
            <w:r>
              <w:rPr>
                <w:rFonts w:ascii="Arial" w:cs="Arial" w:eastAsia="Arial" w:hAnsi="Arial"/>
                <w:sz w:val="10"/>
                <w:szCs w:val="10"/>
                <w:b w:val="1"/>
                <w:bCs w:val="1"/>
                <w:color w:val="auto"/>
              </w:rPr>
              <w:t>353</w:t>
            </w:r>
          </w:p>
        </w:tc>
        <w:tc>
          <w:tcPr>
            <w:tcW w:w="480" w:type="dxa"/>
            <w:vAlign w:val="bottom"/>
            <w:tcBorders>
              <w:top w:val="single" w:sz="8" w:color="0077C0"/>
            </w:tcBorders>
          </w:tcPr>
          <w:p>
            <w:pPr>
              <w:jc w:val="right"/>
              <w:ind w:right="29"/>
              <w:spacing w:after="0" w:line="91" w:lineRule="exact"/>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0077C0"/>
            </w:tcBorders>
          </w:tcPr>
          <w:p>
            <w:pPr>
              <w:jc w:val="right"/>
              <w:ind w:right="170"/>
              <w:spacing w:after="0" w:line="91" w:lineRule="exact"/>
              <w:rPr>
                <w:sz w:val="20"/>
                <w:szCs w:val="20"/>
                <w:color w:val="auto"/>
              </w:rPr>
            </w:pPr>
            <w:r>
              <w:rPr>
                <w:rFonts w:ascii="Arial" w:cs="Arial" w:eastAsia="Arial" w:hAnsi="Arial"/>
                <w:sz w:val="10"/>
                <w:szCs w:val="10"/>
                <w:b w:val="1"/>
                <w:bCs w:val="1"/>
                <w:color w:val="auto"/>
              </w:rPr>
              <w:t>104</w:t>
            </w:r>
          </w:p>
        </w:tc>
        <w:tc>
          <w:tcPr>
            <w:tcW w:w="580" w:type="dxa"/>
            <w:vAlign w:val="bottom"/>
            <w:tcBorders>
              <w:top w:val="single" w:sz="8" w:color="0077C0"/>
            </w:tcBorders>
          </w:tcPr>
          <w:p>
            <w:pPr>
              <w:jc w:val="right"/>
              <w:ind w:right="11"/>
              <w:spacing w:after="0" w:line="91" w:lineRule="exact"/>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0077C0"/>
              <w:right w:val="single" w:sz="8" w:color="0077C0"/>
            </w:tcBorders>
          </w:tcPr>
          <w:p>
            <w:pPr>
              <w:jc w:val="right"/>
              <w:ind w:right="190"/>
              <w:spacing w:after="0" w:line="91" w:lineRule="exact"/>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0077C0"/>
            </w:tcBorders>
          </w:tcPr>
          <w:p>
            <w:pPr>
              <w:jc w:val="right"/>
              <w:ind w:right="69"/>
              <w:spacing w:after="0" w:line="91"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tcBorders>
          </w:tcPr>
          <w:p>
            <w:pPr>
              <w:jc w:val="right"/>
              <w:ind w:right="290"/>
              <w:spacing w:after="0" w:line="91" w:lineRule="exact"/>
              <w:rPr>
                <w:sz w:val="20"/>
                <w:szCs w:val="20"/>
                <w:color w:val="auto"/>
              </w:rPr>
            </w:pPr>
            <w:r>
              <w:rPr>
                <w:rFonts w:ascii="Arial" w:cs="Arial" w:eastAsia="Arial" w:hAnsi="Arial"/>
                <w:sz w:val="10"/>
                <w:szCs w:val="10"/>
                <w:color w:val="auto"/>
              </w:rPr>
              <w:t>277</w:t>
            </w:r>
          </w:p>
        </w:tc>
        <w:tc>
          <w:tcPr>
            <w:tcW w:w="460" w:type="dxa"/>
            <w:vAlign w:val="bottom"/>
            <w:tcBorders>
              <w:top w:val="single" w:sz="8" w:color="0077C0"/>
            </w:tcBorders>
          </w:tcPr>
          <w:p>
            <w:pPr>
              <w:jc w:val="right"/>
              <w:ind w:right="9"/>
              <w:spacing w:after="0" w:line="91"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tcBorders>
          </w:tcPr>
          <w:p>
            <w:pPr>
              <w:jc w:val="right"/>
              <w:ind w:right="290"/>
              <w:spacing w:after="0" w:line="91" w:lineRule="exact"/>
              <w:rPr>
                <w:sz w:val="20"/>
                <w:szCs w:val="20"/>
                <w:color w:val="auto"/>
              </w:rPr>
            </w:pPr>
            <w:r>
              <w:rPr>
                <w:rFonts w:ascii="Arial" w:cs="Arial" w:eastAsia="Arial" w:hAnsi="Arial"/>
                <w:sz w:val="10"/>
                <w:szCs w:val="10"/>
                <w:color w:val="auto"/>
              </w:rPr>
              <w:t>166</w:t>
            </w:r>
          </w:p>
        </w:tc>
        <w:tc>
          <w:tcPr>
            <w:tcW w:w="460" w:type="dxa"/>
            <w:vAlign w:val="bottom"/>
            <w:tcBorders>
              <w:top w:val="single" w:sz="8" w:color="0077C0"/>
            </w:tcBorders>
          </w:tcPr>
          <w:p>
            <w:pPr>
              <w:jc w:val="right"/>
              <w:ind w:right="9"/>
              <w:spacing w:after="0" w:line="91"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0077C0"/>
            </w:tcBorders>
          </w:tcPr>
          <w:p>
            <w:pPr>
              <w:jc w:val="right"/>
              <w:ind w:right="50"/>
              <w:spacing w:after="0" w:line="91" w:lineRule="exact"/>
              <w:rPr>
                <w:sz w:val="20"/>
                <w:szCs w:val="20"/>
                <w:color w:val="auto"/>
              </w:rPr>
            </w:pPr>
            <w:r>
              <w:rPr>
                <w:rFonts w:ascii="Arial" w:cs="Arial" w:eastAsia="Arial" w:hAnsi="Arial"/>
                <w:sz w:val="10"/>
                <w:szCs w:val="10"/>
                <w:color w:val="auto"/>
              </w:rPr>
              <w:t>111</w:t>
            </w:r>
          </w:p>
        </w:tc>
        <w:tc>
          <w:tcPr>
            <w:tcW w:w="62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w:t>
            </w:r>
          </w:p>
        </w:tc>
        <w:tc>
          <w:tcPr>
            <w:tcW w:w="2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r>
      <w:tr>
        <w:trPr>
          <w:trHeight w:val="120"/>
        </w:trPr>
        <w:tc>
          <w:tcPr>
            <w:tcW w:w="2980" w:type="dxa"/>
            <w:vAlign w:val="bottom"/>
            <w:gridSpan w:val="2"/>
          </w:tcPr>
          <w:p>
            <w:pPr>
              <w:spacing w:after="0"/>
              <w:rPr>
                <w:sz w:val="20"/>
                <w:szCs w:val="20"/>
                <w:color w:val="auto"/>
              </w:rPr>
            </w:pPr>
            <w:r>
              <w:rPr>
                <w:rFonts w:ascii="Arial" w:cs="Arial" w:eastAsia="Arial" w:hAnsi="Arial"/>
                <w:sz w:val="10"/>
                <w:szCs w:val="10"/>
                <w:color w:val="auto"/>
              </w:rPr>
              <w:t>Derivatives</w:t>
            </w:r>
          </w:p>
        </w:tc>
        <w:tc>
          <w:tcPr>
            <w:tcW w:w="180" w:type="dxa"/>
            <w:vAlign w:val="bottom"/>
          </w:tcPr>
          <w:p>
            <w:pPr>
              <w:spacing w:after="0"/>
              <w:rPr>
                <w:sz w:val="10"/>
                <w:szCs w:val="10"/>
                <w:color w:val="auto"/>
              </w:rPr>
            </w:pPr>
          </w:p>
        </w:tc>
        <w:tc>
          <w:tcPr>
            <w:tcW w:w="640" w:type="dxa"/>
            <w:vAlign w:val="bottom"/>
          </w:tcPr>
          <w:p>
            <w:pPr>
              <w:jc w:val="right"/>
              <w:ind w:right="310"/>
              <w:spacing w:after="0"/>
              <w:rPr>
                <w:sz w:val="20"/>
                <w:szCs w:val="20"/>
                <w:color w:val="auto"/>
              </w:rPr>
            </w:pPr>
            <w:r>
              <w:rPr>
                <w:rFonts w:ascii="Arial" w:cs="Arial" w:eastAsia="Arial" w:hAnsi="Arial"/>
                <w:sz w:val="10"/>
                <w:szCs w:val="10"/>
                <w:b w:val="1"/>
                <w:bCs w:val="1"/>
                <w:color w:val="auto"/>
              </w:rPr>
              <w:t>102</w:t>
            </w:r>
          </w:p>
        </w:tc>
        <w:tc>
          <w:tcPr>
            <w:tcW w:w="460" w:type="dxa"/>
            <w:vAlign w:val="bottom"/>
          </w:tcPr>
          <w:p>
            <w:pPr>
              <w:spacing w:after="0"/>
              <w:rPr>
                <w:sz w:val="10"/>
                <w:szCs w:val="10"/>
                <w:color w:val="auto"/>
              </w:rPr>
            </w:pPr>
          </w:p>
        </w:tc>
        <w:tc>
          <w:tcPr>
            <w:tcW w:w="680" w:type="dxa"/>
            <w:vAlign w:val="bottom"/>
          </w:tcPr>
          <w:p>
            <w:pPr>
              <w:jc w:val="right"/>
              <w:ind w:right="290"/>
              <w:spacing w:after="0"/>
              <w:rPr>
                <w:sz w:val="20"/>
                <w:szCs w:val="20"/>
                <w:color w:val="auto"/>
              </w:rPr>
            </w:pPr>
            <w:r>
              <w:rPr>
                <w:rFonts w:ascii="Arial" w:cs="Arial" w:eastAsia="Arial" w:hAnsi="Arial"/>
                <w:sz w:val="10"/>
                <w:szCs w:val="10"/>
                <w:b w:val="1"/>
                <w:bCs w:val="1"/>
                <w:color w:val="auto"/>
              </w:rPr>
              <w:t>101</w:t>
            </w:r>
          </w:p>
        </w:tc>
        <w:tc>
          <w:tcPr>
            <w:tcW w:w="480" w:type="dxa"/>
            <w:vAlign w:val="bottom"/>
          </w:tcPr>
          <w:p>
            <w:pPr>
              <w:spacing w:after="0"/>
              <w:rPr>
                <w:sz w:val="10"/>
                <w:szCs w:val="10"/>
                <w:color w:val="auto"/>
              </w:rPr>
            </w:pPr>
          </w:p>
        </w:tc>
        <w:tc>
          <w:tcPr>
            <w:tcW w:w="560" w:type="dxa"/>
            <w:vAlign w:val="bottom"/>
          </w:tcPr>
          <w:p>
            <w:pPr>
              <w:jc w:val="right"/>
              <w:ind w:right="170"/>
              <w:spacing w:after="0"/>
              <w:rPr>
                <w:sz w:val="20"/>
                <w:szCs w:val="20"/>
                <w:color w:val="auto"/>
              </w:rPr>
            </w:pPr>
            <w:r>
              <w:rPr>
                <w:rFonts w:ascii="Arial" w:cs="Arial" w:eastAsia="Arial" w:hAnsi="Arial"/>
                <w:sz w:val="10"/>
                <w:szCs w:val="10"/>
                <w:b w:val="1"/>
                <w:bCs w:val="1"/>
                <w:color w:val="auto"/>
              </w:rPr>
              <w:t>1</w:t>
            </w:r>
          </w:p>
        </w:tc>
        <w:tc>
          <w:tcPr>
            <w:tcW w:w="580" w:type="dxa"/>
            <w:vAlign w:val="bottom"/>
          </w:tcPr>
          <w:p>
            <w:pPr>
              <w:spacing w:after="0"/>
              <w:rPr>
                <w:sz w:val="10"/>
                <w:szCs w:val="10"/>
                <w:color w:val="auto"/>
              </w:rPr>
            </w:pPr>
          </w:p>
        </w:tc>
        <w:tc>
          <w:tcPr>
            <w:tcW w:w="580" w:type="dxa"/>
            <w:vAlign w:val="bottom"/>
            <w:tcBorders>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640" w:type="dxa"/>
            <w:vAlign w:val="bottom"/>
          </w:tcPr>
          <w:p>
            <w:pPr>
              <w:jc w:val="right"/>
              <w:ind w:right="290"/>
              <w:spacing w:after="0"/>
              <w:rPr>
                <w:sz w:val="20"/>
                <w:szCs w:val="20"/>
                <w:color w:val="auto"/>
              </w:rPr>
            </w:pPr>
            <w:r>
              <w:rPr>
                <w:rFonts w:ascii="Arial" w:cs="Arial" w:eastAsia="Arial" w:hAnsi="Arial"/>
                <w:sz w:val="10"/>
                <w:szCs w:val="10"/>
                <w:color w:val="auto"/>
              </w:rPr>
              <w:t>171</w:t>
            </w:r>
          </w:p>
        </w:tc>
        <w:tc>
          <w:tcPr>
            <w:tcW w:w="460" w:type="dxa"/>
            <w:vAlign w:val="bottom"/>
          </w:tcPr>
          <w:p>
            <w:pPr>
              <w:spacing w:after="0"/>
              <w:rPr>
                <w:sz w:val="10"/>
                <w:szCs w:val="10"/>
                <w:color w:val="auto"/>
              </w:rPr>
            </w:pPr>
          </w:p>
        </w:tc>
        <w:tc>
          <w:tcPr>
            <w:tcW w:w="680" w:type="dxa"/>
            <w:vAlign w:val="bottom"/>
          </w:tcPr>
          <w:p>
            <w:pPr>
              <w:jc w:val="right"/>
              <w:ind w:right="290"/>
              <w:spacing w:after="0"/>
              <w:rPr>
                <w:sz w:val="20"/>
                <w:szCs w:val="20"/>
                <w:color w:val="auto"/>
              </w:rPr>
            </w:pPr>
            <w:r>
              <w:rPr>
                <w:rFonts w:ascii="Arial" w:cs="Arial" w:eastAsia="Arial" w:hAnsi="Arial"/>
                <w:sz w:val="10"/>
                <w:szCs w:val="10"/>
                <w:color w:val="auto"/>
              </w:rPr>
              <w:t>75</w:t>
            </w:r>
          </w:p>
        </w:tc>
        <w:tc>
          <w:tcPr>
            <w:tcW w:w="460" w:type="dxa"/>
            <w:vAlign w:val="bottom"/>
          </w:tcPr>
          <w:p>
            <w:pPr>
              <w:spacing w:after="0"/>
              <w:rPr>
                <w:sz w:val="10"/>
                <w:szCs w:val="10"/>
                <w:color w:val="auto"/>
              </w:rPr>
            </w:pPr>
          </w:p>
        </w:tc>
        <w:tc>
          <w:tcPr>
            <w:tcW w:w="420" w:type="dxa"/>
            <w:vAlign w:val="bottom"/>
          </w:tcPr>
          <w:p>
            <w:pPr>
              <w:jc w:val="right"/>
              <w:ind w:right="50"/>
              <w:spacing w:after="0"/>
              <w:rPr>
                <w:sz w:val="20"/>
                <w:szCs w:val="20"/>
                <w:color w:val="auto"/>
              </w:rPr>
            </w:pPr>
            <w:r>
              <w:rPr>
                <w:rFonts w:ascii="Arial" w:cs="Arial" w:eastAsia="Arial" w:hAnsi="Arial"/>
                <w:sz w:val="10"/>
                <w:szCs w:val="10"/>
                <w:color w:val="auto"/>
              </w:rPr>
              <w:t>96</w:t>
            </w:r>
          </w:p>
        </w:tc>
        <w:tc>
          <w:tcPr>
            <w:tcW w:w="62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2960" w:type="dxa"/>
            <w:vAlign w:val="bottom"/>
            <w:tcBorders>
              <w:top w:val="single" w:sz="8" w:color="0077C0"/>
              <w:bottom w:val="single" w:sz="8" w:color="0077C0"/>
            </w:tcBorders>
          </w:tcPr>
          <w:p>
            <w:pPr>
              <w:ind w:left="120"/>
              <w:spacing w:after="0"/>
              <w:rPr>
                <w:sz w:val="20"/>
                <w:szCs w:val="20"/>
                <w:color w:val="auto"/>
              </w:rPr>
            </w:pPr>
            <w:r>
              <w:rPr>
                <w:rFonts w:ascii="Arial" w:cs="Arial" w:eastAsia="Arial" w:hAnsi="Arial"/>
                <w:sz w:val="10"/>
                <w:szCs w:val="10"/>
                <w:b w:val="1"/>
                <w:bCs w:val="1"/>
                <w:color w:val="auto"/>
              </w:rPr>
              <w:t>Total Liabilities at Fair Value</w:t>
            </w:r>
          </w:p>
        </w:tc>
        <w:tc>
          <w:tcPr>
            <w:tcW w:w="180" w:type="dxa"/>
            <w:vAlign w:val="bottom"/>
            <w:tcBorders>
              <w:top w:val="single" w:sz="8" w:color="0077C0"/>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0077C0"/>
              <w:bottom w:val="single" w:sz="8" w:color="0077C0"/>
            </w:tcBorders>
          </w:tcPr>
          <w:p>
            <w:pPr>
              <w:jc w:val="right"/>
              <w:ind w:right="310"/>
              <w:spacing w:after="0"/>
              <w:rPr>
                <w:sz w:val="20"/>
                <w:szCs w:val="20"/>
                <w:color w:val="auto"/>
              </w:rPr>
            </w:pPr>
            <w:r>
              <w:rPr>
                <w:rFonts w:ascii="Arial" w:cs="Arial" w:eastAsia="Arial" w:hAnsi="Arial"/>
                <w:sz w:val="10"/>
                <w:szCs w:val="10"/>
                <w:b w:val="1"/>
                <w:bCs w:val="1"/>
                <w:color w:val="auto"/>
              </w:rPr>
              <w:t>102</w:t>
            </w:r>
          </w:p>
        </w:tc>
        <w:tc>
          <w:tcPr>
            <w:tcW w:w="460" w:type="dxa"/>
            <w:vAlign w:val="bottom"/>
            <w:tcBorders>
              <w:top w:val="single" w:sz="8" w:color="0077C0"/>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101</w:t>
            </w:r>
          </w:p>
        </w:tc>
        <w:tc>
          <w:tcPr>
            <w:tcW w:w="480" w:type="dxa"/>
            <w:vAlign w:val="bottom"/>
            <w:tcBorders>
              <w:top w:val="single" w:sz="8" w:color="0077C0"/>
              <w:bottom w:val="single" w:sz="8" w:color="0077C0"/>
            </w:tcBorders>
          </w:tcPr>
          <w:p>
            <w:pPr>
              <w:jc w:val="right"/>
              <w:ind w:right="29"/>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0077C0"/>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1</w:t>
            </w:r>
          </w:p>
        </w:tc>
        <w:tc>
          <w:tcPr>
            <w:tcW w:w="580" w:type="dxa"/>
            <w:vAlign w:val="bottom"/>
            <w:tcBorders>
              <w:top w:val="single" w:sz="8" w:color="0077C0"/>
              <w:bottom w:val="single" w:sz="8" w:color="0077C0"/>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0077C0"/>
              <w:bottom w:val="single" w:sz="8" w:color="0077C0"/>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740" w:type="dxa"/>
            <w:vAlign w:val="bottom"/>
            <w:tcBorders>
              <w:top w:val="single" w:sz="8" w:color="0077C0"/>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290"/>
              <w:spacing w:after="0"/>
              <w:rPr>
                <w:sz w:val="20"/>
                <w:szCs w:val="20"/>
                <w:color w:val="auto"/>
              </w:rPr>
            </w:pPr>
            <w:r>
              <w:rPr>
                <w:rFonts w:ascii="Arial" w:cs="Arial" w:eastAsia="Arial" w:hAnsi="Arial"/>
                <w:sz w:val="10"/>
                <w:szCs w:val="10"/>
                <w:color w:val="auto"/>
              </w:rPr>
              <w:t>171</w:t>
            </w:r>
          </w:p>
        </w:tc>
        <w:tc>
          <w:tcPr>
            <w:tcW w:w="460" w:type="dxa"/>
            <w:vAlign w:val="bottom"/>
            <w:tcBorders>
              <w:top w:val="single" w:sz="8" w:color="0077C0"/>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290"/>
              <w:spacing w:after="0"/>
              <w:rPr>
                <w:sz w:val="20"/>
                <w:szCs w:val="20"/>
                <w:color w:val="auto"/>
              </w:rPr>
            </w:pPr>
            <w:r>
              <w:rPr>
                <w:rFonts w:ascii="Arial" w:cs="Arial" w:eastAsia="Arial" w:hAnsi="Arial"/>
                <w:sz w:val="10"/>
                <w:szCs w:val="10"/>
                <w:color w:val="auto"/>
              </w:rPr>
              <w:t>75</w:t>
            </w:r>
          </w:p>
        </w:tc>
        <w:tc>
          <w:tcPr>
            <w:tcW w:w="460" w:type="dxa"/>
            <w:vAlign w:val="bottom"/>
            <w:tcBorders>
              <w:top w:val="single" w:sz="8" w:color="0077C0"/>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0077C0"/>
              <w:bottom w:val="single" w:sz="8" w:color="0077C0"/>
            </w:tcBorders>
          </w:tcPr>
          <w:p>
            <w:pPr>
              <w:jc w:val="right"/>
              <w:ind w:right="50"/>
              <w:spacing w:after="0"/>
              <w:rPr>
                <w:sz w:val="20"/>
                <w:szCs w:val="20"/>
                <w:color w:val="auto"/>
              </w:rPr>
            </w:pPr>
            <w:r>
              <w:rPr>
                <w:rFonts w:ascii="Arial" w:cs="Arial" w:eastAsia="Arial" w:hAnsi="Arial"/>
                <w:sz w:val="10"/>
                <w:szCs w:val="10"/>
                <w:color w:val="auto"/>
              </w:rPr>
              <w:t>96</w:t>
            </w:r>
          </w:p>
        </w:tc>
        <w:tc>
          <w:tcPr>
            <w:tcW w:w="62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FS-34</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47"/>
        </w:trPr>
        <w:tc>
          <w:tcPr>
            <w:tcW w:w="20" w:type="dxa"/>
            <w:vAlign w:val="bottom"/>
          </w:tcPr>
          <w:p>
            <w:pPr>
              <w:spacing w:after="0"/>
              <w:rPr>
                <w:sz w:val="12"/>
                <w:szCs w:val="12"/>
                <w:color w:val="auto"/>
              </w:rPr>
            </w:pPr>
          </w:p>
        </w:tc>
        <w:tc>
          <w:tcPr>
            <w:tcW w:w="29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9 </w:t>
      </w:r>
      <w:r>
        <w:rPr>
          <w:rFonts w:ascii="Arial" w:cs="Arial" w:eastAsia="Arial" w:hAnsi="Arial"/>
          <w:sz w:val="8"/>
          <w:szCs w:val="8"/>
          <w:color w:val="000000"/>
        </w:rPr>
        <w:t>Fair Value Measurements - Continued</w:t>
      </w:r>
    </w:p>
    <w:p>
      <w:pPr>
        <w:sectPr>
          <w:pgSz w:w="11900" w:h="16838" w:orient="portrait"/>
          <w:cols w:equalWidth="0" w:num="1">
            <w:col w:w="11480"/>
          </w:cols>
          <w:pgMar w:left="220" w:top="339" w:right="199" w:bottom="1440" w:gutter="0" w:footer="0" w:header="0"/>
        </w:sectPr>
      </w:pPr>
    </w:p>
    <w:p>
      <w:pPr>
        <w:spacing w:after="0" w:line="327" w:lineRule="exact"/>
        <w:rPr>
          <w:sz w:val="20"/>
          <w:szCs w:val="20"/>
          <w:color w:val="auto"/>
        </w:rPr>
      </w:pPr>
    </w:p>
    <w:p>
      <w:pPr>
        <w:ind w:right="140" w:firstLine="160"/>
        <w:spacing w:after="0" w:line="272" w:lineRule="auto"/>
        <w:rPr>
          <w:sz w:val="20"/>
          <w:szCs w:val="20"/>
          <w:color w:val="auto"/>
        </w:rPr>
      </w:pPr>
      <w:r>
        <w:rPr>
          <w:rFonts w:ascii="Arial" w:cs="Arial" w:eastAsia="Arial" w:hAnsi="Arial"/>
          <w:sz w:val="12"/>
          <w:szCs w:val="12"/>
          <w:color w:val="auto"/>
        </w:rPr>
        <w:t>Derivatives classified as Level 2 include swaps, options, and forward contracts principally with financial institutions and other oil and gas companies, the fair values of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 The company incorporates internal review, evaluation and assessment procedures, including a comparison of Level 2 fair values derived from the company’s internally developed forward curves (on a sample basis) with the pricing information to document reasonable, logical and supportable fair value determinations and proper level of classification.</w:t>
      </w:r>
    </w:p>
    <w:p>
      <w:pPr>
        <w:spacing w:after="0" w:line="53"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i w:val="1"/>
          <w:iCs w:val="1"/>
          <w:color w:val="E51837"/>
        </w:rPr>
        <w:t xml:space="preserve">Impairments of “Properties, plant and equipment” </w:t>
      </w:r>
      <w:r>
        <w:rPr>
          <w:rFonts w:ascii="Arial" w:cs="Arial" w:eastAsia="Arial" w:hAnsi="Arial"/>
          <w:sz w:val="13"/>
          <w:szCs w:val="13"/>
          <w:color w:val="000000"/>
        </w:rPr>
        <w:t>The company did not have any material long-lived</w:t>
      </w:r>
      <w:r>
        <w:rPr>
          <w:rFonts w:ascii="Arial" w:cs="Arial" w:eastAsia="Arial" w:hAnsi="Arial"/>
          <w:sz w:val="13"/>
          <w:szCs w:val="13"/>
          <w:i w:val="1"/>
          <w:iCs w:val="1"/>
          <w:color w:val="E51837"/>
        </w:rPr>
        <w:t xml:space="preserve"> </w:t>
      </w:r>
      <w:r>
        <w:rPr>
          <w:rFonts w:ascii="Arial" w:cs="Arial" w:eastAsia="Arial" w:hAnsi="Arial"/>
          <w:sz w:val="13"/>
          <w:szCs w:val="13"/>
          <w:color w:val="000000"/>
        </w:rPr>
        <w:t>assets measured at fair value on a nonrecurring basis to report in 2011 or 2010.</w:t>
      </w:r>
    </w:p>
    <w:p>
      <w:pPr>
        <w:spacing w:after="0" w:line="52" w:lineRule="exact"/>
        <w:rPr>
          <w:sz w:val="20"/>
          <w:szCs w:val="20"/>
          <w:color w:val="auto"/>
        </w:rPr>
      </w:pPr>
    </w:p>
    <w:p>
      <w:pPr>
        <w:ind w:right="260"/>
        <w:spacing w:after="0" w:line="309" w:lineRule="auto"/>
        <w:rPr>
          <w:sz w:val="20"/>
          <w:szCs w:val="20"/>
          <w:color w:val="auto"/>
        </w:rPr>
      </w:pPr>
      <w:r>
        <w:rPr>
          <w:rFonts w:ascii="Arial" w:cs="Arial" w:eastAsia="Arial" w:hAnsi="Arial"/>
          <w:sz w:val="12"/>
          <w:szCs w:val="12"/>
          <w:i w:val="1"/>
          <w:iCs w:val="1"/>
          <w:color w:val="E51837"/>
        </w:rPr>
        <w:t xml:space="preserve">Impairments of “Investments and advances” </w:t>
      </w:r>
      <w:r>
        <w:rPr>
          <w:rFonts w:ascii="Arial" w:cs="Arial" w:eastAsia="Arial" w:hAnsi="Arial"/>
          <w:sz w:val="12"/>
          <w:szCs w:val="12"/>
          <w:color w:val="000000"/>
        </w:rPr>
        <w:t>The company did not have any material investments and</w:t>
      </w:r>
      <w:r>
        <w:rPr>
          <w:rFonts w:ascii="Arial" w:cs="Arial" w:eastAsia="Arial" w:hAnsi="Arial"/>
          <w:sz w:val="12"/>
          <w:szCs w:val="12"/>
          <w:i w:val="1"/>
          <w:iCs w:val="1"/>
          <w:color w:val="E51837"/>
        </w:rPr>
        <w:t xml:space="preserve"> </w:t>
      </w:r>
      <w:r>
        <w:rPr>
          <w:rFonts w:ascii="Arial" w:cs="Arial" w:eastAsia="Arial" w:hAnsi="Arial"/>
          <w:sz w:val="12"/>
          <w:szCs w:val="12"/>
          <w:color w:val="000000"/>
        </w:rPr>
        <w:t>advances measured at fair value on a nonrecurring basis to report in 2011 or 2010.</w:t>
      </w:r>
    </w:p>
    <w:p>
      <w:pPr>
        <w:spacing w:after="0" w:line="29" w:lineRule="exact"/>
        <w:rPr>
          <w:sz w:val="20"/>
          <w:szCs w:val="20"/>
          <w:color w:val="auto"/>
        </w:rPr>
      </w:pPr>
    </w:p>
    <w:p>
      <w:pPr>
        <w:spacing w:after="0" w:line="301" w:lineRule="auto"/>
        <w:rPr>
          <w:sz w:val="20"/>
          <w:szCs w:val="20"/>
          <w:color w:val="auto"/>
        </w:rPr>
      </w:pPr>
      <w:r>
        <w:rPr>
          <w:rFonts w:ascii="Arial" w:cs="Arial" w:eastAsia="Arial" w:hAnsi="Arial"/>
          <w:sz w:val="11"/>
          <w:szCs w:val="11"/>
          <w:i w:val="1"/>
          <w:iCs w:val="1"/>
          <w:color w:val="E51837"/>
        </w:rPr>
        <w:t xml:space="preserve">Assets and Liabilities Not Required to Be Measured at Fair Value </w:t>
      </w:r>
      <w:r>
        <w:rPr>
          <w:rFonts w:ascii="Arial" w:cs="Arial" w:eastAsia="Arial" w:hAnsi="Arial"/>
          <w:sz w:val="11"/>
          <w:szCs w:val="11"/>
          <w:color w:val="000000"/>
        </w:rPr>
        <w:t>The company holds cash equivalents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bank time deposits in U.S. and non-U.S. portfolios. The instruments classified as cash equivalents are primarily bank time deposits with maturities of 90 days or less and money market funds. “Cash and cash equivalents” had carrying/fair values of $15,864 and $14,060 at December 31, 2011, and December 31, 2010, respectively. The instruments held in “Time deposits” are bank time deposits with maturities greater than 90 days, and had carrying/fair values of $3,958 and $2,855 at December 31, 2011, and December 31, 2010, respectively. The fair values of cash, cash equivalents and bank time deposits reflect the cash that would have been received if the instruments were settled at December 31, 2011.</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120" w:firstLine="160"/>
        <w:spacing w:after="0" w:line="294" w:lineRule="auto"/>
        <w:rPr>
          <w:sz w:val="20"/>
          <w:szCs w:val="20"/>
          <w:color w:val="auto"/>
        </w:rPr>
      </w:pPr>
      <w:r>
        <w:rPr>
          <w:rFonts w:ascii="Arial" w:cs="Arial" w:eastAsia="Arial" w:hAnsi="Arial"/>
          <w:sz w:val="11"/>
          <w:szCs w:val="11"/>
          <w:color w:val="auto"/>
        </w:rPr>
        <w:t>“Cash and cash equivalents” do not include investments with a carrying/fair value of $1,240 and $855 at December 31, 2011, and December 31, 2010, respectively. At December 31, 2011, these investments include restricted funds related to various capital-investment projects, acquisitions pending tax deferred exchanges, and Upstream abandonment activities which are reported in “Deferred charges and other assets” on the Consolidated Balance Sheet. Long-term debt of $4,101 and $5,636 at December 31, 2011, and December 31, 2010, had estimated fair values of $4,928 and $6,311, respectively.</w:t>
      </w:r>
    </w:p>
    <w:p>
      <w:pPr>
        <w:spacing w:after="0" w:line="1" w:lineRule="exact"/>
        <w:rPr>
          <w:sz w:val="20"/>
          <w:szCs w:val="20"/>
          <w:color w:val="auto"/>
        </w:rPr>
      </w:pPr>
    </w:p>
    <w:p>
      <w:pPr>
        <w:ind w:right="180" w:firstLine="158"/>
        <w:spacing w:after="0" w:line="250" w:lineRule="auto"/>
        <w:rPr>
          <w:sz w:val="20"/>
          <w:szCs w:val="20"/>
          <w:color w:val="auto"/>
        </w:rPr>
      </w:pPr>
      <w:r>
        <w:rPr>
          <w:rFonts w:ascii="Arial" w:cs="Arial" w:eastAsia="Arial" w:hAnsi="Arial"/>
          <w:sz w:val="13"/>
          <w:szCs w:val="13"/>
          <w:color w:val="auto"/>
        </w:rPr>
        <w:t>The carrying values of short-term financial assets and liabilities on the Consolidated Balance Sheet approximate their fair values. Fair value remeasurements of other financial instruments at December 31, 2011 and 2010 were not material.</w:t>
      </w:r>
    </w:p>
    <w:p>
      <w:pPr>
        <w:spacing w:after="0" w:line="2300" w:lineRule="exact"/>
        <w:rPr>
          <w:sz w:val="20"/>
          <w:szCs w:val="20"/>
          <w:color w:val="auto"/>
        </w:rPr>
      </w:pPr>
    </w:p>
    <w:p>
      <w:pPr>
        <w:sectPr>
          <w:pgSz w:w="11900" w:h="16838" w:orient="portrait"/>
          <w:cols w:equalWidth="0" w:num="2">
            <w:col w:w="5480" w:space="480"/>
            <w:col w:w="5520"/>
          </w:cols>
          <w:pgMar w:left="220" w:top="339" w:right="19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fair value hierarchy for assets and liabilities measured at fair value on a nonrecurring basis at December 31, 2011, is as follows: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E51837"/>
        </w:rPr>
        <w:t>Assets and Liabilities Measured at Fair Value on a Nonrecurring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spacing w:after="0"/>
              <w:rPr>
                <w:sz w:val="9"/>
                <w:szCs w:val="9"/>
                <w:color w:val="auto"/>
              </w:rPr>
            </w:pPr>
          </w:p>
        </w:tc>
        <w:tc>
          <w:tcPr>
            <w:tcW w:w="1000" w:type="dxa"/>
            <w:vAlign w:val="bottom"/>
            <w:tcBorders>
              <w:bottom w:val="single" w:sz="8" w:color="0077C0"/>
            </w:tcBorders>
            <w:gridSpan w:val="2"/>
          </w:tcPr>
          <w:p>
            <w:pPr>
              <w:ind w:left="180"/>
              <w:spacing w:after="0"/>
              <w:rPr>
                <w:sz w:val="20"/>
                <w:szCs w:val="20"/>
                <w:color w:val="auto"/>
              </w:rPr>
            </w:pPr>
            <w:r>
              <w:rPr>
                <w:rFonts w:ascii="Arial" w:cs="Arial" w:eastAsia="Arial" w:hAnsi="Arial"/>
                <w:sz w:val="9"/>
                <w:szCs w:val="9"/>
                <w:color w:val="auto"/>
              </w:rPr>
              <w:t>At December 31</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spacing w:after="0"/>
              <w:rPr>
                <w:sz w:val="9"/>
                <w:szCs w:val="9"/>
                <w:color w:val="auto"/>
              </w:rPr>
            </w:pPr>
          </w:p>
        </w:tc>
        <w:tc>
          <w:tcPr>
            <w:tcW w:w="740" w:type="dxa"/>
            <w:vAlign w:val="bottom"/>
            <w:tcBorders>
              <w:bottom w:val="single" w:sz="8" w:color="0077C0"/>
            </w:tcBorders>
            <w:gridSpan w:val="2"/>
          </w:tcPr>
          <w:p>
            <w:pPr>
              <w:ind w:left="160"/>
              <w:spacing w:after="0"/>
              <w:rPr>
                <w:sz w:val="20"/>
                <w:szCs w:val="20"/>
                <w:color w:val="auto"/>
              </w:rPr>
            </w:pPr>
            <w:r>
              <w:rPr>
                <w:rFonts w:ascii="Arial" w:cs="Arial" w:eastAsia="Arial" w:hAnsi="Arial"/>
                <w:sz w:val="9"/>
                <w:szCs w:val="9"/>
                <w:color w:val="auto"/>
                <w:w w:val="86"/>
              </w:rPr>
              <w:t>At 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Borders>
              <w:right w:val="single" w:sz="8" w:color="0077C0"/>
            </w:tcBorders>
            <w:gridSpan w:val="2"/>
          </w:tcPr>
          <w:p>
            <w:pPr>
              <w:ind w:left="300"/>
              <w:spacing w:after="0" w:line="75" w:lineRule="exact"/>
              <w:rPr>
                <w:sz w:val="20"/>
                <w:szCs w:val="20"/>
                <w:color w:val="auto"/>
              </w:rPr>
            </w:pPr>
            <w:r>
              <w:rPr>
                <w:rFonts w:ascii="Arial" w:cs="Arial" w:eastAsia="Arial" w:hAnsi="Arial"/>
                <w:sz w:val="8"/>
                <w:szCs w:val="8"/>
                <w:color w:val="auto"/>
              </w:rPr>
              <w:t>Before-Tax</w:t>
            </w: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tcPr>
          <w:p>
            <w:pPr>
              <w:ind w:left="300"/>
              <w:spacing w:after="0" w:line="75" w:lineRule="exact"/>
              <w:rPr>
                <w:sz w:val="20"/>
                <w:szCs w:val="20"/>
                <w:color w:val="auto"/>
              </w:rPr>
            </w:pPr>
            <w:r>
              <w:rPr>
                <w:rFonts w:ascii="Arial" w:cs="Arial" w:eastAsia="Arial" w:hAnsi="Arial"/>
                <w:sz w:val="8"/>
                <w:szCs w:val="8"/>
                <w:color w:val="auto"/>
              </w:rPr>
              <w:t>Before-Tax</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ind w:left="300"/>
              <w:spacing w:after="0" w:line="96" w:lineRule="exact"/>
              <w:rPr>
                <w:sz w:val="20"/>
                <w:szCs w:val="20"/>
                <w:color w:val="auto"/>
              </w:rPr>
            </w:pPr>
            <w:r>
              <w:rPr>
                <w:rFonts w:ascii="Arial" w:cs="Arial" w:eastAsia="Arial" w:hAnsi="Arial"/>
                <w:sz w:val="9"/>
                <w:szCs w:val="9"/>
                <w:color w:val="auto"/>
              </w:rPr>
              <w:t>Loss</w:t>
            </w:r>
          </w:p>
        </w:tc>
        <w:tc>
          <w:tcPr>
            <w:tcW w:w="460" w:type="dxa"/>
            <w:vAlign w:val="bottom"/>
            <w:tcBorders>
              <w:right w:val="single" w:sz="8" w:color="0077C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ind w:left="300"/>
              <w:spacing w:after="0" w:line="96" w:lineRule="exact"/>
              <w:rPr>
                <w:sz w:val="20"/>
                <w:szCs w:val="20"/>
                <w:color w:val="auto"/>
              </w:rPr>
            </w:pPr>
            <w:r>
              <w:rPr>
                <w:rFonts w:ascii="Arial" w:cs="Arial" w:eastAsia="Arial" w:hAnsi="Arial"/>
                <w:sz w:val="9"/>
                <w:szCs w:val="9"/>
                <w:color w:val="auto"/>
              </w:rPr>
              <w:t>Loss</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Borders>
              <w:bottom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9"/>
                <w:szCs w:val="9"/>
                <w:color w:val="auto"/>
              </w:rPr>
              <w:t>Total</w:t>
            </w: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9"/>
                <w:szCs w:val="9"/>
                <w:color w:val="auto"/>
              </w:rPr>
              <w:t>Level 1</w:t>
            </w:r>
          </w:p>
        </w:tc>
        <w:tc>
          <w:tcPr>
            <w:tcW w:w="36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jc w:val="right"/>
              <w:ind w:right="190"/>
              <w:spacing w:after="0"/>
              <w:rPr>
                <w:sz w:val="20"/>
                <w:szCs w:val="20"/>
                <w:color w:val="auto"/>
              </w:rPr>
            </w:pPr>
            <w:r>
              <w:rPr>
                <w:rFonts w:ascii="Arial" w:cs="Arial" w:eastAsia="Arial" w:hAnsi="Arial"/>
                <w:sz w:val="9"/>
                <w:szCs w:val="9"/>
                <w:color w:val="auto"/>
              </w:rPr>
              <w:t>Level 2</w:t>
            </w:r>
          </w:p>
        </w:tc>
        <w:tc>
          <w:tcPr>
            <w:tcW w:w="2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color w:val="auto"/>
              </w:rPr>
              <w:t>Level 3</w:t>
            </w:r>
          </w:p>
        </w:tc>
        <w:tc>
          <w:tcPr>
            <w:tcW w:w="1000" w:type="dxa"/>
            <w:vAlign w:val="bottom"/>
            <w:tcBorders>
              <w:bottom w:val="single" w:sz="8" w:color="0077C0"/>
              <w:right w:val="single" w:sz="8" w:color="0077C0"/>
            </w:tcBorders>
            <w:gridSpan w:val="2"/>
          </w:tcPr>
          <w:p>
            <w:pPr>
              <w:ind w:left="300"/>
              <w:spacing w:after="0"/>
              <w:rPr>
                <w:sz w:val="20"/>
                <w:szCs w:val="20"/>
                <w:color w:val="auto"/>
              </w:rPr>
            </w:pPr>
            <w:r>
              <w:rPr>
                <w:rFonts w:ascii="Arial" w:cs="Arial" w:eastAsia="Arial" w:hAnsi="Arial"/>
                <w:sz w:val="9"/>
                <w:szCs w:val="9"/>
                <w:color w:val="auto"/>
              </w:rPr>
              <w:t>Year 2011</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9"/>
                <w:szCs w:val="9"/>
                <w:color w:val="auto"/>
              </w:rPr>
              <w:t>Total</w:t>
            </w: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9"/>
                <w:szCs w:val="9"/>
                <w:color w:val="auto"/>
              </w:rPr>
              <w:t>Level 1</w:t>
            </w:r>
          </w:p>
        </w:tc>
        <w:tc>
          <w:tcPr>
            <w:tcW w:w="36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9"/>
                <w:szCs w:val="9"/>
                <w:color w:val="auto"/>
              </w:rPr>
              <w:t>Level 2</w:t>
            </w:r>
          </w:p>
        </w:tc>
        <w:tc>
          <w:tcPr>
            <w:tcW w:w="36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90"/>
              <w:spacing w:after="0"/>
              <w:rPr>
                <w:sz w:val="20"/>
                <w:szCs w:val="20"/>
                <w:color w:val="auto"/>
              </w:rPr>
            </w:pPr>
            <w:r>
              <w:rPr>
                <w:rFonts w:ascii="Arial" w:cs="Arial" w:eastAsia="Arial" w:hAnsi="Arial"/>
                <w:sz w:val="9"/>
                <w:szCs w:val="9"/>
                <w:color w:val="auto"/>
              </w:rPr>
              <w:t>Level 3</w:t>
            </w:r>
          </w:p>
        </w:tc>
        <w:tc>
          <w:tcPr>
            <w:tcW w:w="740" w:type="dxa"/>
            <w:vAlign w:val="bottom"/>
            <w:tcBorders>
              <w:bottom w:val="single" w:sz="8" w:color="0077C0"/>
            </w:tcBorders>
            <w:gridSpan w:val="2"/>
          </w:tcPr>
          <w:p>
            <w:pPr>
              <w:ind w:left="300"/>
              <w:spacing w:after="0"/>
              <w:rPr>
                <w:sz w:val="20"/>
                <w:szCs w:val="20"/>
                <w:color w:val="auto"/>
              </w:rPr>
            </w:pPr>
            <w:r>
              <w:rPr>
                <w:rFonts w:ascii="Arial" w:cs="Arial" w:eastAsia="Arial" w:hAnsi="Arial"/>
                <w:sz w:val="9"/>
                <w:szCs w:val="9"/>
                <w:color w:val="auto"/>
              </w:rPr>
              <w:t>Year 2010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color w:val="auto"/>
              </w:rPr>
              <w:t>Properties, plant and</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equipment, net</w:t>
            </w:r>
          </w:p>
        </w:tc>
        <w:tc>
          <w:tcPr>
            <w:tcW w:w="160" w:type="dxa"/>
            <w:vAlign w:val="bottom"/>
            <w:vMerge w:val="restart"/>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52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67</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w:t>
            </w:r>
          </w:p>
        </w:tc>
        <w:tc>
          <w:tcPr>
            <w:tcW w:w="36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w:t>
            </w:r>
          </w:p>
        </w:tc>
        <w:tc>
          <w:tcPr>
            <w:tcW w:w="58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67</w:t>
            </w:r>
          </w:p>
        </w:tc>
        <w:tc>
          <w:tcPr>
            <w:tcW w:w="54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81</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(held and used)</w:t>
            </w:r>
          </w:p>
        </w:tc>
        <w:tc>
          <w:tcPr>
            <w:tcW w:w="1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8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57</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w:t>
            </w:r>
          </w:p>
        </w:tc>
        <w:tc>
          <w:tcPr>
            <w:tcW w:w="360" w:type="dxa"/>
            <w:vAlign w:val="bottom"/>
          </w:tcPr>
          <w:p>
            <w:pPr>
              <w:jc w:val="right"/>
              <w:ind w:right="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90"/>
              <w:spacing w:after="0" w:line="106" w:lineRule="exact"/>
              <w:rPr>
                <w:sz w:val="20"/>
                <w:szCs w:val="20"/>
                <w:color w:val="auto"/>
              </w:rPr>
            </w:pPr>
            <w:r>
              <w:rPr>
                <w:rFonts w:ascii="Arial" w:cs="Arial" w:eastAsia="Arial" w:hAnsi="Arial"/>
                <w:sz w:val="10"/>
                <w:szCs w:val="10"/>
                <w:color w:val="auto"/>
              </w:rPr>
              <w:t>57</w:t>
            </w:r>
          </w:p>
        </w:tc>
        <w:tc>
          <w:tcPr>
            <w:tcW w:w="540" w:type="dxa"/>
            <w:vAlign w:val="bottom"/>
          </w:tcPr>
          <w:p>
            <w:pPr>
              <w:ind w:left="300"/>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106" w:lineRule="exact"/>
              <w:rPr>
                <w:sz w:val="20"/>
                <w:szCs w:val="20"/>
                <w:color w:val="auto"/>
              </w:rPr>
            </w:pPr>
            <w:r>
              <w:rPr>
                <w:rFonts w:ascii="Arial" w:cs="Arial" w:eastAsia="Arial" w:hAnsi="Arial"/>
                <w:sz w:val="10"/>
                <w:szCs w:val="10"/>
                <w:color w:val="auto"/>
              </w:rPr>
              <w:t>85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Properties, plant and</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right w:val="single" w:sz="8" w:color="0077C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equipment, net</w:t>
            </w:r>
          </w:p>
        </w:tc>
        <w:tc>
          <w:tcPr>
            <w:tcW w:w="160" w:type="dxa"/>
            <w:vAlign w:val="bottom"/>
          </w:tcPr>
          <w:p>
            <w:pPr>
              <w:spacing w:after="0"/>
              <w:rPr>
                <w:sz w:val="9"/>
                <w:szCs w:val="9"/>
                <w:color w:val="auto"/>
              </w:rPr>
            </w:pPr>
          </w:p>
        </w:tc>
        <w:tc>
          <w:tcPr>
            <w:tcW w:w="52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167</w:t>
            </w:r>
          </w:p>
        </w:tc>
        <w:tc>
          <w:tcPr>
            <w:tcW w:w="360" w:type="dxa"/>
            <w:vAlign w:val="bottom"/>
          </w:tcPr>
          <w:p>
            <w:pPr>
              <w:spacing w:after="0"/>
              <w:rPr>
                <w:sz w:val="9"/>
                <w:szCs w:val="9"/>
                <w:color w:val="auto"/>
              </w:rPr>
            </w:pPr>
          </w:p>
        </w:tc>
        <w:tc>
          <w:tcPr>
            <w:tcW w:w="5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9"/>
                <w:szCs w:val="9"/>
                <w:color w:val="auto"/>
              </w:rPr>
            </w:pPr>
          </w:p>
        </w:tc>
        <w:tc>
          <w:tcPr>
            <w:tcW w:w="580" w:type="dxa"/>
            <w:vAlign w:val="bottom"/>
            <w:vMerge w:val="restart"/>
          </w:tcPr>
          <w:p>
            <w:pPr>
              <w:jc w:val="right"/>
              <w:ind w:right="190"/>
              <w:spacing w:after="0"/>
              <w:rPr>
                <w:sz w:val="20"/>
                <w:szCs w:val="20"/>
                <w:color w:val="auto"/>
              </w:rPr>
            </w:pPr>
            <w:r>
              <w:rPr>
                <w:rFonts w:ascii="Arial" w:cs="Arial" w:eastAsia="Arial" w:hAnsi="Arial"/>
                <w:sz w:val="10"/>
                <w:szCs w:val="10"/>
                <w:b w:val="1"/>
                <w:bCs w:val="1"/>
                <w:color w:val="auto"/>
              </w:rPr>
              <w:t>167</w:t>
            </w:r>
          </w:p>
        </w:tc>
        <w:tc>
          <w:tcPr>
            <w:tcW w:w="280" w:type="dxa"/>
            <w:vAlign w:val="bottom"/>
          </w:tcPr>
          <w:p>
            <w:pPr>
              <w:spacing w:after="0"/>
              <w:rPr>
                <w:sz w:val="9"/>
                <w:szCs w:val="9"/>
                <w:color w:val="auto"/>
              </w:rPr>
            </w:pPr>
          </w:p>
        </w:tc>
        <w:tc>
          <w:tcPr>
            <w:tcW w:w="56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54</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(held for sale)</w:t>
            </w:r>
          </w:p>
        </w:tc>
        <w:tc>
          <w:tcPr>
            <w:tcW w:w="1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jc w:val="right"/>
              <w:ind w:right="170"/>
              <w:spacing w:after="0" w:line="104" w:lineRule="exact"/>
              <w:rPr>
                <w:sz w:val="20"/>
                <w:szCs w:val="20"/>
                <w:color w:val="auto"/>
              </w:rPr>
            </w:pPr>
            <w:r>
              <w:rPr>
                <w:rFonts w:ascii="Arial" w:cs="Arial" w:eastAsia="Arial" w:hAnsi="Arial"/>
                <w:sz w:val="10"/>
                <w:szCs w:val="10"/>
                <w:color w:val="auto"/>
              </w:rPr>
              <w:t>13</w:t>
            </w:r>
          </w:p>
        </w:tc>
        <w:tc>
          <w:tcPr>
            <w:tcW w:w="360" w:type="dxa"/>
            <w:vAlign w:val="bottom"/>
          </w:tcPr>
          <w:p>
            <w:pPr>
              <w:spacing w:after="0"/>
              <w:rPr>
                <w:sz w:val="9"/>
                <w:szCs w:val="9"/>
                <w:color w:val="auto"/>
              </w:rPr>
            </w:pPr>
          </w:p>
        </w:tc>
        <w:tc>
          <w:tcPr>
            <w:tcW w:w="560" w:type="dxa"/>
            <w:vAlign w:val="bottom"/>
          </w:tcPr>
          <w:p>
            <w:pPr>
              <w:jc w:val="right"/>
              <w:ind w:right="170"/>
              <w:spacing w:after="0" w:line="104"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560" w:type="dxa"/>
            <w:vAlign w:val="bottom"/>
          </w:tcPr>
          <w:p>
            <w:pPr>
              <w:jc w:val="right"/>
              <w:ind w:right="170"/>
              <w:spacing w:after="0" w:line="104"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480" w:type="dxa"/>
            <w:vAlign w:val="bottom"/>
          </w:tcPr>
          <w:p>
            <w:pPr>
              <w:jc w:val="right"/>
              <w:ind w:right="90"/>
              <w:spacing w:after="0" w:line="104" w:lineRule="exact"/>
              <w:rPr>
                <w:sz w:val="20"/>
                <w:szCs w:val="20"/>
                <w:color w:val="auto"/>
              </w:rPr>
            </w:pPr>
            <w:r>
              <w:rPr>
                <w:rFonts w:ascii="Arial" w:cs="Arial" w:eastAsia="Arial" w:hAnsi="Arial"/>
                <w:sz w:val="10"/>
                <w:szCs w:val="10"/>
                <w:color w:val="auto"/>
              </w:rPr>
              <w:t>13</w:t>
            </w:r>
          </w:p>
        </w:tc>
        <w:tc>
          <w:tcPr>
            <w:tcW w:w="540" w:type="dxa"/>
            <w:vAlign w:val="bottom"/>
          </w:tcPr>
          <w:p>
            <w:pPr>
              <w:spacing w:after="0"/>
              <w:rPr>
                <w:sz w:val="9"/>
                <w:szCs w:val="9"/>
                <w:color w:val="auto"/>
              </w:rPr>
            </w:pP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Investments and advances</w:t>
            </w:r>
          </w:p>
        </w:tc>
        <w:tc>
          <w:tcPr>
            <w:tcW w:w="16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0077C0"/>
            </w:tcBorders>
          </w:tcPr>
          <w:p>
            <w:pPr>
              <w:spacing w:after="0"/>
              <w:rPr>
                <w:sz w:val="10"/>
                <w:szCs w:val="10"/>
                <w:color w:val="auto"/>
              </w:rPr>
            </w:pPr>
          </w:p>
        </w:tc>
        <w:tc>
          <w:tcPr>
            <w:tcW w:w="58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108</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9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76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Total Nonrecurring</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Borders>
              <w:right w:val="single" w:sz="8" w:color="0077C0"/>
            </w:tcBorders>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tcBorders>
              <w:bottom w:val="single" w:sz="8" w:color="0077C0"/>
            </w:tcBorders>
          </w:tcPr>
          <w:p>
            <w:pPr>
              <w:ind w:left="120"/>
              <w:spacing w:after="0"/>
              <w:rPr>
                <w:sz w:val="20"/>
                <w:szCs w:val="20"/>
                <w:color w:val="auto"/>
              </w:rPr>
            </w:pPr>
            <w:r>
              <w:rPr>
                <w:rFonts w:ascii="Arial" w:cs="Arial" w:eastAsia="Arial" w:hAnsi="Arial"/>
                <w:sz w:val="10"/>
                <w:szCs w:val="10"/>
                <w:b w:val="1"/>
                <w:bCs w:val="1"/>
                <w:color w:val="auto"/>
              </w:rPr>
              <w:t>Assets at Fair Value</w:t>
            </w:r>
          </w:p>
        </w:tc>
        <w:tc>
          <w:tcPr>
            <w:tcW w:w="160" w:type="dxa"/>
            <w:vAlign w:val="bottom"/>
            <w:tcBorders>
              <w:bottom w:val="single" w:sz="8" w:color="0077C0"/>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234</w:t>
            </w:r>
          </w:p>
        </w:tc>
        <w:tc>
          <w:tcPr>
            <w:tcW w:w="36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167</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67</w:t>
            </w:r>
          </w:p>
        </w:tc>
        <w:tc>
          <w:tcPr>
            <w:tcW w:w="540" w:type="dxa"/>
            <w:vAlign w:val="bottom"/>
            <w:tcBorders>
              <w:bottom w:val="single" w:sz="8" w:color="0077C0"/>
            </w:tcBorders>
          </w:tcPr>
          <w:p>
            <w:pPr>
              <w:ind w:left="30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right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243</w:t>
            </w:r>
          </w:p>
        </w:tc>
        <w:tc>
          <w:tcPr>
            <w:tcW w:w="28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70</w:t>
            </w:r>
          </w:p>
        </w:tc>
        <w:tc>
          <w:tcPr>
            <w:tcW w:w="36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90"/>
              <w:spacing w:after="0"/>
              <w:rPr>
                <w:sz w:val="20"/>
                <w:szCs w:val="20"/>
                <w:color w:val="auto"/>
              </w:rPr>
            </w:pPr>
            <w:r>
              <w:rPr>
                <w:rFonts w:ascii="Arial" w:cs="Arial" w:eastAsia="Arial" w:hAnsi="Arial"/>
                <w:sz w:val="10"/>
                <w:szCs w:val="10"/>
                <w:color w:val="auto"/>
              </w:rPr>
              <w:t>70</w:t>
            </w:r>
          </w:p>
        </w:tc>
        <w:tc>
          <w:tcPr>
            <w:tcW w:w="540" w:type="dxa"/>
            <w:vAlign w:val="bottom"/>
            <w:tcBorders>
              <w:bottom w:val="single" w:sz="8" w:color="0077C0"/>
            </w:tcBorders>
          </w:tcPr>
          <w:p>
            <w:pPr>
              <w:ind w:left="3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210"/>
              <w:spacing w:after="0"/>
              <w:rPr>
                <w:sz w:val="20"/>
                <w:szCs w:val="20"/>
                <w:color w:val="auto"/>
              </w:rPr>
            </w:pPr>
            <w:r>
              <w:rPr>
                <w:rFonts w:ascii="Arial" w:cs="Arial" w:eastAsia="Arial" w:hAnsi="Arial"/>
                <w:sz w:val="10"/>
                <w:szCs w:val="10"/>
                <w:color w:val="auto"/>
              </w:rPr>
              <w:t>FS-35</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390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5990" cy="390525"/>
                    </a:xfrm>
                    <a:prstGeom prst="rect">
                      <a:avLst/>
                    </a:prstGeom>
                    <a:noFill/>
                  </pic:spPr>
                </pic:pic>
              </a:graphicData>
            </a:graphic>
          </wp:anchor>
        </w:drawing>
      </w:r>
    </w:p>
    <w:p>
      <w:pPr>
        <w:spacing w:after="0" w:line="300" w:lineRule="exact"/>
        <w:rPr>
          <w:sz w:val="20"/>
          <w:szCs w:val="20"/>
          <w:color w:val="auto"/>
        </w:rPr>
      </w:pPr>
    </w:p>
    <w:p>
      <w:pPr>
        <w:jc w:val="right"/>
        <w:ind w:right="5980"/>
        <w:spacing w:after="0"/>
        <w:rPr>
          <w:sz w:val="20"/>
          <w:szCs w:val="20"/>
          <w:color w:val="auto"/>
        </w:rPr>
      </w:pPr>
      <w:r>
        <w:rPr>
          <w:rFonts w:ascii="Arial" w:cs="Arial" w:eastAsia="Arial" w:hAnsi="Arial"/>
          <w:sz w:val="10"/>
          <w:szCs w:val="10"/>
          <w:color w:val="0077C0"/>
        </w:rPr>
        <w:t>Notes to the Consolidated Financial Statements</w:t>
      </w:r>
    </w:p>
    <w:p>
      <w:pPr>
        <w:jc w:val="right"/>
        <w:ind w:right="5960"/>
        <w:spacing w:after="0"/>
        <w:rPr>
          <w:sz w:val="20"/>
          <w:szCs w:val="20"/>
          <w:color w:val="auto"/>
        </w:rPr>
      </w:pPr>
      <w:r>
        <w:rPr>
          <w:rFonts w:ascii="Arial" w:cs="Arial" w:eastAsia="Arial" w:hAnsi="Arial"/>
          <w:sz w:val="9"/>
          <w:szCs w:val="9"/>
          <w:color w:val="0077C0"/>
        </w:rPr>
        <w:t>Millions of dollars, except per-share amounts</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10</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Financial and Derivative Instruments</w:t>
      </w:r>
    </w:p>
    <w:p>
      <w:pPr>
        <w:ind w:right="120"/>
        <w:spacing w:after="0" w:line="290" w:lineRule="auto"/>
        <w:rPr>
          <w:sz w:val="20"/>
          <w:szCs w:val="20"/>
          <w:color w:val="auto"/>
        </w:rPr>
      </w:pPr>
      <w:r>
        <w:rPr>
          <w:rFonts w:ascii="Arial" w:cs="Arial" w:eastAsia="Arial" w:hAnsi="Arial"/>
          <w:sz w:val="11"/>
          <w:szCs w:val="11"/>
          <w:i w:val="1"/>
          <w:iCs w:val="1"/>
          <w:color w:val="E51837"/>
        </w:rPr>
        <w:t xml:space="preserve">Derivative Commodity Instruments </w:t>
      </w:r>
      <w:r>
        <w:rPr>
          <w:rFonts w:ascii="Arial" w:cs="Arial" w:eastAsia="Arial" w:hAnsi="Arial"/>
          <w:sz w:val="11"/>
          <w:szCs w:val="11"/>
          <w:color w:val="000000"/>
        </w:rPr>
        <w:t>Chevron is exposed to market risks related to price volatility of crude</w:t>
      </w:r>
      <w:r>
        <w:rPr>
          <w:rFonts w:ascii="Arial" w:cs="Arial" w:eastAsia="Arial" w:hAnsi="Arial"/>
          <w:sz w:val="11"/>
          <w:szCs w:val="11"/>
          <w:i w:val="1"/>
          <w:iCs w:val="1"/>
          <w:color w:val="E51837"/>
        </w:rPr>
        <w:t xml:space="preserve"> </w:t>
      </w:r>
      <w:r>
        <w:rPr>
          <w:rFonts w:ascii="Arial" w:cs="Arial" w:eastAsia="Arial" w:hAnsi="Arial"/>
          <w:sz w:val="11"/>
          <w:szCs w:val="11"/>
          <w:color w:val="000000"/>
        </w:rPr>
        <w:t>oil, refined products, natural gas, natural gas liquids, liquefied natural gas and refinery feedstocks.</w:t>
      </w:r>
    </w:p>
    <w:p>
      <w:pPr>
        <w:jc w:val="both"/>
        <w:ind w:right="240" w:firstLine="158"/>
        <w:spacing w:after="0" w:line="291" w:lineRule="auto"/>
        <w:rPr>
          <w:sz w:val="20"/>
          <w:szCs w:val="20"/>
          <w:color w:val="auto"/>
        </w:rPr>
      </w:pPr>
      <w:r>
        <w:rPr>
          <w:rFonts w:ascii="Arial" w:cs="Arial" w:eastAsia="Arial" w:hAnsi="Arial"/>
          <w:sz w:val="11"/>
          <w:szCs w:val="11"/>
          <w:color w:val="auto"/>
        </w:rPr>
        <w:t>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From time to time, the company also uses derivative commodity instruments for limited trading purposes.</w:t>
      </w:r>
    </w:p>
    <w:p>
      <w:pPr>
        <w:spacing w:after="0" w:line="2" w:lineRule="exact"/>
        <w:rPr>
          <w:sz w:val="20"/>
          <w:szCs w:val="20"/>
          <w:color w:val="auto"/>
        </w:rPr>
      </w:pPr>
    </w:p>
    <w:p>
      <w:pPr>
        <w:ind w:right="20" w:firstLine="158"/>
        <w:spacing w:after="0" w:line="267" w:lineRule="auto"/>
        <w:rPr>
          <w:sz w:val="20"/>
          <w:szCs w:val="20"/>
          <w:color w:val="auto"/>
        </w:rPr>
      </w:pPr>
      <w:r>
        <w:rPr>
          <w:rFonts w:ascii="Arial" w:cs="Arial" w:eastAsia="Arial" w:hAnsi="Arial"/>
          <w:sz w:val="12"/>
          <w:szCs w:val="12"/>
          <w:color w:val="auto"/>
        </w:rPr>
        <w:t>The company’s derivative commodity instruments principally include crude oil, natural gas and refined product futures, swaps, options, and forward contracts. None of the company’s derivative instruments is designated as a hedging instrument, although certain of the company’s affiliates make such designation. The company’s derivatives are not material to the company’s financial position, results of operations or liquidity. The company believes it has no material market or credit risks to its operations, financial position or liquidity as a result of its commodity derivative activities.</w:t>
      </w:r>
    </w:p>
    <w:p>
      <w:pPr>
        <w:spacing w:after="0" w:line="1" w:lineRule="exact"/>
        <w:rPr>
          <w:sz w:val="20"/>
          <w:szCs w:val="20"/>
          <w:color w:val="auto"/>
        </w:rPr>
      </w:pPr>
    </w:p>
    <w:p>
      <w:pPr>
        <w:ind w:firstLine="158"/>
        <w:spacing w:after="0" w:line="299" w:lineRule="auto"/>
        <w:rPr>
          <w:sz w:val="20"/>
          <w:szCs w:val="20"/>
          <w:color w:val="auto"/>
        </w:rPr>
      </w:pPr>
      <w:r>
        <w:rPr>
          <w:rFonts w:ascii="Arial" w:cs="Arial" w:eastAsia="Arial" w:hAnsi="Arial"/>
          <w:sz w:val="11"/>
          <w:szCs w:val="11"/>
          <w:color w:val="auto"/>
        </w:rPr>
        <w:t>The company uses International Swaps and Derivatives Association agreements to govern derivative contracts with certain counterparties to mitigate credit risk. Depending on the nature of the derivative transactions, bilateral collateral arrangements may also be required. When the company is engaged in more than one outstanding derivative transaction with the same counterparty and also has a legally enforceable netting agreement with that counterparty, the net mark-to-market exposure represents the netting of the positive and negative exposures with that counterparty and is a reasonable measure of the company’s credit risk exposure. The company also uses other netting agreements with certain counterparties with which it conducts significant transactions to mitigate credit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both"/>
        <w:ind w:right="520" w:firstLine="160"/>
        <w:spacing w:after="0" w:line="256" w:lineRule="auto"/>
        <w:rPr>
          <w:sz w:val="20"/>
          <w:szCs w:val="20"/>
          <w:color w:val="auto"/>
        </w:rPr>
      </w:pPr>
      <w:r>
        <w:rPr>
          <w:rFonts w:ascii="Arial" w:cs="Arial" w:eastAsia="Arial" w:hAnsi="Arial"/>
          <w:sz w:val="13"/>
          <w:szCs w:val="13"/>
          <w:color w:val="auto"/>
        </w:rPr>
        <w:t>Derivative instruments measured at fair value at December 31, 2011, December 31, 2010, and December 31, 2009, and their classification on the Consolidated Balance Sheet and Consolidated Statement of Income are as follows: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E51837"/>
        </w:rPr>
        <w:t>Consolidated Balance Sheet: Fair Value of Derivatives Not Designated as Hedging Instruments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340" w:type="dxa"/>
            <w:vAlign w:val="bottom"/>
          </w:tcPr>
          <w:p>
            <w:pPr>
              <w:ind w:left="560"/>
              <w:spacing w:after="0"/>
              <w:rPr>
                <w:sz w:val="20"/>
                <w:szCs w:val="20"/>
                <w:color w:val="auto"/>
              </w:rPr>
            </w:pPr>
            <w:r>
              <w:rPr>
                <w:rFonts w:ascii="Arial" w:cs="Arial" w:eastAsia="Arial" w:hAnsi="Arial"/>
                <w:sz w:val="9"/>
                <w:szCs w:val="9"/>
                <w:color w:val="auto"/>
              </w:rPr>
              <w:t>Balance Sheet</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spacing w:after="0"/>
              <w:rPr>
                <w:sz w:val="20"/>
                <w:szCs w:val="20"/>
                <w:color w:val="auto"/>
              </w:rPr>
            </w:pPr>
            <w:r>
              <w:rPr>
                <w:rFonts w:ascii="Arial" w:cs="Arial" w:eastAsia="Arial" w:hAnsi="Arial"/>
                <w:sz w:val="9"/>
                <w:szCs w:val="9"/>
                <w:color w:val="auto"/>
                <w:w w:val="89"/>
              </w:rPr>
              <w:t>At December 31</w:t>
            </w:r>
          </w:p>
        </w:tc>
        <w:tc>
          <w:tcPr>
            <w:tcW w:w="140" w:type="dxa"/>
            <w:vAlign w:val="bottom"/>
          </w:tcPr>
          <w:p>
            <w:pPr>
              <w:spacing w:after="0"/>
              <w:rPr>
                <w:sz w:val="8"/>
                <w:szCs w:val="8"/>
                <w:color w:val="auto"/>
              </w:rPr>
            </w:pPr>
          </w:p>
        </w:tc>
        <w:tc>
          <w:tcPr>
            <w:tcW w:w="740" w:type="dxa"/>
            <w:vAlign w:val="bottom"/>
            <w:gridSpan w:val="4"/>
          </w:tcPr>
          <w:p>
            <w:pPr>
              <w:jc w:val="center"/>
              <w:ind w:left="15"/>
              <w:spacing w:after="0"/>
              <w:rPr>
                <w:sz w:val="20"/>
                <w:szCs w:val="20"/>
                <w:color w:val="auto"/>
              </w:rPr>
            </w:pPr>
            <w:r>
              <w:rPr>
                <w:rFonts w:ascii="Arial" w:cs="Arial" w:eastAsia="Arial" w:hAnsi="Arial"/>
                <w:sz w:val="9"/>
                <w:szCs w:val="9"/>
                <w:color w:val="auto"/>
                <w:w w:val="92"/>
              </w:rPr>
              <w:t>At December 31</w:t>
            </w:r>
          </w:p>
        </w:tc>
        <w:tc>
          <w:tcPr>
            <w:tcW w:w="0" w:type="dxa"/>
            <w:vAlign w:val="bottom"/>
          </w:tcPr>
          <w:p>
            <w:pPr>
              <w:spacing w:after="0"/>
              <w:rPr>
                <w:sz w:val="1"/>
                <w:szCs w:val="1"/>
                <w:color w:val="auto"/>
              </w:rPr>
            </w:pPr>
          </w:p>
        </w:tc>
      </w:tr>
      <w:tr>
        <w:trPr>
          <w:trHeight w:val="117"/>
        </w:trPr>
        <w:tc>
          <w:tcPr>
            <w:tcW w:w="880" w:type="dxa"/>
            <w:vAlign w:val="bottom"/>
            <w:tcBorders>
              <w:bottom w:val="single" w:sz="8" w:color="0077C0"/>
            </w:tcBorders>
            <w:gridSpan w:val="2"/>
          </w:tcPr>
          <w:p>
            <w:pPr>
              <w:spacing w:after="0"/>
              <w:rPr>
                <w:sz w:val="20"/>
                <w:szCs w:val="20"/>
                <w:color w:val="auto"/>
              </w:rPr>
            </w:pPr>
            <w:r>
              <w:rPr>
                <w:rFonts w:ascii="Arial" w:cs="Arial" w:eastAsia="Arial" w:hAnsi="Arial"/>
                <w:sz w:val="9"/>
                <w:szCs w:val="9"/>
                <w:color w:val="auto"/>
              </w:rPr>
              <w:t>Type of Contract</w:t>
            </w:r>
          </w:p>
        </w:tc>
        <w:tc>
          <w:tcPr>
            <w:tcW w:w="2340" w:type="dxa"/>
            <w:vAlign w:val="bottom"/>
            <w:tcBorders>
              <w:bottom w:val="single" w:sz="8" w:color="0077C0"/>
            </w:tcBorders>
          </w:tcPr>
          <w:p>
            <w:pPr>
              <w:ind w:left="560"/>
              <w:spacing w:after="0"/>
              <w:rPr>
                <w:sz w:val="20"/>
                <w:szCs w:val="20"/>
                <w:color w:val="auto"/>
              </w:rPr>
            </w:pPr>
            <w:r>
              <w:rPr>
                <w:rFonts w:ascii="Arial" w:cs="Arial" w:eastAsia="Arial" w:hAnsi="Arial"/>
                <w:sz w:val="9"/>
                <w:szCs w:val="9"/>
                <w:color w:val="auto"/>
              </w:rPr>
              <w:t>Classification</w:t>
            </w:r>
          </w:p>
        </w:tc>
        <w:tc>
          <w:tcPr>
            <w:tcW w:w="7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8"/>
                <w:szCs w:val="8"/>
                <w:b w:val="1"/>
                <w:bCs w:val="1"/>
                <w:color w:val="auto"/>
                <w:w w:val="78"/>
              </w:rPr>
              <w:t>2011</w:t>
            </w:r>
          </w:p>
        </w:tc>
        <w:tc>
          <w:tcPr>
            <w:tcW w:w="14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w w:val="89"/>
              </w:rPr>
              <w:t>2010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880" w:type="dxa"/>
            <w:vAlign w:val="bottom"/>
            <w:gridSpan w:val="2"/>
          </w:tcPr>
          <w:p>
            <w:pPr>
              <w:spacing w:after="0" w:line="84" w:lineRule="exact"/>
              <w:rPr>
                <w:sz w:val="20"/>
                <w:szCs w:val="20"/>
                <w:color w:val="auto"/>
              </w:rPr>
            </w:pPr>
            <w:r>
              <w:rPr>
                <w:rFonts w:ascii="Arial" w:cs="Arial" w:eastAsia="Arial" w:hAnsi="Arial"/>
                <w:sz w:val="9"/>
                <w:szCs w:val="9"/>
                <w:color w:val="auto"/>
              </w:rPr>
              <w:t>Commodity</w:t>
            </w:r>
          </w:p>
        </w:tc>
        <w:tc>
          <w:tcPr>
            <w:tcW w:w="2340" w:type="dxa"/>
            <w:vAlign w:val="bottom"/>
          </w:tcPr>
          <w:p>
            <w:pPr>
              <w:ind w:left="560"/>
              <w:spacing w:after="0" w:line="84" w:lineRule="exact"/>
              <w:rPr>
                <w:sz w:val="20"/>
                <w:szCs w:val="20"/>
                <w:color w:val="auto"/>
              </w:rPr>
            </w:pPr>
            <w:r>
              <w:rPr>
                <w:rFonts w:ascii="Arial" w:cs="Arial" w:eastAsia="Arial" w:hAnsi="Arial"/>
                <w:sz w:val="9"/>
                <w:szCs w:val="9"/>
                <w:color w:val="auto"/>
              </w:rPr>
              <w:t>Accounts and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$ 133</w:t>
            </w:r>
          </w:p>
        </w:tc>
        <w:tc>
          <w:tcPr>
            <w:tcW w:w="140" w:type="dxa"/>
            <w:vAlign w:val="bottom"/>
            <w:tcBorders>
              <w:right w:val="single" w:sz="8" w:color="0077C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40" w:type="dxa"/>
            <w:vAlign w:val="bottom"/>
          </w:tcPr>
          <w:p>
            <w:pPr>
              <w:ind w:left="700"/>
              <w:spacing w:after="0" w:line="106" w:lineRule="exact"/>
              <w:rPr>
                <w:sz w:val="20"/>
                <w:szCs w:val="20"/>
                <w:color w:val="auto"/>
              </w:rPr>
            </w:pPr>
            <w:r>
              <w:rPr>
                <w:rFonts w:ascii="Arial" w:cs="Arial" w:eastAsia="Arial" w:hAnsi="Arial"/>
                <w:sz w:val="10"/>
                <w:szCs w:val="10"/>
                <w:color w:val="auto"/>
              </w:rPr>
              <w:t>notes receivable, net</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4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00" w:type="dxa"/>
            <w:vAlign w:val="bottom"/>
          </w:tcPr>
          <w:p>
            <w:pPr>
              <w:jc w:val="right"/>
              <w:spacing w:after="0" w:line="106" w:lineRule="exact"/>
              <w:rPr>
                <w:sz w:val="20"/>
                <w:szCs w:val="20"/>
                <w:color w:val="auto"/>
              </w:rPr>
            </w:pPr>
            <w:r>
              <w:rPr>
                <w:rFonts w:ascii="Arial" w:cs="Arial" w:eastAsia="Arial" w:hAnsi="Arial"/>
                <w:sz w:val="10"/>
                <w:szCs w:val="10"/>
                <w:color w:val="auto"/>
              </w:rPr>
              <w:t>58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 w:type="dxa"/>
            <w:vAlign w:val="bottom"/>
            <w:gridSpan w:val="2"/>
          </w:tcPr>
          <w:p>
            <w:pPr>
              <w:spacing w:after="0" w:line="106" w:lineRule="exact"/>
              <w:rPr>
                <w:sz w:val="20"/>
                <w:szCs w:val="20"/>
                <w:color w:val="auto"/>
              </w:rPr>
            </w:pPr>
            <w:r>
              <w:rPr>
                <w:rFonts w:ascii="Arial" w:cs="Arial" w:eastAsia="Arial" w:hAnsi="Arial"/>
                <w:sz w:val="10"/>
                <w:szCs w:val="10"/>
                <w:color w:val="auto"/>
              </w:rPr>
              <w:t>Commodity</w:t>
            </w:r>
          </w:p>
        </w:tc>
        <w:tc>
          <w:tcPr>
            <w:tcW w:w="2340" w:type="dxa"/>
            <w:vAlign w:val="bottom"/>
          </w:tcPr>
          <w:p>
            <w:pPr>
              <w:ind w:left="560"/>
              <w:spacing w:after="0" w:line="106" w:lineRule="exact"/>
              <w:rPr>
                <w:sz w:val="20"/>
                <w:szCs w:val="20"/>
                <w:color w:val="auto"/>
              </w:rPr>
            </w:pPr>
            <w:r>
              <w:rPr>
                <w:rFonts w:ascii="Arial" w:cs="Arial" w:eastAsia="Arial" w:hAnsi="Arial"/>
                <w:sz w:val="10"/>
                <w:szCs w:val="10"/>
                <w:color w:val="auto"/>
              </w:rPr>
              <w:t>Long-term</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75</w:t>
            </w:r>
          </w:p>
        </w:tc>
        <w:tc>
          <w:tcPr>
            <w:tcW w:w="14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Borders>
              <w:bottom w:val="single" w:sz="8" w:color="0077C0"/>
            </w:tcBorders>
          </w:tcPr>
          <w:p>
            <w:pPr>
              <w:spacing w:after="0"/>
              <w:rPr>
                <w:sz w:val="10"/>
                <w:szCs w:val="10"/>
                <w:color w:val="auto"/>
              </w:rPr>
            </w:pPr>
          </w:p>
        </w:tc>
        <w:tc>
          <w:tcPr>
            <w:tcW w:w="2340" w:type="dxa"/>
            <w:vAlign w:val="bottom"/>
            <w:tcBorders>
              <w:bottom w:val="single" w:sz="8" w:color="0077C0"/>
            </w:tcBorders>
          </w:tcPr>
          <w:p>
            <w:pPr>
              <w:ind w:left="700"/>
              <w:spacing w:after="0"/>
              <w:rPr>
                <w:sz w:val="20"/>
                <w:szCs w:val="20"/>
                <w:color w:val="auto"/>
              </w:rPr>
            </w:pPr>
            <w:r>
              <w:rPr>
                <w:rFonts w:ascii="Arial" w:cs="Arial" w:eastAsia="Arial" w:hAnsi="Arial"/>
                <w:sz w:val="10"/>
                <w:szCs w:val="10"/>
                <w:color w:val="auto"/>
              </w:rPr>
              <w:t>receivables, net</w:t>
            </w:r>
          </w:p>
        </w:tc>
        <w:tc>
          <w:tcPr>
            <w:tcW w:w="7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vMerge w:val="continue"/>
          </w:tcPr>
          <w:p>
            <w:pPr>
              <w:spacing w:after="0"/>
              <w:rPr>
                <w:sz w:val="10"/>
                <w:szCs w:val="10"/>
                <w:color w:val="auto"/>
              </w:rPr>
            </w:pPr>
          </w:p>
        </w:tc>
        <w:tc>
          <w:tcPr>
            <w:tcW w:w="14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Borders>
              <w:bottom w:val="single" w:sz="8" w:color="0077C0"/>
            </w:tcBorders>
            <w:gridSpan w:val="2"/>
          </w:tcPr>
          <w:p>
            <w:pPr>
              <w:ind w:left="120"/>
              <w:spacing w:after="0" w:line="105" w:lineRule="exact"/>
              <w:rPr>
                <w:sz w:val="20"/>
                <w:szCs w:val="20"/>
                <w:color w:val="auto"/>
              </w:rPr>
            </w:pPr>
            <w:r>
              <w:rPr>
                <w:rFonts w:ascii="Arial" w:cs="Arial" w:eastAsia="Arial" w:hAnsi="Arial"/>
                <w:sz w:val="10"/>
                <w:szCs w:val="10"/>
                <w:color w:val="auto"/>
              </w:rPr>
              <w:t>Total Assets at Fair Value</w:t>
            </w:r>
          </w:p>
        </w:tc>
        <w:tc>
          <w:tcPr>
            <w:tcW w:w="7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b w:val="1"/>
                <w:bCs w:val="1"/>
                <w:color w:val="auto"/>
              </w:rPr>
              <w:t>$ 208</w:t>
            </w:r>
          </w:p>
        </w:tc>
        <w:tc>
          <w:tcPr>
            <w:tcW w:w="14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rPr>
              <w:t>$ 122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60" w:type="dxa"/>
            <w:vAlign w:val="bottom"/>
          </w:tcPr>
          <w:p>
            <w:pPr>
              <w:spacing w:after="0" w:line="92" w:lineRule="exact"/>
              <w:rPr>
                <w:sz w:val="20"/>
                <w:szCs w:val="20"/>
                <w:color w:val="auto"/>
              </w:rPr>
            </w:pPr>
            <w:r>
              <w:rPr>
                <w:rFonts w:ascii="Arial" w:cs="Arial" w:eastAsia="Arial" w:hAnsi="Arial"/>
                <w:sz w:val="10"/>
                <w:szCs w:val="10"/>
                <w:color w:val="auto"/>
              </w:rPr>
              <w:t>Commodity</w:t>
            </w:r>
          </w:p>
        </w:tc>
        <w:tc>
          <w:tcPr>
            <w:tcW w:w="2340" w:type="dxa"/>
            <w:vAlign w:val="bottom"/>
          </w:tcPr>
          <w:p>
            <w:pPr>
              <w:ind w:left="560"/>
              <w:spacing w:after="0" w:line="92" w:lineRule="exact"/>
              <w:rPr>
                <w:sz w:val="20"/>
                <w:szCs w:val="20"/>
                <w:color w:val="auto"/>
              </w:rPr>
            </w:pPr>
            <w:r>
              <w:rPr>
                <w:rFonts w:ascii="Arial" w:cs="Arial" w:eastAsia="Arial" w:hAnsi="Arial"/>
                <w:sz w:val="10"/>
                <w:szCs w:val="10"/>
                <w:color w:val="auto"/>
              </w:rPr>
              <w:t>Accounts payable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w:t>
            </w:r>
          </w:p>
        </w:tc>
        <w:tc>
          <w:tcPr>
            <w:tcW w:w="20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36</w:t>
            </w:r>
          </w:p>
        </w:tc>
        <w:tc>
          <w:tcPr>
            <w:tcW w:w="140" w:type="dxa"/>
            <w:vAlign w:val="bottom"/>
            <w:tcBorders>
              <w:right w:val="single" w:sz="8" w:color="0077C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2"/>
          </w:tcPr>
          <w:p>
            <w:pPr>
              <w:jc w:val="right"/>
              <w:spacing w:after="0" w:line="92" w:lineRule="exact"/>
              <w:rPr>
                <w:sz w:val="20"/>
                <w:szCs w:val="20"/>
                <w:color w:val="auto"/>
              </w:rPr>
            </w:pPr>
            <w:r>
              <w:rPr>
                <w:rFonts w:ascii="Arial" w:cs="Arial" w:eastAsia="Arial" w:hAnsi="Arial"/>
                <w:sz w:val="10"/>
                <w:szCs w:val="10"/>
                <w:color w:val="auto"/>
              </w:rPr>
              <w:t>$ 131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80" w:type="dxa"/>
            <w:vAlign w:val="bottom"/>
            <w:gridSpan w:val="2"/>
          </w:tcPr>
          <w:p>
            <w:pPr>
              <w:spacing w:after="0" w:line="106" w:lineRule="exact"/>
              <w:rPr>
                <w:sz w:val="20"/>
                <w:szCs w:val="20"/>
                <w:color w:val="auto"/>
              </w:rPr>
            </w:pPr>
            <w:r>
              <w:rPr>
                <w:rFonts w:ascii="Arial" w:cs="Arial" w:eastAsia="Arial" w:hAnsi="Arial"/>
                <w:sz w:val="10"/>
                <w:szCs w:val="10"/>
                <w:color w:val="auto"/>
              </w:rPr>
              <w:t>Commodity</w:t>
            </w:r>
          </w:p>
        </w:tc>
        <w:tc>
          <w:tcPr>
            <w:tcW w:w="2340" w:type="dxa"/>
            <w:vAlign w:val="bottom"/>
          </w:tcPr>
          <w:p>
            <w:pPr>
              <w:ind w:left="560"/>
              <w:spacing w:after="0" w:line="106" w:lineRule="exact"/>
              <w:rPr>
                <w:sz w:val="20"/>
                <w:szCs w:val="20"/>
                <w:color w:val="auto"/>
              </w:rPr>
            </w:pPr>
            <w:r>
              <w:rPr>
                <w:rFonts w:ascii="Arial" w:cs="Arial" w:eastAsia="Arial" w:hAnsi="Arial"/>
                <w:sz w:val="10"/>
                <w:szCs w:val="10"/>
                <w:color w:val="auto"/>
              </w:rPr>
              <w:t>Deferred credits and other</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66</w:t>
            </w:r>
          </w:p>
        </w:tc>
        <w:tc>
          <w:tcPr>
            <w:tcW w:w="140" w:type="dxa"/>
            <w:vAlign w:val="bottom"/>
            <w:tcBorders>
              <w:right w:val="single" w:sz="8" w:color="0077C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Borders>
              <w:bottom w:val="single" w:sz="8" w:color="0077C0"/>
            </w:tcBorders>
          </w:tcPr>
          <w:p>
            <w:pPr>
              <w:spacing w:after="0"/>
              <w:rPr>
                <w:sz w:val="10"/>
                <w:szCs w:val="10"/>
                <w:color w:val="auto"/>
              </w:rPr>
            </w:pPr>
          </w:p>
        </w:tc>
        <w:tc>
          <w:tcPr>
            <w:tcW w:w="2340" w:type="dxa"/>
            <w:vAlign w:val="bottom"/>
            <w:tcBorders>
              <w:bottom w:val="single" w:sz="8" w:color="0077C0"/>
            </w:tcBorders>
          </w:tcPr>
          <w:p>
            <w:pPr>
              <w:ind w:left="700"/>
              <w:spacing w:after="0"/>
              <w:rPr>
                <w:sz w:val="20"/>
                <w:szCs w:val="20"/>
                <w:color w:val="auto"/>
              </w:rPr>
            </w:pPr>
            <w:r>
              <w:rPr>
                <w:rFonts w:ascii="Arial" w:cs="Arial" w:eastAsia="Arial" w:hAnsi="Arial"/>
                <w:sz w:val="10"/>
                <w:szCs w:val="10"/>
                <w:color w:val="auto"/>
              </w:rPr>
              <w:t>noncurrent obligations</w:t>
            </w:r>
          </w:p>
        </w:tc>
        <w:tc>
          <w:tcPr>
            <w:tcW w:w="7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2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vMerge w:val="continue"/>
          </w:tcPr>
          <w:p>
            <w:pPr>
              <w:spacing w:after="0"/>
              <w:rPr>
                <w:sz w:val="10"/>
                <w:szCs w:val="10"/>
                <w:color w:val="auto"/>
              </w:rPr>
            </w:pPr>
          </w:p>
        </w:tc>
        <w:tc>
          <w:tcPr>
            <w:tcW w:w="14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tcBorders>
              <w:bottom w:val="single" w:sz="8" w:color="0077C0"/>
            </w:tcBorders>
            <w:gridSpan w:val="2"/>
          </w:tcPr>
          <w:p>
            <w:pPr>
              <w:ind w:left="120"/>
              <w:spacing w:after="0" w:line="105" w:lineRule="exact"/>
              <w:rPr>
                <w:sz w:val="20"/>
                <w:szCs w:val="20"/>
                <w:color w:val="auto"/>
              </w:rPr>
            </w:pPr>
            <w:r>
              <w:rPr>
                <w:rFonts w:ascii="Arial" w:cs="Arial" w:eastAsia="Arial" w:hAnsi="Arial"/>
                <w:sz w:val="10"/>
                <w:szCs w:val="10"/>
                <w:color w:val="auto"/>
              </w:rPr>
              <w:t>Total Liabilities at Fair Value</w:t>
            </w:r>
          </w:p>
        </w:tc>
        <w:tc>
          <w:tcPr>
            <w:tcW w:w="7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b w:val="1"/>
                <w:bCs w:val="1"/>
                <w:color w:val="auto"/>
              </w:rPr>
              <w:t>$ 102</w:t>
            </w:r>
          </w:p>
        </w:tc>
        <w:tc>
          <w:tcPr>
            <w:tcW w:w="14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5260" w:type="dxa"/>
            <w:vAlign w:val="bottom"/>
            <w:gridSpan w:val="10"/>
          </w:tcPr>
          <w:p>
            <w:pPr>
              <w:spacing w:after="0"/>
              <w:rPr>
                <w:sz w:val="20"/>
                <w:szCs w:val="20"/>
                <w:color w:val="auto"/>
              </w:rPr>
            </w:pPr>
            <w:r>
              <w:rPr>
                <w:rFonts w:ascii="Arial" w:cs="Arial" w:eastAsia="Arial" w:hAnsi="Arial"/>
                <w:sz w:val="13"/>
                <w:szCs w:val="13"/>
                <w:i w:val="1"/>
                <w:iCs w:val="1"/>
                <w:color w:val="E51837"/>
                <w:w w:val="89"/>
              </w:rPr>
              <w:t>Consolidated Statement of Income: The Effect of Derivatives Not Designated as Hedging Instruments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9"/>
                <w:szCs w:val="9"/>
                <w:color w:val="auto"/>
              </w:rPr>
              <w:t>Gain/(Loss)</w:t>
            </w:r>
          </w:p>
        </w:tc>
        <w:tc>
          <w:tcPr>
            <w:tcW w:w="0" w:type="dxa"/>
            <w:vAlign w:val="bottom"/>
          </w:tcPr>
          <w:p>
            <w:pPr>
              <w:spacing w:after="0"/>
              <w:rPr>
                <w:sz w:val="1"/>
                <w:szCs w:val="1"/>
                <w:color w:val="auto"/>
              </w:rPr>
            </w:pPr>
          </w:p>
        </w:tc>
      </w:tr>
      <w:tr>
        <w:trPr>
          <w:trHeight w:val="107"/>
        </w:trPr>
        <w:tc>
          <w:tcPr>
            <w:tcW w:w="880" w:type="dxa"/>
            <w:vAlign w:val="bottom"/>
            <w:gridSpan w:val="2"/>
          </w:tcPr>
          <w:p>
            <w:pPr>
              <w:spacing w:after="0"/>
              <w:rPr>
                <w:sz w:val="20"/>
                <w:szCs w:val="20"/>
                <w:color w:val="auto"/>
              </w:rPr>
            </w:pPr>
            <w:r>
              <w:rPr>
                <w:rFonts w:ascii="Arial" w:cs="Arial" w:eastAsia="Arial" w:hAnsi="Arial"/>
                <w:sz w:val="9"/>
                <w:szCs w:val="9"/>
                <w:color w:val="auto"/>
              </w:rPr>
              <w:t>Type of Derivative</w:t>
            </w:r>
          </w:p>
        </w:tc>
        <w:tc>
          <w:tcPr>
            <w:tcW w:w="2340" w:type="dxa"/>
            <w:vAlign w:val="bottom"/>
          </w:tcPr>
          <w:p>
            <w:pPr>
              <w:ind w:left="140"/>
              <w:spacing w:after="0"/>
              <w:rPr>
                <w:sz w:val="20"/>
                <w:szCs w:val="20"/>
                <w:color w:val="auto"/>
              </w:rPr>
            </w:pPr>
            <w:r>
              <w:rPr>
                <w:rFonts w:ascii="Arial" w:cs="Arial" w:eastAsia="Arial" w:hAnsi="Arial"/>
                <w:sz w:val="9"/>
                <w:szCs w:val="9"/>
                <w:color w:val="auto"/>
              </w:rPr>
              <w:t>Statement of</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gridSpan w:val="6"/>
          </w:tcPr>
          <w:p>
            <w:pPr>
              <w:jc w:val="right"/>
              <w:ind w:right="40"/>
              <w:spacing w:after="0"/>
              <w:rPr>
                <w:sz w:val="20"/>
                <w:szCs w:val="20"/>
                <w:color w:val="auto"/>
              </w:rPr>
            </w:pPr>
            <w:r>
              <w:rPr>
                <w:rFonts w:ascii="Arial" w:cs="Arial" w:eastAsia="Arial" w:hAnsi="Arial"/>
                <w:sz w:val="9"/>
                <w:szCs w:val="9"/>
                <w:color w:val="auto"/>
                <w:w w:val="98"/>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0077C0"/>
            </w:tcBorders>
          </w:tcPr>
          <w:p>
            <w:pPr>
              <w:ind w:left="340"/>
              <w:spacing w:after="0" w:line="94" w:lineRule="exact"/>
              <w:rPr>
                <w:sz w:val="20"/>
                <w:szCs w:val="20"/>
                <w:color w:val="auto"/>
              </w:rPr>
            </w:pPr>
            <w:r>
              <w:rPr>
                <w:rFonts w:ascii="Arial" w:cs="Arial" w:eastAsia="Arial" w:hAnsi="Arial"/>
                <w:sz w:val="9"/>
                <w:szCs w:val="9"/>
                <w:color w:val="auto"/>
              </w:rPr>
              <w:t>Contract</w:t>
            </w:r>
          </w:p>
        </w:tc>
        <w:tc>
          <w:tcPr>
            <w:tcW w:w="2340" w:type="dxa"/>
            <w:vAlign w:val="bottom"/>
            <w:tcBorders>
              <w:bottom w:val="single" w:sz="8" w:color="0077C0"/>
            </w:tcBorders>
          </w:tcPr>
          <w:p>
            <w:pPr>
              <w:ind w:left="140"/>
              <w:spacing w:after="0" w:line="94" w:lineRule="exact"/>
              <w:rPr>
                <w:sz w:val="20"/>
                <w:szCs w:val="20"/>
                <w:color w:val="auto"/>
              </w:rPr>
            </w:pPr>
            <w:r>
              <w:rPr>
                <w:rFonts w:ascii="Arial" w:cs="Arial" w:eastAsia="Arial" w:hAnsi="Arial"/>
                <w:sz w:val="9"/>
                <w:szCs w:val="9"/>
                <w:color w:val="auto"/>
              </w:rPr>
              <w:t>Income Classification</w:t>
            </w:r>
          </w:p>
        </w:tc>
        <w:tc>
          <w:tcPr>
            <w:tcW w:w="70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20" w:type="dxa"/>
            <w:vAlign w:val="bottom"/>
            <w:tcBorders>
              <w:top w:val="single" w:sz="8" w:color="0077C0"/>
              <w:bottom w:val="single" w:sz="8" w:color="0077C0"/>
            </w:tcBorders>
          </w:tcPr>
          <w:p>
            <w:pPr>
              <w:jc w:val="right"/>
              <w:ind w:right="110"/>
              <w:spacing w:after="0" w:line="96" w:lineRule="exact"/>
              <w:rPr>
                <w:sz w:val="20"/>
                <w:szCs w:val="20"/>
                <w:color w:val="auto"/>
              </w:rPr>
            </w:pPr>
            <w:r>
              <w:rPr>
                <w:rFonts w:ascii="Arial" w:cs="Arial" w:eastAsia="Arial" w:hAnsi="Arial"/>
                <w:sz w:val="9"/>
                <w:szCs w:val="9"/>
                <w:b w:val="1"/>
                <w:bCs w:val="1"/>
                <w:color w:val="auto"/>
              </w:rPr>
              <w:t>2011</w:t>
            </w:r>
          </w:p>
        </w:tc>
        <w:tc>
          <w:tcPr>
            <w:tcW w:w="20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gridSpan w:val="2"/>
          </w:tcPr>
          <w:p>
            <w:pPr>
              <w:jc w:val="right"/>
              <w:ind w:right="75"/>
              <w:spacing w:after="0" w:line="96" w:lineRule="exact"/>
              <w:rPr>
                <w:sz w:val="20"/>
                <w:szCs w:val="20"/>
                <w:color w:val="auto"/>
              </w:rPr>
            </w:pPr>
            <w:r>
              <w:rPr>
                <w:rFonts w:ascii="Arial" w:cs="Arial" w:eastAsia="Arial" w:hAnsi="Arial"/>
                <w:sz w:val="9"/>
                <w:szCs w:val="9"/>
                <w:color w:val="auto"/>
                <w:w w:val="99"/>
              </w:rPr>
              <w:t>2010</w:t>
            </w:r>
          </w:p>
        </w:tc>
        <w:tc>
          <w:tcPr>
            <w:tcW w:w="300" w:type="dxa"/>
            <w:vAlign w:val="bottom"/>
            <w:tcBorders>
              <w:top w:val="single" w:sz="8" w:color="0077C0"/>
              <w:bottom w:val="single" w:sz="8" w:color="0077C0"/>
            </w:tcBorders>
          </w:tcPr>
          <w:p>
            <w:pPr>
              <w:spacing w:after="0"/>
              <w:rPr>
                <w:sz w:val="8"/>
                <w:szCs w:val="8"/>
                <w:color w:val="auto"/>
              </w:rPr>
            </w:pPr>
          </w:p>
        </w:tc>
        <w:tc>
          <w:tcPr>
            <w:tcW w:w="2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w w:val="89"/>
              </w:rPr>
              <w:t>2009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60" w:type="dxa"/>
            <w:vAlign w:val="bottom"/>
          </w:tcPr>
          <w:p>
            <w:pPr>
              <w:spacing w:after="0" w:line="83" w:lineRule="exact"/>
              <w:rPr>
                <w:sz w:val="20"/>
                <w:szCs w:val="20"/>
                <w:color w:val="auto"/>
              </w:rPr>
            </w:pPr>
            <w:r>
              <w:rPr>
                <w:rFonts w:ascii="Arial" w:cs="Arial" w:eastAsia="Arial" w:hAnsi="Arial"/>
                <w:sz w:val="9"/>
                <w:szCs w:val="9"/>
                <w:color w:val="auto"/>
              </w:rPr>
              <w:t>Foreign Exchange</w:t>
            </w:r>
          </w:p>
        </w:tc>
        <w:tc>
          <w:tcPr>
            <w:tcW w:w="2340" w:type="dxa"/>
            <w:vAlign w:val="bottom"/>
          </w:tcPr>
          <w:p>
            <w:pPr>
              <w:ind w:left="140"/>
              <w:spacing w:after="0" w:line="83" w:lineRule="exact"/>
              <w:rPr>
                <w:sz w:val="20"/>
                <w:szCs w:val="20"/>
                <w:color w:val="auto"/>
              </w:rPr>
            </w:pPr>
            <w:r>
              <w:rPr>
                <w:rFonts w:ascii="Arial" w:cs="Arial" w:eastAsia="Arial" w:hAnsi="Arial"/>
                <w:sz w:val="9"/>
                <w:szCs w:val="9"/>
                <w:color w:val="auto"/>
              </w:rPr>
              <w:t>Other income</w:t>
            </w:r>
          </w:p>
        </w:tc>
        <w:tc>
          <w:tcPr>
            <w:tcW w:w="780" w:type="dxa"/>
            <w:vAlign w:val="bottom"/>
            <w:gridSpan w:val="2"/>
          </w:tcPr>
          <w:p>
            <w:pPr>
              <w:jc w:val="right"/>
              <w:ind w:right="20"/>
              <w:spacing w:after="0" w:line="83" w:lineRule="exact"/>
              <w:rPr>
                <w:sz w:val="20"/>
                <w:szCs w:val="20"/>
                <w:color w:val="auto"/>
              </w:rPr>
            </w:pPr>
            <w:r>
              <w:rPr>
                <w:rFonts w:ascii="Arial" w:cs="Arial" w:eastAsia="Arial" w:hAnsi="Arial"/>
                <w:sz w:val="9"/>
                <w:szCs w:val="9"/>
                <w:b w:val="1"/>
                <w:bCs w:val="1"/>
                <w:color w:val="auto"/>
              </w:rPr>
              <w:t>$</w:t>
            </w:r>
          </w:p>
        </w:tc>
        <w:tc>
          <w:tcPr>
            <w:tcW w:w="420" w:type="dxa"/>
            <w:vAlign w:val="bottom"/>
            <w:tcBorders>
              <w:right w:val="single" w:sz="8" w:color="0077C0"/>
            </w:tcBorders>
          </w:tcPr>
          <w:p>
            <w:pPr>
              <w:jc w:val="right"/>
              <w:ind w:right="110"/>
              <w:spacing w:after="0" w:line="83" w:lineRule="exact"/>
              <w:rPr>
                <w:sz w:val="20"/>
                <w:szCs w:val="20"/>
                <w:color w:val="auto"/>
              </w:rPr>
            </w:pPr>
            <w:r>
              <w:rPr>
                <w:rFonts w:ascii="Arial" w:cs="Arial" w:eastAsia="Arial" w:hAnsi="Arial"/>
                <w:sz w:val="9"/>
                <w:szCs w:val="9"/>
                <w:b w:val="1"/>
                <w:bCs w:val="1"/>
                <w:color w:val="auto"/>
              </w:rPr>
              <w:t>–</w:t>
            </w:r>
          </w:p>
        </w:tc>
        <w:tc>
          <w:tcPr>
            <w:tcW w:w="200" w:type="dxa"/>
            <w:vAlign w:val="bottom"/>
          </w:tcPr>
          <w:p>
            <w:pPr>
              <w:jc w:val="right"/>
              <w:ind w:right="12"/>
              <w:spacing w:after="0" w:line="83"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200" w:type="dxa"/>
            <w:vAlign w:val="bottom"/>
          </w:tcPr>
          <w:p>
            <w:pPr>
              <w:jc w:val="right"/>
              <w:ind w:right="75"/>
              <w:spacing w:after="0" w:line="83" w:lineRule="exact"/>
              <w:rPr>
                <w:sz w:val="20"/>
                <w:szCs w:val="20"/>
                <w:color w:val="auto"/>
              </w:rPr>
            </w:pPr>
            <w:r>
              <w:rPr>
                <w:rFonts w:ascii="Arial" w:cs="Arial" w:eastAsia="Arial" w:hAnsi="Arial"/>
                <w:sz w:val="9"/>
                <w:szCs w:val="9"/>
                <w:color w:val="auto"/>
              </w:rPr>
              <w:t>–</w:t>
            </w:r>
          </w:p>
        </w:tc>
        <w:tc>
          <w:tcPr>
            <w:tcW w:w="300" w:type="dxa"/>
            <w:vAlign w:val="bottom"/>
          </w:tcPr>
          <w:p>
            <w:pPr>
              <w:jc w:val="center"/>
              <w:ind w:left="7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jc w:val="right"/>
              <w:spacing w:after="0" w:line="83" w:lineRule="exact"/>
              <w:rPr>
                <w:sz w:val="20"/>
                <w:szCs w:val="20"/>
                <w:color w:val="auto"/>
              </w:rPr>
            </w:pPr>
            <w:r>
              <w:rPr>
                <w:rFonts w:ascii="Arial" w:cs="Arial" w:eastAsia="Arial" w:hAnsi="Arial"/>
                <w:sz w:val="9"/>
                <w:szCs w:val="9"/>
                <w:color w:val="auto"/>
              </w:rPr>
              <w:t>26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80" w:type="dxa"/>
            <w:vAlign w:val="bottom"/>
            <w:gridSpan w:val="2"/>
          </w:tcPr>
          <w:p>
            <w:pPr>
              <w:spacing w:after="0" w:line="106" w:lineRule="exact"/>
              <w:rPr>
                <w:sz w:val="20"/>
                <w:szCs w:val="20"/>
                <w:color w:val="auto"/>
              </w:rPr>
            </w:pPr>
            <w:r>
              <w:rPr>
                <w:rFonts w:ascii="Arial" w:cs="Arial" w:eastAsia="Arial" w:hAnsi="Arial"/>
                <w:sz w:val="10"/>
                <w:szCs w:val="10"/>
                <w:color w:val="auto"/>
              </w:rPr>
              <w:t>Commodity</w:t>
            </w:r>
          </w:p>
        </w:tc>
        <w:tc>
          <w:tcPr>
            <w:tcW w:w="2340" w:type="dxa"/>
            <w:vAlign w:val="bottom"/>
          </w:tcPr>
          <w:p>
            <w:pPr>
              <w:ind w:left="140"/>
              <w:spacing w:after="0" w:line="106" w:lineRule="exact"/>
              <w:rPr>
                <w:sz w:val="20"/>
                <w:szCs w:val="20"/>
                <w:color w:val="auto"/>
              </w:rPr>
            </w:pPr>
            <w:r>
              <w:rPr>
                <w:rFonts w:ascii="Arial" w:cs="Arial" w:eastAsia="Arial" w:hAnsi="Arial"/>
                <w:sz w:val="10"/>
                <w:szCs w:val="10"/>
                <w:color w:val="auto"/>
              </w:rPr>
              <w:t>Sales and other</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vMerge w:val="restart"/>
          </w:tcPr>
          <w:p>
            <w:pPr>
              <w:jc w:val="right"/>
              <w:ind w:right="90"/>
              <w:spacing w:after="0"/>
              <w:rPr>
                <w:sz w:val="20"/>
                <w:szCs w:val="20"/>
                <w:color w:val="auto"/>
              </w:rPr>
            </w:pPr>
            <w:r>
              <w:rPr>
                <w:rFonts w:ascii="Arial" w:cs="Arial" w:eastAsia="Arial" w:hAnsi="Arial"/>
                <w:sz w:val="10"/>
                <w:szCs w:val="10"/>
                <w:b w:val="1"/>
                <w:bCs w:val="1"/>
                <w:color w:val="auto"/>
              </w:rPr>
              <w:t>(255)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40" w:type="dxa"/>
            <w:vAlign w:val="bottom"/>
          </w:tcPr>
          <w:p>
            <w:pPr>
              <w:ind w:left="280"/>
              <w:spacing w:after="0" w:line="106" w:lineRule="exact"/>
              <w:rPr>
                <w:sz w:val="20"/>
                <w:szCs w:val="20"/>
                <w:color w:val="auto"/>
              </w:rPr>
            </w:pPr>
            <w:r>
              <w:rPr>
                <w:rFonts w:ascii="Arial" w:cs="Arial" w:eastAsia="Arial" w:hAnsi="Arial"/>
                <w:sz w:val="10"/>
                <w:szCs w:val="10"/>
                <w:color w:val="auto"/>
              </w:rPr>
              <w:t>operating revenues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jc w:val="right"/>
              <w:ind w:right="35"/>
              <w:spacing w:after="0" w:line="106" w:lineRule="exact"/>
              <w:rPr>
                <w:sz w:val="20"/>
                <w:szCs w:val="20"/>
                <w:color w:val="auto"/>
              </w:rPr>
            </w:pPr>
            <w:r>
              <w:rPr>
                <w:rFonts w:ascii="Arial" w:cs="Arial" w:eastAsia="Arial" w:hAnsi="Arial"/>
                <w:sz w:val="10"/>
                <w:szCs w:val="10"/>
                <w:color w:val="auto"/>
              </w:rPr>
              <w:t>(98)</w:t>
            </w:r>
          </w:p>
        </w:tc>
        <w:tc>
          <w:tcPr>
            <w:tcW w:w="300" w:type="dxa"/>
            <w:vAlign w:val="bottom"/>
          </w:tcPr>
          <w:p>
            <w:pPr>
              <w:spacing w:after="0"/>
              <w:rPr>
                <w:sz w:val="9"/>
                <w:szCs w:val="9"/>
                <w:color w:val="auto"/>
              </w:rPr>
            </w:pPr>
          </w:p>
        </w:tc>
        <w:tc>
          <w:tcPr>
            <w:tcW w:w="2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06"/>
        </w:trPr>
        <w:tc>
          <w:tcPr>
            <w:tcW w:w="880" w:type="dxa"/>
            <w:vAlign w:val="bottom"/>
            <w:gridSpan w:val="2"/>
          </w:tcPr>
          <w:p>
            <w:pPr>
              <w:spacing w:after="0" w:line="106" w:lineRule="exact"/>
              <w:rPr>
                <w:sz w:val="20"/>
                <w:szCs w:val="20"/>
                <w:color w:val="auto"/>
              </w:rPr>
            </w:pPr>
            <w:r>
              <w:rPr>
                <w:rFonts w:ascii="Arial" w:cs="Arial" w:eastAsia="Arial" w:hAnsi="Arial"/>
                <w:sz w:val="10"/>
                <w:szCs w:val="10"/>
                <w:color w:val="auto"/>
              </w:rPr>
              <w:t>Commodity</w:t>
            </w:r>
          </w:p>
        </w:tc>
        <w:tc>
          <w:tcPr>
            <w:tcW w:w="2340" w:type="dxa"/>
            <w:vAlign w:val="bottom"/>
          </w:tcPr>
          <w:p>
            <w:pPr>
              <w:ind w:left="140"/>
              <w:spacing w:after="0" w:line="106" w:lineRule="exact"/>
              <w:rPr>
                <w:sz w:val="20"/>
                <w:szCs w:val="20"/>
                <w:color w:val="auto"/>
              </w:rPr>
            </w:pPr>
            <w:r>
              <w:rPr>
                <w:rFonts w:ascii="Arial" w:cs="Arial" w:eastAsia="Arial" w:hAnsi="Arial"/>
                <w:sz w:val="10"/>
                <w:szCs w:val="10"/>
                <w:color w:val="auto"/>
              </w:rPr>
              <w:t>Purchased crude oil</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vMerge w:val="restart"/>
          </w:tcPr>
          <w:p>
            <w:pPr>
              <w:jc w:val="right"/>
              <w:ind w:right="110"/>
              <w:spacing w:after="0"/>
              <w:rPr>
                <w:sz w:val="20"/>
                <w:szCs w:val="20"/>
                <w:color w:val="auto"/>
              </w:rPr>
            </w:pPr>
            <w:r>
              <w:rPr>
                <w:rFonts w:ascii="Arial" w:cs="Arial" w:eastAsia="Arial" w:hAnsi="Arial"/>
                <w:sz w:val="10"/>
                <w:szCs w:val="10"/>
                <w:b w:val="1"/>
                <w:bCs w:val="1"/>
                <w:color w:val="auto"/>
              </w:rPr>
              <w:t>15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40" w:type="dxa"/>
            <w:vAlign w:val="bottom"/>
          </w:tcPr>
          <w:p>
            <w:pPr>
              <w:ind w:left="280"/>
              <w:spacing w:after="0" w:line="104" w:lineRule="exact"/>
              <w:rPr>
                <w:sz w:val="20"/>
                <w:szCs w:val="20"/>
                <w:color w:val="auto"/>
              </w:rPr>
            </w:pPr>
            <w:r>
              <w:rPr>
                <w:rFonts w:ascii="Arial" w:cs="Arial" w:eastAsia="Arial" w:hAnsi="Arial"/>
                <w:sz w:val="10"/>
                <w:szCs w:val="10"/>
                <w:color w:val="auto"/>
              </w:rPr>
              <w:t>and products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right w:val="single" w:sz="8" w:color="0077C0"/>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jc w:val="right"/>
              <w:ind w:right="35"/>
              <w:spacing w:after="0" w:line="104" w:lineRule="exact"/>
              <w:rPr>
                <w:sz w:val="20"/>
                <w:szCs w:val="20"/>
                <w:color w:val="auto"/>
              </w:rPr>
            </w:pPr>
            <w:r>
              <w:rPr>
                <w:rFonts w:ascii="Arial" w:cs="Arial" w:eastAsia="Arial" w:hAnsi="Arial"/>
                <w:sz w:val="10"/>
                <w:szCs w:val="10"/>
                <w:color w:val="auto"/>
              </w:rPr>
              <w:t>(36)</w:t>
            </w:r>
          </w:p>
        </w:tc>
        <w:tc>
          <w:tcPr>
            <w:tcW w:w="300" w:type="dxa"/>
            <w:vAlign w:val="bottom"/>
          </w:tcPr>
          <w:p>
            <w:pPr>
              <w:spacing w:after="0"/>
              <w:rPr>
                <w:sz w:val="9"/>
                <w:szCs w:val="9"/>
                <w:color w:val="auto"/>
              </w:rPr>
            </w:pPr>
          </w:p>
        </w:tc>
        <w:tc>
          <w:tcPr>
            <w:tcW w:w="240" w:type="dxa"/>
            <w:vAlign w:val="bottom"/>
            <w:gridSpan w:val="2"/>
          </w:tcPr>
          <w:p>
            <w:pPr>
              <w:jc w:val="right"/>
              <w:spacing w:after="0" w:line="104" w:lineRule="exact"/>
              <w:rPr>
                <w:sz w:val="20"/>
                <w:szCs w:val="20"/>
                <w:color w:val="auto"/>
              </w:rPr>
            </w:pPr>
            <w:r>
              <w:rPr>
                <w:rFonts w:ascii="Arial" w:cs="Arial" w:eastAsia="Arial" w:hAnsi="Arial"/>
                <w:sz w:val="10"/>
                <w:szCs w:val="10"/>
                <w:color w:val="auto"/>
                <w:w w:val="94"/>
              </w:rPr>
              <w:t>(353)</w:t>
            </w:r>
          </w:p>
        </w:tc>
        <w:tc>
          <w:tcPr>
            <w:tcW w:w="0" w:type="dxa"/>
            <w:vAlign w:val="bottom"/>
          </w:tcPr>
          <w:p>
            <w:pPr>
              <w:spacing w:after="0"/>
              <w:rPr>
                <w:sz w:val="1"/>
                <w:szCs w:val="1"/>
                <w:color w:val="auto"/>
              </w:rPr>
            </w:pPr>
          </w:p>
        </w:tc>
      </w:tr>
      <w:tr>
        <w:trPr>
          <w:trHeight w:val="120"/>
        </w:trPr>
        <w:tc>
          <w:tcPr>
            <w:tcW w:w="880" w:type="dxa"/>
            <w:vAlign w:val="bottom"/>
            <w:gridSpan w:val="2"/>
          </w:tcPr>
          <w:p>
            <w:pPr>
              <w:spacing w:after="0"/>
              <w:rPr>
                <w:sz w:val="20"/>
                <w:szCs w:val="20"/>
                <w:color w:val="auto"/>
              </w:rPr>
            </w:pPr>
            <w:r>
              <w:rPr>
                <w:rFonts w:ascii="Arial" w:cs="Arial" w:eastAsia="Arial" w:hAnsi="Arial"/>
                <w:sz w:val="10"/>
                <w:szCs w:val="10"/>
                <w:color w:val="auto"/>
              </w:rPr>
              <w:t>Commodity</w:t>
            </w:r>
          </w:p>
        </w:tc>
        <w:tc>
          <w:tcPr>
            <w:tcW w:w="2340" w:type="dxa"/>
            <w:vAlign w:val="bottom"/>
          </w:tcPr>
          <w:p>
            <w:pPr>
              <w:ind w:left="140"/>
              <w:spacing w:after="0"/>
              <w:rPr>
                <w:sz w:val="20"/>
                <w:szCs w:val="20"/>
                <w:color w:val="auto"/>
              </w:rPr>
            </w:pPr>
            <w:r>
              <w:rPr>
                <w:rFonts w:ascii="Arial" w:cs="Arial" w:eastAsia="Arial" w:hAnsi="Arial"/>
                <w:sz w:val="10"/>
                <w:szCs w:val="10"/>
                <w:color w:val="auto"/>
              </w:rPr>
              <w:t>Other income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right w:val="single" w:sz="8" w:color="0077C0"/>
            </w:tcBorders>
          </w:tcPr>
          <w:p>
            <w:pPr>
              <w:jc w:val="right"/>
              <w:ind w:right="90"/>
              <w:spacing w:after="0"/>
              <w:rPr>
                <w:sz w:val="20"/>
                <w:szCs w:val="20"/>
                <w:color w:val="auto"/>
              </w:rPr>
            </w:pPr>
            <w:r>
              <w:rPr>
                <w:rFonts w:ascii="Arial" w:cs="Arial" w:eastAsia="Arial" w:hAnsi="Arial"/>
                <w:sz w:val="10"/>
                <w:szCs w:val="10"/>
                <w:b w:val="1"/>
                <w:bCs w:val="1"/>
                <w:color w:val="auto"/>
              </w:rPr>
              <w:t>(2)</w:t>
            </w:r>
          </w:p>
        </w:tc>
        <w:tc>
          <w:tcPr>
            <w:tcW w:w="200" w:type="dxa"/>
            <w:vAlign w:val="bottom"/>
          </w:tcPr>
          <w:p>
            <w:pPr>
              <w:spacing w:after="0"/>
              <w:rPr>
                <w:sz w:val="10"/>
                <w:szCs w:val="10"/>
                <w:color w:val="auto"/>
              </w:rPr>
            </w:pPr>
          </w:p>
        </w:tc>
        <w:tc>
          <w:tcPr>
            <w:tcW w:w="340" w:type="dxa"/>
            <w:vAlign w:val="bottom"/>
            <w:gridSpan w:val="2"/>
          </w:tcPr>
          <w:p>
            <w:pPr>
              <w:jc w:val="right"/>
              <w:ind w:right="35"/>
              <w:spacing w:after="0"/>
              <w:rPr>
                <w:sz w:val="20"/>
                <w:szCs w:val="20"/>
                <w:color w:val="auto"/>
              </w:rPr>
            </w:pPr>
            <w:r>
              <w:rPr>
                <w:rFonts w:ascii="Arial" w:cs="Arial" w:eastAsia="Arial" w:hAnsi="Arial"/>
                <w:sz w:val="10"/>
                <w:szCs w:val="10"/>
                <w:color w:val="auto"/>
              </w:rPr>
              <w:t>(1)</w:t>
            </w:r>
          </w:p>
        </w:tc>
        <w:tc>
          <w:tcPr>
            <w:tcW w:w="300" w:type="dxa"/>
            <w:vAlign w:val="bottom"/>
          </w:tcPr>
          <w:p>
            <w:pPr>
              <w:spacing w:after="0"/>
              <w:rPr>
                <w:sz w:val="10"/>
                <w:szCs w:val="1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60" w:type="dxa"/>
            <w:vAlign w:val="bottom"/>
            <w:tcBorders>
              <w:top w:val="single" w:sz="8" w:color="0077C0"/>
              <w:bottom w:val="single" w:sz="8" w:color="0077C0"/>
            </w:tcBorders>
          </w:tcPr>
          <w:p>
            <w:pPr>
              <w:spacing w:after="0"/>
              <w:rPr>
                <w:sz w:val="9"/>
                <w:szCs w:val="9"/>
                <w:color w:val="auto"/>
              </w:rPr>
            </w:pPr>
          </w:p>
        </w:tc>
        <w:tc>
          <w:tcPr>
            <w:tcW w:w="2340" w:type="dxa"/>
            <w:vAlign w:val="bottom"/>
            <w:tcBorders>
              <w:top w:val="single" w:sz="8" w:color="0077C0"/>
              <w:bottom w:val="single" w:sz="8" w:color="0077C0"/>
            </w:tcBorders>
          </w:tcPr>
          <w:p>
            <w:pPr>
              <w:spacing w:after="0"/>
              <w:rPr>
                <w:sz w:val="9"/>
                <w:szCs w:val="9"/>
                <w:color w:val="auto"/>
              </w:rPr>
            </w:pPr>
          </w:p>
        </w:tc>
        <w:tc>
          <w:tcPr>
            <w:tcW w:w="78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0077C0"/>
              <w:bottom w:val="single" w:sz="8" w:color="0077C0"/>
              <w:right w:val="single" w:sz="8" w:color="0077C0"/>
            </w:tcBorders>
          </w:tcPr>
          <w:p>
            <w:pPr>
              <w:jc w:val="right"/>
              <w:ind w:right="90"/>
              <w:spacing w:after="0" w:line="105" w:lineRule="exact"/>
              <w:rPr>
                <w:sz w:val="20"/>
                <w:szCs w:val="20"/>
                <w:color w:val="auto"/>
              </w:rPr>
            </w:pPr>
            <w:r>
              <w:rPr>
                <w:rFonts w:ascii="Arial" w:cs="Arial" w:eastAsia="Arial" w:hAnsi="Arial"/>
                <w:sz w:val="10"/>
                <w:szCs w:val="10"/>
                <w:b w:val="1"/>
                <w:bCs w:val="1"/>
                <w:color w:val="auto"/>
              </w:rPr>
              <w:t>(242)</w:t>
            </w:r>
          </w:p>
        </w:tc>
        <w:tc>
          <w:tcPr>
            <w:tcW w:w="200" w:type="dxa"/>
            <w:vAlign w:val="bottom"/>
            <w:tcBorders>
              <w:top w:val="single" w:sz="8" w:color="0077C0"/>
              <w:bottom w:val="single" w:sz="8" w:color="0077C0"/>
            </w:tcBorders>
          </w:tcPr>
          <w:p>
            <w:pPr>
              <w:jc w:val="right"/>
              <w:ind w:right="12"/>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0077C0"/>
              <w:bottom w:val="single" w:sz="8" w:color="0077C0"/>
            </w:tcBorders>
            <w:gridSpan w:val="2"/>
          </w:tcPr>
          <w:p>
            <w:pPr>
              <w:jc w:val="right"/>
              <w:ind w:right="35"/>
              <w:spacing w:after="0" w:line="105" w:lineRule="exact"/>
              <w:rPr>
                <w:sz w:val="20"/>
                <w:szCs w:val="20"/>
                <w:color w:val="auto"/>
              </w:rPr>
            </w:pPr>
            <w:r>
              <w:rPr>
                <w:rFonts w:ascii="Arial" w:cs="Arial" w:eastAsia="Arial" w:hAnsi="Arial"/>
                <w:sz w:val="10"/>
                <w:szCs w:val="10"/>
                <w:color w:val="auto"/>
              </w:rPr>
              <w:t>(135)</w:t>
            </w:r>
          </w:p>
        </w:tc>
        <w:tc>
          <w:tcPr>
            <w:tcW w:w="300" w:type="dxa"/>
            <w:vAlign w:val="bottom"/>
            <w:tcBorders>
              <w:top w:val="single" w:sz="8" w:color="0077C0"/>
              <w:bottom w:val="single" w:sz="8" w:color="0077C0"/>
            </w:tcBorders>
          </w:tcPr>
          <w:p>
            <w:pPr>
              <w:jc w:val="center"/>
              <w:ind w:left="50"/>
              <w:spacing w:after="0" w:line="105"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76"/>
              </w:rPr>
              <w:t>(421)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line="277" w:lineRule="auto"/>
        <w:rPr>
          <w:sz w:val="20"/>
          <w:szCs w:val="20"/>
          <w:color w:val="auto"/>
        </w:rPr>
      </w:pPr>
      <w:r>
        <w:rPr>
          <w:rFonts w:ascii="Arial" w:cs="Arial" w:eastAsia="Arial" w:hAnsi="Arial"/>
          <w:sz w:val="12"/>
          <w:szCs w:val="12"/>
          <w:i w:val="1"/>
          <w:iCs w:val="1"/>
          <w:color w:val="E51837"/>
        </w:rPr>
        <w:t xml:space="preserve">Foreign Currency </w:t>
      </w:r>
      <w:r>
        <w:rPr>
          <w:rFonts w:ascii="Arial" w:cs="Arial" w:eastAsia="Arial" w:hAnsi="Arial"/>
          <w:sz w:val="12"/>
          <w:szCs w:val="12"/>
          <w:color w:val="000000"/>
        </w:rPr>
        <w:t>The company may enter into currency derivative contracts to manage some of its foreign</w:t>
      </w:r>
      <w:r>
        <w:rPr>
          <w:rFonts w:ascii="Arial" w:cs="Arial" w:eastAsia="Arial" w:hAnsi="Arial"/>
          <w:sz w:val="12"/>
          <w:szCs w:val="12"/>
          <w:i w:val="1"/>
          <w:iCs w:val="1"/>
          <w:color w:val="E51837"/>
        </w:rPr>
        <w:t xml:space="preserve"> </w:t>
      </w:r>
      <w:r>
        <w:rPr>
          <w:rFonts w:ascii="Arial" w:cs="Arial" w:eastAsia="Arial" w:hAnsi="Arial"/>
          <w:sz w:val="12"/>
          <w:szCs w:val="12"/>
          <w:color w:val="000000"/>
        </w:rPr>
        <w:t>currency exposures. These exposures include revenue and anticipated purchase transactions, including foreign currency capital expenditures and lease commitments. The currency derivative contracts, if any, are recorded at fair value on the balance sheet with resulting gains and losses reflected in income. There were no open currency derivative contracts at December 31, 2011 or 2010.</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i w:val="1"/>
          <w:iCs w:val="1"/>
          <w:color w:val="E51837"/>
        </w:rPr>
        <w:t xml:space="preserve">Interest Rates </w:t>
      </w:r>
      <w:r>
        <w:rPr>
          <w:rFonts w:ascii="Arial" w:cs="Arial" w:eastAsia="Arial" w:hAnsi="Arial"/>
          <w:sz w:val="12"/>
          <w:szCs w:val="12"/>
          <w:color w:val="000000"/>
        </w:rPr>
        <w:t>The company may enter into interest rate swaps from time to time as part of its overall</w:t>
      </w:r>
      <w:r>
        <w:rPr>
          <w:rFonts w:ascii="Arial" w:cs="Arial" w:eastAsia="Arial" w:hAnsi="Arial"/>
          <w:sz w:val="12"/>
          <w:szCs w:val="12"/>
          <w:i w:val="1"/>
          <w:iCs w:val="1"/>
          <w:color w:val="E51837"/>
        </w:rPr>
        <w:t xml:space="preserve"> </w:t>
      </w:r>
      <w:r>
        <w:rPr>
          <w:rFonts w:ascii="Arial" w:cs="Arial" w:eastAsia="Arial" w:hAnsi="Arial"/>
          <w:sz w:val="12"/>
          <w:szCs w:val="12"/>
          <w:color w:val="000000"/>
        </w:rPr>
        <w:t>strategy to manage the interest rate risk on its debt. Interest rate swaps related to a portion of the company’s fixed-rate debt, if any, may be accounted for as fair value hedges. Interest rate swaps related to floating-rate debt, if any, are recorded at fair value on the balance sheet with resulting gains and losses reflected in income. At year-end 2011 and 2010, the company had no interest rate swaps.</w:t>
      </w:r>
    </w:p>
    <w:p>
      <w:pPr>
        <w:spacing w:after="0" w:line="20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3784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5990" cy="378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10 </w:t>
      </w:r>
      <w:r>
        <w:rPr>
          <w:rFonts w:ascii="Arial" w:cs="Arial" w:eastAsia="Arial" w:hAnsi="Arial"/>
          <w:sz w:val="8"/>
          <w:szCs w:val="8"/>
          <w:color w:val="000000"/>
        </w:rPr>
        <w:t>Financial and Derivative Instruments - Continued</w:t>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i w:val="1"/>
          <w:iCs w:val="1"/>
          <w:color w:val="E51837"/>
        </w:rPr>
        <w:t xml:space="preserve">Concentrations of Credit Risk </w:t>
      </w:r>
      <w:r>
        <w:rPr>
          <w:rFonts w:ascii="Arial" w:cs="Arial" w:eastAsia="Arial" w:hAnsi="Arial"/>
          <w:sz w:val="11"/>
          <w:szCs w:val="11"/>
          <w:color w:val="000000"/>
        </w:rPr>
        <w:t>The company’s financial instruments that are exposed to concentrations of</w:t>
      </w:r>
      <w:r>
        <w:rPr>
          <w:rFonts w:ascii="Arial" w:cs="Arial" w:eastAsia="Arial" w:hAnsi="Arial"/>
          <w:sz w:val="11"/>
          <w:szCs w:val="11"/>
          <w:i w:val="1"/>
          <w:iCs w:val="1"/>
          <w:color w:val="E51837"/>
        </w:rPr>
        <w:t xml:space="preserve"> </w:t>
      </w:r>
      <w:r>
        <w:rPr>
          <w:rFonts w:ascii="Arial" w:cs="Arial" w:eastAsia="Arial" w:hAnsi="Arial"/>
          <w:sz w:val="11"/>
          <w:szCs w:val="11"/>
          <w:color w:val="000000"/>
        </w:rPr>
        <w:t>credit risk consist primarily of its cash equivalents, time deposits, marketable securities, derivative financial instruments and trade receivables. The company’s short-term investments are placed with a wide array of financial institutions with high credit ratings. Company investment policies limit the company’s exposure both to credit risk and to concentrations of credit risk. Similar policies on diversification and creditworthiness are applied to the company’s counterparties in derivative instruments.</w:t>
      </w:r>
    </w:p>
    <w:p>
      <w:pPr>
        <w:spacing w:after="0" w:line="1" w:lineRule="exact"/>
        <w:rPr>
          <w:sz w:val="20"/>
          <w:szCs w:val="20"/>
          <w:color w:val="auto"/>
        </w:rPr>
      </w:pPr>
    </w:p>
    <w:p>
      <w:pPr>
        <w:ind w:firstLine="158"/>
        <w:spacing w:after="0" w:line="248" w:lineRule="auto"/>
        <w:rPr>
          <w:sz w:val="20"/>
          <w:szCs w:val="20"/>
          <w:color w:val="auto"/>
        </w:rPr>
      </w:pPr>
      <w:r>
        <w:rPr>
          <w:rFonts w:ascii="Arial" w:cs="Arial" w:eastAsia="Arial" w:hAnsi="Arial"/>
          <w:sz w:val="13"/>
          <w:szCs w:val="13"/>
          <w:color w:val="auto"/>
        </w:rPr>
        <w:t>The trade receivable balances, reflecting the company’s diversified sources of revenue, are dispersed among the company’s broad customer base worldwide. As a result, the company believes concentrations of credit risk are limited. The company routinely assesses the financial strength of its customers. When the financial strength of a customer is not considered sufficient, requiring Letters of Credit is a principal method used to support sales to customers.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11</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Operating Segments and Geographic Data</w:t>
      </w:r>
    </w:p>
    <w:p>
      <w:pPr>
        <w:spacing w:after="0" w:line="269" w:lineRule="auto"/>
        <w:rPr>
          <w:sz w:val="20"/>
          <w:szCs w:val="20"/>
          <w:color w:val="auto"/>
        </w:rPr>
      </w:pPr>
      <w:r>
        <w:rPr>
          <w:rFonts w:ascii="Arial" w:cs="Arial" w:eastAsia="Arial" w:hAnsi="Arial"/>
          <w:sz w:val="12"/>
          <w:szCs w:val="12"/>
          <w:color w:val="auto"/>
        </w:rPr>
        <w:t>Although each subsidiary of Chevron is responsible for its own affairs, Chevron Corporation manages its investments in these subsidiaries and their affiliates. The investments are grouped into two business segments, Upstream and Downstream, representing the company’s “reportable segments” and “operating segments” as defined in accounting standards for segment reporting (ASC 280). Upstream operations consist primarily of exploring for, developing and producing crude oil and natural gas; liquefaction, transportation and regasification associated with liquefied natural gas (LNG); transporting crude oil by major international oil export pipelines; processing, transporting, storage and marketing of natural gas; and a gas-to-liquids project. Downstream operations consist primarily of refining of crude oil into petroleum products; marketing of crude oil and refined products; transporting of crude oil and refined products by pipeline, marine vessel, motor equipment and rail car; and manufacturing and marketing of commodity petrochemicals, plastics for industrial uses, and fuel and lubricant additives. All Other activities of the company include mining operations, power generation businesses, worldwide cash management and debt financing activities, corporate administrative functions, insurance operations, real estate activities, energy services, alternative fuels and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40" w:firstLine="158"/>
        <w:spacing w:after="0" w:line="249" w:lineRule="auto"/>
        <w:rPr>
          <w:sz w:val="20"/>
          <w:szCs w:val="20"/>
          <w:color w:val="auto"/>
        </w:rPr>
      </w:pPr>
      <w:r>
        <w:rPr>
          <w:rFonts w:ascii="Arial" w:cs="Arial" w:eastAsia="Arial" w:hAnsi="Arial"/>
          <w:sz w:val="13"/>
          <w:szCs w:val="13"/>
          <w:color w:val="auto"/>
        </w:rPr>
        <w:t>The segments are separately managed for investment purposes under a structure that includes “segment managers” who report to the company’s “chief operating decision maker” (CODM) (terms as defined in ASC 280). The CODM is the company’s Executive Committee (EXCOM), a committee of senior officers that includes the Chief Executive Officer, and EXCOM reports to the Board of Directors of Chevron Corporation.</w:t>
      </w:r>
    </w:p>
    <w:p>
      <w:pPr>
        <w:spacing w:after="0" w:line="2" w:lineRule="exact"/>
        <w:rPr>
          <w:sz w:val="20"/>
          <w:szCs w:val="20"/>
          <w:color w:val="auto"/>
        </w:rPr>
      </w:pPr>
    </w:p>
    <w:p>
      <w:pPr>
        <w:ind w:right="20" w:firstLine="158"/>
        <w:spacing w:after="0" w:line="246" w:lineRule="auto"/>
        <w:rPr>
          <w:sz w:val="20"/>
          <w:szCs w:val="20"/>
          <w:color w:val="auto"/>
        </w:rPr>
      </w:pPr>
      <w:r>
        <w:rPr>
          <w:rFonts w:ascii="Arial" w:cs="Arial" w:eastAsia="Arial" w:hAnsi="Arial"/>
          <w:sz w:val="13"/>
          <w:szCs w:val="13"/>
          <w:color w:val="auto"/>
        </w:rPr>
        <w:t>The operating segments represent components of the company, as described in accounting standards for segment reporting (ASC 280), that engage in activities (a) from which revenues are earned and expenses are incurred; (b) whose operating results are regularly reviewed by the CODM, which makes decisions about resources to be allocated to the segments and assesses their performance; and (c) for which discrete financial information is available.</w:t>
      </w:r>
    </w:p>
    <w:p>
      <w:pPr>
        <w:spacing w:after="0" w:line="3"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color w:val="auto"/>
        </w:rPr>
        <w:t>Segment managers for the reportable segments are directly accountable to and maintain regular contact with the company’s CODM to discuss the segment’s operating activities and financial performance. The CODM approves annual capital and exploratory budgets at the reportable segment level, as well as reviews capital and exploratory funding for major projects and approves major changes to the annual capital and exploratory budgets. However, business-unit managers within the operating segments are directly responsible for decisions relating to project implementation and all other matters connected with daily operations. Company officers who are members of the EXCOM also have individual management responsibilities and participate in other committees for purposes other than acting as the CODM.</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company’s primary country of operation is the United States of America, its country of domicile.</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Other components of the company’s operations are reported as “International” (outside the United States).</w:t>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i w:val="1"/>
          <w:iCs w:val="1"/>
          <w:color w:val="E51837"/>
        </w:rPr>
        <w:t xml:space="preserve">Segment Earnings </w:t>
      </w:r>
      <w:r>
        <w:rPr>
          <w:rFonts w:ascii="Arial" w:cs="Arial" w:eastAsia="Arial" w:hAnsi="Arial"/>
          <w:sz w:val="12"/>
          <w:szCs w:val="12"/>
          <w:color w:val="000000"/>
        </w:rPr>
        <w:t>The company evaluates the performance of its operating segments on an after-tax basis,</w:t>
      </w:r>
      <w:r>
        <w:rPr>
          <w:rFonts w:ascii="Arial" w:cs="Arial" w:eastAsia="Arial" w:hAnsi="Arial"/>
          <w:sz w:val="12"/>
          <w:szCs w:val="12"/>
          <w:i w:val="1"/>
          <w:iCs w:val="1"/>
          <w:color w:val="E51837"/>
        </w:rPr>
        <w:t xml:space="preserve"> </w:t>
      </w:r>
      <w:r>
        <w:rPr>
          <w:rFonts w:ascii="Arial" w:cs="Arial" w:eastAsia="Arial" w:hAnsi="Arial"/>
          <w:sz w:val="12"/>
          <w:szCs w:val="12"/>
          <w:color w:val="000000"/>
        </w:rPr>
        <w:t>without considering the effects of debt financing interest expense or investment interest income, both of which are managed by the company on a worldwide basis. Corporate administrative costs and assets are not allocated to the operating segments. However, operating segments are billed for the direct use of corporate services. Nonbillable costs remain at the corporate level in</w:t>
      </w:r>
    </w:p>
    <w:p>
      <w:pPr>
        <w:spacing w:after="0" w:line="541" w:lineRule="exact"/>
        <w:rPr>
          <w:sz w:val="20"/>
          <w:szCs w:val="20"/>
          <w:color w:val="auto"/>
        </w:rPr>
      </w:pPr>
    </w:p>
    <w:p>
      <w:pPr>
        <w:sectPr>
          <w:pgSz w:w="11900" w:h="16838" w:orient="portrait"/>
          <w:cols w:equalWidth="0" w:num="2">
            <w:col w:w="5480" w:space="480"/>
            <w:col w:w="5500"/>
          </w:cols>
          <w:pgMar w:left="220" w:top="338" w:right="21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78" w:name="page79"/>
    <w:bookmarkEnd w:id="78"/>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51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980"/>
        <w:spacing w:after="0"/>
        <w:rPr>
          <w:sz w:val="20"/>
          <w:szCs w:val="20"/>
          <w:color w:val="auto"/>
        </w:rPr>
      </w:pPr>
      <w:r>
        <w:rPr>
          <w:rFonts w:ascii="Arial" w:cs="Arial" w:eastAsia="Arial" w:hAnsi="Arial"/>
          <w:sz w:val="10"/>
          <w:szCs w:val="10"/>
          <w:color w:val="0077C0"/>
        </w:rPr>
        <w:t>Notes to the Consolidated Financial Statements</w:t>
      </w:r>
    </w:p>
    <w:p>
      <w:pPr>
        <w:jc w:val="right"/>
        <w:ind w:right="596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Note 11 </w:t>
      </w:r>
      <w:r>
        <w:rPr>
          <w:rFonts w:ascii="Arial" w:cs="Arial" w:eastAsia="Arial" w:hAnsi="Arial"/>
          <w:sz w:val="8"/>
          <w:szCs w:val="8"/>
          <w:color w:val="000000"/>
        </w:rPr>
        <w:t>Operating Segments and Geographic Data - Continued</w:t>
      </w:r>
    </w:p>
    <w:p>
      <w:pPr>
        <w:sectPr>
          <w:pgSz w:w="11900" w:h="16838" w:orient="portrait"/>
          <w:cols w:equalWidth="0" w:num="1">
            <w:col w:w="11463"/>
          </w:cols>
          <w:pgMar w:left="217" w:top="338" w:right="219" w:bottom="1440" w:gutter="0" w:footer="0" w:header="0"/>
        </w:sectPr>
      </w:pPr>
    </w:p>
    <w:p>
      <w:pPr>
        <w:spacing w:after="0" w:line="327" w:lineRule="exact"/>
        <w:rPr>
          <w:sz w:val="20"/>
          <w:szCs w:val="20"/>
          <w:color w:val="auto"/>
        </w:rPr>
      </w:pPr>
    </w:p>
    <w:p>
      <w:pPr>
        <w:ind w:left="3"/>
        <w:spacing w:after="0"/>
        <w:rPr>
          <w:sz w:val="20"/>
          <w:szCs w:val="20"/>
          <w:color w:val="auto"/>
        </w:rPr>
      </w:pPr>
      <w:r>
        <w:rPr>
          <w:rFonts w:ascii="Arial" w:cs="Arial" w:eastAsia="Arial" w:hAnsi="Arial"/>
          <w:sz w:val="13"/>
          <w:szCs w:val="13"/>
          <w:color w:val="auto"/>
        </w:rPr>
        <w:t>“All Other.” Earnings by major operating area are presented in the following table:</w:t>
      </w:r>
    </w:p>
    <w:p>
      <w:pPr>
        <w:spacing w:after="0" w:line="108"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3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9"/>
                <w:szCs w:val="9"/>
                <w:color w:val="auto"/>
                <w:w w:val="91"/>
              </w:rPr>
              <w:t>Year ended December 31</w:t>
            </w:r>
          </w:p>
        </w:tc>
        <w:tc>
          <w:tcPr>
            <w:tcW w:w="0" w:type="dxa"/>
            <w:vAlign w:val="bottom"/>
          </w:tcPr>
          <w:p>
            <w:pPr>
              <w:spacing w:after="0"/>
              <w:rPr>
                <w:sz w:val="1"/>
                <w:szCs w:val="1"/>
                <w:color w:val="auto"/>
              </w:rPr>
            </w:pPr>
          </w:p>
        </w:tc>
      </w:tr>
      <w:tr>
        <w:trPr>
          <w:trHeight w:val="95"/>
        </w:trPr>
        <w:tc>
          <w:tcPr>
            <w:tcW w:w="384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29"/>
              <w:spacing w:after="0" w:line="96" w:lineRule="exact"/>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110"/>
              <w:spacing w:after="0" w:line="96" w:lineRule="exact"/>
              <w:rPr>
                <w:sz w:val="20"/>
                <w:szCs w:val="20"/>
                <w:color w:val="auto"/>
              </w:rPr>
            </w:pPr>
            <w:r>
              <w:rPr>
                <w:rFonts w:ascii="Arial" w:cs="Arial" w:eastAsia="Arial" w:hAnsi="Arial"/>
                <w:sz w:val="9"/>
                <w:szCs w:val="9"/>
                <w:color w:val="auto"/>
              </w:rPr>
              <w:t>2010</w:t>
            </w:r>
          </w:p>
        </w:tc>
        <w:tc>
          <w:tcPr>
            <w:tcW w:w="2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line="81" w:lineRule="exact"/>
              <w:rPr>
                <w:sz w:val="20"/>
                <w:szCs w:val="20"/>
                <w:color w:val="auto"/>
              </w:rPr>
            </w:pPr>
            <w:r>
              <w:rPr>
                <w:rFonts w:ascii="Arial" w:cs="Arial" w:eastAsia="Arial" w:hAnsi="Arial"/>
                <w:sz w:val="9"/>
                <w:szCs w:val="9"/>
                <w:b w:val="1"/>
                <w:bCs w:val="1"/>
                <w:color w:val="auto"/>
              </w:rPr>
              <w:t>Segment Earnings</w:t>
            </w:r>
          </w:p>
        </w:tc>
        <w:tc>
          <w:tcPr>
            <w:tcW w:w="60" w:type="dxa"/>
            <w:vAlign w:val="bottom"/>
          </w:tcPr>
          <w:p>
            <w:pPr>
              <w:spacing w:after="0"/>
              <w:rPr>
                <w:sz w:val="7"/>
                <w:szCs w:val="7"/>
                <w:color w:val="auto"/>
              </w:rPr>
            </w:pPr>
          </w:p>
        </w:tc>
        <w:tc>
          <w:tcPr>
            <w:tcW w:w="460" w:type="dxa"/>
            <w:vAlign w:val="bottom"/>
            <w:tcBorders>
              <w:right w:val="single" w:sz="8" w:color="0077C0"/>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b w:val="1"/>
                <w:bCs w:val="1"/>
                <w:color w:val="auto"/>
              </w:rPr>
              <w:t>Upstream</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6,512</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4,122</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2,262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4"/>
              </w:rPr>
              <w:t>18,274</w:t>
            </w:r>
          </w:p>
        </w:tc>
        <w:tc>
          <w:tcPr>
            <w:tcW w:w="1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w w:val="91"/>
              </w:rPr>
              <w:t>13,555</w:t>
            </w: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8,670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24,786</w:t>
            </w:r>
          </w:p>
        </w:tc>
        <w:tc>
          <w:tcPr>
            <w:tcW w:w="1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w w:val="91"/>
              </w:rPr>
              <w:t>17,677</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10,932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84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6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1,506</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84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1,339</w:t>
            </w:r>
          </w:p>
        </w:tc>
        <w:tc>
          <w:tcPr>
            <w:tcW w:w="200" w:type="dxa"/>
            <w:vAlign w:val="bottom"/>
          </w:tcPr>
          <w:p>
            <w:pPr>
              <w:spacing w:after="0"/>
              <w:rPr>
                <w:sz w:val="9"/>
                <w:szCs w:val="9"/>
                <w:color w:val="auto"/>
              </w:rPr>
            </w:pPr>
          </w:p>
        </w:tc>
        <w:tc>
          <w:tcPr>
            <w:tcW w:w="32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20"/>
        </w:trPr>
        <w:tc>
          <w:tcPr>
            <w:tcW w:w="3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2,085</w:t>
            </w:r>
          </w:p>
        </w:tc>
        <w:tc>
          <w:tcPr>
            <w:tcW w:w="1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1,139</w:t>
            </w:r>
          </w:p>
        </w:tc>
        <w:tc>
          <w:tcPr>
            <w:tcW w:w="2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3,591</w:t>
            </w:r>
          </w:p>
        </w:tc>
        <w:tc>
          <w:tcPr>
            <w:tcW w:w="1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2,478</w:t>
            </w:r>
          </w:p>
        </w:tc>
        <w:tc>
          <w:tcPr>
            <w:tcW w:w="2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840" w:type="dxa"/>
            <w:vAlign w:val="bottom"/>
          </w:tcPr>
          <w:p>
            <w:pPr>
              <w:spacing w:after="0" w:line="91" w:lineRule="exact"/>
              <w:rPr>
                <w:sz w:val="20"/>
                <w:szCs w:val="20"/>
                <w:color w:val="auto"/>
              </w:rPr>
            </w:pPr>
            <w:r>
              <w:rPr>
                <w:rFonts w:ascii="Arial" w:cs="Arial" w:eastAsia="Arial" w:hAnsi="Arial"/>
                <w:sz w:val="10"/>
                <w:szCs w:val="10"/>
                <w:b w:val="1"/>
                <w:bCs w:val="1"/>
                <w:color w:val="auto"/>
              </w:rPr>
              <w:t>Total Segment Earnings</w:t>
            </w:r>
          </w:p>
        </w:tc>
        <w:tc>
          <w:tcPr>
            <w:tcW w:w="60" w:type="dxa"/>
            <w:vAlign w:val="bottom"/>
          </w:tcPr>
          <w:p>
            <w:pPr>
              <w:spacing w:after="0"/>
              <w:rPr>
                <w:sz w:val="7"/>
                <w:szCs w:val="7"/>
                <w:color w:val="auto"/>
              </w:rPr>
            </w:pPr>
          </w:p>
        </w:tc>
        <w:tc>
          <w:tcPr>
            <w:tcW w:w="46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84"/>
              </w:rPr>
              <w:t>28,377</w:t>
            </w:r>
          </w:p>
        </w:tc>
        <w:tc>
          <w:tcPr>
            <w:tcW w:w="140" w:type="dxa"/>
            <w:vAlign w:val="bottom"/>
          </w:tcPr>
          <w:p>
            <w:pPr>
              <w:spacing w:after="0"/>
              <w:rPr>
                <w:sz w:val="7"/>
                <w:szCs w:val="7"/>
                <w:color w:val="auto"/>
              </w:rPr>
            </w:pPr>
          </w:p>
        </w:tc>
        <w:tc>
          <w:tcPr>
            <w:tcW w:w="460" w:type="dxa"/>
            <w:vAlign w:val="bottom"/>
          </w:tcPr>
          <w:p>
            <w:pPr>
              <w:jc w:val="right"/>
              <w:ind w:right="110"/>
              <w:spacing w:after="0" w:line="91" w:lineRule="exact"/>
              <w:rPr>
                <w:sz w:val="20"/>
                <w:szCs w:val="20"/>
                <w:color w:val="auto"/>
              </w:rPr>
            </w:pPr>
            <w:r>
              <w:rPr>
                <w:rFonts w:ascii="Arial" w:cs="Arial" w:eastAsia="Arial" w:hAnsi="Arial"/>
                <w:sz w:val="10"/>
                <w:szCs w:val="10"/>
                <w:color w:val="auto"/>
                <w:w w:val="91"/>
              </w:rPr>
              <w:t>20,155</w:t>
            </w:r>
          </w:p>
        </w:tc>
        <w:tc>
          <w:tcPr>
            <w:tcW w:w="200" w:type="dxa"/>
            <w:vAlign w:val="bottom"/>
          </w:tcPr>
          <w:p>
            <w:pPr>
              <w:spacing w:after="0"/>
              <w:rPr>
                <w:sz w:val="7"/>
                <w:szCs w:val="7"/>
                <w:color w:val="auto"/>
              </w:rPr>
            </w:pP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1"/>
              </w:rPr>
              <w:t>11,405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b w:val="1"/>
                <w:bCs w:val="1"/>
                <w:color w:val="auto"/>
              </w:rPr>
              <w:t>All Other</w:t>
            </w: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tcPr>
          <w:p>
            <w:pPr>
              <w:ind w:left="140"/>
              <w:spacing w:after="0" w:line="104" w:lineRule="exact"/>
              <w:rPr>
                <w:sz w:val="20"/>
                <w:szCs w:val="20"/>
                <w:color w:val="auto"/>
              </w:rPr>
            </w:pPr>
            <w:r>
              <w:rPr>
                <w:rFonts w:ascii="Arial" w:cs="Arial" w:eastAsia="Arial" w:hAnsi="Arial"/>
                <w:sz w:val="10"/>
                <w:szCs w:val="10"/>
                <w:color w:val="auto"/>
              </w:rPr>
              <w:t>Interest expense</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90"/>
              <w:spacing w:after="0" w:line="104" w:lineRule="exact"/>
              <w:rPr>
                <w:sz w:val="20"/>
                <w:szCs w:val="20"/>
                <w:color w:val="auto"/>
              </w:rPr>
            </w:pPr>
            <w:r>
              <w:rPr>
                <w:rFonts w:ascii="Arial" w:cs="Arial" w:eastAsia="Arial" w:hAnsi="Arial"/>
                <w:sz w:val="10"/>
                <w:szCs w:val="10"/>
                <w:color w:val="auto"/>
              </w:rPr>
              <w:t>(41)</w:t>
            </w:r>
          </w:p>
        </w:tc>
        <w:tc>
          <w:tcPr>
            <w:tcW w:w="200" w:type="dxa"/>
            <w:vAlign w:val="bottom"/>
          </w:tcPr>
          <w:p>
            <w:pPr>
              <w:spacing w:after="0"/>
              <w:rPr>
                <w:sz w:val="9"/>
                <w:szCs w:val="9"/>
                <w:color w:val="auto"/>
              </w:rPr>
            </w:pPr>
          </w:p>
        </w:tc>
        <w:tc>
          <w:tcPr>
            <w:tcW w:w="32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06"/>
        </w:trPr>
        <w:tc>
          <w:tcPr>
            <w:tcW w:w="3840" w:type="dxa"/>
            <w:vAlign w:val="bottom"/>
          </w:tcPr>
          <w:p>
            <w:pPr>
              <w:ind w:left="140"/>
              <w:spacing w:after="0" w:line="106" w:lineRule="exact"/>
              <w:rPr>
                <w:sz w:val="20"/>
                <w:szCs w:val="20"/>
                <w:color w:val="auto"/>
              </w:rPr>
            </w:pPr>
            <w:r>
              <w:rPr>
                <w:rFonts w:ascii="Arial" w:cs="Arial" w:eastAsia="Arial" w:hAnsi="Arial"/>
                <w:sz w:val="10"/>
                <w:szCs w:val="10"/>
                <w:color w:val="auto"/>
              </w:rPr>
              <w:t>Interest income</w:t>
            </w: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78</w:t>
            </w:r>
          </w:p>
        </w:tc>
        <w:tc>
          <w:tcPr>
            <w:tcW w:w="140" w:type="dxa"/>
            <w:vAlign w:val="bottom"/>
          </w:tcPr>
          <w:p>
            <w:pPr>
              <w:spacing w:after="0"/>
              <w:rPr>
                <w:sz w:val="9"/>
                <w:szCs w:val="9"/>
                <w:color w:val="auto"/>
              </w:rPr>
            </w:pPr>
          </w:p>
        </w:tc>
        <w:tc>
          <w:tcPr>
            <w:tcW w:w="46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70</w:t>
            </w:r>
          </w:p>
        </w:tc>
        <w:tc>
          <w:tcPr>
            <w:tcW w:w="2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840" w:type="dxa"/>
            <w:vAlign w:val="bottom"/>
          </w:tcPr>
          <w:p>
            <w:pPr>
              <w:ind w:left="140"/>
              <w:spacing w:after="0"/>
              <w:rPr>
                <w:sz w:val="20"/>
                <w:szCs w:val="20"/>
                <w:color w:val="auto"/>
              </w:rPr>
            </w:pPr>
            <w:r>
              <w:rPr>
                <w:rFonts w:ascii="Arial" w:cs="Arial" w:eastAsia="Arial" w:hAnsi="Arial"/>
                <w:sz w:val="10"/>
                <w:szCs w:val="10"/>
                <w:color w:val="auto"/>
              </w:rPr>
              <w:t>Other</w:t>
            </w:r>
          </w:p>
        </w:tc>
        <w:tc>
          <w:tcPr>
            <w:tcW w:w="60" w:type="dxa"/>
            <w:vAlign w:val="bottom"/>
          </w:tcPr>
          <w:p>
            <w:pPr>
              <w:spacing w:after="0"/>
              <w:rPr>
                <w:sz w:val="10"/>
                <w:szCs w:val="10"/>
                <w:color w:val="auto"/>
              </w:rPr>
            </w:pPr>
          </w:p>
        </w:tc>
        <w:tc>
          <w:tcPr>
            <w:tcW w:w="46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w w:val="94"/>
              </w:rPr>
              <w:t>(1,560)</w:t>
            </w:r>
          </w:p>
        </w:tc>
        <w:tc>
          <w:tcPr>
            <w:tcW w:w="140" w:type="dxa"/>
            <w:vAlign w:val="bottom"/>
          </w:tcPr>
          <w:p>
            <w:pPr>
              <w:spacing w:after="0"/>
              <w:rPr>
                <w:sz w:val="10"/>
                <w:szCs w:val="10"/>
                <w:color w:val="auto"/>
              </w:rPr>
            </w:pPr>
          </w:p>
        </w:tc>
        <w:tc>
          <w:tcPr>
            <w:tcW w:w="460" w:type="dxa"/>
            <w:vAlign w:val="bottom"/>
          </w:tcPr>
          <w:p>
            <w:pPr>
              <w:jc w:val="right"/>
              <w:ind w:right="90"/>
              <w:spacing w:after="0"/>
              <w:rPr>
                <w:sz w:val="20"/>
                <w:szCs w:val="20"/>
                <w:color w:val="auto"/>
              </w:rPr>
            </w:pPr>
            <w:r>
              <w:rPr>
                <w:rFonts w:ascii="Arial" w:cs="Arial" w:eastAsia="Arial" w:hAnsi="Arial"/>
                <w:sz w:val="10"/>
                <w:szCs w:val="10"/>
                <w:color w:val="auto"/>
                <w:w w:val="94"/>
              </w:rPr>
              <w:t>(1,160)</w:t>
            </w:r>
          </w:p>
        </w:tc>
        <w:tc>
          <w:tcPr>
            <w:tcW w:w="20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0"/>
                <w:szCs w:val="10"/>
                <w:color w:val="auto"/>
              </w:rPr>
              <w:t>(946)</w:t>
            </w:r>
          </w:p>
        </w:tc>
        <w:tc>
          <w:tcPr>
            <w:tcW w:w="0" w:type="dxa"/>
            <w:vAlign w:val="bottom"/>
          </w:tcPr>
          <w:p>
            <w:pPr>
              <w:spacing w:after="0"/>
              <w:rPr>
                <w:sz w:val="1"/>
                <w:szCs w:val="1"/>
                <w:color w:val="auto"/>
              </w:rPr>
            </w:pPr>
          </w:p>
        </w:tc>
      </w:tr>
      <w:tr>
        <w:trPr>
          <w:trHeight w:val="90"/>
        </w:trPr>
        <w:tc>
          <w:tcPr>
            <w:tcW w:w="3840" w:type="dxa"/>
            <w:vAlign w:val="bottom"/>
            <w:tcBorders>
              <w:top w:val="single" w:sz="8" w:color="0077C0"/>
            </w:tcBorders>
          </w:tcPr>
          <w:p>
            <w:pPr>
              <w:spacing w:after="0" w:line="91" w:lineRule="exact"/>
              <w:rPr>
                <w:sz w:val="20"/>
                <w:szCs w:val="20"/>
                <w:color w:val="auto"/>
              </w:rPr>
            </w:pPr>
            <w:r>
              <w:rPr>
                <w:rFonts w:ascii="Arial" w:cs="Arial" w:eastAsia="Arial" w:hAnsi="Arial"/>
                <w:sz w:val="10"/>
                <w:szCs w:val="10"/>
                <w:b w:val="1"/>
                <w:bCs w:val="1"/>
                <w:color w:val="auto"/>
              </w:rPr>
              <w:t>Net Income Attributable</w:t>
            </w:r>
          </w:p>
        </w:tc>
        <w:tc>
          <w:tcPr>
            <w:tcW w:w="60" w:type="dxa"/>
            <w:vAlign w:val="bottom"/>
            <w:tcBorders>
              <w:top w:val="single" w:sz="8" w:color="0077C0"/>
            </w:tcBorders>
          </w:tcPr>
          <w:p>
            <w:pPr>
              <w:spacing w:after="0"/>
              <w:rPr>
                <w:sz w:val="7"/>
                <w:szCs w:val="7"/>
                <w:color w:val="auto"/>
              </w:rPr>
            </w:pPr>
          </w:p>
        </w:tc>
        <w:tc>
          <w:tcPr>
            <w:tcW w:w="460" w:type="dxa"/>
            <w:vAlign w:val="bottom"/>
            <w:tcBorders>
              <w:top w:val="single" w:sz="8" w:color="0077C0"/>
              <w:right w:val="single" w:sz="8" w:color="0077C0"/>
            </w:tcBorders>
          </w:tcPr>
          <w:p>
            <w:pPr>
              <w:spacing w:after="0"/>
              <w:rPr>
                <w:sz w:val="7"/>
                <w:szCs w:val="7"/>
                <w:color w:val="auto"/>
              </w:rPr>
            </w:pPr>
          </w:p>
        </w:tc>
        <w:tc>
          <w:tcPr>
            <w:tcW w:w="14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2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0077C0"/>
            </w:tcBorders>
          </w:tcPr>
          <w:p>
            <w:pPr>
              <w:ind w:left="140"/>
              <w:spacing w:after="0"/>
              <w:rPr>
                <w:sz w:val="20"/>
                <w:szCs w:val="20"/>
                <w:color w:val="auto"/>
              </w:rPr>
            </w:pPr>
            <w:r>
              <w:rPr>
                <w:rFonts w:ascii="Arial" w:cs="Arial" w:eastAsia="Arial" w:hAnsi="Arial"/>
                <w:sz w:val="10"/>
                <w:szCs w:val="10"/>
                <w:b w:val="1"/>
                <w:bCs w:val="1"/>
                <w:color w:val="auto"/>
              </w:rPr>
              <w:t>to Chevron Corporation</w:t>
            </w:r>
          </w:p>
        </w:tc>
        <w:tc>
          <w:tcPr>
            <w:tcW w:w="6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4"/>
              </w:rPr>
              <w:t>26,895</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w w:val="91"/>
              </w:rPr>
              <w:t>19,024</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1"/>
              </w:rPr>
              <w:t>10,483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
        <w:spacing w:after="0"/>
        <w:rPr>
          <w:sz w:val="20"/>
          <w:szCs w:val="20"/>
          <w:color w:val="auto"/>
        </w:rPr>
      </w:pPr>
      <w:r>
        <w:rPr>
          <w:rFonts w:ascii="Arial" w:cs="Arial" w:eastAsia="Arial" w:hAnsi="Arial"/>
          <w:sz w:val="11"/>
          <w:szCs w:val="11"/>
          <w:i w:val="1"/>
          <w:iCs w:val="1"/>
          <w:color w:val="E51837"/>
        </w:rPr>
        <w:t xml:space="preserve">Segment Assets </w:t>
      </w:r>
      <w:r>
        <w:rPr>
          <w:rFonts w:ascii="Arial" w:cs="Arial" w:eastAsia="Arial" w:hAnsi="Arial"/>
          <w:sz w:val="11"/>
          <w:szCs w:val="11"/>
          <w:color w:val="000000"/>
        </w:rPr>
        <w:t>Segment assets do not include intercompany investments or intercompany receivables.</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3"/>
          <w:szCs w:val="13"/>
          <w:color w:val="auto"/>
        </w:rPr>
        <w:t>Segment assets at year-end 2011 and 2010 are as follows:</w:t>
      </w:r>
    </w:p>
    <w:p>
      <w:pPr>
        <w:spacing w:after="0" w:line="99"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4400" w:type="dxa"/>
            <w:vAlign w:val="bottom"/>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gridSpan w:val="3"/>
          </w:tcPr>
          <w:p>
            <w:pPr>
              <w:jc w:val="right"/>
              <w:spacing w:after="0"/>
              <w:rPr>
                <w:sz w:val="20"/>
                <w:szCs w:val="20"/>
                <w:color w:val="auto"/>
              </w:rPr>
            </w:pPr>
            <w:r>
              <w:rPr>
                <w:rFonts w:ascii="Arial" w:cs="Arial" w:eastAsia="Arial" w:hAnsi="Arial"/>
                <w:sz w:val="9"/>
                <w:szCs w:val="9"/>
                <w:color w:val="auto"/>
                <w:w w:val="92"/>
              </w:rPr>
              <w:t>At December 31</w:t>
            </w:r>
          </w:p>
        </w:tc>
        <w:tc>
          <w:tcPr>
            <w:tcW w:w="0" w:type="dxa"/>
            <w:vAlign w:val="bottom"/>
          </w:tcPr>
          <w:p>
            <w:pPr>
              <w:spacing w:after="0"/>
              <w:rPr>
                <w:sz w:val="1"/>
                <w:szCs w:val="1"/>
                <w:color w:val="auto"/>
              </w:rPr>
            </w:pPr>
          </w:p>
        </w:tc>
      </w:tr>
      <w:tr>
        <w:trPr>
          <w:trHeight w:val="95"/>
        </w:trPr>
        <w:tc>
          <w:tcPr>
            <w:tcW w:w="4400" w:type="dxa"/>
            <w:vAlign w:val="bottom"/>
            <w:tcBorders>
              <w:bottom w:val="single" w:sz="8" w:color="0077C0"/>
            </w:tcBorders>
          </w:tcPr>
          <w:p>
            <w:pPr>
              <w:spacing w:after="0"/>
              <w:rPr>
                <w:sz w:val="8"/>
                <w:szCs w:val="8"/>
                <w:color w:val="auto"/>
              </w:rPr>
            </w:pPr>
          </w:p>
        </w:tc>
        <w:tc>
          <w:tcPr>
            <w:tcW w:w="60" w:type="dxa"/>
            <w:vAlign w:val="bottom"/>
            <w:tcBorders>
              <w:bottom w:val="single" w:sz="8" w:color="0077C0"/>
            </w:tcBorders>
          </w:tcPr>
          <w:p>
            <w:pPr>
              <w:spacing w:after="0"/>
              <w:rPr>
                <w:sz w:val="8"/>
                <w:szCs w:val="8"/>
                <w:color w:val="auto"/>
              </w:rPr>
            </w:pPr>
          </w:p>
        </w:tc>
        <w:tc>
          <w:tcPr>
            <w:tcW w:w="380" w:type="dxa"/>
            <w:vAlign w:val="bottom"/>
            <w:tcBorders>
              <w:bottom w:val="single" w:sz="8" w:color="0077C0"/>
            </w:tcBorders>
          </w:tcPr>
          <w:p>
            <w:pPr>
              <w:jc w:val="right"/>
              <w:spacing w:after="0" w:line="96" w:lineRule="exact"/>
              <w:rPr>
                <w:sz w:val="20"/>
                <w:szCs w:val="20"/>
                <w:color w:val="auto"/>
              </w:rPr>
            </w:pPr>
            <w:r>
              <w:rPr>
                <w:rFonts w:ascii="Arial" w:cs="Arial" w:eastAsia="Arial" w:hAnsi="Arial"/>
                <w:sz w:val="9"/>
                <w:szCs w:val="9"/>
                <w:b w:val="1"/>
                <w:bCs w:val="1"/>
                <w:color w:val="auto"/>
              </w:rPr>
              <w:t>2011</w:t>
            </w:r>
          </w:p>
        </w:tc>
        <w:tc>
          <w:tcPr>
            <w:tcW w:w="120" w:type="dxa"/>
            <w:vAlign w:val="bottom"/>
            <w:tcBorders>
              <w:bottom w:val="single" w:sz="8" w:color="0077C0"/>
            </w:tcBorders>
          </w:tcPr>
          <w:p>
            <w:pPr>
              <w:spacing w:after="0"/>
              <w:rPr>
                <w:sz w:val="8"/>
                <w:szCs w:val="8"/>
                <w:color w:val="auto"/>
              </w:rPr>
            </w:pPr>
          </w:p>
        </w:tc>
        <w:tc>
          <w:tcPr>
            <w:tcW w:w="160" w:type="dxa"/>
            <w:vAlign w:val="bottom"/>
            <w:tcBorders>
              <w:bottom w:val="single" w:sz="8" w:color="0077C0"/>
            </w:tcBorders>
          </w:tcPr>
          <w:p>
            <w:pPr>
              <w:spacing w:after="0"/>
              <w:rPr>
                <w:sz w:val="8"/>
                <w:szCs w:val="8"/>
                <w:color w:val="auto"/>
              </w:rPr>
            </w:pPr>
          </w:p>
        </w:tc>
        <w:tc>
          <w:tcPr>
            <w:tcW w:w="340" w:type="dxa"/>
            <w:vAlign w:val="bottom"/>
            <w:tcBorders>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83"/>
        </w:trPr>
        <w:tc>
          <w:tcPr>
            <w:tcW w:w="4400" w:type="dxa"/>
            <w:vAlign w:val="bottom"/>
          </w:tcPr>
          <w:p>
            <w:pPr>
              <w:spacing w:after="0" w:line="83" w:lineRule="exact"/>
              <w:rPr>
                <w:sz w:val="20"/>
                <w:szCs w:val="20"/>
                <w:color w:val="auto"/>
              </w:rPr>
            </w:pPr>
            <w:r>
              <w:rPr>
                <w:rFonts w:ascii="Arial" w:cs="Arial" w:eastAsia="Arial" w:hAnsi="Arial"/>
                <w:sz w:val="9"/>
                <w:szCs w:val="9"/>
                <w:b w:val="1"/>
                <w:bCs w:val="1"/>
                <w:color w:val="auto"/>
              </w:rPr>
              <w:t>Upstream</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37,108</w:t>
            </w:r>
          </w:p>
        </w:tc>
        <w:tc>
          <w:tcPr>
            <w:tcW w:w="120" w:type="dxa"/>
            <w:vAlign w:val="bottom"/>
            <w:tcBorders>
              <w:right w:val="single" w:sz="8" w:color="0077C0"/>
            </w:tcBorders>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40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Borders>
              <w:right w:val="single" w:sz="8" w:color="0077C0"/>
            </w:tcBorders>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26,319</w:t>
            </w:r>
          </w:p>
        </w:tc>
        <w:tc>
          <w:tcPr>
            <w:tcW w:w="0" w:type="dxa"/>
            <w:vAlign w:val="bottom"/>
          </w:tcPr>
          <w:p>
            <w:pPr>
              <w:spacing w:after="0"/>
              <w:rPr>
                <w:sz w:val="1"/>
                <w:szCs w:val="1"/>
                <w:color w:val="auto"/>
              </w:rPr>
            </w:pPr>
          </w:p>
        </w:tc>
      </w:tr>
      <w:tr>
        <w:trPr>
          <w:trHeight w:val="106"/>
        </w:trPr>
        <w:tc>
          <w:tcPr>
            <w:tcW w:w="4400" w:type="dxa"/>
            <w:vAlign w:val="bottom"/>
          </w:tcPr>
          <w:p>
            <w:pPr>
              <w:ind w:left="140"/>
              <w:spacing w:after="0" w:line="106" w:lineRule="exact"/>
              <w:rPr>
                <w:sz w:val="20"/>
                <w:szCs w:val="20"/>
                <w:color w:val="auto"/>
              </w:rPr>
            </w:pPr>
            <w:r>
              <w:rPr>
                <w:rFonts w:ascii="Arial" w:cs="Arial" w:eastAsia="Arial" w:hAnsi="Arial"/>
                <w:sz w:val="10"/>
                <w:szCs w:val="10"/>
                <w:color w:val="auto"/>
              </w:rPr>
              <w:t>International</w:t>
            </w:r>
          </w:p>
        </w:tc>
        <w:tc>
          <w:tcPr>
            <w:tcW w:w="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98,540</w:t>
            </w:r>
          </w:p>
        </w:tc>
        <w:tc>
          <w:tcPr>
            <w:tcW w:w="12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89,306</w:t>
            </w:r>
          </w:p>
        </w:tc>
        <w:tc>
          <w:tcPr>
            <w:tcW w:w="0" w:type="dxa"/>
            <w:vAlign w:val="bottom"/>
          </w:tcPr>
          <w:p>
            <w:pPr>
              <w:spacing w:after="0"/>
              <w:rPr>
                <w:sz w:val="1"/>
                <w:szCs w:val="1"/>
                <w:color w:val="auto"/>
              </w:rPr>
            </w:pPr>
          </w:p>
        </w:tc>
      </w:tr>
      <w:tr>
        <w:trPr>
          <w:trHeight w:val="120"/>
        </w:trPr>
        <w:tc>
          <w:tcPr>
            <w:tcW w:w="44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Goodwill</w:t>
            </w: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4,642</w:t>
            </w:r>
          </w:p>
        </w:tc>
        <w:tc>
          <w:tcPr>
            <w:tcW w:w="120" w:type="dxa"/>
            <w:vAlign w:val="bottom"/>
            <w:tcBorders>
              <w:bottom w:val="single" w:sz="8" w:color="0077C0"/>
              <w:right w:val="single" w:sz="8" w:color="0077C0"/>
            </w:tcBorders>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4,617</w:t>
            </w:r>
          </w:p>
        </w:tc>
        <w:tc>
          <w:tcPr>
            <w:tcW w:w="0" w:type="dxa"/>
            <w:vAlign w:val="bottom"/>
          </w:tcPr>
          <w:p>
            <w:pPr>
              <w:spacing w:after="0"/>
              <w:rPr>
                <w:sz w:val="1"/>
                <w:szCs w:val="1"/>
                <w:color w:val="auto"/>
              </w:rPr>
            </w:pPr>
          </w:p>
        </w:tc>
      </w:tr>
      <w:tr>
        <w:trPr>
          <w:trHeight w:val="105"/>
        </w:trPr>
        <w:tc>
          <w:tcPr>
            <w:tcW w:w="44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88"/>
              </w:rPr>
              <w:t>140,290</w:t>
            </w:r>
          </w:p>
        </w:tc>
        <w:tc>
          <w:tcPr>
            <w:tcW w:w="120" w:type="dxa"/>
            <w:vAlign w:val="bottom"/>
            <w:tcBorders>
              <w:bottom w:val="single" w:sz="8" w:color="0077C0"/>
              <w:right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120,242</w:t>
            </w:r>
          </w:p>
        </w:tc>
        <w:tc>
          <w:tcPr>
            <w:tcW w:w="0" w:type="dxa"/>
            <w:vAlign w:val="bottom"/>
          </w:tcPr>
          <w:p>
            <w:pPr>
              <w:spacing w:after="0"/>
              <w:rPr>
                <w:sz w:val="1"/>
                <w:szCs w:val="1"/>
                <w:color w:val="auto"/>
              </w:rPr>
            </w:pPr>
          </w:p>
        </w:tc>
      </w:tr>
      <w:tr>
        <w:trPr>
          <w:trHeight w:val="92"/>
        </w:trPr>
        <w:tc>
          <w:tcPr>
            <w:tcW w:w="440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22,182</w:t>
            </w:r>
          </w:p>
        </w:tc>
        <w:tc>
          <w:tcPr>
            <w:tcW w:w="12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40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21,406</w:t>
            </w:r>
          </w:p>
        </w:tc>
        <w:tc>
          <w:tcPr>
            <w:tcW w:w="0" w:type="dxa"/>
            <w:vAlign w:val="bottom"/>
          </w:tcPr>
          <w:p>
            <w:pPr>
              <w:spacing w:after="0"/>
              <w:rPr>
                <w:sz w:val="1"/>
                <w:szCs w:val="1"/>
                <w:color w:val="auto"/>
              </w:rPr>
            </w:pPr>
          </w:p>
        </w:tc>
      </w:tr>
      <w:tr>
        <w:trPr>
          <w:trHeight w:val="120"/>
        </w:trPr>
        <w:tc>
          <w:tcPr>
            <w:tcW w:w="44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20,517</w:t>
            </w:r>
          </w:p>
        </w:tc>
        <w:tc>
          <w:tcPr>
            <w:tcW w:w="120" w:type="dxa"/>
            <w:vAlign w:val="bottom"/>
            <w:tcBorders>
              <w:bottom w:val="single" w:sz="8" w:color="0077C0"/>
              <w:right w:val="single" w:sz="8" w:color="0077C0"/>
            </w:tcBorders>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20,559</w:t>
            </w:r>
          </w:p>
        </w:tc>
        <w:tc>
          <w:tcPr>
            <w:tcW w:w="0" w:type="dxa"/>
            <w:vAlign w:val="bottom"/>
          </w:tcPr>
          <w:p>
            <w:pPr>
              <w:spacing w:after="0"/>
              <w:rPr>
                <w:sz w:val="1"/>
                <w:szCs w:val="1"/>
                <w:color w:val="auto"/>
              </w:rPr>
            </w:pPr>
          </w:p>
        </w:tc>
      </w:tr>
      <w:tr>
        <w:trPr>
          <w:trHeight w:val="105"/>
        </w:trPr>
        <w:tc>
          <w:tcPr>
            <w:tcW w:w="44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42,699</w:t>
            </w:r>
          </w:p>
        </w:tc>
        <w:tc>
          <w:tcPr>
            <w:tcW w:w="120" w:type="dxa"/>
            <w:vAlign w:val="bottom"/>
            <w:tcBorders>
              <w:bottom w:val="single" w:sz="8" w:color="0077C0"/>
              <w:right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41,965</w:t>
            </w:r>
          </w:p>
        </w:tc>
        <w:tc>
          <w:tcPr>
            <w:tcW w:w="0" w:type="dxa"/>
            <w:vAlign w:val="bottom"/>
          </w:tcPr>
          <w:p>
            <w:pPr>
              <w:spacing w:after="0"/>
              <w:rPr>
                <w:sz w:val="1"/>
                <w:szCs w:val="1"/>
                <w:color w:val="auto"/>
              </w:rPr>
            </w:pPr>
          </w:p>
        </w:tc>
      </w:tr>
      <w:tr>
        <w:trPr>
          <w:trHeight w:val="105"/>
        </w:trPr>
        <w:tc>
          <w:tcPr>
            <w:tcW w:w="44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Segment Assets</w:t>
            </w: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88"/>
              </w:rPr>
              <w:t>182,989</w:t>
            </w:r>
          </w:p>
        </w:tc>
        <w:tc>
          <w:tcPr>
            <w:tcW w:w="120" w:type="dxa"/>
            <w:vAlign w:val="bottom"/>
            <w:tcBorders>
              <w:bottom w:val="single" w:sz="8" w:color="0077C0"/>
              <w:right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162,207</w:t>
            </w:r>
          </w:p>
        </w:tc>
        <w:tc>
          <w:tcPr>
            <w:tcW w:w="0" w:type="dxa"/>
            <w:vAlign w:val="bottom"/>
          </w:tcPr>
          <w:p>
            <w:pPr>
              <w:spacing w:after="0"/>
              <w:rPr>
                <w:sz w:val="1"/>
                <w:szCs w:val="1"/>
                <w:color w:val="auto"/>
              </w:rPr>
            </w:pPr>
          </w:p>
        </w:tc>
      </w:tr>
      <w:tr>
        <w:trPr>
          <w:trHeight w:val="92"/>
        </w:trPr>
        <w:tc>
          <w:tcPr>
            <w:tcW w:w="4400" w:type="dxa"/>
            <w:vAlign w:val="bottom"/>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8,824</w:t>
            </w:r>
          </w:p>
        </w:tc>
        <w:tc>
          <w:tcPr>
            <w:tcW w:w="12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40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11,125</w:t>
            </w:r>
          </w:p>
        </w:tc>
        <w:tc>
          <w:tcPr>
            <w:tcW w:w="0" w:type="dxa"/>
            <w:vAlign w:val="bottom"/>
          </w:tcPr>
          <w:p>
            <w:pPr>
              <w:spacing w:after="0"/>
              <w:rPr>
                <w:sz w:val="1"/>
                <w:szCs w:val="1"/>
                <w:color w:val="auto"/>
              </w:rPr>
            </w:pPr>
          </w:p>
        </w:tc>
      </w:tr>
      <w:tr>
        <w:trPr>
          <w:trHeight w:val="120"/>
        </w:trPr>
        <w:tc>
          <w:tcPr>
            <w:tcW w:w="44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17,661</w:t>
            </w:r>
          </w:p>
        </w:tc>
        <w:tc>
          <w:tcPr>
            <w:tcW w:w="120" w:type="dxa"/>
            <w:vAlign w:val="bottom"/>
            <w:tcBorders>
              <w:bottom w:val="single" w:sz="8" w:color="0077C0"/>
              <w:right w:val="single" w:sz="8" w:color="0077C0"/>
            </w:tcBorders>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11,437</w:t>
            </w:r>
          </w:p>
        </w:tc>
        <w:tc>
          <w:tcPr>
            <w:tcW w:w="0" w:type="dxa"/>
            <w:vAlign w:val="bottom"/>
          </w:tcPr>
          <w:p>
            <w:pPr>
              <w:spacing w:after="0"/>
              <w:rPr>
                <w:sz w:val="1"/>
                <w:szCs w:val="1"/>
                <w:color w:val="auto"/>
              </w:rPr>
            </w:pPr>
          </w:p>
        </w:tc>
      </w:tr>
      <w:tr>
        <w:trPr>
          <w:trHeight w:val="105"/>
        </w:trPr>
        <w:tc>
          <w:tcPr>
            <w:tcW w:w="44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All Other</w:t>
            </w:r>
          </w:p>
        </w:tc>
        <w:tc>
          <w:tcPr>
            <w:tcW w:w="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26,485</w:t>
            </w:r>
          </w:p>
        </w:tc>
        <w:tc>
          <w:tcPr>
            <w:tcW w:w="120" w:type="dxa"/>
            <w:vAlign w:val="bottom"/>
            <w:tcBorders>
              <w:bottom w:val="single" w:sz="8" w:color="0077C0"/>
              <w:right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22,562</w:t>
            </w:r>
          </w:p>
        </w:tc>
        <w:tc>
          <w:tcPr>
            <w:tcW w:w="0" w:type="dxa"/>
            <w:vAlign w:val="bottom"/>
          </w:tcPr>
          <w:p>
            <w:pPr>
              <w:spacing w:after="0"/>
              <w:rPr>
                <w:sz w:val="1"/>
                <w:szCs w:val="1"/>
                <w:color w:val="auto"/>
              </w:rPr>
            </w:pPr>
          </w:p>
        </w:tc>
      </w:tr>
      <w:tr>
        <w:trPr>
          <w:trHeight w:val="90"/>
        </w:trPr>
        <w:tc>
          <w:tcPr>
            <w:tcW w:w="4400" w:type="dxa"/>
            <w:vAlign w:val="bottom"/>
          </w:tcPr>
          <w:p>
            <w:pPr>
              <w:spacing w:after="0" w:line="91" w:lineRule="exact"/>
              <w:rPr>
                <w:sz w:val="20"/>
                <w:szCs w:val="20"/>
                <w:color w:val="auto"/>
              </w:rPr>
            </w:pPr>
            <w:r>
              <w:rPr>
                <w:rFonts w:ascii="Arial" w:cs="Arial" w:eastAsia="Arial" w:hAnsi="Arial"/>
                <w:sz w:val="10"/>
                <w:szCs w:val="10"/>
                <w:b w:val="1"/>
                <w:bCs w:val="1"/>
                <w:color w:val="auto"/>
              </w:rPr>
              <w:t>Total Assets – United States</w:t>
            </w:r>
          </w:p>
        </w:tc>
        <w:tc>
          <w:tcPr>
            <w:tcW w:w="60" w:type="dxa"/>
            <w:vAlign w:val="bottom"/>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68,114</w:t>
            </w:r>
          </w:p>
        </w:tc>
        <w:tc>
          <w:tcPr>
            <w:tcW w:w="120" w:type="dxa"/>
            <w:vAlign w:val="bottom"/>
            <w:tcBorders>
              <w:right w:val="single" w:sz="8" w:color="0077C0"/>
            </w:tcBorders>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58,850</w:t>
            </w:r>
          </w:p>
        </w:tc>
        <w:tc>
          <w:tcPr>
            <w:tcW w:w="0" w:type="dxa"/>
            <w:vAlign w:val="bottom"/>
          </w:tcPr>
          <w:p>
            <w:pPr>
              <w:spacing w:after="0"/>
              <w:rPr>
                <w:sz w:val="1"/>
                <w:szCs w:val="1"/>
                <w:color w:val="auto"/>
              </w:rPr>
            </w:pPr>
          </w:p>
        </w:tc>
      </w:tr>
      <w:tr>
        <w:trPr>
          <w:trHeight w:val="106"/>
        </w:trPr>
        <w:tc>
          <w:tcPr>
            <w:tcW w:w="4400" w:type="dxa"/>
            <w:vAlign w:val="bottom"/>
          </w:tcPr>
          <w:p>
            <w:pPr>
              <w:spacing w:after="0" w:line="106" w:lineRule="exact"/>
              <w:rPr>
                <w:sz w:val="20"/>
                <w:szCs w:val="20"/>
                <w:color w:val="auto"/>
              </w:rPr>
            </w:pPr>
            <w:r>
              <w:rPr>
                <w:rFonts w:ascii="Arial" w:cs="Arial" w:eastAsia="Arial" w:hAnsi="Arial"/>
                <w:sz w:val="10"/>
                <w:szCs w:val="10"/>
                <w:b w:val="1"/>
                <w:bCs w:val="1"/>
                <w:color w:val="auto"/>
              </w:rPr>
              <w:t>Total Assets – International</w:t>
            </w:r>
          </w:p>
        </w:tc>
        <w:tc>
          <w:tcPr>
            <w:tcW w:w="6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w w:val="88"/>
              </w:rPr>
              <w:t>136,718</w:t>
            </w:r>
          </w:p>
        </w:tc>
        <w:tc>
          <w:tcPr>
            <w:tcW w:w="120" w:type="dxa"/>
            <w:vAlign w:val="bottom"/>
            <w:tcBorders>
              <w:right w:val="single" w:sz="8" w:color="0077C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w w:val="88"/>
              </w:rPr>
              <w:t>121,302</w:t>
            </w:r>
          </w:p>
        </w:tc>
        <w:tc>
          <w:tcPr>
            <w:tcW w:w="0" w:type="dxa"/>
            <w:vAlign w:val="bottom"/>
          </w:tcPr>
          <w:p>
            <w:pPr>
              <w:spacing w:after="0"/>
              <w:rPr>
                <w:sz w:val="1"/>
                <w:szCs w:val="1"/>
                <w:color w:val="auto"/>
              </w:rPr>
            </w:pPr>
          </w:p>
        </w:tc>
      </w:tr>
      <w:tr>
        <w:trPr>
          <w:trHeight w:val="120"/>
        </w:trPr>
        <w:tc>
          <w:tcPr>
            <w:tcW w:w="4400" w:type="dxa"/>
            <w:vAlign w:val="bottom"/>
            <w:tcBorders>
              <w:bottom w:val="single" w:sz="8" w:color="0077C0"/>
            </w:tcBorders>
          </w:tcPr>
          <w:p>
            <w:pPr>
              <w:spacing w:after="0"/>
              <w:rPr>
                <w:sz w:val="20"/>
                <w:szCs w:val="20"/>
                <w:color w:val="auto"/>
              </w:rPr>
            </w:pPr>
            <w:r>
              <w:rPr>
                <w:rFonts w:ascii="Arial" w:cs="Arial" w:eastAsia="Arial" w:hAnsi="Arial"/>
                <w:sz w:val="10"/>
                <w:szCs w:val="10"/>
                <w:b w:val="1"/>
                <w:bCs w:val="1"/>
                <w:color w:val="auto"/>
              </w:rPr>
              <w:t>Goodwill</w:t>
            </w:r>
          </w:p>
        </w:tc>
        <w:tc>
          <w:tcPr>
            <w:tcW w:w="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4,642</w:t>
            </w:r>
          </w:p>
        </w:tc>
        <w:tc>
          <w:tcPr>
            <w:tcW w:w="120" w:type="dxa"/>
            <w:vAlign w:val="bottom"/>
            <w:tcBorders>
              <w:bottom w:val="single" w:sz="8" w:color="0077C0"/>
              <w:right w:val="single" w:sz="8" w:color="0077C0"/>
            </w:tcBorders>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4,617</w:t>
            </w:r>
          </w:p>
        </w:tc>
        <w:tc>
          <w:tcPr>
            <w:tcW w:w="0" w:type="dxa"/>
            <w:vAlign w:val="bottom"/>
          </w:tcPr>
          <w:p>
            <w:pPr>
              <w:spacing w:after="0"/>
              <w:rPr>
                <w:sz w:val="1"/>
                <w:szCs w:val="1"/>
                <w:color w:val="auto"/>
              </w:rPr>
            </w:pPr>
          </w:p>
        </w:tc>
      </w:tr>
      <w:tr>
        <w:trPr>
          <w:trHeight w:val="114"/>
        </w:trPr>
        <w:tc>
          <w:tcPr>
            <w:tcW w:w="44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Assets</w:t>
            </w:r>
          </w:p>
        </w:tc>
        <w:tc>
          <w:tcPr>
            <w:tcW w:w="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88"/>
              </w:rPr>
              <w:t>209,474</w:t>
            </w:r>
          </w:p>
        </w:tc>
        <w:tc>
          <w:tcPr>
            <w:tcW w:w="120" w:type="dxa"/>
            <w:vAlign w:val="bottom"/>
            <w:tcBorders>
              <w:bottom w:val="single" w:sz="8" w:color="0077C0"/>
              <w:right w:val="single" w:sz="8" w:color="0077C0"/>
            </w:tcBorders>
          </w:tcPr>
          <w:p>
            <w:pPr>
              <w:spacing w:after="0"/>
              <w:rPr>
                <w:sz w:val="9"/>
                <w:szCs w:val="9"/>
                <w:color w:val="auto"/>
              </w:rPr>
            </w:pP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184,769</w:t>
            </w:r>
          </w:p>
        </w:tc>
        <w:tc>
          <w:tcPr>
            <w:tcW w:w="0" w:type="dxa"/>
            <w:vAlign w:val="bottom"/>
          </w:tcPr>
          <w:p>
            <w:pPr>
              <w:spacing w:after="0"/>
              <w:rPr>
                <w:sz w:val="1"/>
                <w:szCs w:val="1"/>
                <w:color w:val="auto"/>
              </w:rPr>
            </w:pPr>
          </w:p>
        </w:tc>
      </w:tr>
    </w:tbl>
    <w:p>
      <w:pPr>
        <w:spacing w:after="0" w:line="37" w:lineRule="exact"/>
        <w:rPr>
          <w:sz w:val="20"/>
          <w:szCs w:val="20"/>
          <w:color w:val="auto"/>
        </w:rPr>
      </w:pPr>
    </w:p>
    <w:p>
      <w:pPr>
        <w:jc w:val="both"/>
        <w:ind w:left="123" w:right="280" w:hanging="123"/>
        <w:spacing w:after="0" w:line="236" w:lineRule="auto"/>
        <w:tabs>
          <w:tab w:leader="none" w:pos="123" w:val="left"/>
        </w:tabs>
        <w:numPr>
          <w:ilvl w:val="0"/>
          <w:numId w:val="36"/>
        </w:numPr>
        <w:rPr>
          <w:rFonts w:ascii="Arial" w:cs="Arial" w:eastAsia="Arial" w:hAnsi="Arial"/>
          <w:sz w:val="9"/>
          <w:szCs w:val="9"/>
          <w:color w:val="auto"/>
        </w:rPr>
      </w:pPr>
      <w:r>
        <w:rPr>
          <w:rFonts w:ascii="Arial" w:cs="Arial" w:eastAsia="Arial" w:hAnsi="Arial"/>
          <w:sz w:val="9"/>
          <w:szCs w:val="9"/>
          <w:color w:val="auto"/>
        </w:rPr>
        <w:t>“All Other” assets consist primarily of worldwide cash, cash equivalents, time deposits and marketable securities, real estate, energy services, information systems, mining operations, power generation businesses, alternative fuels and technology companies, and assets of the corporate administrative functions.</w:t>
      </w:r>
    </w:p>
    <w:p>
      <w:pPr>
        <w:spacing w:after="0" w:line="62" w:lineRule="exact"/>
        <w:rPr>
          <w:sz w:val="20"/>
          <w:szCs w:val="20"/>
          <w:color w:val="auto"/>
        </w:rPr>
      </w:pPr>
    </w:p>
    <w:p>
      <w:pPr>
        <w:ind w:left="3" w:right="160"/>
        <w:spacing w:after="0" w:line="253" w:lineRule="auto"/>
        <w:rPr>
          <w:sz w:val="20"/>
          <w:szCs w:val="20"/>
          <w:color w:val="auto"/>
        </w:rPr>
      </w:pPr>
      <w:r>
        <w:rPr>
          <w:rFonts w:ascii="Arial" w:cs="Arial" w:eastAsia="Arial" w:hAnsi="Arial"/>
          <w:sz w:val="13"/>
          <w:szCs w:val="13"/>
          <w:i w:val="1"/>
          <w:iCs w:val="1"/>
          <w:color w:val="E51837"/>
        </w:rPr>
        <w:t xml:space="preserve">Segment Sales and Other Operating Revenues </w:t>
      </w:r>
      <w:r>
        <w:rPr>
          <w:rFonts w:ascii="Arial" w:cs="Arial" w:eastAsia="Arial" w:hAnsi="Arial"/>
          <w:sz w:val="13"/>
          <w:szCs w:val="13"/>
          <w:color w:val="000000"/>
        </w:rPr>
        <w:t>Operating segment sales and other operating revenues,</w:t>
      </w:r>
      <w:r>
        <w:rPr>
          <w:rFonts w:ascii="Arial" w:cs="Arial" w:eastAsia="Arial" w:hAnsi="Arial"/>
          <w:sz w:val="13"/>
          <w:szCs w:val="13"/>
          <w:i w:val="1"/>
          <w:iCs w:val="1"/>
          <w:color w:val="E51837"/>
        </w:rPr>
        <w:t xml:space="preserve"> </w:t>
      </w:r>
      <w:r>
        <w:rPr>
          <w:rFonts w:ascii="Arial" w:cs="Arial" w:eastAsia="Arial" w:hAnsi="Arial"/>
          <w:sz w:val="13"/>
          <w:szCs w:val="13"/>
          <w:color w:val="000000"/>
        </w:rPr>
        <w:t>including internal transfers, for the years 2011, 2010 and 2009, are presented in the table that follows. Products are transferred between operating segments at internal product values that approximate market prices.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60" w:right="60" w:firstLine="160"/>
        <w:spacing w:after="0" w:line="269" w:lineRule="auto"/>
        <w:rPr>
          <w:sz w:val="20"/>
          <w:szCs w:val="20"/>
          <w:color w:val="auto"/>
        </w:rPr>
      </w:pPr>
      <w:r>
        <w:rPr>
          <w:rFonts w:ascii="Arial" w:cs="Arial" w:eastAsia="Arial" w:hAnsi="Arial"/>
          <w:sz w:val="12"/>
          <w:szCs w:val="12"/>
          <w:color w:val="auto"/>
        </w:rPr>
        <w:t>Revenues for the upstream segment are derived primarily from the production and sale of crude oil and natural gas, as well as the sale of third-party production of natural gas. Revenues for the downstream segment are derived from the refining and marketing of petroleum products such as gasoline, jet fuel, gas oils, lubricants, residual fuel oils and other products derived from crude oil. This segment also generates revenues from the manufacture and sale of additives for fuels and lubricant oils and the transportation and trading of refined products, crude oil and natural gas liquids. “All Other” activities include revenues from mining operations, power generation businesses, insurance operations, real estate activities, energy services, alternative fuels and technology companies.</w:t>
      </w:r>
    </w:p>
    <w:p>
      <w:pPr>
        <w:spacing w:after="0" w:line="1" w:lineRule="exact"/>
        <w:rPr>
          <w:sz w:val="20"/>
          <w:szCs w:val="20"/>
          <w:color w:val="auto"/>
        </w:rPr>
      </w:pPr>
    </w:p>
    <w:p>
      <w:pPr>
        <w:ind w:left="360" w:right="20" w:firstLine="160"/>
        <w:spacing w:after="0" w:line="253" w:lineRule="auto"/>
        <w:rPr>
          <w:sz w:val="20"/>
          <w:szCs w:val="20"/>
          <w:color w:val="auto"/>
        </w:rPr>
      </w:pPr>
      <w:r>
        <w:rPr>
          <w:rFonts w:ascii="Arial" w:cs="Arial" w:eastAsia="Arial" w:hAnsi="Arial"/>
          <w:sz w:val="13"/>
          <w:szCs w:val="13"/>
          <w:color w:val="auto"/>
        </w:rPr>
        <w:t>Other than the United States, no single country accounted for 10 percent or more of the company’s total sales and other operating revenues in 2011, 2010 and 2009.</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9"/>
                <w:szCs w:val="9"/>
                <w:color w:val="auto"/>
                <w:w w:val="98"/>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Borders>
              <w:bottom w:val="single" w:sz="8" w:color="0077C0"/>
            </w:tcBorders>
          </w:tcPr>
          <w:p>
            <w:pPr>
              <w:spacing w:after="0"/>
              <w:rPr>
                <w:sz w:val="8"/>
                <w:szCs w:val="8"/>
                <w:color w:val="auto"/>
              </w:rPr>
            </w:pPr>
          </w:p>
        </w:tc>
        <w:tc>
          <w:tcPr>
            <w:tcW w:w="1180" w:type="dxa"/>
            <w:vAlign w:val="bottom"/>
            <w:tcBorders>
              <w:bottom w:val="single" w:sz="8" w:color="0077C0"/>
            </w:tcBorders>
          </w:tcPr>
          <w:p>
            <w:pPr>
              <w:spacing w:after="0"/>
              <w:rPr>
                <w:sz w:val="8"/>
                <w:szCs w:val="8"/>
                <w:color w:val="auto"/>
              </w:rPr>
            </w:pPr>
          </w:p>
        </w:tc>
        <w:tc>
          <w:tcPr>
            <w:tcW w:w="4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29"/>
              <w:spacing w:after="0" w:line="96" w:lineRule="exact"/>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29"/>
              <w:spacing w:after="0" w:line="96" w:lineRule="exact"/>
              <w:rPr>
                <w:sz w:val="20"/>
                <w:szCs w:val="20"/>
                <w:color w:val="auto"/>
              </w:rPr>
            </w:pPr>
            <w:r>
              <w:rPr>
                <w:rFonts w:ascii="Arial" w:cs="Arial" w:eastAsia="Arial" w:hAnsi="Arial"/>
                <w:sz w:val="9"/>
                <w:szCs w:val="9"/>
                <w:color w:val="auto"/>
              </w:rPr>
              <w:t>2010</w:t>
            </w:r>
          </w:p>
        </w:tc>
        <w:tc>
          <w:tcPr>
            <w:tcW w:w="18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20" w:type="dxa"/>
            <w:vAlign w:val="bottom"/>
          </w:tcPr>
          <w:p>
            <w:pPr>
              <w:spacing w:after="0" w:line="83" w:lineRule="exact"/>
              <w:rPr>
                <w:sz w:val="20"/>
                <w:szCs w:val="20"/>
                <w:color w:val="auto"/>
              </w:rPr>
            </w:pPr>
            <w:r>
              <w:rPr>
                <w:rFonts w:ascii="Arial" w:cs="Arial" w:eastAsia="Arial" w:hAnsi="Arial"/>
                <w:sz w:val="9"/>
                <w:szCs w:val="9"/>
                <w:b w:val="1"/>
                <w:bCs w:val="1"/>
                <w:color w:val="auto"/>
              </w:rPr>
              <w:t>Upstream</w:t>
            </w:r>
          </w:p>
        </w:tc>
        <w:tc>
          <w:tcPr>
            <w:tcW w:w="12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9,623</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540" w:type="dxa"/>
            <w:vAlign w:val="bottom"/>
            <w:gridSpan w:val="2"/>
          </w:tcPr>
          <w:p>
            <w:pPr>
              <w:spacing w:after="0" w:line="104" w:lineRule="exact"/>
              <w:rPr>
                <w:sz w:val="20"/>
                <w:szCs w:val="20"/>
                <w:color w:val="auto"/>
              </w:rPr>
            </w:pPr>
            <w:r>
              <w:rPr>
                <w:rFonts w:ascii="Arial" w:cs="Arial" w:eastAsia="Arial" w:hAnsi="Arial"/>
                <w:sz w:val="10"/>
                <w:szCs w:val="10"/>
                <w:color w:val="auto"/>
              </w:rPr>
              <w:t>United States</w:t>
            </w:r>
          </w:p>
        </w:tc>
        <w:tc>
          <w:tcPr>
            <w:tcW w:w="1220" w:type="dxa"/>
            <w:vAlign w:val="bottom"/>
            <w:gridSpan w:val="2"/>
            <w:vMerge w:val="continue"/>
          </w:tcPr>
          <w:p>
            <w:pPr>
              <w:spacing w:after="0"/>
              <w:rPr>
                <w:sz w:val="9"/>
                <w:szCs w:val="9"/>
                <w:color w:val="auto"/>
              </w:rPr>
            </w:pPr>
          </w:p>
        </w:tc>
        <w:tc>
          <w:tcPr>
            <w:tcW w:w="520" w:type="dxa"/>
            <w:vAlign w:val="bottom"/>
            <w:tcBorders>
              <w:right w:val="single" w:sz="8" w:color="0077C0"/>
            </w:tcBorders>
            <w:vMerge w:val="continue"/>
          </w:tcPr>
          <w:p>
            <w:pPr>
              <w:spacing w:after="0"/>
              <w:rPr>
                <w:sz w:val="9"/>
                <w:szCs w:val="9"/>
                <w:color w:val="auto"/>
              </w:rPr>
            </w:pPr>
          </w:p>
        </w:tc>
        <w:tc>
          <w:tcPr>
            <w:tcW w:w="1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10,316</w:t>
            </w:r>
          </w:p>
        </w:tc>
        <w:tc>
          <w:tcPr>
            <w:tcW w:w="1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9,225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18,115</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13,839</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10,297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United States</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27,738</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24,155</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19,522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20,086</w:t>
            </w:r>
          </w:p>
        </w:tc>
        <w:tc>
          <w:tcPr>
            <w:tcW w:w="140" w:type="dxa"/>
            <w:vAlign w:val="bottom"/>
          </w:tcPr>
          <w:p>
            <w:pPr>
              <w:spacing w:after="0"/>
              <w:rPr>
                <w:sz w:val="7"/>
                <w:szCs w:val="7"/>
                <w:color w:val="auto"/>
              </w:rPr>
            </w:pPr>
          </w:p>
        </w:tc>
        <w:tc>
          <w:tcPr>
            <w:tcW w:w="520" w:type="dxa"/>
            <w:vAlign w:val="bottom"/>
          </w:tcPr>
          <w:p>
            <w:pPr>
              <w:jc w:val="right"/>
              <w:ind w:right="129"/>
              <w:spacing w:after="0" w:line="91" w:lineRule="exact"/>
              <w:rPr>
                <w:sz w:val="20"/>
                <w:szCs w:val="20"/>
                <w:color w:val="auto"/>
              </w:rPr>
            </w:pPr>
            <w:r>
              <w:rPr>
                <w:rFonts w:ascii="Arial" w:cs="Arial" w:eastAsia="Arial" w:hAnsi="Arial"/>
                <w:sz w:val="10"/>
                <w:szCs w:val="10"/>
                <w:color w:val="auto"/>
              </w:rPr>
              <w:t>17,300</w:t>
            </w:r>
          </w:p>
        </w:tc>
        <w:tc>
          <w:tcPr>
            <w:tcW w:w="18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13,463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35,012</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23,834</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18,477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International</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55,098</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41,134</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31,940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82,836</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65,289</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51,462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54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86,793</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540" w:type="dxa"/>
            <w:vAlign w:val="bottom"/>
            <w:gridSpan w:val="2"/>
          </w:tcPr>
          <w:p>
            <w:pPr>
              <w:spacing w:after="0" w:line="104" w:lineRule="exact"/>
              <w:rPr>
                <w:sz w:val="20"/>
                <w:szCs w:val="20"/>
                <w:color w:val="auto"/>
              </w:rPr>
            </w:pPr>
            <w:r>
              <w:rPr>
                <w:rFonts w:ascii="Arial" w:cs="Arial" w:eastAsia="Arial" w:hAnsi="Arial"/>
                <w:sz w:val="10"/>
                <w:szCs w:val="10"/>
                <w:color w:val="auto"/>
              </w:rPr>
              <w:t>United States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70,436</w:t>
            </w: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58,056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20" w:type="dxa"/>
            <w:vAlign w:val="bottom"/>
          </w:tcPr>
          <w:p>
            <w:pPr>
              <w:ind w:left="120"/>
              <w:spacing w:after="0" w:line="106" w:lineRule="exact"/>
              <w:rPr>
                <w:sz w:val="20"/>
                <w:szCs w:val="20"/>
                <w:color w:val="auto"/>
              </w:rPr>
            </w:pPr>
            <w:r>
              <w:rPr>
                <w:rFonts w:ascii="Arial" w:cs="Arial" w:eastAsia="Arial" w:hAnsi="Arial"/>
                <w:sz w:val="10"/>
                <w:szCs w:val="10"/>
                <w:color w:val="auto"/>
              </w:rPr>
              <w:t>Excise and similar taxes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4,199</w:t>
            </w:r>
          </w:p>
        </w:tc>
        <w:tc>
          <w:tcPr>
            <w:tcW w:w="14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4,484</w:t>
            </w:r>
          </w:p>
        </w:tc>
        <w:tc>
          <w:tcPr>
            <w:tcW w:w="18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4,573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86</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115</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United States</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91,078</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75,035</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62,727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88"/>
              </w:rPr>
              <w:t>119,254</w:t>
            </w:r>
          </w:p>
        </w:tc>
        <w:tc>
          <w:tcPr>
            <w:tcW w:w="140" w:type="dxa"/>
            <w:vAlign w:val="bottom"/>
          </w:tcPr>
          <w:p>
            <w:pPr>
              <w:spacing w:after="0"/>
              <w:rPr>
                <w:sz w:val="7"/>
                <w:szCs w:val="7"/>
                <w:color w:val="auto"/>
              </w:rPr>
            </w:pPr>
          </w:p>
        </w:tc>
        <w:tc>
          <w:tcPr>
            <w:tcW w:w="520" w:type="dxa"/>
            <w:vAlign w:val="bottom"/>
          </w:tcPr>
          <w:p>
            <w:pPr>
              <w:jc w:val="right"/>
              <w:ind w:right="129"/>
              <w:spacing w:after="0" w:line="91" w:lineRule="exact"/>
              <w:rPr>
                <w:sz w:val="20"/>
                <w:szCs w:val="20"/>
                <w:color w:val="auto"/>
              </w:rPr>
            </w:pPr>
            <w:r>
              <w:rPr>
                <w:rFonts w:ascii="Arial" w:cs="Arial" w:eastAsia="Arial" w:hAnsi="Arial"/>
                <w:sz w:val="10"/>
                <w:szCs w:val="10"/>
                <w:color w:val="auto"/>
              </w:rPr>
              <w:t>90,922</w:t>
            </w:r>
          </w:p>
        </w:tc>
        <w:tc>
          <w:tcPr>
            <w:tcW w:w="18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77,845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20" w:type="dxa"/>
            <w:vAlign w:val="bottom"/>
          </w:tcPr>
          <w:p>
            <w:pPr>
              <w:ind w:left="120"/>
              <w:spacing w:after="0" w:line="106" w:lineRule="exact"/>
              <w:rPr>
                <w:sz w:val="20"/>
                <w:szCs w:val="20"/>
                <w:color w:val="auto"/>
              </w:rPr>
            </w:pPr>
            <w:r>
              <w:rPr>
                <w:rFonts w:ascii="Arial" w:cs="Arial" w:eastAsia="Arial" w:hAnsi="Arial"/>
                <w:sz w:val="10"/>
                <w:szCs w:val="10"/>
                <w:color w:val="auto"/>
              </w:rPr>
              <w:t>Excise and similar taxes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3,886</w:t>
            </w:r>
          </w:p>
        </w:tc>
        <w:tc>
          <w:tcPr>
            <w:tcW w:w="14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4,107</w:t>
            </w:r>
          </w:p>
        </w:tc>
        <w:tc>
          <w:tcPr>
            <w:tcW w:w="18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3,536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81</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93</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International</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8"/>
              </w:rPr>
              <w:t>123,221</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95,122</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81,468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8"/>
              </w:rPr>
              <w:t>214,299</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88"/>
              </w:rPr>
              <w:t>170,157</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8"/>
              </w:rPr>
              <w:t>144,195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54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526</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540" w:type="dxa"/>
            <w:vAlign w:val="bottom"/>
            <w:gridSpan w:val="2"/>
          </w:tcPr>
          <w:p>
            <w:pPr>
              <w:spacing w:after="0" w:line="104" w:lineRule="exact"/>
              <w:rPr>
                <w:sz w:val="20"/>
                <w:szCs w:val="20"/>
                <w:color w:val="auto"/>
              </w:rPr>
            </w:pPr>
            <w:r>
              <w:rPr>
                <w:rFonts w:ascii="Arial" w:cs="Arial" w:eastAsia="Arial" w:hAnsi="Arial"/>
                <w:sz w:val="10"/>
                <w:szCs w:val="10"/>
                <w:color w:val="auto"/>
              </w:rPr>
              <w:t>United States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610</w:t>
            </w: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665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1,072</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947</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United States</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1,598</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1,557</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1,629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color w:val="auto"/>
              </w:rPr>
              <w:t>International</w:t>
            </w: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rPr>
              <w:t>4</w:t>
            </w:r>
          </w:p>
        </w:tc>
        <w:tc>
          <w:tcPr>
            <w:tcW w:w="140" w:type="dxa"/>
            <w:vAlign w:val="bottom"/>
          </w:tcPr>
          <w:p>
            <w:pPr>
              <w:spacing w:after="0"/>
              <w:rPr>
                <w:sz w:val="7"/>
                <w:szCs w:val="7"/>
                <w:color w:val="auto"/>
              </w:rPr>
            </w:pPr>
          </w:p>
        </w:tc>
        <w:tc>
          <w:tcPr>
            <w:tcW w:w="520" w:type="dxa"/>
            <w:vAlign w:val="bottom"/>
          </w:tcPr>
          <w:p>
            <w:pPr>
              <w:jc w:val="right"/>
              <w:ind w:right="129"/>
              <w:spacing w:after="0" w:line="91" w:lineRule="exact"/>
              <w:rPr>
                <w:sz w:val="20"/>
                <w:szCs w:val="20"/>
                <w:color w:val="auto"/>
              </w:rPr>
            </w:pPr>
            <w:r>
              <w:rPr>
                <w:rFonts w:ascii="Arial" w:cs="Arial" w:eastAsia="Arial" w:hAnsi="Arial"/>
                <w:sz w:val="10"/>
                <w:szCs w:val="10"/>
                <w:color w:val="auto"/>
              </w:rPr>
              <w:t>23</w:t>
            </w:r>
          </w:p>
        </w:tc>
        <w:tc>
          <w:tcPr>
            <w:tcW w:w="18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39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Intersegment</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42</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International</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46</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62</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All Other</w:t>
            </w:r>
          </w:p>
        </w:tc>
        <w:tc>
          <w:tcPr>
            <w:tcW w:w="1180" w:type="dxa"/>
            <w:vAlign w:val="bottom"/>
            <w:tcBorders>
              <w:bottom w:val="single" w:sz="8" w:color="0077C0"/>
            </w:tcBorders>
          </w:tcPr>
          <w:p>
            <w:pPr>
              <w:spacing w:after="0"/>
              <w:rPr>
                <w:sz w:val="9"/>
                <w:szCs w:val="9"/>
                <w:color w:val="auto"/>
              </w:rPr>
            </w:pPr>
          </w:p>
        </w:tc>
        <w:tc>
          <w:tcPr>
            <w:tcW w:w="4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1,644</w:t>
            </w:r>
          </w:p>
        </w:tc>
        <w:tc>
          <w:tcPr>
            <w:tcW w:w="14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1,619</w:t>
            </w:r>
          </w:p>
        </w:tc>
        <w:tc>
          <w:tcPr>
            <w:tcW w:w="18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1,701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54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Segment Sales and Other</w:t>
            </w: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0077C0"/>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ind w:left="120"/>
              <w:spacing w:after="0" w:line="108" w:lineRule="exact"/>
              <w:rPr>
                <w:sz w:val="20"/>
                <w:szCs w:val="20"/>
                <w:color w:val="auto"/>
              </w:rPr>
            </w:pPr>
            <w:r>
              <w:rPr>
                <w:rFonts w:ascii="Arial" w:cs="Arial" w:eastAsia="Arial" w:hAnsi="Arial"/>
                <w:sz w:val="10"/>
                <w:szCs w:val="10"/>
                <w:b w:val="1"/>
                <w:bCs w:val="1"/>
                <w:color w:val="auto"/>
              </w:rPr>
              <w:t>Operating Revenues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w w:val="88"/>
              </w:rPr>
              <w:t>120,414</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20" w:type="dxa"/>
            <w:vAlign w:val="bottom"/>
          </w:tcPr>
          <w:p>
            <w:pPr>
              <w:ind w:left="120"/>
              <w:spacing w:after="0" w:line="104" w:lineRule="exact"/>
              <w:rPr>
                <w:sz w:val="20"/>
                <w:szCs w:val="20"/>
                <w:color w:val="auto"/>
              </w:rPr>
            </w:pPr>
            <w:r>
              <w:rPr>
                <w:rFonts w:ascii="Arial" w:cs="Arial" w:eastAsia="Arial" w:hAnsi="Arial"/>
                <w:sz w:val="10"/>
                <w:szCs w:val="10"/>
                <w:color w:val="auto"/>
              </w:rPr>
              <w:t>United States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129"/>
              <w:spacing w:after="0" w:line="104" w:lineRule="exact"/>
              <w:rPr>
                <w:sz w:val="20"/>
                <w:szCs w:val="20"/>
                <w:color w:val="auto"/>
              </w:rPr>
            </w:pPr>
            <w:r>
              <w:rPr>
                <w:rFonts w:ascii="Arial" w:cs="Arial" w:eastAsia="Arial" w:hAnsi="Arial"/>
                <w:sz w:val="10"/>
                <w:szCs w:val="10"/>
                <w:color w:val="auto"/>
                <w:w w:val="88"/>
              </w:rPr>
              <w:t>100,747</w:t>
            </w:r>
          </w:p>
        </w:tc>
        <w:tc>
          <w:tcPr>
            <w:tcW w:w="18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83,878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International</w:t>
            </w:r>
          </w:p>
        </w:tc>
        <w:tc>
          <w:tcPr>
            <w:tcW w:w="1180" w:type="dxa"/>
            <w:vAlign w:val="bottom"/>
            <w:tcBorders>
              <w:bottom w:val="single" w:sz="8" w:color="0077C0"/>
            </w:tcBorders>
          </w:tcPr>
          <w:p>
            <w:pPr>
              <w:spacing w:after="0"/>
              <w:rPr>
                <w:sz w:val="10"/>
                <w:szCs w:val="10"/>
                <w:color w:val="auto"/>
              </w:rPr>
            </w:pPr>
          </w:p>
        </w:tc>
        <w:tc>
          <w:tcPr>
            <w:tcW w:w="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8"/>
              </w:rPr>
              <w:t>178,365</w:t>
            </w:r>
          </w:p>
        </w:tc>
        <w:tc>
          <w:tcPr>
            <w:tcW w:w="14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88"/>
              </w:rPr>
              <w:t>136,318</w:t>
            </w:r>
          </w:p>
        </w:tc>
        <w:tc>
          <w:tcPr>
            <w:tcW w:w="18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8"/>
              </w:rPr>
              <w:t>113,480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line="91" w:lineRule="exact"/>
              <w:rPr>
                <w:sz w:val="20"/>
                <w:szCs w:val="20"/>
                <w:color w:val="auto"/>
              </w:rPr>
            </w:pPr>
            <w:r>
              <w:rPr>
                <w:rFonts w:ascii="Arial" w:cs="Arial" w:eastAsia="Arial" w:hAnsi="Arial"/>
                <w:sz w:val="10"/>
                <w:szCs w:val="10"/>
                <w:b w:val="1"/>
                <w:bCs w:val="1"/>
                <w:color w:val="auto"/>
              </w:rPr>
              <w:t>Total Segment Sales and Other</w:t>
            </w: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right w:val="single" w:sz="8" w:color="0077C0"/>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20" w:type="dxa"/>
            <w:vAlign w:val="bottom"/>
          </w:tcPr>
          <w:p>
            <w:pPr>
              <w:ind w:left="120"/>
              <w:spacing w:after="0" w:line="106" w:lineRule="exact"/>
              <w:rPr>
                <w:sz w:val="20"/>
                <w:szCs w:val="20"/>
                <w:color w:val="auto"/>
              </w:rPr>
            </w:pPr>
            <w:r>
              <w:rPr>
                <w:rFonts w:ascii="Arial" w:cs="Arial" w:eastAsia="Arial" w:hAnsi="Arial"/>
                <w:sz w:val="10"/>
                <w:szCs w:val="10"/>
                <w:b w:val="1"/>
                <w:bCs w:val="1"/>
                <w:color w:val="auto"/>
              </w:rPr>
              <w:t>Operating Revenues</w:t>
            </w: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88"/>
              </w:rPr>
              <w:t>298,779</w:t>
            </w:r>
          </w:p>
        </w:tc>
        <w:tc>
          <w:tcPr>
            <w:tcW w:w="140" w:type="dxa"/>
            <w:vAlign w:val="bottom"/>
          </w:tcPr>
          <w:p>
            <w:pPr>
              <w:spacing w:after="0"/>
              <w:rPr>
                <w:sz w:val="9"/>
                <w:szCs w:val="9"/>
                <w:color w:val="auto"/>
              </w:rPr>
            </w:pPr>
          </w:p>
        </w:tc>
        <w:tc>
          <w:tcPr>
            <w:tcW w:w="52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88"/>
              </w:rPr>
              <w:t>237,065</w:t>
            </w:r>
          </w:p>
        </w:tc>
        <w:tc>
          <w:tcPr>
            <w:tcW w:w="18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w w:val="88"/>
              </w:rPr>
              <w:t>197,358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540" w:type="dxa"/>
            <w:vAlign w:val="bottom"/>
            <w:gridSpan w:val="2"/>
          </w:tcPr>
          <w:p>
            <w:pPr>
              <w:spacing w:after="0"/>
              <w:rPr>
                <w:sz w:val="20"/>
                <w:szCs w:val="20"/>
                <w:color w:val="auto"/>
              </w:rPr>
            </w:pPr>
            <w:r>
              <w:rPr>
                <w:rFonts w:ascii="Arial" w:cs="Arial" w:eastAsia="Arial" w:hAnsi="Arial"/>
                <w:sz w:val="10"/>
                <w:szCs w:val="10"/>
                <w:color w:val="auto"/>
              </w:rPr>
              <w:t>Elimination of intersegment sales</w:t>
            </w: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right w:val="single" w:sz="8" w:color="0077C0"/>
            </w:tcBorders>
          </w:tcPr>
          <w:p>
            <w:pPr>
              <w:jc w:val="right"/>
              <w:ind w:right="89"/>
              <w:spacing w:after="0"/>
              <w:rPr>
                <w:sz w:val="20"/>
                <w:szCs w:val="20"/>
                <w:color w:val="auto"/>
              </w:rPr>
            </w:pPr>
            <w:r>
              <w:rPr>
                <w:rFonts w:ascii="Arial" w:cs="Arial" w:eastAsia="Arial" w:hAnsi="Arial"/>
                <w:sz w:val="10"/>
                <w:szCs w:val="10"/>
                <w:b w:val="1"/>
                <w:bCs w:val="1"/>
                <w:color w:val="auto"/>
                <w:w w:val="96"/>
              </w:rPr>
              <w:t>(54,408)</w:t>
            </w:r>
          </w:p>
        </w:tc>
        <w:tc>
          <w:tcPr>
            <w:tcW w:w="140" w:type="dxa"/>
            <w:vAlign w:val="bottom"/>
          </w:tcPr>
          <w:p>
            <w:pPr>
              <w:spacing w:after="0"/>
              <w:rPr>
                <w:sz w:val="10"/>
                <w:szCs w:val="10"/>
                <w:color w:val="auto"/>
              </w:rPr>
            </w:pPr>
          </w:p>
        </w:tc>
        <w:tc>
          <w:tcPr>
            <w:tcW w:w="520" w:type="dxa"/>
            <w:vAlign w:val="bottom"/>
          </w:tcPr>
          <w:p>
            <w:pPr>
              <w:jc w:val="right"/>
              <w:ind w:right="89"/>
              <w:spacing w:after="0"/>
              <w:rPr>
                <w:sz w:val="20"/>
                <w:szCs w:val="20"/>
                <w:color w:val="auto"/>
              </w:rPr>
            </w:pPr>
            <w:r>
              <w:rPr>
                <w:rFonts w:ascii="Arial" w:cs="Arial" w:eastAsia="Arial" w:hAnsi="Arial"/>
                <w:sz w:val="10"/>
                <w:szCs w:val="10"/>
                <w:color w:val="auto"/>
                <w:w w:val="96"/>
              </w:rPr>
              <w:t>(38,867)</w:t>
            </w:r>
          </w:p>
        </w:tc>
        <w:tc>
          <w:tcPr>
            <w:tcW w:w="18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96"/>
              </w:rPr>
              <w:t>(29,956)</w:t>
            </w:r>
          </w:p>
        </w:tc>
        <w:tc>
          <w:tcPr>
            <w:tcW w:w="0" w:type="dxa"/>
            <w:vAlign w:val="bottom"/>
          </w:tcPr>
          <w:p>
            <w:pPr>
              <w:spacing w:after="0"/>
              <w:rPr>
                <w:sz w:val="1"/>
                <w:szCs w:val="1"/>
                <w:color w:val="auto"/>
              </w:rPr>
            </w:pPr>
          </w:p>
        </w:tc>
      </w:tr>
      <w:tr>
        <w:trPr>
          <w:trHeight w:val="90"/>
        </w:trPr>
        <w:tc>
          <w:tcPr>
            <w:tcW w:w="2540" w:type="dxa"/>
            <w:vAlign w:val="bottom"/>
            <w:tcBorders>
              <w:top w:val="single" w:sz="8" w:color="0077C0"/>
            </w:tcBorders>
            <w:gridSpan w:val="2"/>
          </w:tcPr>
          <w:p>
            <w:pPr>
              <w:spacing w:after="0" w:line="91" w:lineRule="exact"/>
              <w:rPr>
                <w:sz w:val="20"/>
                <w:szCs w:val="20"/>
                <w:color w:val="auto"/>
              </w:rPr>
            </w:pPr>
            <w:r>
              <w:rPr>
                <w:rFonts w:ascii="Arial" w:cs="Arial" w:eastAsia="Arial" w:hAnsi="Arial"/>
                <w:sz w:val="10"/>
                <w:szCs w:val="10"/>
                <w:b w:val="1"/>
                <w:bCs w:val="1"/>
                <w:color w:val="auto"/>
              </w:rPr>
              <w:t>Total Sales and Other</w:t>
            </w:r>
          </w:p>
        </w:tc>
        <w:tc>
          <w:tcPr>
            <w:tcW w:w="1180" w:type="dxa"/>
            <w:vAlign w:val="bottom"/>
            <w:tcBorders>
              <w:top w:val="single" w:sz="8" w:color="0077C0"/>
            </w:tcBorders>
          </w:tcPr>
          <w:p>
            <w:pPr>
              <w:spacing w:after="0"/>
              <w:rPr>
                <w:sz w:val="7"/>
                <w:szCs w:val="7"/>
                <w:color w:val="auto"/>
              </w:rPr>
            </w:pPr>
          </w:p>
        </w:tc>
        <w:tc>
          <w:tcPr>
            <w:tcW w:w="40" w:type="dxa"/>
            <w:vAlign w:val="bottom"/>
            <w:tcBorders>
              <w:top w:val="single" w:sz="8" w:color="0077C0"/>
            </w:tcBorders>
          </w:tcPr>
          <w:p>
            <w:pPr>
              <w:spacing w:after="0"/>
              <w:rPr>
                <w:sz w:val="7"/>
                <w:szCs w:val="7"/>
                <w:color w:val="auto"/>
              </w:rPr>
            </w:pPr>
          </w:p>
        </w:tc>
        <w:tc>
          <w:tcPr>
            <w:tcW w:w="520" w:type="dxa"/>
            <w:vAlign w:val="bottom"/>
            <w:tcBorders>
              <w:top w:val="single" w:sz="8" w:color="0077C0"/>
              <w:right w:val="single" w:sz="8" w:color="0077C0"/>
            </w:tcBorders>
          </w:tcPr>
          <w:p>
            <w:pPr>
              <w:spacing w:after="0"/>
              <w:rPr>
                <w:sz w:val="7"/>
                <w:szCs w:val="7"/>
                <w:color w:val="auto"/>
              </w:rPr>
            </w:pPr>
          </w:p>
        </w:tc>
        <w:tc>
          <w:tcPr>
            <w:tcW w:w="14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spacing w:after="0"/>
              <w:rPr>
                <w:sz w:val="7"/>
                <w:szCs w:val="7"/>
                <w:color w:val="auto"/>
              </w:rPr>
            </w:pPr>
          </w:p>
        </w:tc>
        <w:tc>
          <w:tcPr>
            <w:tcW w:w="18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bottom w:val="single" w:sz="8" w:color="0077C0"/>
            </w:tcBorders>
          </w:tcPr>
          <w:p>
            <w:pPr>
              <w:ind w:left="120"/>
              <w:spacing w:after="0"/>
              <w:rPr>
                <w:sz w:val="20"/>
                <w:szCs w:val="20"/>
                <w:color w:val="auto"/>
              </w:rPr>
            </w:pPr>
            <w:r>
              <w:rPr>
                <w:rFonts w:ascii="Arial" w:cs="Arial" w:eastAsia="Arial" w:hAnsi="Arial"/>
                <w:sz w:val="10"/>
                <w:szCs w:val="10"/>
                <w:b w:val="1"/>
                <w:bCs w:val="1"/>
                <w:color w:val="auto"/>
              </w:rPr>
              <w:t>Operating Revenues</w:t>
            </w:r>
          </w:p>
        </w:tc>
        <w:tc>
          <w:tcPr>
            <w:tcW w:w="122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8"/>
              </w:rPr>
              <w:t>244,371</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w w:val="88"/>
              </w:rPr>
              <w:t>198,198</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8"/>
              </w:rPr>
              <w:t>167,402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60"/>
        <w:spacing w:after="0"/>
        <w:rPr>
          <w:sz w:val="20"/>
          <w:szCs w:val="20"/>
          <w:color w:val="auto"/>
        </w:rPr>
      </w:pPr>
      <w:r>
        <w:rPr>
          <w:rFonts w:ascii="Arial" w:cs="Arial" w:eastAsia="Arial" w:hAnsi="Arial"/>
          <w:sz w:val="9"/>
          <w:szCs w:val="9"/>
          <w:color w:val="auto"/>
        </w:rPr>
        <w:t>* 2009 conformed with 2010 and 2011 presentation.</w:t>
      </w: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FS-38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3" w:space="120"/>
            <w:col w:w="5860"/>
          </w:cols>
          <w:pgMar w:left="217" w:top="338" w:right="219" w:bottom="1440" w:gutter="0" w:footer="0" w:header="0"/>
          <w:type w:val="continuous"/>
        </w:sectPr>
      </w:pPr>
    </w:p>
    <w:bookmarkStart w:id="79" w:name="page80"/>
    <w:bookmarkEnd w:id="7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85990" cy="451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11 </w:t>
      </w:r>
      <w:r>
        <w:rPr>
          <w:rFonts w:ascii="Arial" w:cs="Arial" w:eastAsia="Arial" w:hAnsi="Arial"/>
          <w:sz w:val="8"/>
          <w:szCs w:val="8"/>
          <w:color w:val="000000"/>
        </w:rPr>
        <w:t>Operating Segments and Geographic Data - Continued</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i w:val="1"/>
          <w:iCs w:val="1"/>
          <w:color w:val="E51837"/>
        </w:rPr>
        <w:t xml:space="preserve">Segment Income Taxes </w:t>
      </w:r>
      <w:r>
        <w:rPr>
          <w:rFonts w:ascii="Arial" w:cs="Arial" w:eastAsia="Arial" w:hAnsi="Arial"/>
          <w:sz w:val="12"/>
          <w:szCs w:val="12"/>
          <w:color w:val="000000"/>
        </w:rPr>
        <w:t>Segment income tax expense for the years 2011, 2010 and 2009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9"/>
                <w:szCs w:val="9"/>
                <w:color w:val="auto"/>
                <w:w w:val="89"/>
              </w:rPr>
              <w:t>Year ended December 31</w:t>
            </w:r>
          </w:p>
        </w:tc>
        <w:tc>
          <w:tcPr>
            <w:tcW w:w="0" w:type="dxa"/>
            <w:vAlign w:val="bottom"/>
          </w:tcPr>
          <w:p>
            <w:pPr>
              <w:spacing w:after="0"/>
              <w:rPr>
                <w:sz w:val="1"/>
                <w:szCs w:val="1"/>
                <w:color w:val="auto"/>
              </w:rPr>
            </w:pPr>
          </w:p>
        </w:tc>
      </w:tr>
      <w:tr>
        <w:trPr>
          <w:trHeight w:val="86"/>
        </w:trPr>
        <w:tc>
          <w:tcPr>
            <w:tcW w:w="3860" w:type="dxa"/>
            <w:vAlign w:val="bottom"/>
            <w:tcBorders>
              <w:bottom w:val="single" w:sz="8" w:color="0077C0"/>
            </w:tcBorders>
          </w:tcPr>
          <w:p>
            <w:pPr>
              <w:spacing w:after="0"/>
              <w:rPr>
                <w:sz w:val="7"/>
                <w:szCs w:val="7"/>
                <w:color w:val="auto"/>
              </w:rPr>
            </w:pPr>
          </w:p>
        </w:tc>
        <w:tc>
          <w:tcPr>
            <w:tcW w:w="6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ind w:right="129"/>
              <w:spacing w:after="0" w:line="86" w:lineRule="exact"/>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ind w:right="110"/>
              <w:spacing w:after="0" w:line="86" w:lineRule="exact"/>
              <w:rPr>
                <w:sz w:val="20"/>
                <w:szCs w:val="20"/>
                <w:color w:val="auto"/>
              </w:rPr>
            </w:pPr>
            <w:r>
              <w:rPr>
                <w:rFonts w:ascii="Arial" w:cs="Arial" w:eastAsia="Arial" w:hAnsi="Arial"/>
                <w:sz w:val="9"/>
                <w:szCs w:val="9"/>
                <w:color w:val="auto"/>
              </w:rPr>
              <w:t>2010</w:t>
            </w:r>
          </w:p>
        </w:tc>
        <w:tc>
          <w:tcPr>
            <w:tcW w:w="4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860" w:type="dxa"/>
            <w:vAlign w:val="bottom"/>
          </w:tcPr>
          <w:p>
            <w:pPr>
              <w:spacing w:after="0" w:line="92" w:lineRule="exact"/>
              <w:rPr>
                <w:sz w:val="20"/>
                <w:szCs w:val="20"/>
                <w:color w:val="auto"/>
              </w:rPr>
            </w:pPr>
            <w:r>
              <w:rPr>
                <w:rFonts w:ascii="Arial" w:cs="Arial" w:eastAsia="Arial" w:hAnsi="Arial"/>
                <w:sz w:val="10"/>
                <w:szCs w:val="10"/>
                <w:b w:val="1"/>
                <w:bCs w:val="1"/>
                <w:color w:val="auto"/>
              </w:rPr>
              <w:t>Upstream</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3,701</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86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2,285</w:t>
            </w: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$ 1,251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8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84"/>
              </w:rPr>
              <w:t>16,743</w:t>
            </w:r>
          </w:p>
        </w:tc>
        <w:tc>
          <w:tcPr>
            <w:tcW w:w="1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w w:val="91"/>
              </w:rPr>
              <w:t>10,480</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7,451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20,444</w:t>
            </w:r>
          </w:p>
        </w:tc>
        <w:tc>
          <w:tcPr>
            <w:tcW w:w="1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w w:val="91"/>
              </w:rPr>
              <w:t>12,765</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8,702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86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6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785</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860" w:type="dxa"/>
            <w:vAlign w:val="bottom"/>
          </w:tcPr>
          <w:p>
            <w:pPr>
              <w:ind w:left="140"/>
              <w:spacing w:after="0" w:line="104" w:lineRule="exact"/>
              <w:rPr>
                <w:sz w:val="20"/>
                <w:szCs w:val="20"/>
                <w:color w:val="auto"/>
              </w:rPr>
            </w:pPr>
            <w:r>
              <w:rPr>
                <w:rFonts w:ascii="Arial" w:cs="Arial" w:eastAsia="Arial" w:hAnsi="Arial"/>
                <w:sz w:val="10"/>
                <w:szCs w:val="10"/>
                <w:color w:val="auto"/>
              </w:rPr>
              <w:t>United States</w:t>
            </w: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680</w:t>
            </w:r>
          </w:p>
        </w:tc>
        <w:tc>
          <w:tcPr>
            <w:tcW w:w="5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20"/>
        </w:trPr>
        <w:tc>
          <w:tcPr>
            <w:tcW w:w="38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International</w:t>
            </w: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416</w:t>
            </w:r>
          </w:p>
        </w:tc>
        <w:tc>
          <w:tcPr>
            <w:tcW w:w="1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462</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1,201</w:t>
            </w:r>
          </w:p>
        </w:tc>
        <w:tc>
          <w:tcPr>
            <w:tcW w:w="1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1,142</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All Other</w:t>
            </w: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94"/>
              </w:rPr>
              <w:t>(1,019)</w:t>
            </w:r>
          </w:p>
        </w:tc>
        <w:tc>
          <w:tcPr>
            <w:tcW w:w="1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0"/>
              <w:spacing w:after="0" w:line="105" w:lineRule="exact"/>
              <w:rPr>
                <w:sz w:val="20"/>
                <w:szCs w:val="20"/>
                <w:color w:val="auto"/>
              </w:rPr>
            </w:pPr>
            <w:r>
              <w:rPr>
                <w:rFonts w:ascii="Arial" w:cs="Arial" w:eastAsia="Arial" w:hAnsi="Arial"/>
                <w:sz w:val="10"/>
                <w:szCs w:val="10"/>
                <w:color w:val="auto"/>
              </w:rPr>
              <w:t>(988)</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8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Income Tax Expense</w:t>
            </w:r>
          </w:p>
        </w:tc>
        <w:tc>
          <w:tcPr>
            <w:tcW w:w="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0077C0"/>
              <w:right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84"/>
              </w:rPr>
              <w:t>20,626</w:t>
            </w:r>
          </w:p>
        </w:tc>
        <w:tc>
          <w:tcPr>
            <w:tcW w:w="1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w w:val="91"/>
              </w:rPr>
              <w:t>12,919</w:t>
            </w: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$ 7,965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i w:val="1"/>
          <w:iCs w:val="1"/>
          <w:color w:val="E51837"/>
        </w:rPr>
        <w:t xml:space="preserve">Other Segment Information </w:t>
      </w:r>
      <w:r>
        <w:rPr>
          <w:rFonts w:ascii="Arial" w:cs="Arial" w:eastAsia="Arial" w:hAnsi="Arial"/>
          <w:sz w:val="13"/>
          <w:szCs w:val="13"/>
          <w:color w:val="000000"/>
        </w:rPr>
        <w:t>Additional information for the segmentation of major equity affiliates is</w:t>
      </w:r>
      <w:r>
        <w:rPr>
          <w:rFonts w:ascii="Arial" w:cs="Arial" w:eastAsia="Arial" w:hAnsi="Arial"/>
          <w:sz w:val="13"/>
          <w:szCs w:val="13"/>
          <w:i w:val="1"/>
          <w:iCs w:val="1"/>
          <w:color w:val="E51837"/>
        </w:rPr>
        <w:t xml:space="preserve"> </w:t>
      </w:r>
      <w:r>
        <w:rPr>
          <w:rFonts w:ascii="Arial" w:cs="Arial" w:eastAsia="Arial" w:hAnsi="Arial"/>
          <w:sz w:val="13"/>
          <w:szCs w:val="13"/>
          <w:color w:val="000000"/>
        </w:rPr>
        <w:t>contained in Note 12, beginning on page FS-39. Information related to properties, plant and equipment by segment is contained in Note 13, on page FS-41.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12</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Investments and Advances</w:t>
      </w:r>
    </w:p>
    <w:p>
      <w:pPr>
        <w:ind w:right="20"/>
        <w:spacing w:after="0" w:line="247" w:lineRule="auto"/>
        <w:rPr>
          <w:sz w:val="20"/>
          <w:szCs w:val="20"/>
          <w:color w:val="auto"/>
        </w:rPr>
      </w:pPr>
      <w:r>
        <w:rPr>
          <w:rFonts w:ascii="Arial" w:cs="Arial" w:eastAsia="Arial" w:hAnsi="Arial"/>
          <w:sz w:val="13"/>
          <w:szCs w:val="13"/>
          <w:color w:val="auto"/>
        </w:rPr>
        <w:t>Equity in earnings, together with investments in and advances to companies accounted for using the equity method and other investments accounted for at or below cost, is shown in the following table. For certain equity affiliates, Chevron pays its share of some income taxes directly. For such affiliates, the equity in earnings does not include these taxes, which are reported on the Consolidated Statement of Income as “Income tax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gridSpan w:val="4"/>
          </w:tcPr>
          <w:p>
            <w:pPr>
              <w:jc w:val="right"/>
              <w:spacing w:after="0"/>
              <w:rPr>
                <w:sz w:val="20"/>
                <w:szCs w:val="20"/>
                <w:color w:val="auto"/>
              </w:rPr>
            </w:pPr>
            <w:r>
              <w:rPr>
                <w:rFonts w:ascii="Arial" w:cs="Arial" w:eastAsia="Arial" w:hAnsi="Arial"/>
                <w:sz w:val="9"/>
                <w:szCs w:val="9"/>
                <w:color w:val="auto"/>
                <w:w w:val="92"/>
              </w:rPr>
              <w:t>Investments and Advances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9"/>
                <w:szCs w:val="9"/>
                <w:color w:val="auto"/>
              </w:rPr>
              <w:t>Equity in Earnings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gridSpan w:val="2"/>
          </w:tcPr>
          <w:p>
            <w:pPr>
              <w:jc w:val="right"/>
              <w:spacing w:after="0"/>
              <w:rPr>
                <w:sz w:val="20"/>
                <w:szCs w:val="20"/>
                <w:color w:val="auto"/>
              </w:rPr>
            </w:pPr>
            <w:r>
              <w:rPr>
                <w:rFonts w:ascii="Arial" w:cs="Arial" w:eastAsia="Arial" w:hAnsi="Arial"/>
                <w:sz w:val="9"/>
                <w:szCs w:val="9"/>
                <w:color w:val="auto"/>
                <w:w w:val="95"/>
              </w:rPr>
              <w:t>At December 31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9"/>
                <w:szCs w:val="9"/>
                <w:color w:val="auto"/>
                <w:w w:val="87"/>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Borders>
              <w:bottom w:val="single" w:sz="8" w:color="0077C0"/>
            </w:tcBorders>
          </w:tcPr>
          <w:p>
            <w:pPr>
              <w:spacing w:after="0"/>
              <w:rPr>
                <w:sz w:val="8"/>
                <w:szCs w:val="8"/>
                <w:color w:val="auto"/>
              </w:rPr>
            </w:pPr>
          </w:p>
        </w:tc>
        <w:tc>
          <w:tcPr>
            <w:tcW w:w="300" w:type="dxa"/>
            <w:vAlign w:val="bottom"/>
            <w:tcBorders>
              <w:bottom w:val="single" w:sz="8" w:color="0077C0"/>
            </w:tcBorders>
          </w:tcPr>
          <w:p>
            <w:pPr>
              <w:spacing w:after="0"/>
              <w:rPr>
                <w:sz w:val="8"/>
                <w:szCs w:val="8"/>
                <w:color w:val="auto"/>
              </w:rPr>
            </w:pPr>
          </w:p>
        </w:tc>
        <w:tc>
          <w:tcPr>
            <w:tcW w:w="60" w:type="dxa"/>
            <w:vAlign w:val="bottom"/>
            <w:tcBorders>
              <w:top w:val="single" w:sz="8" w:color="0077C0"/>
              <w:bottom w:val="single" w:sz="8" w:color="0077C0"/>
            </w:tcBorders>
          </w:tcPr>
          <w:p>
            <w:pPr>
              <w:spacing w:after="0"/>
              <w:rPr>
                <w:sz w:val="8"/>
                <w:szCs w:val="8"/>
                <w:color w:val="auto"/>
              </w:rPr>
            </w:pPr>
          </w:p>
        </w:tc>
        <w:tc>
          <w:tcPr>
            <w:tcW w:w="32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b w:val="1"/>
                <w:bCs w:val="1"/>
                <w:color w:val="auto"/>
              </w:rPr>
              <w:t>2011</w:t>
            </w:r>
          </w:p>
        </w:tc>
        <w:tc>
          <w:tcPr>
            <w:tcW w:w="34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2010</w:t>
            </w:r>
          </w:p>
        </w:tc>
        <w:tc>
          <w:tcPr>
            <w:tcW w:w="16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ind w:right="129"/>
              <w:spacing w:after="0" w:line="96" w:lineRule="exact"/>
              <w:rPr>
                <w:sz w:val="20"/>
                <w:szCs w:val="20"/>
                <w:color w:val="auto"/>
              </w:rPr>
            </w:pPr>
            <w:r>
              <w:rPr>
                <w:rFonts w:ascii="Arial" w:cs="Arial" w:eastAsia="Arial" w:hAnsi="Arial"/>
                <w:sz w:val="9"/>
                <w:szCs w:val="9"/>
                <w:b w:val="1"/>
                <w:bCs w:val="1"/>
                <w:color w:val="auto"/>
              </w:rPr>
              <w:t>2011</w:t>
            </w:r>
          </w:p>
        </w:tc>
        <w:tc>
          <w:tcPr>
            <w:tcW w:w="220" w:type="dxa"/>
            <w:vAlign w:val="bottom"/>
            <w:tcBorders>
              <w:top w:val="single" w:sz="8" w:color="0077C0"/>
              <w:bottom w:val="single" w:sz="8" w:color="0077C0"/>
            </w:tcBorders>
          </w:tcPr>
          <w:p>
            <w:pPr>
              <w:spacing w:after="0"/>
              <w:rPr>
                <w:sz w:val="8"/>
                <w:szCs w:val="8"/>
                <w:color w:val="auto"/>
              </w:rPr>
            </w:pPr>
          </w:p>
        </w:tc>
        <w:tc>
          <w:tcPr>
            <w:tcW w:w="440" w:type="dxa"/>
            <w:vAlign w:val="bottom"/>
            <w:tcBorders>
              <w:top w:val="single" w:sz="8" w:color="0077C0"/>
              <w:bottom w:val="single" w:sz="8" w:color="0077C0"/>
            </w:tcBorders>
          </w:tcPr>
          <w:p>
            <w:pPr>
              <w:jc w:val="right"/>
              <w:ind w:right="130"/>
              <w:spacing w:after="0" w:line="96" w:lineRule="exact"/>
              <w:rPr>
                <w:sz w:val="20"/>
                <w:szCs w:val="20"/>
                <w:color w:val="auto"/>
              </w:rPr>
            </w:pPr>
            <w:r>
              <w:rPr>
                <w:rFonts w:ascii="Arial" w:cs="Arial" w:eastAsia="Arial" w:hAnsi="Arial"/>
                <w:sz w:val="9"/>
                <w:szCs w:val="9"/>
                <w:color w:val="auto"/>
              </w:rPr>
              <w:t>2010</w:t>
            </w:r>
          </w:p>
        </w:tc>
        <w:tc>
          <w:tcPr>
            <w:tcW w:w="220" w:type="dxa"/>
            <w:vAlign w:val="bottom"/>
            <w:tcBorders>
              <w:top w:val="single" w:sz="8" w:color="0077C0"/>
              <w:bottom w:val="single" w:sz="8" w:color="0077C0"/>
            </w:tcBorders>
          </w:tcPr>
          <w:p>
            <w:pPr>
              <w:spacing w:after="0"/>
              <w:rPr>
                <w:sz w:val="8"/>
                <w:szCs w:val="8"/>
                <w:color w:val="auto"/>
              </w:rPr>
            </w:pPr>
          </w:p>
        </w:tc>
        <w:tc>
          <w:tcPr>
            <w:tcW w:w="26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00" w:type="dxa"/>
            <w:vAlign w:val="bottom"/>
          </w:tcPr>
          <w:p>
            <w:pPr>
              <w:spacing w:after="0" w:line="83" w:lineRule="exact"/>
              <w:rPr>
                <w:sz w:val="20"/>
                <w:szCs w:val="20"/>
                <w:color w:val="auto"/>
              </w:rPr>
            </w:pPr>
            <w:r>
              <w:rPr>
                <w:rFonts w:ascii="Arial" w:cs="Arial" w:eastAsia="Arial" w:hAnsi="Arial"/>
                <w:sz w:val="9"/>
                <w:szCs w:val="9"/>
                <w:b w:val="1"/>
                <w:bCs w:val="1"/>
                <w:color w:val="auto"/>
              </w:rPr>
              <w:t>Upstream</w:t>
            </w:r>
          </w:p>
        </w:tc>
        <w:tc>
          <w:tcPr>
            <w:tcW w:w="3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5,306</w:t>
            </w: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right w:val="single" w:sz="8" w:color="0077C0"/>
            </w:tcBorders>
          </w:tcPr>
          <w:p>
            <w:pPr>
              <w:spacing w:after="0"/>
              <w:rPr>
                <w:sz w:val="7"/>
                <w:szCs w:val="7"/>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w w:val="95"/>
              </w:rPr>
              <w:t>5,097</w:t>
            </w: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00" w:type="dxa"/>
            <w:vAlign w:val="bottom"/>
          </w:tcPr>
          <w:p>
            <w:pPr>
              <w:ind w:left="120"/>
              <w:spacing w:after="0" w:line="104" w:lineRule="exact"/>
              <w:rPr>
                <w:sz w:val="20"/>
                <w:szCs w:val="20"/>
                <w:color w:val="auto"/>
              </w:rPr>
            </w:pPr>
            <w:r>
              <w:rPr>
                <w:rFonts w:ascii="Arial" w:cs="Arial" w:eastAsia="Arial" w:hAnsi="Arial"/>
                <w:sz w:val="10"/>
                <w:szCs w:val="10"/>
                <w:color w:val="auto"/>
              </w:rPr>
              <w:t>Tengizchevroil</w:t>
            </w:r>
          </w:p>
        </w:tc>
        <w:tc>
          <w:tcPr>
            <w:tcW w:w="3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5,789</w:t>
            </w:r>
          </w:p>
        </w:tc>
        <w:tc>
          <w:tcPr>
            <w:tcW w:w="160" w:type="dxa"/>
            <w:vAlign w:val="bottom"/>
            <w:tcBorders>
              <w:right w:val="single" w:sz="8" w:color="0077C0"/>
            </w:tcBorders>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30"/>
              <w:spacing w:after="0" w:line="104" w:lineRule="exact"/>
              <w:rPr>
                <w:sz w:val="20"/>
                <w:szCs w:val="20"/>
                <w:color w:val="auto"/>
              </w:rPr>
            </w:pPr>
            <w:r>
              <w:rPr>
                <w:rFonts w:ascii="Arial" w:cs="Arial" w:eastAsia="Arial" w:hAnsi="Arial"/>
                <w:sz w:val="10"/>
                <w:szCs w:val="10"/>
                <w:color w:val="auto"/>
                <w:w w:val="95"/>
              </w:rPr>
              <w:t>3,398</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2,216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Petropiar</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909</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973</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116</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262</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Caspian Pipeline Consortium</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1,094</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974</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122</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124</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Petroboscan</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1,032</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937</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247</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222</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171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Angola LNG Limited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2,921</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2,481</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(42)</w:t>
            </w:r>
          </w:p>
        </w:tc>
        <w:tc>
          <w:tcPr>
            <w:tcW w:w="220" w:type="dxa"/>
            <w:vAlign w:val="bottom"/>
          </w:tcPr>
          <w:p>
            <w:pPr>
              <w:spacing w:after="0"/>
              <w:rPr>
                <w:sz w:val="9"/>
                <w:szCs w:val="9"/>
                <w:color w:val="auto"/>
              </w:rPr>
            </w:pPr>
          </w:p>
        </w:tc>
        <w:tc>
          <w:tcPr>
            <w:tcW w:w="440" w:type="dxa"/>
            <w:vAlign w:val="bottom"/>
          </w:tcPr>
          <w:p>
            <w:pPr>
              <w:jc w:val="right"/>
              <w:ind w:right="90"/>
              <w:spacing w:after="0" w:line="106" w:lineRule="exact"/>
              <w:rPr>
                <w:sz w:val="20"/>
                <w:szCs w:val="20"/>
                <w:color w:val="auto"/>
              </w:rPr>
            </w:pPr>
            <w:r>
              <w:rPr>
                <w:rFonts w:ascii="Arial" w:cs="Arial" w:eastAsia="Arial" w:hAnsi="Arial"/>
                <w:sz w:val="10"/>
                <w:szCs w:val="10"/>
                <w:color w:val="auto"/>
              </w:rPr>
              <w:t>(21)</w:t>
            </w:r>
          </w:p>
        </w:tc>
        <w:tc>
          <w:tcPr>
            <w:tcW w:w="22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Other</w:t>
            </w:r>
          </w:p>
        </w:tc>
        <w:tc>
          <w:tcPr>
            <w:tcW w:w="30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2,420</w:t>
            </w:r>
          </w:p>
        </w:tc>
        <w:tc>
          <w:tcPr>
            <w:tcW w:w="34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1,922</w:t>
            </w:r>
          </w:p>
        </w:tc>
        <w:tc>
          <w:tcPr>
            <w:tcW w:w="16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166</w:t>
            </w:r>
          </w:p>
        </w:tc>
        <w:tc>
          <w:tcPr>
            <w:tcW w:w="22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319</w:t>
            </w:r>
          </w:p>
        </w:tc>
        <w:tc>
          <w:tcPr>
            <w:tcW w:w="22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b w:val="1"/>
                <w:bCs w:val="1"/>
                <w:color w:val="auto"/>
              </w:rPr>
              <w:t>Total Upstream</w:t>
            </w:r>
          </w:p>
        </w:tc>
        <w:tc>
          <w:tcPr>
            <w:tcW w:w="30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84"/>
              </w:rPr>
              <w:t>13,682</w:t>
            </w:r>
          </w:p>
        </w:tc>
        <w:tc>
          <w:tcPr>
            <w:tcW w:w="34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13,076</w:t>
            </w:r>
          </w:p>
        </w:tc>
        <w:tc>
          <w:tcPr>
            <w:tcW w:w="16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5,706</w:t>
            </w:r>
          </w:p>
        </w:tc>
        <w:tc>
          <w:tcPr>
            <w:tcW w:w="22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w w:val="95"/>
              </w:rPr>
              <w:t>4,304</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2,889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00" w:type="dxa"/>
            <w:vAlign w:val="bottom"/>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2,572</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248</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00" w:type="dxa"/>
            <w:vAlign w:val="bottom"/>
          </w:tcPr>
          <w:p>
            <w:pPr>
              <w:ind w:left="120"/>
              <w:spacing w:after="0" w:line="104" w:lineRule="exact"/>
              <w:rPr>
                <w:sz w:val="20"/>
                <w:szCs w:val="20"/>
                <w:color w:val="auto"/>
              </w:rPr>
            </w:pPr>
            <w:r>
              <w:rPr>
                <w:rFonts w:ascii="Arial" w:cs="Arial" w:eastAsia="Arial" w:hAnsi="Arial"/>
                <w:sz w:val="10"/>
                <w:szCs w:val="10"/>
                <w:color w:val="auto"/>
              </w:rPr>
              <w:t>GS Caltex Corporation</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2,496</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jc w:val="right"/>
              <w:ind w:right="130"/>
              <w:spacing w:after="0" w:line="104" w:lineRule="exact"/>
              <w:rPr>
                <w:sz w:val="20"/>
                <w:szCs w:val="20"/>
                <w:color w:val="auto"/>
              </w:rPr>
            </w:pPr>
            <w:r>
              <w:rPr>
                <w:rFonts w:ascii="Arial" w:cs="Arial" w:eastAsia="Arial" w:hAnsi="Arial"/>
                <w:sz w:val="10"/>
                <w:szCs w:val="10"/>
                <w:color w:val="auto"/>
              </w:rPr>
              <w:t>158</w:t>
            </w:r>
          </w:p>
        </w:tc>
        <w:tc>
          <w:tcPr>
            <w:tcW w:w="220" w:type="dxa"/>
            <w:vAlign w:val="bottom"/>
          </w:tcPr>
          <w:p>
            <w:pPr>
              <w:spacing w:after="0"/>
              <w:rPr>
                <w:sz w:val="9"/>
                <w:szCs w:val="9"/>
                <w:color w:val="auto"/>
              </w:rPr>
            </w:pPr>
          </w:p>
        </w:tc>
        <w:tc>
          <w:tcPr>
            <w:tcW w:w="3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(191)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Chevron Phillips Chemical Company LLC</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2,909</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2,419</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985</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704</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328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Star Petroleum Refining Company Ltd.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1,022</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947</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75</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122</w:t>
            </w:r>
          </w:p>
        </w:tc>
        <w:tc>
          <w:tcPr>
            <w:tcW w:w="22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Caltex Australia Ltd.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819</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767</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117</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101</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ind w:left="120"/>
              <w:spacing w:after="0" w:line="106" w:lineRule="exact"/>
              <w:rPr>
                <w:sz w:val="20"/>
                <w:szCs w:val="20"/>
                <w:color w:val="auto"/>
              </w:rPr>
            </w:pPr>
            <w:r>
              <w:rPr>
                <w:rFonts w:ascii="Arial" w:cs="Arial" w:eastAsia="Arial" w:hAnsi="Arial"/>
                <w:sz w:val="10"/>
                <w:szCs w:val="10"/>
                <w:color w:val="auto"/>
              </w:rPr>
              <w:t>Colonial Pipeline Company</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60" w:type="dxa"/>
            <w:vAlign w:val="bottom"/>
            <w:tcBorders>
              <w:right w:val="single" w:sz="8" w:color="0077C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4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43</w:t>
            </w:r>
          </w:p>
        </w:tc>
        <w:tc>
          <w:tcPr>
            <w:tcW w:w="22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Other</w:t>
            </w:r>
          </w:p>
        </w:tc>
        <w:tc>
          <w:tcPr>
            <w:tcW w:w="30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630</w:t>
            </w:r>
          </w:p>
        </w:tc>
        <w:tc>
          <w:tcPr>
            <w:tcW w:w="34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602</w:t>
            </w:r>
          </w:p>
        </w:tc>
        <w:tc>
          <w:tcPr>
            <w:tcW w:w="16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183</w:t>
            </w:r>
          </w:p>
        </w:tc>
        <w:tc>
          <w:tcPr>
            <w:tcW w:w="22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151</w:t>
            </w:r>
          </w:p>
        </w:tc>
        <w:tc>
          <w:tcPr>
            <w:tcW w:w="22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b w:val="1"/>
                <w:bCs w:val="1"/>
                <w:color w:val="auto"/>
              </w:rPr>
              <w:t>Total Downstream</w:t>
            </w:r>
          </w:p>
        </w:tc>
        <w:tc>
          <w:tcPr>
            <w:tcW w:w="30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7,952</w:t>
            </w:r>
          </w:p>
        </w:tc>
        <w:tc>
          <w:tcPr>
            <w:tcW w:w="34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7,231</w:t>
            </w:r>
          </w:p>
        </w:tc>
        <w:tc>
          <w:tcPr>
            <w:tcW w:w="16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95"/>
              </w:rPr>
              <w:t>1,608</w:t>
            </w:r>
          </w:p>
        </w:tc>
        <w:tc>
          <w:tcPr>
            <w:tcW w:w="22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30"/>
              <w:spacing w:after="0" w:line="105" w:lineRule="exact"/>
              <w:rPr>
                <w:sz w:val="20"/>
                <w:szCs w:val="20"/>
                <w:color w:val="auto"/>
              </w:rPr>
            </w:pPr>
            <w:r>
              <w:rPr>
                <w:rFonts w:ascii="Arial" w:cs="Arial" w:eastAsia="Arial" w:hAnsi="Arial"/>
                <w:sz w:val="10"/>
                <w:szCs w:val="10"/>
                <w:color w:val="auto"/>
                <w:w w:val="95"/>
              </w:rPr>
              <w:t>1,279</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00" w:type="dxa"/>
            <w:vAlign w:val="bottom"/>
          </w:tcPr>
          <w:p>
            <w:pPr>
              <w:spacing w:after="0" w:line="92" w:lineRule="exact"/>
              <w:rPr>
                <w:sz w:val="20"/>
                <w:szCs w:val="20"/>
                <w:color w:val="auto"/>
              </w:rPr>
            </w:pPr>
            <w:r>
              <w:rPr>
                <w:rFonts w:ascii="Arial" w:cs="Arial" w:eastAsia="Arial" w:hAnsi="Arial"/>
                <w:sz w:val="10"/>
                <w:szCs w:val="10"/>
                <w:b w:val="1"/>
                <w:bCs w:val="1"/>
                <w:color w:val="auto"/>
              </w:rPr>
              <w:t>All Other</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516</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49</w:t>
            </w: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Other</w:t>
            </w:r>
          </w:p>
        </w:tc>
        <w:tc>
          <w:tcPr>
            <w:tcW w:w="30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vMerge w:val="continue"/>
          </w:tcPr>
          <w:p>
            <w:pPr>
              <w:spacing w:after="0"/>
              <w:rPr>
                <w:sz w:val="10"/>
                <w:szCs w:val="10"/>
                <w:color w:val="auto"/>
              </w:rPr>
            </w:pPr>
          </w:p>
        </w:tc>
        <w:tc>
          <w:tcPr>
            <w:tcW w:w="34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509</w:t>
            </w:r>
          </w:p>
        </w:tc>
        <w:tc>
          <w:tcPr>
            <w:tcW w:w="160" w:type="dxa"/>
            <w:vAlign w:val="bottom"/>
            <w:tcBorders>
              <w:bottom w:val="single" w:sz="8" w:color="0077C0"/>
              <w:right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vMerge w:val="continue"/>
          </w:tcPr>
          <w:p>
            <w:pPr>
              <w:spacing w:after="0"/>
              <w:rPr>
                <w:sz w:val="10"/>
                <w:szCs w:val="10"/>
                <w:color w:val="auto"/>
              </w:rPr>
            </w:pPr>
          </w:p>
        </w:tc>
        <w:tc>
          <w:tcPr>
            <w:tcW w:w="22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00" w:type="dxa"/>
            <w:vAlign w:val="bottom"/>
          </w:tcPr>
          <w:p>
            <w:pPr>
              <w:ind w:left="120"/>
              <w:spacing w:after="0" w:line="91" w:lineRule="exact"/>
              <w:rPr>
                <w:sz w:val="20"/>
                <w:szCs w:val="20"/>
                <w:color w:val="auto"/>
              </w:rPr>
            </w:pPr>
            <w:r>
              <w:rPr>
                <w:rFonts w:ascii="Arial" w:cs="Arial" w:eastAsia="Arial" w:hAnsi="Arial"/>
                <w:sz w:val="10"/>
                <w:szCs w:val="10"/>
                <w:color w:val="auto"/>
              </w:rPr>
              <w:t>Total equity method</w:t>
            </w:r>
          </w:p>
        </w:tc>
        <w:tc>
          <w:tcPr>
            <w:tcW w:w="36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32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84"/>
              </w:rPr>
              <w:t>22,150</w:t>
            </w: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w w:val="91"/>
              </w:rPr>
              <w:t>20,816</w:t>
            </w:r>
          </w:p>
        </w:tc>
        <w:tc>
          <w:tcPr>
            <w:tcW w:w="160" w:type="dxa"/>
            <w:vAlign w:val="bottom"/>
            <w:tcBorders>
              <w:right w:val="single" w:sz="8" w:color="0077C0"/>
            </w:tcBorders>
          </w:tcPr>
          <w:p>
            <w:pPr>
              <w:spacing w:after="0"/>
              <w:rPr>
                <w:sz w:val="7"/>
                <w:szCs w:val="7"/>
                <w:color w:val="auto"/>
              </w:rPr>
            </w:pPr>
          </w:p>
        </w:tc>
        <w:tc>
          <w:tcPr>
            <w:tcW w:w="18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7,363</w:t>
            </w:r>
          </w:p>
        </w:tc>
        <w:tc>
          <w:tcPr>
            <w:tcW w:w="2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30"/>
              <w:spacing w:after="0" w:line="91" w:lineRule="exact"/>
              <w:rPr>
                <w:sz w:val="20"/>
                <w:szCs w:val="20"/>
                <w:color w:val="auto"/>
              </w:rPr>
            </w:pPr>
            <w:r>
              <w:rPr>
                <w:rFonts w:ascii="Arial" w:cs="Arial" w:eastAsia="Arial" w:hAnsi="Arial"/>
                <w:sz w:val="10"/>
                <w:szCs w:val="10"/>
                <w:color w:val="auto"/>
                <w:w w:val="95"/>
              </w:rPr>
              <w:t>5,637</w:t>
            </w:r>
          </w:p>
        </w:tc>
        <w:tc>
          <w:tcPr>
            <w:tcW w:w="2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w w:val="95"/>
              </w:rPr>
              <w:t>3,316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Other at or below cost</w:t>
            </w:r>
          </w:p>
        </w:tc>
        <w:tc>
          <w:tcPr>
            <w:tcW w:w="30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718</w:t>
            </w:r>
          </w:p>
        </w:tc>
        <w:tc>
          <w:tcPr>
            <w:tcW w:w="34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704</w:t>
            </w:r>
          </w:p>
        </w:tc>
        <w:tc>
          <w:tcPr>
            <w:tcW w:w="160" w:type="dxa"/>
            <w:vAlign w:val="bottom"/>
            <w:tcBorders>
              <w:bottom w:val="single" w:sz="8" w:color="0077C0"/>
              <w:right w:val="single" w:sz="8" w:color="0077C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investments and advances</w:t>
            </w:r>
          </w:p>
        </w:tc>
        <w:tc>
          <w:tcPr>
            <w:tcW w:w="360" w:type="dxa"/>
            <w:vAlign w:val="bottom"/>
            <w:tcBorders>
              <w:bottom w:val="single" w:sz="8" w:color="0077C0"/>
            </w:tcBorders>
            <w:gridSpan w:val="2"/>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w w:val="84"/>
              </w:rPr>
              <w:t>22,868</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1"/>
              </w:rPr>
              <w:t>21,520</w:t>
            </w:r>
          </w:p>
        </w:tc>
        <w:tc>
          <w:tcPr>
            <w:tcW w:w="160" w:type="dxa"/>
            <w:vAlign w:val="bottom"/>
            <w:tcBorders>
              <w:bottom w:val="single" w:sz="8" w:color="0077C0"/>
              <w:right w:val="single" w:sz="8" w:color="0077C0"/>
            </w:tcBorders>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spacing w:after="0"/>
              <w:rPr>
                <w:sz w:val="9"/>
                <w:szCs w:val="9"/>
                <w:color w:val="auto"/>
              </w:rPr>
            </w:pP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00" w:type="dxa"/>
            <w:vAlign w:val="bottom"/>
          </w:tcPr>
          <w:p>
            <w:pPr>
              <w:spacing w:after="0" w:line="91" w:lineRule="exact"/>
              <w:rPr>
                <w:sz w:val="20"/>
                <w:szCs w:val="20"/>
                <w:color w:val="auto"/>
              </w:rPr>
            </w:pPr>
            <w:r>
              <w:rPr>
                <w:rFonts w:ascii="Arial" w:cs="Arial" w:eastAsia="Arial" w:hAnsi="Arial"/>
                <w:sz w:val="10"/>
                <w:szCs w:val="10"/>
                <w:color w:val="auto"/>
              </w:rPr>
              <w:t>Total United States</w:t>
            </w:r>
          </w:p>
        </w:tc>
        <w:tc>
          <w:tcPr>
            <w:tcW w:w="36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32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4,847</w:t>
            </w: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rPr>
              <w:t>3,769</w:t>
            </w:r>
          </w:p>
        </w:tc>
        <w:tc>
          <w:tcPr>
            <w:tcW w:w="160" w:type="dxa"/>
            <w:vAlign w:val="bottom"/>
            <w:tcBorders>
              <w:right w:val="single" w:sz="8" w:color="0077C0"/>
            </w:tcBorders>
          </w:tcPr>
          <w:p>
            <w:pPr>
              <w:spacing w:after="0"/>
              <w:rPr>
                <w:sz w:val="7"/>
                <w:szCs w:val="7"/>
                <w:color w:val="auto"/>
              </w:rPr>
            </w:pPr>
          </w:p>
        </w:tc>
        <w:tc>
          <w:tcPr>
            <w:tcW w:w="180" w:type="dxa"/>
            <w:vAlign w:val="bottom"/>
            <w:gridSpan w:val="2"/>
          </w:tcPr>
          <w:p>
            <w:pPr>
              <w:jc w:val="right"/>
              <w:ind w:right="40"/>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1,119</w:t>
            </w:r>
          </w:p>
        </w:tc>
        <w:tc>
          <w:tcPr>
            <w:tcW w:w="2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30"/>
              <w:spacing w:after="0" w:line="91" w:lineRule="exact"/>
              <w:rPr>
                <w:sz w:val="20"/>
                <w:szCs w:val="20"/>
                <w:color w:val="auto"/>
              </w:rPr>
            </w:pPr>
            <w:r>
              <w:rPr>
                <w:rFonts w:ascii="Arial" w:cs="Arial" w:eastAsia="Arial" w:hAnsi="Arial"/>
                <w:sz w:val="10"/>
                <w:szCs w:val="10"/>
                <w:color w:val="auto"/>
              </w:rPr>
              <w:t>846</w:t>
            </w:r>
          </w:p>
        </w:tc>
        <w:tc>
          <w:tcPr>
            <w:tcW w:w="22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1" w:lineRule="exact"/>
              <w:rPr>
                <w:sz w:val="20"/>
                <w:szCs w:val="20"/>
                <w:color w:val="auto"/>
              </w:rPr>
            </w:pPr>
            <w:r>
              <w:rPr>
                <w:rFonts w:ascii="Arial" w:cs="Arial" w:eastAsia="Arial" w:hAnsi="Arial"/>
                <w:sz w:val="10"/>
                <w:szCs w:val="10"/>
                <w:color w:val="auto"/>
              </w:rPr>
              <w:t>511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2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International</w:t>
            </w:r>
          </w:p>
        </w:tc>
        <w:tc>
          <w:tcPr>
            <w:tcW w:w="36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84"/>
              </w:rPr>
              <w:t>18,021</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1"/>
              </w:rPr>
              <w:t>17,751</w:t>
            </w:r>
          </w:p>
        </w:tc>
        <w:tc>
          <w:tcPr>
            <w:tcW w:w="160" w:type="dxa"/>
            <w:vAlign w:val="bottom"/>
            <w:tcBorders>
              <w:bottom w:val="single" w:sz="8" w:color="0077C0"/>
              <w:right w:val="single" w:sz="8" w:color="0077C0"/>
            </w:tcBorders>
          </w:tcPr>
          <w:p>
            <w:pPr>
              <w:spacing w:after="0"/>
              <w:rPr>
                <w:sz w:val="12"/>
                <w:szCs w:val="12"/>
                <w:color w:val="auto"/>
              </w:rPr>
            </w:pPr>
          </w:p>
        </w:tc>
        <w:tc>
          <w:tcPr>
            <w:tcW w:w="18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6,244</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w w:val="95"/>
              </w:rPr>
              <w:t>4,791</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2,805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right="20" w:firstLine="160"/>
        <w:spacing w:after="0" w:line="309" w:lineRule="auto"/>
        <w:rPr>
          <w:sz w:val="20"/>
          <w:szCs w:val="20"/>
          <w:color w:val="auto"/>
        </w:rPr>
      </w:pPr>
      <w:r>
        <w:rPr>
          <w:rFonts w:ascii="Arial" w:cs="Arial" w:eastAsia="Arial" w:hAnsi="Arial"/>
          <w:sz w:val="12"/>
          <w:szCs w:val="12"/>
          <w:color w:val="auto"/>
        </w:rPr>
        <w:t>Descriptions of major affiliates, including significant differences between the company’s carrying value of its investments and its underlying equity in the net assets of the affiliates, are as follows:</w:t>
      </w:r>
    </w:p>
    <w:p>
      <w:pPr>
        <w:spacing w:after="0" w:line="2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i w:val="1"/>
          <w:iCs w:val="1"/>
          <w:color w:val="E51837"/>
        </w:rPr>
        <w:t xml:space="preserve">Tengizchevroil </w:t>
      </w:r>
      <w:r>
        <w:rPr>
          <w:rFonts w:ascii="Arial" w:cs="Arial" w:eastAsia="Arial" w:hAnsi="Arial"/>
          <w:sz w:val="13"/>
          <w:szCs w:val="13"/>
          <w:color w:val="000000"/>
        </w:rPr>
        <w:t>Chevron has a 50 percent equity ownership interest in Tengizchevroil (TCO), a joint</w:t>
      </w:r>
      <w:r>
        <w:rPr>
          <w:rFonts w:ascii="Arial" w:cs="Arial" w:eastAsia="Arial" w:hAnsi="Arial"/>
          <w:sz w:val="13"/>
          <w:szCs w:val="13"/>
          <w:i w:val="1"/>
          <w:iCs w:val="1"/>
          <w:color w:val="E51837"/>
        </w:rPr>
        <w:t xml:space="preserve"> </w:t>
      </w:r>
      <w:r>
        <w:rPr>
          <w:rFonts w:ascii="Arial" w:cs="Arial" w:eastAsia="Arial" w:hAnsi="Arial"/>
          <w:sz w:val="13"/>
          <w:szCs w:val="13"/>
          <w:color w:val="000000"/>
        </w:rPr>
        <w:t>venture formed in 1993 to develop the Tengiz and Korolev crude oil fields in Kazakhstan over a 40-year period. At December 31, 2011, the company’s carrying value of its investment in TCO was about $180 higher than the amount of underlying equity in TCO’s net assets. This difference results from Chevron acquiring a portion of its interest in TCO at a value greater than the underlying book value for that portion of TCO’s net assets. See Note 7, on page FS-33, for summarized financial information for 100 percent of TCO.</w:t>
      </w:r>
    </w:p>
    <w:p>
      <w:pPr>
        <w:spacing w:after="0" w:line="200" w:lineRule="exact"/>
        <w:rPr>
          <w:sz w:val="20"/>
          <w:szCs w:val="20"/>
          <w:color w:val="auto"/>
        </w:rPr>
      </w:pPr>
    </w:p>
    <w:p>
      <w:pPr>
        <w:sectPr>
          <w:pgSz w:w="11900" w:h="16838" w:orient="portrait"/>
          <w:cols w:equalWidth="0" w:num="2">
            <w:col w:w="5480" w:space="480"/>
            <w:col w:w="5500"/>
          </w:cols>
          <w:pgMar w:left="220" w:top="338"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0"/>
          <w:szCs w:val="10"/>
          <w:color w:val="0077C0"/>
        </w:rPr>
        <w:t>Notes to the Consolidated Financial Statements</w:t>
      </w:r>
    </w:p>
    <w:p>
      <w:pPr>
        <w:jc w:val="right"/>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12 </w:t>
      </w:r>
      <w:r>
        <w:rPr>
          <w:rFonts w:ascii="Arial" w:cs="Arial" w:eastAsia="Arial" w:hAnsi="Arial"/>
          <w:sz w:val="8"/>
          <w:szCs w:val="8"/>
          <w:color w:val="000000"/>
        </w:rPr>
        <w:t>Investments and Advances - Continued</w:t>
      </w:r>
    </w:p>
    <w:p>
      <w:pPr>
        <w:spacing w:after="0" w:line="327" w:lineRule="exact"/>
        <w:rPr>
          <w:sz w:val="20"/>
          <w:szCs w:val="20"/>
          <w:color w:val="auto"/>
        </w:rPr>
      </w:pPr>
    </w:p>
    <w:p>
      <w:pPr>
        <w:ind w:right="280"/>
        <w:spacing w:after="0" w:line="274" w:lineRule="auto"/>
        <w:rPr>
          <w:sz w:val="20"/>
          <w:szCs w:val="20"/>
          <w:color w:val="auto"/>
        </w:rPr>
      </w:pPr>
      <w:r>
        <w:rPr>
          <w:rFonts w:ascii="Arial" w:cs="Arial" w:eastAsia="Arial" w:hAnsi="Arial"/>
          <w:sz w:val="12"/>
          <w:szCs w:val="12"/>
          <w:i w:val="1"/>
          <w:iCs w:val="1"/>
          <w:color w:val="E51837"/>
        </w:rPr>
        <w:t xml:space="preserve">Petropiar </w:t>
      </w:r>
      <w:r>
        <w:rPr>
          <w:rFonts w:ascii="Arial" w:cs="Arial" w:eastAsia="Arial" w:hAnsi="Arial"/>
          <w:sz w:val="12"/>
          <w:szCs w:val="12"/>
          <w:color w:val="000000"/>
        </w:rPr>
        <w:t>Chevron has a 30 percent interest in Petropiar, a joint stock company formed in 2008 to operate</w:t>
      </w:r>
      <w:r>
        <w:rPr>
          <w:rFonts w:ascii="Arial" w:cs="Arial" w:eastAsia="Arial" w:hAnsi="Arial"/>
          <w:sz w:val="12"/>
          <w:szCs w:val="12"/>
          <w:i w:val="1"/>
          <w:iCs w:val="1"/>
          <w:color w:val="E51837"/>
        </w:rPr>
        <w:t xml:space="preserve"> </w:t>
      </w:r>
      <w:r>
        <w:rPr>
          <w:rFonts w:ascii="Arial" w:cs="Arial" w:eastAsia="Arial" w:hAnsi="Arial"/>
          <w:sz w:val="12"/>
          <w:szCs w:val="12"/>
          <w:color w:val="000000"/>
        </w:rPr>
        <w:t>the Hamaca heavy-oil production and upgrading project. The project, located in Venezuela’s Orinoco Belt, has a 25-year contract term. Prior to the formation of Petropiar, Chevron had a 30 percent interest in the Hamaca project. At December 31, 2011, the company’s carrying value of its investment in Petropiar was approximately $180 less than the amount of underlying equity in Petropiar’s net assets. The difference represents the excess of Chevron’s underlying equity in Petropiar’s net assets over the net book value of the assets contributed to the venture.</w:t>
      </w:r>
    </w:p>
    <w:p>
      <w:pPr>
        <w:spacing w:after="0" w:line="50" w:lineRule="exact"/>
        <w:rPr>
          <w:sz w:val="20"/>
          <w:szCs w:val="20"/>
          <w:color w:val="auto"/>
        </w:rPr>
      </w:pPr>
    </w:p>
    <w:p>
      <w:pPr>
        <w:ind w:right="300"/>
        <w:spacing w:after="0" w:line="250" w:lineRule="auto"/>
        <w:rPr>
          <w:sz w:val="20"/>
          <w:szCs w:val="20"/>
          <w:color w:val="auto"/>
        </w:rPr>
      </w:pPr>
      <w:r>
        <w:rPr>
          <w:rFonts w:ascii="Arial" w:cs="Arial" w:eastAsia="Arial" w:hAnsi="Arial"/>
          <w:sz w:val="13"/>
          <w:szCs w:val="13"/>
          <w:i w:val="1"/>
          <w:iCs w:val="1"/>
          <w:color w:val="E51837"/>
        </w:rPr>
        <w:t xml:space="preserve">Caspian Pipeline Consortium </w:t>
      </w:r>
      <w:r>
        <w:rPr>
          <w:rFonts w:ascii="Arial" w:cs="Arial" w:eastAsia="Arial" w:hAnsi="Arial"/>
          <w:sz w:val="13"/>
          <w:szCs w:val="13"/>
          <w:color w:val="000000"/>
        </w:rPr>
        <w:t>Chevron has a 15 percent interest in the Caspian Pipeline Consortium, a</w:t>
      </w:r>
      <w:r>
        <w:rPr>
          <w:rFonts w:ascii="Arial" w:cs="Arial" w:eastAsia="Arial" w:hAnsi="Arial"/>
          <w:sz w:val="13"/>
          <w:szCs w:val="13"/>
          <w:i w:val="1"/>
          <w:iCs w:val="1"/>
          <w:color w:val="E51837"/>
        </w:rPr>
        <w:t xml:space="preserve"> </w:t>
      </w:r>
      <w:r>
        <w:rPr>
          <w:rFonts w:ascii="Arial" w:cs="Arial" w:eastAsia="Arial" w:hAnsi="Arial"/>
          <w:sz w:val="13"/>
          <w:szCs w:val="13"/>
          <w:color w:val="000000"/>
        </w:rPr>
        <w:t>variable interest entity, which provides the critical export route for crude oil from both TCO and Karachaganak. The company joined the consortium in 1997 and has investments and advances totaling $1,094 which includes long-term loans of $l,111 at year-end 2011. The loans were provided to fund 30 percent of the initial pipeline construction. The company is not the primary beneficiary of the consortium because it does not direct activities of the consortium and only receives its proportionate share of the financial returns.</w:t>
      </w:r>
    </w:p>
    <w:p>
      <w:pPr>
        <w:spacing w:after="0" w:line="63" w:lineRule="exact"/>
        <w:rPr>
          <w:sz w:val="20"/>
          <w:szCs w:val="20"/>
          <w:color w:val="auto"/>
        </w:rPr>
      </w:pPr>
    </w:p>
    <w:p>
      <w:pPr>
        <w:ind w:right="240"/>
        <w:spacing w:after="0" w:line="275" w:lineRule="auto"/>
        <w:rPr>
          <w:sz w:val="20"/>
          <w:szCs w:val="20"/>
          <w:color w:val="auto"/>
        </w:rPr>
      </w:pPr>
      <w:r>
        <w:rPr>
          <w:rFonts w:ascii="Arial" w:cs="Arial" w:eastAsia="Arial" w:hAnsi="Arial"/>
          <w:sz w:val="12"/>
          <w:szCs w:val="12"/>
          <w:i w:val="1"/>
          <w:iCs w:val="1"/>
          <w:color w:val="E51837"/>
        </w:rPr>
        <w:t xml:space="preserve">Petroboscan </w:t>
      </w:r>
      <w:r>
        <w:rPr>
          <w:rFonts w:ascii="Arial" w:cs="Arial" w:eastAsia="Arial" w:hAnsi="Arial"/>
          <w:sz w:val="12"/>
          <w:szCs w:val="12"/>
          <w:color w:val="000000"/>
        </w:rPr>
        <w:t>Chevron has a 39 percent interest in Petroboscan, a joint stock company formed in 2006 to</w:t>
      </w:r>
      <w:r>
        <w:rPr>
          <w:rFonts w:ascii="Arial" w:cs="Arial" w:eastAsia="Arial" w:hAnsi="Arial"/>
          <w:sz w:val="12"/>
          <w:szCs w:val="12"/>
          <w:i w:val="1"/>
          <w:iCs w:val="1"/>
          <w:color w:val="E51837"/>
        </w:rPr>
        <w:t xml:space="preserve"> </w:t>
      </w:r>
      <w:r>
        <w:rPr>
          <w:rFonts w:ascii="Arial" w:cs="Arial" w:eastAsia="Arial" w:hAnsi="Arial"/>
          <w:sz w:val="12"/>
          <w:szCs w:val="12"/>
          <w:color w:val="000000"/>
        </w:rPr>
        <w:t>operate the Boscan Field in Venezuela until 2026. Chevron previously operated the field under an operating service agreement. At December 31, 2011, the company’s carrying value of its investment in Petroboscan was approximately $220 higher than the amount of underlying equity in Petroboscan’s net assets. The difference reflects the excess of the net book value of the assets contributed by Chevron over its underlying equity in Petroboscan’s net assets.</w:t>
      </w:r>
    </w:p>
    <w:p>
      <w:pPr>
        <w:spacing w:after="0" w:line="51" w:lineRule="exact"/>
        <w:rPr>
          <w:sz w:val="20"/>
          <w:szCs w:val="20"/>
          <w:color w:val="auto"/>
        </w:rPr>
      </w:pPr>
    </w:p>
    <w:p>
      <w:pPr>
        <w:ind w:right="400"/>
        <w:spacing w:after="0" w:line="267" w:lineRule="auto"/>
        <w:rPr>
          <w:sz w:val="20"/>
          <w:szCs w:val="20"/>
          <w:color w:val="auto"/>
        </w:rPr>
      </w:pPr>
      <w:r>
        <w:rPr>
          <w:rFonts w:ascii="Arial" w:cs="Arial" w:eastAsia="Arial" w:hAnsi="Arial"/>
          <w:sz w:val="13"/>
          <w:szCs w:val="13"/>
          <w:i w:val="1"/>
          <w:iCs w:val="1"/>
          <w:color w:val="E51837"/>
        </w:rPr>
        <w:t xml:space="preserve">Angola LNG Ltd. </w:t>
      </w:r>
      <w:r>
        <w:rPr>
          <w:rFonts w:ascii="Arial" w:cs="Arial" w:eastAsia="Arial" w:hAnsi="Arial"/>
          <w:sz w:val="13"/>
          <w:szCs w:val="13"/>
          <w:color w:val="000000"/>
        </w:rPr>
        <w:t>Chevron has a 36 percent interest in Angola LNG Ltd., which will process and liquefy</w:t>
      </w:r>
      <w:r>
        <w:rPr>
          <w:rFonts w:ascii="Arial" w:cs="Arial" w:eastAsia="Arial" w:hAnsi="Arial"/>
          <w:sz w:val="13"/>
          <w:szCs w:val="13"/>
          <w:i w:val="1"/>
          <w:iCs w:val="1"/>
          <w:color w:val="E51837"/>
        </w:rPr>
        <w:t xml:space="preserve"> </w:t>
      </w:r>
      <w:r>
        <w:rPr>
          <w:rFonts w:ascii="Arial" w:cs="Arial" w:eastAsia="Arial" w:hAnsi="Arial"/>
          <w:sz w:val="13"/>
          <w:szCs w:val="13"/>
          <w:color w:val="000000"/>
        </w:rPr>
        <w:t>natural gas produced in Angola for delivery to international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56" w:lineRule="auto"/>
        <w:rPr>
          <w:sz w:val="20"/>
          <w:szCs w:val="20"/>
          <w:color w:val="auto"/>
        </w:rPr>
      </w:pPr>
      <w:r>
        <w:rPr>
          <w:rFonts w:ascii="Arial" w:cs="Arial" w:eastAsia="Arial" w:hAnsi="Arial"/>
          <w:sz w:val="13"/>
          <w:szCs w:val="13"/>
          <w:i w:val="1"/>
          <w:iCs w:val="1"/>
          <w:color w:val="E51837"/>
        </w:rPr>
        <w:t xml:space="preserve">GS Caltex Corporation </w:t>
      </w:r>
      <w:r>
        <w:rPr>
          <w:rFonts w:ascii="Arial" w:cs="Arial" w:eastAsia="Arial" w:hAnsi="Arial"/>
          <w:sz w:val="13"/>
          <w:szCs w:val="13"/>
          <w:color w:val="000000"/>
        </w:rPr>
        <w:t>Chevron owns 50 percent of GS Caltex Corporation, a joint venture with GS</w:t>
      </w:r>
      <w:r>
        <w:rPr>
          <w:rFonts w:ascii="Arial" w:cs="Arial" w:eastAsia="Arial" w:hAnsi="Arial"/>
          <w:sz w:val="13"/>
          <w:szCs w:val="13"/>
          <w:i w:val="1"/>
          <w:iCs w:val="1"/>
          <w:color w:val="E51837"/>
        </w:rPr>
        <w:t xml:space="preserve"> </w:t>
      </w:r>
      <w:r>
        <w:rPr>
          <w:rFonts w:ascii="Arial" w:cs="Arial" w:eastAsia="Arial" w:hAnsi="Arial"/>
          <w:sz w:val="13"/>
          <w:szCs w:val="13"/>
          <w:color w:val="000000"/>
        </w:rPr>
        <w:t>Holdings. The joint venture imports, refines and markets petroleum products and petrochemicals, predominantly in South Korea.</w:t>
      </w:r>
    </w:p>
    <w:p>
      <w:pPr>
        <w:spacing w:after="0" w:line="60" w:lineRule="exact"/>
        <w:rPr>
          <w:sz w:val="20"/>
          <w:szCs w:val="20"/>
          <w:color w:val="auto"/>
        </w:rPr>
      </w:pPr>
    </w:p>
    <w:p>
      <w:pPr>
        <w:jc w:val="both"/>
        <w:ind w:right="440"/>
        <w:spacing w:after="0" w:line="267" w:lineRule="auto"/>
        <w:rPr>
          <w:sz w:val="20"/>
          <w:szCs w:val="20"/>
          <w:color w:val="auto"/>
        </w:rPr>
      </w:pPr>
      <w:r>
        <w:rPr>
          <w:rFonts w:ascii="Arial" w:cs="Arial" w:eastAsia="Arial" w:hAnsi="Arial"/>
          <w:sz w:val="13"/>
          <w:szCs w:val="13"/>
          <w:i w:val="1"/>
          <w:iCs w:val="1"/>
          <w:color w:val="E51837"/>
        </w:rPr>
        <w:t xml:space="preserve">Chevron Phillips Chemical Company LLC </w:t>
      </w:r>
      <w:r>
        <w:rPr>
          <w:rFonts w:ascii="Arial" w:cs="Arial" w:eastAsia="Arial" w:hAnsi="Arial"/>
          <w:sz w:val="13"/>
          <w:szCs w:val="13"/>
          <w:color w:val="000000"/>
        </w:rPr>
        <w:t>Chevron owns 50 percent of Chevron Phillips Chemical</w:t>
      </w:r>
      <w:r>
        <w:rPr>
          <w:rFonts w:ascii="Arial" w:cs="Arial" w:eastAsia="Arial" w:hAnsi="Arial"/>
          <w:sz w:val="13"/>
          <w:szCs w:val="13"/>
          <w:i w:val="1"/>
          <w:iCs w:val="1"/>
          <w:color w:val="E51837"/>
        </w:rPr>
        <w:t xml:space="preserve"> </w:t>
      </w:r>
      <w:r>
        <w:rPr>
          <w:rFonts w:ascii="Arial" w:cs="Arial" w:eastAsia="Arial" w:hAnsi="Arial"/>
          <w:sz w:val="13"/>
          <w:szCs w:val="13"/>
          <w:color w:val="000000"/>
        </w:rPr>
        <w:t>Company LLC. The other half is owned by ConocoPhillips Corporation.</w:t>
      </w:r>
    </w:p>
    <w:p>
      <w:pPr>
        <w:spacing w:after="0" w:line="52" w:lineRule="exact"/>
        <w:rPr>
          <w:sz w:val="20"/>
          <w:szCs w:val="20"/>
          <w:color w:val="auto"/>
        </w:rPr>
      </w:pPr>
    </w:p>
    <w:p>
      <w:pPr>
        <w:jc w:val="both"/>
        <w:ind w:right="460"/>
        <w:spacing w:after="0" w:line="288" w:lineRule="auto"/>
        <w:rPr>
          <w:sz w:val="20"/>
          <w:szCs w:val="20"/>
          <w:color w:val="auto"/>
        </w:rPr>
      </w:pPr>
      <w:r>
        <w:rPr>
          <w:rFonts w:ascii="Arial" w:cs="Arial" w:eastAsia="Arial" w:hAnsi="Arial"/>
          <w:sz w:val="12"/>
          <w:szCs w:val="12"/>
          <w:i w:val="1"/>
          <w:iCs w:val="1"/>
          <w:color w:val="E51837"/>
        </w:rPr>
        <w:t xml:space="preserve">Star Petroleum Refining Company Ltd. </w:t>
      </w:r>
      <w:r>
        <w:rPr>
          <w:rFonts w:ascii="Arial" w:cs="Arial" w:eastAsia="Arial" w:hAnsi="Arial"/>
          <w:sz w:val="12"/>
          <w:szCs w:val="12"/>
          <w:color w:val="000000"/>
        </w:rPr>
        <w:t>Chevron has a 64 percent equity ownership interest in Star</w:t>
      </w:r>
      <w:r>
        <w:rPr>
          <w:rFonts w:ascii="Arial" w:cs="Arial" w:eastAsia="Arial" w:hAnsi="Arial"/>
          <w:sz w:val="12"/>
          <w:szCs w:val="12"/>
          <w:i w:val="1"/>
          <w:iCs w:val="1"/>
          <w:color w:val="E51837"/>
        </w:rPr>
        <w:t xml:space="preserve"> </w:t>
      </w:r>
      <w:r>
        <w:rPr>
          <w:rFonts w:ascii="Arial" w:cs="Arial" w:eastAsia="Arial" w:hAnsi="Arial"/>
          <w:sz w:val="12"/>
          <w:szCs w:val="12"/>
          <w:color w:val="000000"/>
        </w:rPr>
        <w:t>Petroleum Refining Company Ltd. (SPRC), which owns the Star Refinery in Thailand. PTT Public Company Limited owns the remaining 36 percent of SPRC.</w:t>
      </w:r>
    </w:p>
    <w:p>
      <w:pPr>
        <w:spacing w:after="0" w:line="41" w:lineRule="exact"/>
        <w:rPr>
          <w:sz w:val="20"/>
          <w:szCs w:val="20"/>
          <w:color w:val="auto"/>
        </w:rPr>
      </w:pPr>
    </w:p>
    <w:p>
      <w:pPr>
        <w:jc w:val="both"/>
        <w:ind w:right="140"/>
        <w:spacing w:after="0" w:line="256" w:lineRule="auto"/>
        <w:rPr>
          <w:sz w:val="20"/>
          <w:szCs w:val="20"/>
          <w:color w:val="auto"/>
        </w:rPr>
      </w:pPr>
      <w:r>
        <w:rPr>
          <w:rFonts w:ascii="Arial" w:cs="Arial" w:eastAsia="Arial" w:hAnsi="Arial"/>
          <w:sz w:val="13"/>
          <w:szCs w:val="13"/>
          <w:i w:val="1"/>
          <w:iCs w:val="1"/>
          <w:color w:val="E51837"/>
        </w:rPr>
        <w:t xml:space="preserve">Caltex Australia Ltd. </w:t>
      </w:r>
      <w:r>
        <w:rPr>
          <w:rFonts w:ascii="Arial" w:cs="Arial" w:eastAsia="Arial" w:hAnsi="Arial"/>
          <w:sz w:val="13"/>
          <w:szCs w:val="13"/>
          <w:color w:val="000000"/>
        </w:rPr>
        <w:t>Chevron has a 50 percent equity ownership interest in Caltex Australia Ltd. (CAL).</w:t>
      </w:r>
      <w:r>
        <w:rPr>
          <w:rFonts w:ascii="Arial" w:cs="Arial" w:eastAsia="Arial" w:hAnsi="Arial"/>
          <w:sz w:val="13"/>
          <w:szCs w:val="13"/>
          <w:i w:val="1"/>
          <w:iCs w:val="1"/>
          <w:color w:val="E51837"/>
        </w:rPr>
        <w:t xml:space="preserve"> </w:t>
      </w:r>
      <w:r>
        <w:rPr>
          <w:rFonts w:ascii="Arial" w:cs="Arial" w:eastAsia="Arial" w:hAnsi="Arial"/>
          <w:sz w:val="13"/>
          <w:szCs w:val="13"/>
          <w:color w:val="000000"/>
        </w:rPr>
        <w:t>The remaining 50 percent of CAL is publicly owned. At December 31, 2011, the fair value of Chevron’s share of CAL common stock was approximately $1,600.</w:t>
      </w:r>
    </w:p>
    <w:p>
      <w:pPr>
        <w:spacing w:after="0" w:line="60"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i w:val="1"/>
          <w:iCs w:val="1"/>
          <w:color w:val="E51837"/>
        </w:rPr>
        <w:t xml:space="preserve">Other Information </w:t>
      </w:r>
      <w:r>
        <w:rPr>
          <w:rFonts w:ascii="Arial" w:cs="Arial" w:eastAsia="Arial" w:hAnsi="Arial"/>
          <w:sz w:val="13"/>
          <w:szCs w:val="13"/>
          <w:color w:val="000000"/>
        </w:rPr>
        <w:t>“Sales and other operating revenues” on the Consolidated Statement of Income includes</w:t>
      </w:r>
      <w:r>
        <w:rPr>
          <w:rFonts w:ascii="Arial" w:cs="Arial" w:eastAsia="Arial" w:hAnsi="Arial"/>
          <w:sz w:val="13"/>
          <w:szCs w:val="13"/>
          <w:i w:val="1"/>
          <w:iCs w:val="1"/>
          <w:color w:val="E51837"/>
        </w:rPr>
        <w:t xml:space="preserve"> </w:t>
      </w:r>
      <w:r>
        <w:rPr>
          <w:rFonts w:ascii="Arial" w:cs="Arial" w:eastAsia="Arial" w:hAnsi="Arial"/>
          <w:sz w:val="13"/>
          <w:szCs w:val="13"/>
          <w:color w:val="000000"/>
        </w:rPr>
        <w:t>$20,164, $13,672 and $10,391 with affiliated companies for 2011, 2010 and 2009, respectively. “Purchased crude oil and products” includes $7,489, $5,559 and $4,631 with affiliated companies for 2011, 2010 and 2009, respectively.</w:t>
      </w:r>
    </w:p>
    <w:p>
      <w:pPr>
        <w:spacing w:after="0" w:line="1" w:lineRule="exact"/>
        <w:rPr>
          <w:sz w:val="20"/>
          <w:szCs w:val="20"/>
          <w:color w:val="auto"/>
        </w:rPr>
      </w:pPr>
    </w:p>
    <w:p>
      <w:pPr>
        <w:ind w:right="20" w:firstLine="160"/>
        <w:spacing w:after="0" w:line="267" w:lineRule="auto"/>
        <w:rPr>
          <w:sz w:val="20"/>
          <w:szCs w:val="20"/>
          <w:color w:val="auto"/>
        </w:rPr>
      </w:pPr>
      <w:r>
        <w:rPr>
          <w:rFonts w:ascii="Arial" w:cs="Arial" w:eastAsia="Arial" w:hAnsi="Arial"/>
          <w:sz w:val="12"/>
          <w:szCs w:val="12"/>
          <w:color w:val="auto"/>
        </w:rPr>
        <w:t>“Accounts and notes receivable” on the Consolidated Balance Sheet includes $1,968 and $1,718 due from affiliated companies at December 31, 2011 and 2010, respectively. “Accounts payable” includes $519 and $377 due to affiliated companies at December 31, 2011 and 2010, respectively.</w:t>
      </w:r>
    </w:p>
    <w:p>
      <w:pPr>
        <w:spacing w:after="0" w:line="1" w:lineRule="exact"/>
        <w:rPr>
          <w:sz w:val="20"/>
          <w:szCs w:val="20"/>
          <w:color w:val="auto"/>
        </w:rPr>
      </w:pPr>
    </w:p>
    <w:p>
      <w:pPr>
        <w:ind w:right="140" w:firstLine="158"/>
        <w:spacing w:after="0" w:line="250" w:lineRule="auto"/>
        <w:rPr>
          <w:sz w:val="20"/>
          <w:szCs w:val="20"/>
          <w:color w:val="auto"/>
        </w:rPr>
      </w:pPr>
      <w:r>
        <w:rPr>
          <w:rFonts w:ascii="Arial" w:cs="Arial" w:eastAsia="Arial" w:hAnsi="Arial"/>
          <w:sz w:val="13"/>
          <w:szCs w:val="13"/>
          <w:color w:val="auto"/>
        </w:rPr>
        <w:t>The following table provides summarized financial information on a 100 percent basis for all equity affiliates as well as Chevron’s total share, which includes Chevron loans to affiliates of $957, $1,543 and $2,422 at December 31, 2011, 2010 and 2009, respectively.</w:t>
      </w:r>
    </w:p>
    <w:p>
      <w:pPr>
        <w:spacing w:after="0" w:line="287" w:lineRule="exact"/>
        <w:rPr>
          <w:sz w:val="20"/>
          <w:szCs w:val="20"/>
          <w:color w:val="auto"/>
        </w:rPr>
      </w:pPr>
    </w:p>
    <w:p>
      <w:pPr>
        <w:sectPr>
          <w:pgSz w:w="11900" w:h="16838" w:orient="portrait"/>
          <w:cols w:equalWidth="0" w:num="2">
            <w:col w:w="5740" w:space="220"/>
            <w:col w:w="5520"/>
          </w:cols>
          <w:pgMar w:left="220" w:top="338" w:right="199" w:bottom="1440" w:gutter="0" w:footer="0" w:header="0"/>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9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Year ended December 31</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9"/>
                <w:szCs w:val="9"/>
                <w:color w:val="auto"/>
              </w:rPr>
              <w:t>Affiliates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w w:val="92"/>
              </w:rPr>
              <w:t>Chevron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gridSpan w:val="2"/>
            <w:vMerge w:val="continue"/>
          </w:tcPr>
          <w:p>
            <w:pPr>
              <w:spacing w:after="0"/>
              <w:rPr>
                <w:sz w:val="8"/>
                <w:szCs w:val="8"/>
                <w:color w:val="auto"/>
              </w:rPr>
            </w:pPr>
          </w:p>
        </w:tc>
        <w:tc>
          <w:tcPr>
            <w:tcW w:w="220" w:type="dxa"/>
            <w:vAlign w:val="bottom"/>
            <w:tcBorders>
              <w:top w:val="single" w:sz="8" w:color="0077C0"/>
            </w:tcBorders>
          </w:tcPr>
          <w:p>
            <w:pPr>
              <w:spacing w:after="0"/>
              <w:rPr>
                <w:sz w:val="8"/>
                <w:szCs w:val="8"/>
                <w:color w:val="auto"/>
              </w:rPr>
            </w:pPr>
          </w:p>
        </w:tc>
        <w:tc>
          <w:tcPr>
            <w:tcW w:w="820" w:type="dxa"/>
            <w:vAlign w:val="bottom"/>
            <w:tcBorders>
              <w:top w:val="single" w:sz="8" w:color="0077C0"/>
            </w:tcBorders>
          </w:tcPr>
          <w:p>
            <w:pPr>
              <w:jc w:val="right"/>
              <w:ind w:right="290"/>
              <w:spacing w:after="0" w:line="96" w:lineRule="exact"/>
              <w:rPr>
                <w:sz w:val="20"/>
                <w:szCs w:val="20"/>
                <w:color w:val="auto"/>
              </w:rPr>
            </w:pPr>
            <w:r>
              <w:rPr>
                <w:rFonts w:ascii="Arial" w:cs="Arial" w:eastAsia="Arial" w:hAnsi="Arial"/>
                <w:sz w:val="9"/>
                <w:szCs w:val="9"/>
                <w:b w:val="1"/>
                <w:bCs w:val="1"/>
                <w:color w:val="auto"/>
              </w:rPr>
              <w:t>2011</w:t>
            </w:r>
          </w:p>
        </w:tc>
        <w:tc>
          <w:tcPr>
            <w:tcW w:w="520" w:type="dxa"/>
            <w:vAlign w:val="bottom"/>
            <w:tcBorders>
              <w:top w:val="single" w:sz="8" w:color="0077C0"/>
            </w:tcBorders>
          </w:tcPr>
          <w:p>
            <w:pPr>
              <w:spacing w:after="0"/>
              <w:rPr>
                <w:sz w:val="8"/>
                <w:szCs w:val="8"/>
                <w:color w:val="auto"/>
              </w:rPr>
            </w:pPr>
          </w:p>
        </w:tc>
        <w:tc>
          <w:tcPr>
            <w:tcW w:w="860" w:type="dxa"/>
            <w:vAlign w:val="bottom"/>
            <w:tcBorders>
              <w:top w:val="single" w:sz="8" w:color="0077C0"/>
            </w:tcBorders>
          </w:tcPr>
          <w:p>
            <w:pPr>
              <w:jc w:val="right"/>
              <w:ind w:right="290"/>
              <w:spacing w:after="0" w:line="96" w:lineRule="exact"/>
              <w:rPr>
                <w:sz w:val="20"/>
                <w:szCs w:val="20"/>
                <w:color w:val="auto"/>
              </w:rPr>
            </w:pPr>
            <w:r>
              <w:rPr>
                <w:rFonts w:ascii="Arial" w:cs="Arial" w:eastAsia="Arial" w:hAnsi="Arial"/>
                <w:sz w:val="9"/>
                <w:szCs w:val="9"/>
                <w:color w:val="auto"/>
              </w:rPr>
              <w:t>2010</w:t>
            </w:r>
          </w:p>
        </w:tc>
        <w:tc>
          <w:tcPr>
            <w:tcW w:w="56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jc w:val="right"/>
              <w:ind w:right="290"/>
              <w:spacing w:after="0" w:line="96" w:lineRule="exact"/>
              <w:rPr>
                <w:sz w:val="20"/>
                <w:szCs w:val="20"/>
                <w:color w:val="auto"/>
              </w:rPr>
            </w:pPr>
            <w:r>
              <w:rPr>
                <w:rFonts w:ascii="Arial" w:cs="Arial" w:eastAsia="Arial" w:hAnsi="Arial"/>
                <w:sz w:val="9"/>
                <w:szCs w:val="9"/>
                <w:b w:val="1"/>
                <w:bCs w:val="1"/>
                <w:color w:val="auto"/>
              </w:rPr>
              <w:t>2011</w:t>
            </w:r>
          </w:p>
        </w:tc>
        <w:tc>
          <w:tcPr>
            <w:tcW w:w="580" w:type="dxa"/>
            <w:vAlign w:val="bottom"/>
            <w:tcBorders>
              <w:top w:val="single" w:sz="8" w:color="0077C0"/>
            </w:tcBorders>
          </w:tcPr>
          <w:p>
            <w:pPr>
              <w:spacing w:after="0"/>
              <w:rPr>
                <w:sz w:val="8"/>
                <w:szCs w:val="8"/>
                <w:color w:val="auto"/>
              </w:rPr>
            </w:pPr>
          </w:p>
        </w:tc>
        <w:tc>
          <w:tcPr>
            <w:tcW w:w="800" w:type="dxa"/>
            <w:vAlign w:val="bottom"/>
            <w:tcBorders>
              <w:top w:val="single" w:sz="8" w:color="0077C0"/>
            </w:tcBorders>
          </w:tcPr>
          <w:p>
            <w:pPr>
              <w:jc w:val="right"/>
              <w:ind w:right="290"/>
              <w:spacing w:after="0" w:line="96" w:lineRule="exact"/>
              <w:rPr>
                <w:sz w:val="20"/>
                <w:szCs w:val="20"/>
                <w:color w:val="auto"/>
              </w:rPr>
            </w:pPr>
            <w:r>
              <w:rPr>
                <w:rFonts w:ascii="Arial" w:cs="Arial" w:eastAsia="Arial" w:hAnsi="Arial"/>
                <w:sz w:val="9"/>
                <w:szCs w:val="9"/>
                <w:color w:val="auto"/>
              </w:rPr>
              <w:t>2010</w:t>
            </w:r>
          </w:p>
        </w:tc>
        <w:tc>
          <w:tcPr>
            <w:tcW w:w="420" w:type="dxa"/>
            <w:vAlign w:val="bottom"/>
            <w:tcBorders>
              <w:top w:val="single" w:sz="8" w:color="0077C0"/>
            </w:tcBorders>
          </w:tcPr>
          <w:p>
            <w:pPr>
              <w:spacing w:after="0"/>
              <w:rPr>
                <w:sz w:val="8"/>
                <w:szCs w:val="8"/>
                <w:color w:val="auto"/>
              </w:rPr>
            </w:pPr>
          </w:p>
        </w:tc>
        <w:tc>
          <w:tcPr>
            <w:tcW w:w="580" w:type="dxa"/>
            <w:vAlign w:val="bottom"/>
            <w:tcBorders>
              <w:top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80" w:type="dxa"/>
            <w:vAlign w:val="bottom"/>
            <w:tcBorders>
              <w:top w:val="single" w:sz="8" w:color="0077C0"/>
            </w:tcBorders>
          </w:tcPr>
          <w:p>
            <w:pPr>
              <w:spacing w:after="0" w:line="81" w:lineRule="exact"/>
              <w:rPr>
                <w:sz w:val="20"/>
                <w:szCs w:val="20"/>
                <w:color w:val="auto"/>
              </w:rPr>
            </w:pPr>
            <w:r>
              <w:rPr>
                <w:rFonts w:ascii="Arial" w:cs="Arial" w:eastAsia="Arial" w:hAnsi="Arial"/>
                <w:sz w:val="9"/>
                <w:szCs w:val="9"/>
                <w:color w:val="auto"/>
              </w:rPr>
              <w:t>Total revenues</w:t>
            </w:r>
          </w:p>
        </w:tc>
        <w:tc>
          <w:tcPr>
            <w:tcW w:w="220" w:type="dxa"/>
            <w:vAlign w:val="bottom"/>
            <w:tcBorders>
              <w:top w:val="single" w:sz="8" w:color="0077C0"/>
            </w:tcBorders>
          </w:tcPr>
          <w:p>
            <w:pPr>
              <w:jc w:val="right"/>
              <w:ind w:right="110"/>
              <w:spacing w:after="0" w:line="81" w:lineRule="exact"/>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0077C0"/>
            </w:tcBorders>
          </w:tcPr>
          <w:p>
            <w:pPr>
              <w:jc w:val="right"/>
              <w:ind w:right="290"/>
              <w:spacing w:after="0" w:line="81" w:lineRule="exact"/>
              <w:rPr>
                <w:sz w:val="20"/>
                <w:szCs w:val="20"/>
                <w:color w:val="auto"/>
              </w:rPr>
            </w:pPr>
            <w:r>
              <w:rPr>
                <w:rFonts w:ascii="Arial" w:cs="Arial" w:eastAsia="Arial" w:hAnsi="Arial"/>
                <w:sz w:val="9"/>
                <w:szCs w:val="9"/>
                <w:b w:val="1"/>
                <w:bCs w:val="1"/>
                <w:color w:val="auto"/>
              </w:rPr>
              <w:t>140,107</w:t>
            </w:r>
          </w:p>
        </w:tc>
        <w:tc>
          <w:tcPr>
            <w:tcW w:w="520" w:type="dxa"/>
            <w:vAlign w:val="bottom"/>
            <w:tcBorders>
              <w:top w:val="single" w:sz="8" w:color="0077C0"/>
            </w:tcBorders>
          </w:tcPr>
          <w:p>
            <w:pPr>
              <w:jc w:val="right"/>
              <w:ind w:right="70"/>
              <w:spacing w:after="0" w:line="81" w:lineRule="exact"/>
              <w:rPr>
                <w:sz w:val="20"/>
                <w:szCs w:val="20"/>
                <w:color w:val="auto"/>
              </w:rPr>
            </w:pPr>
            <w:r>
              <w:rPr>
                <w:rFonts w:ascii="Arial" w:cs="Arial" w:eastAsia="Arial" w:hAnsi="Arial"/>
                <w:sz w:val="9"/>
                <w:szCs w:val="9"/>
                <w:color w:val="auto"/>
              </w:rPr>
              <w:t>$</w:t>
            </w:r>
          </w:p>
        </w:tc>
        <w:tc>
          <w:tcPr>
            <w:tcW w:w="860" w:type="dxa"/>
            <w:vAlign w:val="bottom"/>
            <w:tcBorders>
              <w:top w:val="single" w:sz="8" w:color="0077C0"/>
            </w:tcBorders>
          </w:tcPr>
          <w:p>
            <w:pPr>
              <w:jc w:val="right"/>
              <w:ind w:right="290"/>
              <w:spacing w:after="0" w:line="81" w:lineRule="exact"/>
              <w:rPr>
                <w:sz w:val="20"/>
                <w:szCs w:val="20"/>
                <w:color w:val="auto"/>
              </w:rPr>
            </w:pPr>
            <w:r>
              <w:rPr>
                <w:rFonts w:ascii="Arial" w:cs="Arial" w:eastAsia="Arial" w:hAnsi="Arial"/>
                <w:sz w:val="9"/>
                <w:szCs w:val="9"/>
                <w:color w:val="auto"/>
              </w:rPr>
              <w:t>107,505</w:t>
            </w:r>
          </w:p>
        </w:tc>
        <w:tc>
          <w:tcPr>
            <w:tcW w:w="560" w:type="dxa"/>
            <w:vAlign w:val="bottom"/>
            <w:tcBorders>
              <w:top w:val="single" w:sz="8" w:color="0077C0"/>
            </w:tcBorders>
          </w:tcPr>
          <w:p>
            <w:pPr>
              <w:jc w:val="right"/>
              <w:ind w:right="110"/>
              <w:spacing w:after="0" w:line="81" w:lineRule="exact"/>
              <w:rPr>
                <w:sz w:val="20"/>
                <w:szCs w:val="20"/>
                <w:color w:val="auto"/>
              </w:rPr>
            </w:pPr>
            <w:r>
              <w:rPr>
                <w:rFonts w:ascii="Arial" w:cs="Arial" w:eastAsia="Arial" w:hAnsi="Arial"/>
                <w:sz w:val="9"/>
                <w:szCs w:val="9"/>
                <w:color w:val="auto"/>
              </w:rPr>
              <w:t>$</w:t>
            </w:r>
          </w:p>
        </w:tc>
        <w:tc>
          <w:tcPr>
            <w:tcW w:w="840" w:type="dxa"/>
            <w:vAlign w:val="bottom"/>
            <w:tcBorders>
              <w:top w:val="single" w:sz="8" w:color="0077C0"/>
              <w:right w:val="single" w:sz="8" w:color="0077C0"/>
            </w:tcBorders>
            <w:gridSpan w:val="2"/>
          </w:tcPr>
          <w:p>
            <w:pPr>
              <w:jc w:val="right"/>
              <w:ind w:right="360"/>
              <w:spacing w:after="0" w:line="81" w:lineRule="exact"/>
              <w:rPr>
                <w:sz w:val="20"/>
                <w:szCs w:val="20"/>
                <w:color w:val="auto"/>
              </w:rPr>
            </w:pPr>
            <w:r>
              <w:rPr>
                <w:rFonts w:ascii="Arial" w:cs="Arial" w:eastAsia="Arial" w:hAnsi="Arial"/>
                <w:sz w:val="9"/>
                <w:szCs w:val="9"/>
                <w:color w:val="auto"/>
              </w:rPr>
              <w:t>81,995</w:t>
            </w:r>
          </w:p>
        </w:tc>
        <w:tc>
          <w:tcPr>
            <w:tcW w:w="460" w:type="dxa"/>
            <w:vAlign w:val="bottom"/>
            <w:tcBorders>
              <w:top w:val="single" w:sz="8" w:color="0077C0"/>
            </w:tcBorders>
            <w:gridSpan w:val="2"/>
          </w:tcPr>
          <w:p>
            <w:pPr>
              <w:jc w:val="right"/>
              <w:ind w:right="180"/>
              <w:spacing w:after="0" w:line="81" w:lineRule="exact"/>
              <w:rPr>
                <w:sz w:val="20"/>
                <w:szCs w:val="20"/>
                <w:color w:val="auto"/>
              </w:rPr>
            </w:pPr>
            <w:r>
              <w:rPr>
                <w:rFonts w:ascii="Arial" w:cs="Arial" w:eastAsia="Arial" w:hAnsi="Arial"/>
                <w:sz w:val="9"/>
                <w:szCs w:val="9"/>
                <w:b w:val="1"/>
                <w:bCs w:val="1"/>
                <w:color w:val="auto"/>
              </w:rPr>
              <w:t>$</w:t>
            </w:r>
          </w:p>
        </w:tc>
        <w:tc>
          <w:tcPr>
            <w:tcW w:w="800" w:type="dxa"/>
            <w:vAlign w:val="bottom"/>
            <w:tcBorders>
              <w:top w:val="single" w:sz="8" w:color="0077C0"/>
            </w:tcBorders>
          </w:tcPr>
          <w:p>
            <w:pPr>
              <w:jc w:val="right"/>
              <w:ind w:right="290"/>
              <w:spacing w:after="0" w:line="81" w:lineRule="exact"/>
              <w:rPr>
                <w:sz w:val="20"/>
                <w:szCs w:val="20"/>
                <w:color w:val="auto"/>
              </w:rPr>
            </w:pPr>
            <w:r>
              <w:rPr>
                <w:rFonts w:ascii="Arial" w:cs="Arial" w:eastAsia="Arial" w:hAnsi="Arial"/>
                <w:sz w:val="9"/>
                <w:szCs w:val="9"/>
                <w:b w:val="1"/>
                <w:bCs w:val="1"/>
                <w:color w:val="auto"/>
              </w:rPr>
              <w:t>68,632</w:t>
            </w:r>
          </w:p>
        </w:tc>
        <w:tc>
          <w:tcPr>
            <w:tcW w:w="580" w:type="dxa"/>
            <w:vAlign w:val="bottom"/>
            <w:tcBorders>
              <w:top w:val="single" w:sz="8" w:color="0077C0"/>
            </w:tcBorders>
          </w:tcPr>
          <w:p>
            <w:pPr>
              <w:jc w:val="right"/>
              <w:ind w:right="130"/>
              <w:spacing w:after="0" w:line="81" w:lineRule="exact"/>
              <w:rPr>
                <w:sz w:val="20"/>
                <w:szCs w:val="20"/>
                <w:color w:val="auto"/>
              </w:rPr>
            </w:pPr>
            <w:r>
              <w:rPr>
                <w:rFonts w:ascii="Arial" w:cs="Arial" w:eastAsia="Arial" w:hAnsi="Arial"/>
                <w:sz w:val="9"/>
                <w:szCs w:val="9"/>
                <w:color w:val="auto"/>
              </w:rPr>
              <w:t>$</w:t>
            </w:r>
          </w:p>
        </w:tc>
        <w:tc>
          <w:tcPr>
            <w:tcW w:w="800" w:type="dxa"/>
            <w:vAlign w:val="bottom"/>
            <w:tcBorders>
              <w:top w:val="single" w:sz="8" w:color="0077C0"/>
            </w:tcBorders>
          </w:tcPr>
          <w:p>
            <w:pPr>
              <w:jc w:val="right"/>
              <w:ind w:right="290"/>
              <w:spacing w:after="0" w:line="81" w:lineRule="exact"/>
              <w:rPr>
                <w:sz w:val="20"/>
                <w:szCs w:val="20"/>
                <w:color w:val="auto"/>
              </w:rPr>
            </w:pPr>
            <w:r>
              <w:rPr>
                <w:rFonts w:ascii="Arial" w:cs="Arial" w:eastAsia="Arial" w:hAnsi="Arial"/>
                <w:sz w:val="9"/>
                <w:szCs w:val="9"/>
                <w:color w:val="auto"/>
              </w:rPr>
              <w:t>52,088</w:t>
            </w:r>
          </w:p>
        </w:tc>
        <w:tc>
          <w:tcPr>
            <w:tcW w:w="420" w:type="dxa"/>
            <w:vAlign w:val="bottom"/>
            <w:tcBorders>
              <w:top w:val="single" w:sz="8" w:color="0077C0"/>
            </w:tcBorders>
          </w:tcPr>
          <w:p>
            <w:pPr>
              <w:jc w:val="right"/>
              <w:spacing w:after="0" w:line="81" w:lineRule="exact"/>
              <w:rPr>
                <w:sz w:val="20"/>
                <w:szCs w:val="20"/>
                <w:color w:val="auto"/>
              </w:rPr>
            </w:pPr>
            <w:r>
              <w:rPr>
                <w:rFonts w:ascii="Arial" w:cs="Arial" w:eastAsia="Arial" w:hAnsi="Arial"/>
                <w:sz w:val="9"/>
                <w:szCs w:val="9"/>
                <w:color w:val="auto"/>
              </w:rPr>
              <w:t>$</w:t>
            </w:r>
          </w:p>
        </w:tc>
        <w:tc>
          <w:tcPr>
            <w:tcW w:w="580" w:type="dxa"/>
            <w:vAlign w:val="bottom"/>
            <w:tcBorders>
              <w:top w:val="single" w:sz="8" w:color="0077C0"/>
            </w:tcBorders>
          </w:tcPr>
          <w:p>
            <w:pPr>
              <w:jc w:val="right"/>
              <w:spacing w:after="0" w:line="81" w:lineRule="exact"/>
              <w:rPr>
                <w:sz w:val="20"/>
                <w:szCs w:val="20"/>
                <w:color w:val="auto"/>
              </w:rPr>
            </w:pPr>
            <w:r>
              <w:rPr>
                <w:rFonts w:ascii="Arial" w:cs="Arial" w:eastAsia="Arial" w:hAnsi="Arial"/>
                <w:sz w:val="9"/>
                <w:szCs w:val="9"/>
                <w:color w:val="auto"/>
              </w:rPr>
              <w:t>39,280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900" w:type="dxa"/>
            <w:vAlign w:val="bottom"/>
            <w:gridSpan w:val="2"/>
          </w:tcPr>
          <w:p>
            <w:pPr>
              <w:spacing w:after="0" w:line="106" w:lineRule="exact"/>
              <w:rPr>
                <w:sz w:val="20"/>
                <w:szCs w:val="20"/>
                <w:color w:val="auto"/>
              </w:rPr>
            </w:pPr>
            <w:r>
              <w:rPr>
                <w:rFonts w:ascii="Arial" w:cs="Arial" w:eastAsia="Arial" w:hAnsi="Arial"/>
                <w:sz w:val="10"/>
                <w:szCs w:val="10"/>
                <w:color w:val="auto"/>
              </w:rPr>
              <w:t>Income before income tax expense</w:t>
            </w:r>
          </w:p>
        </w:tc>
        <w:tc>
          <w:tcPr>
            <w:tcW w:w="220" w:type="dxa"/>
            <w:vAlign w:val="bottom"/>
          </w:tcPr>
          <w:p>
            <w:pPr>
              <w:spacing w:after="0"/>
              <w:rPr>
                <w:sz w:val="9"/>
                <w:szCs w:val="9"/>
                <w:color w:val="auto"/>
              </w:rPr>
            </w:pPr>
          </w:p>
        </w:tc>
        <w:tc>
          <w:tcPr>
            <w:tcW w:w="8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23,054</w:t>
            </w:r>
          </w:p>
        </w:tc>
        <w:tc>
          <w:tcPr>
            <w:tcW w:w="520" w:type="dxa"/>
            <w:vAlign w:val="bottom"/>
          </w:tcPr>
          <w:p>
            <w:pPr>
              <w:spacing w:after="0"/>
              <w:rPr>
                <w:sz w:val="9"/>
                <w:szCs w:val="9"/>
                <w:color w:val="auto"/>
              </w:rPr>
            </w:pPr>
          </w:p>
        </w:tc>
        <w:tc>
          <w:tcPr>
            <w:tcW w:w="86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18,468</w:t>
            </w:r>
          </w:p>
        </w:tc>
        <w:tc>
          <w:tcPr>
            <w:tcW w:w="560" w:type="dxa"/>
            <w:vAlign w:val="bottom"/>
          </w:tcPr>
          <w:p>
            <w:pPr>
              <w:spacing w:after="0"/>
              <w:rPr>
                <w:sz w:val="9"/>
                <w:szCs w:val="9"/>
                <w:color w:val="auto"/>
              </w:rPr>
            </w:pPr>
          </w:p>
        </w:tc>
        <w:tc>
          <w:tcPr>
            <w:tcW w:w="840" w:type="dxa"/>
            <w:vAlign w:val="bottom"/>
            <w:tcBorders>
              <w:right w:val="single" w:sz="8" w:color="0077C0"/>
            </w:tcBorders>
            <w:gridSpan w:val="2"/>
          </w:tcPr>
          <w:p>
            <w:pPr>
              <w:jc w:val="right"/>
              <w:ind w:right="360"/>
              <w:spacing w:after="0" w:line="106" w:lineRule="exact"/>
              <w:rPr>
                <w:sz w:val="20"/>
                <w:szCs w:val="20"/>
                <w:color w:val="auto"/>
              </w:rPr>
            </w:pPr>
            <w:r>
              <w:rPr>
                <w:rFonts w:ascii="Arial" w:cs="Arial" w:eastAsia="Arial" w:hAnsi="Arial"/>
                <w:sz w:val="10"/>
                <w:szCs w:val="10"/>
                <w:color w:val="auto"/>
              </w:rPr>
              <w:t>11,083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10,555</w:t>
            </w:r>
          </w:p>
        </w:tc>
        <w:tc>
          <w:tcPr>
            <w:tcW w:w="580" w:type="dxa"/>
            <w:vAlign w:val="bottom"/>
          </w:tcPr>
          <w:p>
            <w:pPr>
              <w:spacing w:after="0"/>
              <w:rPr>
                <w:sz w:val="9"/>
                <w:szCs w:val="9"/>
                <w:color w:val="auto"/>
              </w:rPr>
            </w:pPr>
          </w:p>
        </w:tc>
        <w:tc>
          <w:tcPr>
            <w:tcW w:w="80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7,966</w:t>
            </w:r>
          </w:p>
        </w:tc>
        <w:tc>
          <w:tcPr>
            <w:tcW w:w="42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4,511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00" w:type="dxa"/>
            <w:vAlign w:val="bottom"/>
            <w:gridSpan w:val="2"/>
          </w:tcPr>
          <w:p>
            <w:pPr>
              <w:spacing w:after="0"/>
              <w:rPr>
                <w:sz w:val="20"/>
                <w:szCs w:val="20"/>
                <w:color w:val="auto"/>
              </w:rPr>
            </w:pPr>
            <w:r>
              <w:rPr>
                <w:rFonts w:ascii="Arial" w:cs="Arial" w:eastAsia="Arial" w:hAnsi="Arial"/>
                <w:sz w:val="10"/>
                <w:szCs w:val="10"/>
                <w:color w:val="auto"/>
              </w:rPr>
              <w:t>Net income attributable to affiliates</w:t>
            </w:r>
          </w:p>
        </w:tc>
        <w:tc>
          <w:tcPr>
            <w:tcW w:w="220" w:type="dxa"/>
            <w:vAlign w:val="bottom"/>
          </w:tcPr>
          <w:p>
            <w:pPr>
              <w:spacing w:after="0"/>
              <w:rPr>
                <w:sz w:val="11"/>
                <w:szCs w:val="11"/>
                <w:color w:val="auto"/>
              </w:rPr>
            </w:pPr>
          </w:p>
        </w:tc>
        <w:tc>
          <w:tcPr>
            <w:tcW w:w="820" w:type="dxa"/>
            <w:vAlign w:val="bottom"/>
          </w:tcPr>
          <w:p>
            <w:pPr>
              <w:jc w:val="right"/>
              <w:ind w:right="290"/>
              <w:spacing w:after="0"/>
              <w:rPr>
                <w:sz w:val="20"/>
                <w:szCs w:val="20"/>
                <w:color w:val="auto"/>
              </w:rPr>
            </w:pPr>
            <w:r>
              <w:rPr>
                <w:rFonts w:ascii="Arial" w:cs="Arial" w:eastAsia="Arial" w:hAnsi="Arial"/>
                <w:sz w:val="10"/>
                <w:szCs w:val="10"/>
                <w:b w:val="1"/>
                <w:bCs w:val="1"/>
                <w:color w:val="auto"/>
              </w:rPr>
              <w:t>16,663</w:t>
            </w:r>
          </w:p>
        </w:tc>
        <w:tc>
          <w:tcPr>
            <w:tcW w:w="520" w:type="dxa"/>
            <w:vAlign w:val="bottom"/>
          </w:tcPr>
          <w:p>
            <w:pPr>
              <w:spacing w:after="0"/>
              <w:rPr>
                <w:sz w:val="11"/>
                <w:szCs w:val="11"/>
                <w:color w:val="auto"/>
              </w:rPr>
            </w:pPr>
          </w:p>
        </w:tc>
        <w:tc>
          <w:tcPr>
            <w:tcW w:w="860" w:type="dxa"/>
            <w:vAlign w:val="bottom"/>
          </w:tcPr>
          <w:p>
            <w:pPr>
              <w:jc w:val="right"/>
              <w:ind w:right="290"/>
              <w:spacing w:after="0"/>
              <w:rPr>
                <w:sz w:val="20"/>
                <w:szCs w:val="20"/>
                <w:color w:val="auto"/>
              </w:rPr>
            </w:pPr>
            <w:r>
              <w:rPr>
                <w:rFonts w:ascii="Arial" w:cs="Arial" w:eastAsia="Arial" w:hAnsi="Arial"/>
                <w:sz w:val="10"/>
                <w:szCs w:val="10"/>
                <w:color w:val="auto"/>
              </w:rPr>
              <w:t>12,831</w:t>
            </w:r>
          </w:p>
        </w:tc>
        <w:tc>
          <w:tcPr>
            <w:tcW w:w="560" w:type="dxa"/>
            <w:vAlign w:val="bottom"/>
          </w:tcPr>
          <w:p>
            <w:pPr>
              <w:spacing w:after="0"/>
              <w:rPr>
                <w:sz w:val="11"/>
                <w:szCs w:val="11"/>
                <w:color w:val="auto"/>
              </w:rPr>
            </w:pPr>
          </w:p>
        </w:tc>
        <w:tc>
          <w:tcPr>
            <w:tcW w:w="840" w:type="dxa"/>
            <w:vAlign w:val="bottom"/>
            <w:tcBorders>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8,261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b w:val="1"/>
                <w:bCs w:val="1"/>
                <w:color w:val="auto"/>
              </w:rPr>
              <w:t>7,413</w:t>
            </w:r>
          </w:p>
        </w:tc>
        <w:tc>
          <w:tcPr>
            <w:tcW w:w="580" w:type="dxa"/>
            <w:vAlign w:val="bottom"/>
          </w:tcPr>
          <w:p>
            <w:pPr>
              <w:spacing w:after="0"/>
              <w:rPr>
                <w:sz w:val="11"/>
                <w:szCs w:val="11"/>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color w:val="auto"/>
              </w:rPr>
              <w:t>5,683</w:t>
            </w:r>
          </w:p>
        </w:tc>
        <w:tc>
          <w:tcPr>
            <w:tcW w:w="42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3,285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900" w:type="dxa"/>
            <w:vAlign w:val="bottom"/>
            <w:tcBorders>
              <w:top w:val="single" w:sz="8" w:color="0077C0"/>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At December 31</w:t>
            </w:r>
          </w:p>
        </w:tc>
        <w:tc>
          <w:tcPr>
            <w:tcW w:w="220" w:type="dxa"/>
            <w:vAlign w:val="bottom"/>
            <w:tcBorders>
              <w:top w:val="single" w:sz="8" w:color="0077C0"/>
              <w:bottom w:val="single" w:sz="8" w:color="0077C0"/>
            </w:tcBorders>
          </w:tcPr>
          <w:p>
            <w:pPr>
              <w:spacing w:after="0"/>
              <w:rPr>
                <w:sz w:val="10"/>
                <w:szCs w:val="10"/>
                <w:color w:val="auto"/>
              </w:rPr>
            </w:pPr>
          </w:p>
        </w:tc>
        <w:tc>
          <w:tcPr>
            <w:tcW w:w="820" w:type="dxa"/>
            <w:vAlign w:val="bottom"/>
            <w:tcBorders>
              <w:top w:val="single" w:sz="8" w:color="0077C0"/>
              <w:bottom w:val="single" w:sz="8" w:color="0077C0"/>
            </w:tcBorders>
          </w:tcPr>
          <w:p>
            <w:pPr>
              <w:spacing w:after="0"/>
              <w:rPr>
                <w:sz w:val="10"/>
                <w:szCs w:val="10"/>
                <w:color w:val="auto"/>
              </w:rPr>
            </w:pPr>
          </w:p>
        </w:tc>
        <w:tc>
          <w:tcPr>
            <w:tcW w:w="520" w:type="dxa"/>
            <w:vAlign w:val="bottom"/>
            <w:tcBorders>
              <w:top w:val="single" w:sz="8" w:color="0077C0"/>
              <w:bottom w:val="single" w:sz="8" w:color="0077C0"/>
            </w:tcBorders>
          </w:tcPr>
          <w:p>
            <w:pPr>
              <w:spacing w:after="0"/>
              <w:rPr>
                <w:sz w:val="10"/>
                <w:szCs w:val="10"/>
                <w:color w:val="auto"/>
              </w:rPr>
            </w:pPr>
          </w:p>
        </w:tc>
        <w:tc>
          <w:tcPr>
            <w:tcW w:w="860" w:type="dxa"/>
            <w:vAlign w:val="bottom"/>
            <w:tcBorders>
              <w:top w:val="single" w:sz="8" w:color="0077C0"/>
              <w:bottom w:val="single" w:sz="8" w:color="0077C0"/>
            </w:tcBorders>
          </w:tcPr>
          <w:p>
            <w:pPr>
              <w:spacing w:after="0"/>
              <w:rPr>
                <w:sz w:val="10"/>
                <w:szCs w:val="10"/>
                <w:color w:val="auto"/>
              </w:rPr>
            </w:pPr>
          </w:p>
        </w:tc>
        <w:tc>
          <w:tcPr>
            <w:tcW w:w="560" w:type="dxa"/>
            <w:vAlign w:val="bottom"/>
            <w:tcBorders>
              <w:top w:val="single" w:sz="8" w:color="0077C0"/>
              <w:bottom w:val="single" w:sz="8" w:color="0077C0"/>
            </w:tcBorders>
          </w:tcPr>
          <w:p>
            <w:pPr>
              <w:spacing w:after="0"/>
              <w:rPr>
                <w:sz w:val="10"/>
                <w:szCs w:val="10"/>
                <w:color w:val="auto"/>
              </w:rPr>
            </w:pPr>
          </w:p>
        </w:tc>
        <w:tc>
          <w:tcPr>
            <w:tcW w:w="480" w:type="dxa"/>
            <w:vAlign w:val="bottom"/>
            <w:tcBorders>
              <w:top w:val="single" w:sz="8" w:color="0077C0"/>
              <w:bottom w:val="single" w:sz="8" w:color="0077C0"/>
            </w:tcBorders>
          </w:tcPr>
          <w:p>
            <w:pPr>
              <w:spacing w:after="0"/>
              <w:rPr>
                <w:sz w:val="10"/>
                <w:szCs w:val="10"/>
                <w:color w:val="auto"/>
              </w:rPr>
            </w:pPr>
          </w:p>
        </w:tc>
        <w:tc>
          <w:tcPr>
            <w:tcW w:w="360" w:type="dxa"/>
            <w:vAlign w:val="bottom"/>
            <w:tcBorders>
              <w:top w:val="single" w:sz="8" w:color="0077C0"/>
              <w:bottom w:val="single" w:sz="8" w:color="0077C0"/>
              <w:right w:val="single" w:sz="8" w:color="0077C0"/>
            </w:tcBorders>
          </w:tcPr>
          <w:p>
            <w:pPr>
              <w:spacing w:after="0"/>
              <w:rPr>
                <w:sz w:val="10"/>
                <w:szCs w:val="10"/>
                <w:color w:val="auto"/>
              </w:rPr>
            </w:pPr>
          </w:p>
        </w:tc>
        <w:tc>
          <w:tcPr>
            <w:tcW w:w="220" w:type="dxa"/>
            <w:vAlign w:val="bottom"/>
            <w:tcBorders>
              <w:top w:val="single" w:sz="8" w:color="0077C0"/>
              <w:bottom w:val="single" w:sz="8" w:color="0077C0"/>
            </w:tcBorders>
          </w:tcPr>
          <w:p>
            <w:pPr>
              <w:spacing w:after="0"/>
              <w:rPr>
                <w:sz w:val="10"/>
                <w:szCs w:val="10"/>
                <w:color w:val="auto"/>
              </w:rPr>
            </w:pPr>
          </w:p>
        </w:tc>
        <w:tc>
          <w:tcPr>
            <w:tcW w:w="240" w:type="dxa"/>
            <w:vAlign w:val="bottom"/>
            <w:tcBorders>
              <w:top w:val="single" w:sz="8" w:color="0077C0"/>
              <w:bottom w:val="single" w:sz="8" w:color="0077C0"/>
            </w:tcBorders>
          </w:tcPr>
          <w:p>
            <w:pPr>
              <w:spacing w:after="0"/>
              <w:rPr>
                <w:sz w:val="10"/>
                <w:szCs w:val="10"/>
                <w:color w:val="auto"/>
              </w:rPr>
            </w:pPr>
          </w:p>
        </w:tc>
        <w:tc>
          <w:tcPr>
            <w:tcW w:w="800" w:type="dxa"/>
            <w:vAlign w:val="bottom"/>
            <w:tcBorders>
              <w:top w:val="single" w:sz="8" w:color="0077C0"/>
              <w:bottom w:val="single" w:sz="8" w:color="0077C0"/>
            </w:tcBorders>
          </w:tcPr>
          <w:p>
            <w:pPr>
              <w:spacing w:after="0"/>
              <w:rPr>
                <w:sz w:val="10"/>
                <w:szCs w:val="10"/>
                <w:color w:val="auto"/>
              </w:rPr>
            </w:pPr>
          </w:p>
        </w:tc>
        <w:tc>
          <w:tcPr>
            <w:tcW w:w="580" w:type="dxa"/>
            <w:vAlign w:val="bottom"/>
            <w:tcBorders>
              <w:top w:val="single" w:sz="8" w:color="0077C0"/>
              <w:bottom w:val="single" w:sz="8" w:color="0077C0"/>
            </w:tcBorders>
          </w:tcPr>
          <w:p>
            <w:pPr>
              <w:spacing w:after="0"/>
              <w:rPr>
                <w:sz w:val="10"/>
                <w:szCs w:val="10"/>
                <w:color w:val="auto"/>
              </w:rPr>
            </w:pPr>
          </w:p>
        </w:tc>
        <w:tc>
          <w:tcPr>
            <w:tcW w:w="800" w:type="dxa"/>
            <w:vAlign w:val="bottom"/>
            <w:tcBorders>
              <w:top w:val="single" w:sz="8" w:color="0077C0"/>
              <w:bottom w:val="single" w:sz="8" w:color="0077C0"/>
            </w:tcBorders>
          </w:tcPr>
          <w:p>
            <w:pPr>
              <w:spacing w:after="0"/>
              <w:rPr>
                <w:sz w:val="10"/>
                <w:szCs w:val="10"/>
                <w:color w:val="auto"/>
              </w:rPr>
            </w:pPr>
          </w:p>
        </w:tc>
        <w:tc>
          <w:tcPr>
            <w:tcW w:w="420" w:type="dxa"/>
            <w:vAlign w:val="bottom"/>
            <w:tcBorders>
              <w:top w:val="single" w:sz="8" w:color="0077C0"/>
              <w:bottom w:val="single" w:sz="8" w:color="0077C0"/>
            </w:tcBorders>
          </w:tcPr>
          <w:p>
            <w:pPr>
              <w:spacing w:after="0"/>
              <w:rPr>
                <w:sz w:val="10"/>
                <w:szCs w:val="10"/>
                <w:color w:val="auto"/>
              </w:rPr>
            </w:pPr>
          </w:p>
        </w:tc>
        <w:tc>
          <w:tcPr>
            <w:tcW w:w="580" w:type="dxa"/>
            <w:vAlign w:val="bottom"/>
            <w:tcBorders>
              <w:top w:val="single" w:sz="8" w:color="0077C0"/>
              <w:bottom w:val="single" w:sz="8" w:color="0077C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900" w:type="dxa"/>
            <w:vAlign w:val="bottom"/>
            <w:gridSpan w:val="2"/>
          </w:tcPr>
          <w:p>
            <w:pPr>
              <w:spacing w:after="0" w:line="100" w:lineRule="exact"/>
              <w:rPr>
                <w:sz w:val="20"/>
                <w:szCs w:val="20"/>
                <w:color w:val="auto"/>
              </w:rPr>
            </w:pPr>
            <w:r>
              <w:rPr>
                <w:rFonts w:ascii="Arial" w:cs="Arial" w:eastAsia="Arial" w:hAnsi="Arial"/>
                <w:sz w:val="10"/>
                <w:szCs w:val="10"/>
                <w:color w:val="auto"/>
              </w:rPr>
              <w:t>Current assets</w:t>
            </w:r>
          </w:p>
        </w:tc>
        <w:tc>
          <w:tcPr>
            <w:tcW w:w="220" w:type="dxa"/>
            <w:vAlign w:val="bottom"/>
          </w:tcPr>
          <w:p>
            <w:pPr>
              <w:jc w:val="right"/>
              <w:ind w:right="110"/>
              <w:spacing w:after="0" w:line="100" w:lineRule="exact"/>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ind w:right="290"/>
              <w:spacing w:after="0" w:line="100" w:lineRule="exact"/>
              <w:rPr>
                <w:sz w:val="20"/>
                <w:szCs w:val="20"/>
                <w:color w:val="auto"/>
              </w:rPr>
            </w:pPr>
            <w:r>
              <w:rPr>
                <w:rFonts w:ascii="Arial" w:cs="Arial" w:eastAsia="Arial" w:hAnsi="Arial"/>
                <w:sz w:val="10"/>
                <w:szCs w:val="10"/>
                <w:b w:val="1"/>
                <w:bCs w:val="1"/>
                <w:color w:val="auto"/>
              </w:rPr>
              <w:t>35,573</w:t>
            </w:r>
          </w:p>
        </w:tc>
        <w:tc>
          <w:tcPr>
            <w:tcW w:w="520" w:type="dxa"/>
            <w:vAlign w:val="bottom"/>
          </w:tcPr>
          <w:p>
            <w:pPr>
              <w:jc w:val="right"/>
              <w:ind w:right="70"/>
              <w:spacing w:after="0" w:line="100"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290"/>
              <w:spacing w:after="0" w:line="100" w:lineRule="exact"/>
              <w:rPr>
                <w:sz w:val="20"/>
                <w:szCs w:val="20"/>
                <w:color w:val="auto"/>
              </w:rPr>
            </w:pPr>
            <w:r>
              <w:rPr>
                <w:rFonts w:ascii="Arial" w:cs="Arial" w:eastAsia="Arial" w:hAnsi="Arial"/>
                <w:sz w:val="10"/>
                <w:szCs w:val="10"/>
                <w:color w:val="auto"/>
              </w:rPr>
              <w:t>30,335</w:t>
            </w:r>
          </w:p>
        </w:tc>
        <w:tc>
          <w:tcPr>
            <w:tcW w:w="560" w:type="dxa"/>
            <w:vAlign w:val="bottom"/>
          </w:tcPr>
          <w:p>
            <w:pPr>
              <w:jc w:val="right"/>
              <w:ind w:right="110"/>
              <w:spacing w:after="0" w:line="100" w:lineRule="exact"/>
              <w:rPr>
                <w:sz w:val="20"/>
                <w:szCs w:val="20"/>
                <w:color w:val="auto"/>
              </w:rPr>
            </w:pPr>
            <w:r>
              <w:rPr>
                <w:rFonts w:ascii="Arial" w:cs="Arial" w:eastAsia="Arial" w:hAnsi="Arial"/>
                <w:sz w:val="10"/>
                <w:szCs w:val="10"/>
                <w:color w:val="auto"/>
              </w:rPr>
              <w:t>$</w:t>
            </w:r>
          </w:p>
        </w:tc>
        <w:tc>
          <w:tcPr>
            <w:tcW w:w="840" w:type="dxa"/>
            <w:vAlign w:val="bottom"/>
            <w:tcBorders>
              <w:right w:val="single" w:sz="8" w:color="0077C0"/>
            </w:tcBorders>
            <w:gridSpan w:val="2"/>
          </w:tcPr>
          <w:p>
            <w:pPr>
              <w:jc w:val="right"/>
              <w:ind w:right="360"/>
              <w:spacing w:after="0" w:line="100" w:lineRule="exact"/>
              <w:rPr>
                <w:sz w:val="20"/>
                <w:szCs w:val="20"/>
                <w:color w:val="auto"/>
              </w:rPr>
            </w:pPr>
            <w:r>
              <w:rPr>
                <w:rFonts w:ascii="Arial" w:cs="Arial" w:eastAsia="Arial" w:hAnsi="Arial"/>
                <w:sz w:val="10"/>
                <w:szCs w:val="10"/>
                <w:color w:val="auto"/>
              </w:rPr>
              <w:t>27,111</w:t>
            </w:r>
          </w:p>
        </w:tc>
        <w:tc>
          <w:tcPr>
            <w:tcW w:w="460" w:type="dxa"/>
            <w:vAlign w:val="bottom"/>
            <w:gridSpan w:val="2"/>
          </w:tcPr>
          <w:p>
            <w:pPr>
              <w:jc w:val="right"/>
              <w:ind w:right="180"/>
              <w:spacing w:after="0" w:line="100"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290"/>
              <w:spacing w:after="0" w:line="100" w:lineRule="exact"/>
              <w:rPr>
                <w:sz w:val="20"/>
                <w:szCs w:val="20"/>
                <w:color w:val="auto"/>
              </w:rPr>
            </w:pPr>
            <w:r>
              <w:rPr>
                <w:rFonts w:ascii="Arial" w:cs="Arial" w:eastAsia="Arial" w:hAnsi="Arial"/>
                <w:sz w:val="10"/>
                <w:szCs w:val="10"/>
                <w:b w:val="1"/>
                <w:bCs w:val="1"/>
                <w:color w:val="auto"/>
              </w:rPr>
              <w:t>14,695</w:t>
            </w:r>
          </w:p>
        </w:tc>
        <w:tc>
          <w:tcPr>
            <w:tcW w:w="580" w:type="dxa"/>
            <w:vAlign w:val="bottom"/>
          </w:tcPr>
          <w:p>
            <w:pPr>
              <w:jc w:val="right"/>
              <w:ind w:right="130"/>
              <w:spacing w:after="0" w:line="100"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290"/>
              <w:spacing w:after="0" w:line="100" w:lineRule="exact"/>
              <w:rPr>
                <w:sz w:val="20"/>
                <w:szCs w:val="20"/>
                <w:color w:val="auto"/>
              </w:rPr>
            </w:pPr>
            <w:r>
              <w:rPr>
                <w:rFonts w:ascii="Arial" w:cs="Arial" w:eastAsia="Arial" w:hAnsi="Arial"/>
                <w:sz w:val="10"/>
                <w:szCs w:val="10"/>
                <w:color w:val="auto"/>
              </w:rPr>
              <w:t>12,845</w:t>
            </w:r>
          </w:p>
        </w:tc>
        <w:tc>
          <w:tcPr>
            <w:tcW w:w="420" w:type="dxa"/>
            <w:vAlign w:val="bottom"/>
          </w:tcPr>
          <w:p>
            <w:pPr>
              <w:jc w:val="right"/>
              <w:spacing w:after="0" w:line="100"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0" w:lineRule="exact"/>
              <w:rPr>
                <w:sz w:val="20"/>
                <w:szCs w:val="20"/>
                <w:color w:val="auto"/>
              </w:rPr>
            </w:pPr>
            <w:r>
              <w:rPr>
                <w:rFonts w:ascii="Arial" w:cs="Arial" w:eastAsia="Arial" w:hAnsi="Arial"/>
                <w:sz w:val="10"/>
                <w:szCs w:val="10"/>
                <w:color w:val="auto"/>
              </w:rPr>
              <w:t>11,009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900" w:type="dxa"/>
            <w:vAlign w:val="bottom"/>
            <w:gridSpan w:val="2"/>
          </w:tcPr>
          <w:p>
            <w:pPr>
              <w:spacing w:after="0" w:line="106" w:lineRule="exact"/>
              <w:rPr>
                <w:sz w:val="20"/>
                <w:szCs w:val="20"/>
                <w:color w:val="auto"/>
              </w:rPr>
            </w:pPr>
            <w:r>
              <w:rPr>
                <w:rFonts w:ascii="Arial" w:cs="Arial" w:eastAsia="Arial" w:hAnsi="Arial"/>
                <w:sz w:val="10"/>
                <w:szCs w:val="10"/>
                <w:color w:val="auto"/>
              </w:rPr>
              <w:t>Noncurrent assets</w:t>
            </w:r>
          </w:p>
        </w:tc>
        <w:tc>
          <w:tcPr>
            <w:tcW w:w="220" w:type="dxa"/>
            <w:vAlign w:val="bottom"/>
          </w:tcPr>
          <w:p>
            <w:pPr>
              <w:spacing w:after="0"/>
              <w:rPr>
                <w:sz w:val="9"/>
                <w:szCs w:val="9"/>
                <w:color w:val="auto"/>
              </w:rPr>
            </w:pPr>
          </w:p>
        </w:tc>
        <w:tc>
          <w:tcPr>
            <w:tcW w:w="8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61,855</w:t>
            </w:r>
          </w:p>
        </w:tc>
        <w:tc>
          <w:tcPr>
            <w:tcW w:w="520" w:type="dxa"/>
            <w:vAlign w:val="bottom"/>
          </w:tcPr>
          <w:p>
            <w:pPr>
              <w:spacing w:after="0"/>
              <w:rPr>
                <w:sz w:val="9"/>
                <w:szCs w:val="9"/>
                <w:color w:val="auto"/>
              </w:rPr>
            </w:pPr>
          </w:p>
        </w:tc>
        <w:tc>
          <w:tcPr>
            <w:tcW w:w="86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57,491</w:t>
            </w:r>
          </w:p>
        </w:tc>
        <w:tc>
          <w:tcPr>
            <w:tcW w:w="560" w:type="dxa"/>
            <w:vAlign w:val="bottom"/>
          </w:tcPr>
          <w:p>
            <w:pPr>
              <w:spacing w:after="0"/>
              <w:rPr>
                <w:sz w:val="9"/>
                <w:szCs w:val="9"/>
                <w:color w:val="auto"/>
              </w:rPr>
            </w:pPr>
          </w:p>
        </w:tc>
        <w:tc>
          <w:tcPr>
            <w:tcW w:w="840" w:type="dxa"/>
            <w:vAlign w:val="bottom"/>
            <w:tcBorders>
              <w:right w:val="single" w:sz="8" w:color="0077C0"/>
            </w:tcBorders>
            <w:gridSpan w:val="2"/>
          </w:tcPr>
          <w:p>
            <w:pPr>
              <w:jc w:val="right"/>
              <w:ind w:right="360"/>
              <w:spacing w:after="0" w:line="106" w:lineRule="exact"/>
              <w:rPr>
                <w:sz w:val="20"/>
                <w:szCs w:val="20"/>
                <w:color w:val="auto"/>
              </w:rPr>
            </w:pPr>
            <w:r>
              <w:rPr>
                <w:rFonts w:ascii="Arial" w:cs="Arial" w:eastAsia="Arial" w:hAnsi="Arial"/>
                <w:sz w:val="10"/>
                <w:szCs w:val="10"/>
                <w:color w:val="auto"/>
              </w:rPr>
              <w:t>55,363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22,422</w:t>
            </w:r>
          </w:p>
        </w:tc>
        <w:tc>
          <w:tcPr>
            <w:tcW w:w="580" w:type="dxa"/>
            <w:vAlign w:val="bottom"/>
          </w:tcPr>
          <w:p>
            <w:pPr>
              <w:spacing w:after="0"/>
              <w:rPr>
                <w:sz w:val="9"/>
                <w:szCs w:val="9"/>
                <w:color w:val="auto"/>
              </w:rPr>
            </w:pPr>
          </w:p>
        </w:tc>
        <w:tc>
          <w:tcPr>
            <w:tcW w:w="80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21,401</w:t>
            </w:r>
          </w:p>
        </w:tc>
        <w:tc>
          <w:tcPr>
            <w:tcW w:w="420" w:type="dxa"/>
            <w:vAlign w:val="bottom"/>
          </w:tcPr>
          <w:p>
            <w:pPr>
              <w:spacing w:after="0"/>
              <w:rPr>
                <w:sz w:val="9"/>
                <w:szCs w:val="9"/>
                <w:color w:val="auto"/>
              </w:rPr>
            </w:pPr>
          </w:p>
        </w:tc>
        <w:tc>
          <w:tcPr>
            <w:tcW w:w="6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21,361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00" w:type="dxa"/>
            <w:vAlign w:val="bottom"/>
            <w:gridSpan w:val="2"/>
          </w:tcPr>
          <w:p>
            <w:pPr>
              <w:spacing w:after="0"/>
              <w:rPr>
                <w:sz w:val="20"/>
                <w:szCs w:val="20"/>
                <w:color w:val="auto"/>
              </w:rPr>
            </w:pPr>
            <w:r>
              <w:rPr>
                <w:rFonts w:ascii="Arial" w:cs="Arial" w:eastAsia="Arial" w:hAnsi="Arial"/>
                <w:sz w:val="10"/>
                <w:szCs w:val="10"/>
                <w:color w:val="auto"/>
              </w:rPr>
              <w:t>Current liabilities</w:t>
            </w:r>
          </w:p>
        </w:tc>
        <w:tc>
          <w:tcPr>
            <w:tcW w:w="220" w:type="dxa"/>
            <w:vAlign w:val="bottom"/>
          </w:tcPr>
          <w:p>
            <w:pPr>
              <w:spacing w:after="0"/>
              <w:rPr>
                <w:sz w:val="10"/>
                <w:szCs w:val="10"/>
                <w:color w:val="auto"/>
              </w:rPr>
            </w:pPr>
          </w:p>
        </w:tc>
        <w:tc>
          <w:tcPr>
            <w:tcW w:w="820" w:type="dxa"/>
            <w:vAlign w:val="bottom"/>
          </w:tcPr>
          <w:p>
            <w:pPr>
              <w:jc w:val="right"/>
              <w:ind w:right="290"/>
              <w:spacing w:after="0"/>
              <w:rPr>
                <w:sz w:val="20"/>
                <w:szCs w:val="20"/>
                <w:color w:val="auto"/>
              </w:rPr>
            </w:pPr>
            <w:r>
              <w:rPr>
                <w:rFonts w:ascii="Arial" w:cs="Arial" w:eastAsia="Arial" w:hAnsi="Arial"/>
                <w:sz w:val="10"/>
                <w:szCs w:val="10"/>
                <w:b w:val="1"/>
                <w:bCs w:val="1"/>
                <w:color w:val="auto"/>
              </w:rPr>
              <w:t>24,671</w:t>
            </w:r>
          </w:p>
        </w:tc>
        <w:tc>
          <w:tcPr>
            <w:tcW w:w="520" w:type="dxa"/>
            <w:vAlign w:val="bottom"/>
          </w:tcPr>
          <w:p>
            <w:pPr>
              <w:spacing w:after="0"/>
              <w:rPr>
                <w:sz w:val="10"/>
                <w:szCs w:val="10"/>
                <w:color w:val="auto"/>
              </w:rPr>
            </w:pPr>
          </w:p>
        </w:tc>
        <w:tc>
          <w:tcPr>
            <w:tcW w:w="860" w:type="dxa"/>
            <w:vAlign w:val="bottom"/>
          </w:tcPr>
          <w:p>
            <w:pPr>
              <w:jc w:val="right"/>
              <w:ind w:right="290"/>
              <w:spacing w:after="0"/>
              <w:rPr>
                <w:sz w:val="20"/>
                <w:szCs w:val="20"/>
                <w:color w:val="auto"/>
              </w:rPr>
            </w:pPr>
            <w:r>
              <w:rPr>
                <w:rFonts w:ascii="Arial" w:cs="Arial" w:eastAsia="Arial" w:hAnsi="Arial"/>
                <w:sz w:val="10"/>
                <w:szCs w:val="10"/>
                <w:color w:val="auto"/>
              </w:rPr>
              <w:t>20,428</w:t>
            </w:r>
          </w:p>
        </w:tc>
        <w:tc>
          <w:tcPr>
            <w:tcW w:w="560" w:type="dxa"/>
            <w:vAlign w:val="bottom"/>
          </w:tcPr>
          <w:p>
            <w:pPr>
              <w:spacing w:after="0"/>
              <w:rPr>
                <w:sz w:val="10"/>
                <w:szCs w:val="10"/>
                <w:color w:val="auto"/>
              </w:rPr>
            </w:pPr>
          </w:p>
        </w:tc>
        <w:tc>
          <w:tcPr>
            <w:tcW w:w="840" w:type="dxa"/>
            <w:vAlign w:val="bottom"/>
            <w:tcBorders>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17,450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b w:val="1"/>
                <w:bCs w:val="1"/>
                <w:color w:val="auto"/>
              </w:rPr>
              <w:t>11,040</w:t>
            </w:r>
          </w:p>
        </w:tc>
        <w:tc>
          <w:tcPr>
            <w:tcW w:w="58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color w:val="auto"/>
              </w:rPr>
              <w:t>9,363</w:t>
            </w:r>
          </w:p>
        </w:tc>
        <w:tc>
          <w:tcPr>
            <w:tcW w:w="4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7,833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Noncurrent liabilities</w:t>
            </w:r>
          </w:p>
        </w:tc>
        <w:tc>
          <w:tcPr>
            <w:tcW w:w="220" w:type="dxa"/>
            <w:vAlign w:val="bottom"/>
            <w:tcBorders>
              <w:bottom w:val="single" w:sz="8" w:color="0077C0"/>
            </w:tcBorders>
          </w:tcPr>
          <w:p>
            <w:pPr>
              <w:spacing w:after="0"/>
              <w:rPr>
                <w:sz w:val="10"/>
                <w:szCs w:val="10"/>
                <w:color w:val="auto"/>
              </w:rPr>
            </w:pPr>
          </w:p>
        </w:tc>
        <w:tc>
          <w:tcPr>
            <w:tcW w:w="8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19,267</w:t>
            </w:r>
          </w:p>
        </w:tc>
        <w:tc>
          <w:tcPr>
            <w:tcW w:w="52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color w:val="auto"/>
              </w:rPr>
              <w:t>19,749</w:t>
            </w:r>
          </w:p>
        </w:tc>
        <w:tc>
          <w:tcPr>
            <w:tcW w:w="56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21,531</w:t>
            </w:r>
          </w:p>
        </w:tc>
        <w:tc>
          <w:tcPr>
            <w:tcW w:w="220" w:type="dxa"/>
            <w:vAlign w:val="bottom"/>
            <w:tcBorders>
              <w:bottom w:val="single" w:sz="8" w:color="0077C0"/>
            </w:tcBorders>
          </w:tcPr>
          <w:p>
            <w:pPr>
              <w:spacing w:after="0"/>
              <w:rPr>
                <w:sz w:val="10"/>
                <w:szCs w:val="10"/>
                <w:color w:val="auto"/>
              </w:rPr>
            </w:pPr>
          </w:p>
        </w:tc>
        <w:tc>
          <w:tcPr>
            <w:tcW w:w="24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b w:val="1"/>
                <w:bCs w:val="1"/>
                <w:color w:val="auto"/>
              </w:rPr>
              <w:t>4,491</w:t>
            </w:r>
          </w:p>
        </w:tc>
        <w:tc>
          <w:tcPr>
            <w:tcW w:w="5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color w:val="auto"/>
              </w:rPr>
              <w:t>4,459</w:t>
            </w:r>
          </w:p>
        </w:tc>
        <w:tc>
          <w:tcPr>
            <w:tcW w:w="4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5,106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900" w:type="dxa"/>
            <w:vAlign w:val="bottom"/>
            <w:gridSpan w:val="2"/>
          </w:tcPr>
          <w:p>
            <w:pPr>
              <w:spacing w:after="0"/>
              <w:rPr>
                <w:sz w:val="20"/>
                <w:szCs w:val="20"/>
                <w:color w:val="auto"/>
              </w:rPr>
            </w:pPr>
            <w:r>
              <w:rPr>
                <w:rFonts w:ascii="Arial" w:cs="Arial" w:eastAsia="Arial" w:hAnsi="Arial"/>
                <w:sz w:val="10"/>
                <w:szCs w:val="10"/>
                <w:color w:val="auto"/>
              </w:rPr>
              <w:t>Total affiliates’ net equity</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ind w:right="290"/>
              <w:spacing w:after="0"/>
              <w:rPr>
                <w:sz w:val="20"/>
                <w:szCs w:val="20"/>
                <w:color w:val="auto"/>
              </w:rPr>
            </w:pPr>
            <w:r>
              <w:rPr>
                <w:rFonts w:ascii="Arial" w:cs="Arial" w:eastAsia="Arial" w:hAnsi="Arial"/>
                <w:sz w:val="10"/>
                <w:szCs w:val="10"/>
                <w:b w:val="1"/>
                <w:bCs w:val="1"/>
                <w:color w:val="auto"/>
              </w:rPr>
              <w:t>53,490</w:t>
            </w:r>
          </w:p>
        </w:tc>
        <w:tc>
          <w:tcPr>
            <w:tcW w:w="52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290"/>
              <w:spacing w:after="0"/>
              <w:rPr>
                <w:sz w:val="20"/>
                <w:szCs w:val="20"/>
                <w:color w:val="auto"/>
              </w:rPr>
            </w:pPr>
            <w:r>
              <w:rPr>
                <w:rFonts w:ascii="Arial" w:cs="Arial" w:eastAsia="Arial" w:hAnsi="Arial"/>
                <w:sz w:val="10"/>
                <w:szCs w:val="10"/>
                <w:color w:val="auto"/>
              </w:rPr>
              <w:t>47,649</w:t>
            </w:r>
          </w:p>
        </w:tc>
        <w:tc>
          <w:tcPr>
            <w:tcW w:w="56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0077C0"/>
            </w:tcBorders>
            <w:gridSpan w:val="2"/>
          </w:tcPr>
          <w:p>
            <w:pPr>
              <w:jc w:val="right"/>
              <w:ind w:right="360"/>
              <w:spacing w:after="0"/>
              <w:rPr>
                <w:sz w:val="20"/>
                <w:szCs w:val="20"/>
                <w:color w:val="auto"/>
              </w:rPr>
            </w:pPr>
            <w:r>
              <w:rPr>
                <w:rFonts w:ascii="Arial" w:cs="Arial" w:eastAsia="Arial" w:hAnsi="Arial"/>
                <w:sz w:val="10"/>
                <w:szCs w:val="10"/>
                <w:color w:val="auto"/>
              </w:rPr>
              <w:t>43,493</w:t>
            </w:r>
          </w:p>
        </w:tc>
        <w:tc>
          <w:tcPr>
            <w:tcW w:w="4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290"/>
              <w:spacing w:after="0"/>
              <w:rPr>
                <w:sz w:val="20"/>
                <w:szCs w:val="20"/>
                <w:color w:val="auto"/>
              </w:rPr>
            </w:pPr>
            <w:r>
              <w:rPr>
                <w:rFonts w:ascii="Arial" w:cs="Arial" w:eastAsia="Arial" w:hAnsi="Arial"/>
                <w:sz w:val="10"/>
                <w:szCs w:val="10"/>
                <w:b w:val="1"/>
                <w:bCs w:val="1"/>
                <w:color w:val="auto"/>
              </w:rPr>
              <w:t>21,586</w:t>
            </w:r>
          </w:p>
        </w:tc>
        <w:tc>
          <w:tcPr>
            <w:tcW w:w="5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90"/>
              <w:spacing w:after="0"/>
              <w:rPr>
                <w:sz w:val="20"/>
                <w:szCs w:val="20"/>
                <w:color w:val="auto"/>
              </w:rPr>
            </w:pPr>
            <w:r>
              <w:rPr>
                <w:rFonts w:ascii="Arial" w:cs="Arial" w:eastAsia="Arial" w:hAnsi="Arial"/>
                <w:sz w:val="10"/>
                <w:szCs w:val="10"/>
                <w:color w:val="auto"/>
              </w:rPr>
              <w:t>20,424</w:t>
            </w: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19,431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80" w:type="dxa"/>
            <w:vAlign w:val="bottom"/>
            <w:tcBorders>
              <w:top w:val="single" w:sz="8" w:color="0077C0"/>
            </w:tcBorders>
          </w:tcPr>
          <w:p>
            <w:pPr>
              <w:spacing w:after="0"/>
              <w:rPr>
                <w:sz w:val="20"/>
                <w:szCs w:val="20"/>
                <w:color w:val="auto"/>
              </w:rPr>
            </w:pPr>
          </w:p>
        </w:tc>
        <w:tc>
          <w:tcPr>
            <w:tcW w:w="220" w:type="dxa"/>
            <w:vAlign w:val="bottom"/>
            <w:tcBorders>
              <w:top w:val="single" w:sz="8" w:color="0077C0"/>
            </w:tcBorders>
          </w:tcPr>
          <w:p>
            <w:pPr>
              <w:spacing w:after="0"/>
              <w:rPr>
                <w:sz w:val="20"/>
                <w:szCs w:val="20"/>
                <w:color w:val="auto"/>
              </w:rPr>
            </w:pPr>
          </w:p>
        </w:tc>
        <w:tc>
          <w:tcPr>
            <w:tcW w:w="820" w:type="dxa"/>
            <w:vAlign w:val="bottom"/>
            <w:tcBorders>
              <w:top w:val="single" w:sz="8" w:color="0077C0"/>
            </w:tcBorders>
          </w:tcPr>
          <w:p>
            <w:pPr>
              <w:spacing w:after="0"/>
              <w:rPr>
                <w:sz w:val="20"/>
                <w:szCs w:val="20"/>
                <w:color w:val="auto"/>
              </w:rPr>
            </w:pPr>
          </w:p>
        </w:tc>
        <w:tc>
          <w:tcPr>
            <w:tcW w:w="520" w:type="dxa"/>
            <w:vAlign w:val="bottom"/>
            <w:tcBorders>
              <w:top w:val="single" w:sz="8" w:color="0077C0"/>
            </w:tcBorders>
          </w:tcPr>
          <w:p>
            <w:pPr>
              <w:spacing w:after="0"/>
              <w:rPr>
                <w:sz w:val="20"/>
                <w:szCs w:val="20"/>
                <w:color w:val="auto"/>
              </w:rPr>
            </w:pPr>
          </w:p>
        </w:tc>
        <w:tc>
          <w:tcPr>
            <w:tcW w:w="860" w:type="dxa"/>
            <w:vAlign w:val="bottom"/>
            <w:tcBorders>
              <w:top w:val="single" w:sz="8" w:color="0077C0"/>
            </w:tcBorders>
          </w:tcPr>
          <w:p>
            <w:pPr>
              <w:jc w:val="right"/>
              <w:ind w:right="390"/>
              <w:spacing w:after="0"/>
              <w:rPr>
                <w:sz w:val="20"/>
                <w:szCs w:val="20"/>
                <w:color w:val="auto"/>
              </w:rPr>
            </w:pPr>
            <w:r>
              <w:rPr>
                <w:rFonts w:ascii="Arial" w:cs="Arial" w:eastAsia="Arial" w:hAnsi="Arial"/>
                <w:sz w:val="10"/>
                <w:szCs w:val="10"/>
                <w:color w:val="auto"/>
              </w:rPr>
              <w:t>FS-40</w:t>
            </w:r>
          </w:p>
        </w:tc>
        <w:tc>
          <w:tcPr>
            <w:tcW w:w="560" w:type="dxa"/>
            <w:vAlign w:val="bottom"/>
            <w:tcBorders>
              <w:top w:val="single" w:sz="8" w:color="0077C0"/>
            </w:tcBorders>
          </w:tcPr>
          <w:p>
            <w:pPr>
              <w:spacing w:after="0"/>
              <w:rPr>
                <w:sz w:val="20"/>
                <w:szCs w:val="20"/>
                <w:color w:val="auto"/>
              </w:rPr>
            </w:pPr>
          </w:p>
        </w:tc>
        <w:tc>
          <w:tcPr>
            <w:tcW w:w="480" w:type="dxa"/>
            <w:vAlign w:val="bottom"/>
            <w:tcBorders>
              <w:top w:val="single" w:sz="8" w:color="0077C0"/>
            </w:tcBorders>
          </w:tcPr>
          <w:p>
            <w:pPr>
              <w:spacing w:after="0"/>
              <w:rPr>
                <w:sz w:val="20"/>
                <w:szCs w:val="20"/>
                <w:color w:val="auto"/>
              </w:rPr>
            </w:pPr>
          </w:p>
        </w:tc>
        <w:tc>
          <w:tcPr>
            <w:tcW w:w="360" w:type="dxa"/>
            <w:vAlign w:val="bottom"/>
            <w:tcBorders>
              <w:top w:val="single" w:sz="8" w:color="0077C0"/>
            </w:tcBorders>
          </w:tcPr>
          <w:p>
            <w:pPr>
              <w:spacing w:after="0"/>
              <w:rPr>
                <w:sz w:val="20"/>
                <w:szCs w:val="20"/>
                <w:color w:val="auto"/>
              </w:rPr>
            </w:pPr>
          </w:p>
        </w:tc>
        <w:tc>
          <w:tcPr>
            <w:tcW w:w="220" w:type="dxa"/>
            <w:vAlign w:val="bottom"/>
            <w:tcBorders>
              <w:top w:val="single" w:sz="8" w:color="0077C0"/>
            </w:tcBorders>
          </w:tcPr>
          <w:p>
            <w:pPr>
              <w:spacing w:after="0"/>
              <w:rPr>
                <w:sz w:val="20"/>
                <w:szCs w:val="20"/>
                <w:color w:val="auto"/>
              </w:rPr>
            </w:pPr>
          </w:p>
        </w:tc>
        <w:tc>
          <w:tcPr>
            <w:tcW w:w="240" w:type="dxa"/>
            <w:vAlign w:val="bottom"/>
            <w:tcBorders>
              <w:top w:val="single" w:sz="8" w:color="0077C0"/>
            </w:tcBorders>
          </w:tcPr>
          <w:p>
            <w:pPr>
              <w:spacing w:after="0"/>
              <w:rPr>
                <w:sz w:val="20"/>
                <w:szCs w:val="20"/>
                <w:color w:val="auto"/>
              </w:rPr>
            </w:pPr>
          </w:p>
        </w:tc>
        <w:tc>
          <w:tcPr>
            <w:tcW w:w="800" w:type="dxa"/>
            <w:vAlign w:val="bottom"/>
            <w:tcBorders>
              <w:top w:val="single" w:sz="8" w:color="0077C0"/>
            </w:tcBorders>
          </w:tcPr>
          <w:p>
            <w:pPr>
              <w:spacing w:after="0"/>
              <w:rPr>
                <w:sz w:val="20"/>
                <w:szCs w:val="20"/>
                <w:color w:val="auto"/>
              </w:rPr>
            </w:pPr>
          </w:p>
        </w:tc>
        <w:tc>
          <w:tcPr>
            <w:tcW w:w="580" w:type="dxa"/>
            <w:vAlign w:val="bottom"/>
            <w:tcBorders>
              <w:top w:val="single" w:sz="8" w:color="0077C0"/>
            </w:tcBorders>
          </w:tcPr>
          <w:p>
            <w:pPr>
              <w:spacing w:after="0"/>
              <w:rPr>
                <w:sz w:val="20"/>
                <w:szCs w:val="20"/>
                <w:color w:val="auto"/>
              </w:rPr>
            </w:pPr>
          </w:p>
        </w:tc>
        <w:tc>
          <w:tcPr>
            <w:tcW w:w="800" w:type="dxa"/>
            <w:vAlign w:val="bottom"/>
            <w:tcBorders>
              <w:top w:val="single" w:sz="8" w:color="0077C0"/>
            </w:tcBorders>
          </w:tcPr>
          <w:p>
            <w:pPr>
              <w:spacing w:after="0"/>
              <w:rPr>
                <w:sz w:val="20"/>
                <w:szCs w:val="20"/>
                <w:color w:val="auto"/>
              </w:rPr>
            </w:pPr>
          </w:p>
        </w:tc>
        <w:tc>
          <w:tcPr>
            <w:tcW w:w="420" w:type="dxa"/>
            <w:vAlign w:val="bottom"/>
            <w:tcBorders>
              <w:top w:val="single" w:sz="8" w:color="0077C0"/>
            </w:tcBorders>
          </w:tcPr>
          <w:p>
            <w:pPr>
              <w:spacing w:after="0"/>
              <w:rPr>
                <w:sz w:val="20"/>
                <w:szCs w:val="20"/>
                <w:color w:val="auto"/>
              </w:rPr>
            </w:pPr>
          </w:p>
        </w:tc>
        <w:tc>
          <w:tcPr>
            <w:tcW w:w="580" w:type="dxa"/>
            <w:vAlign w:val="bottom"/>
            <w:tcBorders>
              <w:top w:val="single" w:sz="8" w:color="0077C0"/>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81" w:name="page82"/>
    <w:bookmarkEnd w:id="81"/>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524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599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0077C0"/>
        </w:rPr>
        <w:t>Note 13</w:t>
      </w:r>
    </w:p>
    <w:p>
      <w:pPr>
        <w:spacing w:after="0" w:line="21" w:lineRule="exact"/>
        <w:rPr>
          <w:sz w:val="20"/>
          <w:szCs w:val="20"/>
          <w:color w:val="auto"/>
        </w:rPr>
      </w:pPr>
    </w:p>
    <w:p>
      <w:pPr>
        <w:ind w:left="3"/>
        <w:spacing w:after="0"/>
        <w:rPr>
          <w:sz w:val="20"/>
          <w:szCs w:val="20"/>
          <w:color w:val="auto"/>
        </w:rPr>
      </w:pPr>
      <w:r>
        <w:rPr>
          <w:rFonts w:ascii="Arial" w:cs="Arial" w:eastAsia="Arial" w:hAnsi="Arial"/>
          <w:sz w:val="10"/>
          <w:szCs w:val="10"/>
          <w:color w:val="0077C0"/>
        </w:rPr>
        <w:t>Properties, Plant and Equipment</w:t>
      </w:r>
      <w:r>
        <w:rPr>
          <w:rFonts w:ascii="Arial" w:cs="Arial" w:eastAsia="Arial" w:hAnsi="Arial"/>
          <w:sz w:val="17"/>
          <w:szCs w:val="17"/>
          <w:color w:val="0077C0"/>
          <w:vertAlign w:val="superscript"/>
        </w:rPr>
        <w:t>1</w:t>
      </w:r>
    </w:p>
    <w:p>
      <w:pPr>
        <w:spacing w:after="0" w:line="20" w:lineRule="exact"/>
        <w:rPr>
          <w:sz w:val="20"/>
          <w:szCs w:val="20"/>
          <w:color w:val="auto"/>
        </w:rPr>
      </w:pPr>
    </w:p>
    <w:tbl>
      <w:tblPr>
        <w:tblLayout w:type="fixed"/>
        <w:tblInd w:w="3"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9"/>
                <w:szCs w:val="9"/>
                <w:color w:val="auto"/>
              </w:rPr>
              <w:t>At December 31</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1200" w:type="dxa"/>
            <w:vAlign w:val="bottom"/>
            <w:tcBorders>
              <w:top w:val="single" w:sz="8" w:color="0077C0"/>
            </w:tcBorders>
            <w:gridSpan w:val="3"/>
          </w:tcPr>
          <w:p>
            <w:pPr>
              <w:jc w:val="right"/>
              <w:spacing w:after="0" w:line="86" w:lineRule="exact"/>
              <w:rPr>
                <w:sz w:val="20"/>
                <w:szCs w:val="20"/>
                <w:color w:val="auto"/>
              </w:rPr>
            </w:pPr>
            <w:r>
              <w:rPr>
                <w:rFonts w:ascii="Arial" w:cs="Arial" w:eastAsia="Arial" w:hAnsi="Arial"/>
                <w:sz w:val="9"/>
                <w:szCs w:val="9"/>
                <w:color w:val="auto"/>
              </w:rPr>
              <w:t>Gross Investment at Cost</w:t>
            </w:r>
          </w:p>
        </w:tc>
        <w:tc>
          <w:tcPr>
            <w:tcW w:w="20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700" w:type="dxa"/>
            <w:vAlign w:val="bottom"/>
            <w:tcBorders>
              <w:top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Net Investment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1080" w:type="dxa"/>
            <w:vAlign w:val="bottom"/>
            <w:tcBorders>
              <w:top w:val="single" w:sz="8" w:color="0077C0"/>
            </w:tcBorders>
            <w:gridSpan w:val="4"/>
          </w:tcPr>
          <w:p>
            <w:pPr>
              <w:jc w:val="center"/>
              <w:ind w:right="280"/>
              <w:spacing w:after="0" w:line="86" w:lineRule="exact"/>
              <w:rPr>
                <w:sz w:val="20"/>
                <w:szCs w:val="20"/>
                <w:color w:val="auto"/>
              </w:rPr>
            </w:pPr>
            <w:r>
              <w:rPr>
                <w:rFonts w:ascii="Arial" w:cs="Arial" w:eastAsia="Arial" w:hAnsi="Arial"/>
                <w:sz w:val="9"/>
                <w:szCs w:val="9"/>
                <w:color w:val="auto"/>
                <w:w w:val="92"/>
              </w:rPr>
              <w:t>Additions at Cost</w:t>
            </w:r>
            <w:r>
              <w:rPr>
                <w:rFonts w:ascii="Arial" w:cs="Arial" w:eastAsia="Arial" w:hAnsi="Arial"/>
                <w:sz w:val="7"/>
                <w:szCs w:val="7"/>
                <w:color w:val="auto"/>
                <w:w w:val="92"/>
              </w:rPr>
              <w:t>2,3</w:t>
            </w:r>
          </w:p>
        </w:tc>
        <w:tc>
          <w:tcPr>
            <w:tcW w:w="8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1120" w:type="dxa"/>
            <w:vAlign w:val="bottom"/>
            <w:tcBorders>
              <w:top w:val="single" w:sz="8" w:color="0077C0"/>
            </w:tcBorders>
            <w:gridSpan w:val="3"/>
          </w:tcPr>
          <w:p>
            <w:pPr>
              <w:jc w:val="right"/>
              <w:spacing w:after="0" w:line="86" w:lineRule="exact"/>
              <w:rPr>
                <w:sz w:val="20"/>
                <w:szCs w:val="20"/>
                <w:color w:val="auto"/>
              </w:rPr>
            </w:pPr>
            <w:r>
              <w:rPr>
                <w:rFonts w:ascii="Arial" w:cs="Arial" w:eastAsia="Arial" w:hAnsi="Arial"/>
                <w:sz w:val="9"/>
                <w:szCs w:val="9"/>
                <w:color w:val="auto"/>
              </w:rPr>
              <w:t>Depreciation Expense</w:t>
            </w:r>
            <w:r>
              <w:rPr>
                <w:rFonts w:ascii="Arial" w:cs="Arial" w:eastAsia="Arial" w:hAnsi="Arial"/>
                <w:sz w:val="7"/>
                <w:szCs w:val="7"/>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60" w:type="dxa"/>
            <w:vAlign w:val="bottom"/>
            <w:tcBorders>
              <w:top w:val="single" w:sz="8" w:color="0077C0"/>
              <w:bottom w:val="single" w:sz="8" w:color="0077C0"/>
            </w:tcBorders>
          </w:tcPr>
          <w:p>
            <w:pPr>
              <w:jc w:val="right"/>
              <w:ind w:right="149"/>
              <w:spacing w:after="0" w:line="96" w:lineRule="exact"/>
              <w:rPr>
                <w:sz w:val="20"/>
                <w:szCs w:val="20"/>
                <w:color w:val="auto"/>
              </w:rPr>
            </w:pPr>
            <w:r>
              <w:rPr>
                <w:rFonts w:ascii="Arial" w:cs="Arial" w:eastAsia="Arial" w:hAnsi="Arial"/>
                <w:sz w:val="9"/>
                <w:szCs w:val="9"/>
                <w:b w:val="1"/>
                <w:bCs w:val="1"/>
                <w:color w:val="auto"/>
              </w:rPr>
              <w:t>2011</w:t>
            </w:r>
          </w:p>
        </w:tc>
        <w:tc>
          <w:tcPr>
            <w:tcW w:w="280" w:type="dxa"/>
            <w:vAlign w:val="bottom"/>
            <w:tcBorders>
              <w:top w:val="single" w:sz="8" w:color="0077C0"/>
              <w:bottom w:val="single" w:sz="8" w:color="0077C0"/>
            </w:tcBorders>
          </w:tcPr>
          <w:p>
            <w:pPr>
              <w:spacing w:after="0"/>
              <w:rPr>
                <w:sz w:val="8"/>
                <w:szCs w:val="8"/>
                <w:color w:val="auto"/>
              </w:rPr>
            </w:pPr>
          </w:p>
        </w:tc>
        <w:tc>
          <w:tcPr>
            <w:tcW w:w="560" w:type="dxa"/>
            <w:vAlign w:val="bottom"/>
            <w:tcBorders>
              <w:top w:val="single" w:sz="8" w:color="0077C0"/>
              <w:bottom w:val="single" w:sz="8" w:color="0077C0"/>
            </w:tcBorders>
          </w:tcPr>
          <w:p>
            <w:pPr>
              <w:jc w:val="right"/>
              <w:ind w:right="150"/>
              <w:spacing w:after="0" w:line="96" w:lineRule="exact"/>
              <w:rPr>
                <w:sz w:val="20"/>
                <w:szCs w:val="20"/>
                <w:color w:val="auto"/>
              </w:rPr>
            </w:pPr>
            <w:r>
              <w:rPr>
                <w:rFonts w:ascii="Arial" w:cs="Arial" w:eastAsia="Arial" w:hAnsi="Arial"/>
                <w:sz w:val="9"/>
                <w:szCs w:val="9"/>
                <w:color w:val="auto"/>
              </w:rPr>
              <w:t>2010</w:t>
            </w:r>
          </w:p>
        </w:tc>
        <w:tc>
          <w:tcPr>
            <w:tcW w:w="260" w:type="dxa"/>
            <w:vAlign w:val="bottom"/>
            <w:tcBorders>
              <w:top w:val="single" w:sz="8" w:color="0077C0"/>
              <w:bottom w:val="single" w:sz="8" w:color="0077C0"/>
            </w:tcBorders>
          </w:tcPr>
          <w:p>
            <w:pPr>
              <w:spacing w:after="0"/>
              <w:rPr>
                <w:sz w:val="8"/>
                <w:szCs w:val="8"/>
                <w:color w:val="auto"/>
              </w:rPr>
            </w:pPr>
          </w:p>
        </w:tc>
        <w:tc>
          <w:tcPr>
            <w:tcW w:w="38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0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60" w:type="dxa"/>
            <w:vAlign w:val="bottom"/>
            <w:tcBorders>
              <w:top w:val="single" w:sz="8" w:color="0077C0"/>
              <w:bottom w:val="single" w:sz="8" w:color="0077C0"/>
            </w:tcBorders>
          </w:tcPr>
          <w:p>
            <w:pPr>
              <w:jc w:val="right"/>
              <w:ind w:right="129"/>
              <w:spacing w:after="0" w:line="96" w:lineRule="exact"/>
              <w:rPr>
                <w:sz w:val="20"/>
                <w:szCs w:val="20"/>
                <w:color w:val="auto"/>
              </w:rPr>
            </w:pPr>
            <w:r>
              <w:rPr>
                <w:rFonts w:ascii="Arial" w:cs="Arial" w:eastAsia="Arial" w:hAnsi="Arial"/>
                <w:sz w:val="9"/>
                <w:szCs w:val="9"/>
                <w:b w:val="1"/>
                <w:bCs w:val="1"/>
                <w:color w:val="auto"/>
              </w:rPr>
              <w:t>2011</w:t>
            </w:r>
          </w:p>
        </w:tc>
        <w:tc>
          <w:tcPr>
            <w:tcW w:w="280" w:type="dxa"/>
            <w:vAlign w:val="bottom"/>
            <w:tcBorders>
              <w:top w:val="single" w:sz="8" w:color="0077C0"/>
              <w:bottom w:val="single" w:sz="8" w:color="0077C0"/>
            </w:tcBorders>
          </w:tcPr>
          <w:p>
            <w:pPr>
              <w:spacing w:after="0"/>
              <w:rPr>
                <w:sz w:val="8"/>
                <w:szCs w:val="8"/>
                <w:color w:val="auto"/>
              </w:rPr>
            </w:pPr>
          </w:p>
        </w:tc>
        <w:tc>
          <w:tcPr>
            <w:tcW w:w="460" w:type="dxa"/>
            <w:vAlign w:val="bottom"/>
            <w:tcBorders>
              <w:top w:val="single" w:sz="8" w:color="0077C0"/>
              <w:bottom w:val="single" w:sz="8" w:color="0077C0"/>
            </w:tcBorders>
          </w:tcPr>
          <w:p>
            <w:pPr>
              <w:jc w:val="right"/>
              <w:ind w:right="49"/>
              <w:spacing w:after="0" w:line="96" w:lineRule="exact"/>
              <w:rPr>
                <w:sz w:val="20"/>
                <w:szCs w:val="20"/>
                <w:color w:val="auto"/>
              </w:rPr>
            </w:pPr>
            <w:r>
              <w:rPr>
                <w:rFonts w:ascii="Arial" w:cs="Arial" w:eastAsia="Arial" w:hAnsi="Arial"/>
                <w:sz w:val="9"/>
                <w:szCs w:val="9"/>
                <w:color w:val="auto"/>
              </w:rPr>
              <w:t>2010</w:t>
            </w:r>
          </w:p>
        </w:tc>
        <w:tc>
          <w:tcPr>
            <w:tcW w:w="4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20" w:type="dxa"/>
            <w:vAlign w:val="bottom"/>
            <w:tcBorders>
              <w:bottom w:val="single" w:sz="8" w:color="0077C0"/>
            </w:tcBorders>
          </w:tcPr>
          <w:p>
            <w:pPr>
              <w:spacing w:after="0"/>
              <w:rPr>
                <w:sz w:val="8"/>
                <w:szCs w:val="8"/>
                <w:color w:val="auto"/>
              </w:rPr>
            </w:pPr>
          </w:p>
        </w:tc>
        <w:tc>
          <w:tcPr>
            <w:tcW w:w="10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49"/>
              <w:spacing w:after="0" w:line="96" w:lineRule="exact"/>
              <w:rPr>
                <w:sz w:val="20"/>
                <w:szCs w:val="20"/>
                <w:color w:val="auto"/>
              </w:rPr>
            </w:pPr>
            <w:r>
              <w:rPr>
                <w:rFonts w:ascii="Arial" w:cs="Arial" w:eastAsia="Arial" w:hAnsi="Arial"/>
                <w:sz w:val="9"/>
                <w:szCs w:val="9"/>
                <w:b w:val="1"/>
                <w:bCs w:val="1"/>
                <w:color w:val="auto"/>
              </w:rPr>
              <w:t>2011</w:t>
            </w:r>
          </w:p>
        </w:tc>
        <w:tc>
          <w:tcPr>
            <w:tcW w:w="300" w:type="dxa"/>
            <w:vAlign w:val="bottom"/>
            <w:tcBorders>
              <w:top w:val="single" w:sz="8" w:color="0077C0"/>
              <w:bottom w:val="single" w:sz="8" w:color="0077C0"/>
            </w:tcBorders>
          </w:tcPr>
          <w:p>
            <w:pPr>
              <w:spacing w:after="0"/>
              <w:rPr>
                <w:sz w:val="8"/>
                <w:szCs w:val="8"/>
                <w:color w:val="auto"/>
              </w:rPr>
            </w:pPr>
          </w:p>
        </w:tc>
        <w:tc>
          <w:tcPr>
            <w:tcW w:w="34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2010</w:t>
            </w:r>
          </w:p>
        </w:tc>
        <w:tc>
          <w:tcPr>
            <w:tcW w:w="46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40" w:type="dxa"/>
            <w:vAlign w:val="bottom"/>
            <w:tcBorders>
              <w:bottom w:val="single" w:sz="8" w:color="0077C0"/>
            </w:tcBorders>
          </w:tcPr>
          <w:p>
            <w:pPr>
              <w:spacing w:after="0"/>
              <w:rPr>
                <w:sz w:val="8"/>
                <w:szCs w:val="8"/>
                <w:color w:val="auto"/>
              </w:rPr>
            </w:pPr>
          </w:p>
        </w:tc>
        <w:tc>
          <w:tcPr>
            <w:tcW w:w="80" w:type="dxa"/>
            <w:vAlign w:val="bottom"/>
            <w:tcBorders>
              <w:bottom w:val="single" w:sz="8" w:color="0077C0"/>
            </w:tcBorders>
          </w:tcPr>
          <w:p>
            <w:pPr>
              <w:spacing w:after="0"/>
              <w:rPr>
                <w:sz w:val="8"/>
                <w:szCs w:val="8"/>
                <w:color w:val="auto"/>
              </w:rPr>
            </w:pPr>
          </w:p>
        </w:tc>
        <w:tc>
          <w:tcPr>
            <w:tcW w:w="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49"/>
              <w:spacing w:after="0" w:line="96" w:lineRule="exact"/>
              <w:rPr>
                <w:sz w:val="20"/>
                <w:szCs w:val="20"/>
                <w:color w:val="auto"/>
              </w:rPr>
            </w:pPr>
            <w:r>
              <w:rPr>
                <w:rFonts w:ascii="Arial" w:cs="Arial" w:eastAsia="Arial" w:hAnsi="Arial"/>
                <w:sz w:val="9"/>
                <w:szCs w:val="9"/>
                <w:b w:val="1"/>
                <w:bCs w:val="1"/>
                <w:color w:val="auto"/>
              </w:rPr>
              <w:t>2011</w:t>
            </w:r>
          </w:p>
        </w:tc>
        <w:tc>
          <w:tcPr>
            <w:tcW w:w="280" w:type="dxa"/>
            <w:vAlign w:val="bottom"/>
            <w:tcBorders>
              <w:top w:val="single" w:sz="8" w:color="0077C0"/>
              <w:bottom w:val="single" w:sz="8" w:color="0077C0"/>
            </w:tcBorders>
          </w:tcPr>
          <w:p>
            <w:pPr>
              <w:spacing w:after="0"/>
              <w:rPr>
                <w:sz w:val="8"/>
                <w:szCs w:val="8"/>
                <w:color w:val="auto"/>
              </w:rPr>
            </w:pPr>
          </w:p>
        </w:tc>
        <w:tc>
          <w:tcPr>
            <w:tcW w:w="520" w:type="dxa"/>
            <w:vAlign w:val="bottom"/>
            <w:tcBorders>
              <w:top w:val="single" w:sz="8" w:color="0077C0"/>
              <w:bottom w:val="single" w:sz="8" w:color="0077C0"/>
            </w:tcBorders>
          </w:tcPr>
          <w:p>
            <w:pPr>
              <w:jc w:val="right"/>
              <w:ind w:right="150"/>
              <w:spacing w:after="0" w:line="96" w:lineRule="exact"/>
              <w:rPr>
                <w:sz w:val="20"/>
                <w:szCs w:val="20"/>
                <w:color w:val="auto"/>
              </w:rPr>
            </w:pPr>
            <w:r>
              <w:rPr>
                <w:rFonts w:ascii="Arial" w:cs="Arial" w:eastAsia="Arial" w:hAnsi="Arial"/>
                <w:sz w:val="9"/>
                <w:szCs w:val="9"/>
                <w:color w:val="auto"/>
              </w:rPr>
              <w:t>2010</w:t>
            </w:r>
          </w:p>
        </w:tc>
        <w:tc>
          <w:tcPr>
            <w:tcW w:w="300" w:type="dxa"/>
            <w:vAlign w:val="bottom"/>
            <w:tcBorders>
              <w:top w:val="single" w:sz="8" w:color="0077C0"/>
              <w:bottom w:val="single" w:sz="8" w:color="0077C0"/>
            </w:tcBorders>
          </w:tcPr>
          <w:p>
            <w:pPr>
              <w:spacing w:after="0"/>
              <w:rPr>
                <w:sz w:val="8"/>
                <w:szCs w:val="8"/>
                <w:color w:val="auto"/>
              </w:rPr>
            </w:pPr>
          </w:p>
        </w:tc>
        <w:tc>
          <w:tcPr>
            <w:tcW w:w="30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20" w:type="dxa"/>
            <w:vAlign w:val="bottom"/>
          </w:tcPr>
          <w:p>
            <w:pPr>
              <w:spacing w:after="0" w:line="83" w:lineRule="exact"/>
              <w:rPr>
                <w:sz w:val="20"/>
                <w:szCs w:val="20"/>
                <w:color w:val="auto"/>
              </w:rPr>
            </w:pPr>
            <w:r>
              <w:rPr>
                <w:rFonts w:ascii="Arial" w:cs="Arial" w:eastAsia="Arial" w:hAnsi="Arial"/>
                <w:sz w:val="9"/>
                <w:szCs w:val="9"/>
                <w:b w:val="1"/>
                <w:bCs w:val="1"/>
                <w:color w:val="auto"/>
              </w:rPr>
              <w:t>Upstream</w:t>
            </w:r>
          </w:p>
        </w:tc>
        <w:tc>
          <w:tcPr>
            <w:tcW w:w="80" w:type="dxa"/>
            <w:vAlign w:val="bottom"/>
            <w:vMerge w:val="restart"/>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6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74,369</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right w:val="single" w:sz="8" w:color="0077C0"/>
            </w:tcBorders>
          </w:tcPr>
          <w:p>
            <w:pPr>
              <w:spacing w:after="0"/>
              <w:rPr>
                <w:sz w:val="7"/>
                <w:szCs w:val="7"/>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5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33,461</w:t>
            </w: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0077C0"/>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w w:val="97"/>
              </w:rPr>
              <w:t>14,404</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right w:val="single" w:sz="8" w:color="0077C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3,870</w:t>
            </w: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ind w:left="12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62,523</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80" w:type="dxa"/>
            <w:vAlign w:val="bottom"/>
          </w:tcPr>
          <w:p>
            <w:pPr>
              <w:jc w:val="right"/>
              <w:spacing w:after="0" w:line="104" w:lineRule="exact"/>
              <w:rPr>
                <w:sz w:val="20"/>
                <w:szCs w:val="20"/>
                <w:color w:val="auto"/>
              </w:rPr>
            </w:pPr>
            <w:r>
              <w:rPr>
                <w:rFonts w:ascii="Arial" w:cs="Arial" w:eastAsia="Arial" w:hAnsi="Arial"/>
                <w:sz w:val="10"/>
                <w:szCs w:val="10"/>
                <w:color w:val="auto"/>
              </w:rPr>
              <w:t>58,328</w:t>
            </w:r>
          </w:p>
        </w:tc>
        <w:tc>
          <w:tcPr>
            <w:tcW w:w="200" w:type="dxa"/>
            <w:vAlign w:val="bottom"/>
            <w:tcBorders>
              <w:right w:val="single" w:sz="8" w:color="0077C0"/>
            </w:tcBorders>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49"/>
              <w:spacing w:after="0" w:line="104" w:lineRule="exact"/>
              <w:rPr>
                <w:sz w:val="20"/>
                <w:szCs w:val="20"/>
                <w:color w:val="auto"/>
              </w:rPr>
            </w:pPr>
            <w:r>
              <w:rPr>
                <w:rFonts w:ascii="Arial" w:cs="Arial" w:eastAsia="Arial" w:hAnsi="Arial"/>
                <w:sz w:val="10"/>
                <w:szCs w:val="10"/>
                <w:color w:val="auto"/>
              </w:rPr>
              <w:t>23,277</w:t>
            </w:r>
          </w:p>
        </w:tc>
        <w:tc>
          <w:tcPr>
            <w:tcW w:w="4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20" w:type="dxa"/>
            <w:vAlign w:val="bottom"/>
            <w:tcBorders>
              <w:right w:val="single" w:sz="8" w:color="0077C0"/>
            </w:tcBorders>
            <w:gridSpan w:val="2"/>
          </w:tcPr>
          <w:p>
            <w:pPr>
              <w:jc w:val="right"/>
              <w:ind w:right="220"/>
              <w:spacing w:after="0" w:line="104" w:lineRule="exact"/>
              <w:rPr>
                <w:sz w:val="20"/>
                <w:szCs w:val="20"/>
                <w:color w:val="auto"/>
              </w:rPr>
            </w:pPr>
            <w:r>
              <w:rPr>
                <w:rFonts w:ascii="Arial" w:cs="Arial" w:eastAsia="Arial" w:hAnsi="Arial"/>
                <w:sz w:val="10"/>
                <w:szCs w:val="10"/>
                <w:color w:val="auto"/>
                <w:w w:val="91"/>
              </w:rPr>
              <w:t>22,273</w:t>
            </w: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4,934</w:t>
            </w:r>
          </w:p>
        </w:tc>
        <w:tc>
          <w:tcPr>
            <w:tcW w:w="460" w:type="dxa"/>
            <w:vAlign w:val="bottom"/>
          </w:tcPr>
          <w:p>
            <w:pPr>
              <w:jc w:val="center"/>
              <w:ind w:left="291"/>
              <w:spacing w:after="0" w:line="104" w:lineRule="exact"/>
              <w:rPr>
                <w:sz w:val="20"/>
                <w:szCs w:val="20"/>
                <w:color w:val="auto"/>
              </w:rPr>
            </w:pPr>
            <w:r>
              <w:rPr>
                <w:rFonts w:ascii="Arial" w:cs="Arial" w:eastAsia="Arial" w:hAnsi="Arial"/>
                <w:sz w:val="10"/>
                <w:szCs w:val="10"/>
                <w:color w:val="auto"/>
                <w:w w:val="71"/>
              </w:rPr>
              <w:t>$</w:t>
            </w:r>
          </w:p>
        </w:tc>
        <w:tc>
          <w:tcPr>
            <w:tcW w:w="540" w:type="dxa"/>
            <w:vAlign w:val="bottom"/>
            <w:tcBorders>
              <w:right w:val="single" w:sz="8" w:color="0077C0"/>
            </w:tcBorders>
            <w:gridSpan w:val="2"/>
          </w:tcPr>
          <w:p>
            <w:pPr>
              <w:jc w:val="right"/>
              <w:ind w:right="240"/>
              <w:spacing w:after="0" w:line="104" w:lineRule="exact"/>
              <w:rPr>
                <w:sz w:val="20"/>
                <w:szCs w:val="20"/>
                <w:color w:val="auto"/>
              </w:rPr>
            </w:pPr>
            <w:r>
              <w:rPr>
                <w:rFonts w:ascii="Arial" w:cs="Arial" w:eastAsia="Arial" w:hAnsi="Arial"/>
                <w:sz w:val="10"/>
                <w:szCs w:val="10"/>
                <w:color w:val="auto"/>
              </w:rPr>
              <w:t>3,518</w:t>
            </w: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4,078</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3,992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3"/>
              </w:rPr>
              <w:t>125,795</w:t>
            </w:r>
          </w:p>
        </w:tc>
        <w:tc>
          <w:tcPr>
            <w:tcW w:w="2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w w:val="93"/>
              </w:rPr>
              <w:t>110,578</w:t>
            </w:r>
          </w:p>
        </w:tc>
        <w:tc>
          <w:tcPr>
            <w:tcW w:w="2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96,557</w:t>
            </w:r>
          </w:p>
        </w:tc>
        <w:tc>
          <w:tcPr>
            <w:tcW w:w="200" w:type="dxa"/>
            <w:vAlign w:val="bottom"/>
            <w:tcBorders>
              <w:bottom w:val="single" w:sz="8" w:color="0077C0"/>
              <w:right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72,543</w:t>
            </w:r>
          </w:p>
        </w:tc>
        <w:tc>
          <w:tcPr>
            <w:tcW w:w="2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64,388</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gridSpan w:val="2"/>
          </w:tcPr>
          <w:p>
            <w:pPr>
              <w:jc w:val="right"/>
              <w:ind w:right="220"/>
              <w:spacing w:after="0"/>
              <w:rPr>
                <w:sz w:val="20"/>
                <w:szCs w:val="20"/>
                <w:color w:val="auto"/>
              </w:rPr>
            </w:pPr>
            <w:r>
              <w:rPr>
                <w:rFonts w:ascii="Arial" w:cs="Arial" w:eastAsia="Arial" w:hAnsi="Arial"/>
                <w:sz w:val="10"/>
                <w:szCs w:val="10"/>
                <w:color w:val="auto"/>
                <w:w w:val="91"/>
              </w:rPr>
              <w:t>57,450</w:t>
            </w: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7"/>
              </w:rPr>
              <w:t>15,722</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1"/>
              </w:rPr>
              <w:t>14,381</w:t>
            </w:r>
          </w:p>
        </w:tc>
        <w:tc>
          <w:tcPr>
            <w:tcW w:w="4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right w:val="single" w:sz="8" w:color="0077C0"/>
            </w:tcBorders>
            <w:gridSpan w:val="2"/>
          </w:tcPr>
          <w:p>
            <w:pPr>
              <w:jc w:val="right"/>
              <w:ind w:right="240"/>
              <w:spacing w:after="0"/>
              <w:rPr>
                <w:sz w:val="20"/>
                <w:szCs w:val="20"/>
                <w:color w:val="auto"/>
              </w:rPr>
            </w:pPr>
            <w:r>
              <w:rPr>
                <w:rFonts w:ascii="Arial" w:cs="Arial" w:eastAsia="Arial" w:hAnsi="Arial"/>
                <w:sz w:val="10"/>
                <w:szCs w:val="10"/>
                <w:color w:val="auto"/>
                <w:w w:val="91"/>
              </w:rPr>
              <w:t>10,803</w:t>
            </w: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7,590</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7,448</w:t>
            </w:r>
          </w:p>
        </w:tc>
        <w:tc>
          <w:tcPr>
            <w:tcW w:w="30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6,669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line="105" w:lineRule="exact"/>
              <w:rPr>
                <w:sz w:val="20"/>
                <w:szCs w:val="20"/>
                <w:color w:val="auto"/>
              </w:rPr>
            </w:pPr>
            <w:r>
              <w:rPr>
                <w:rFonts w:ascii="Arial" w:cs="Arial" w:eastAsia="Arial" w:hAnsi="Arial"/>
                <w:sz w:val="10"/>
                <w:szCs w:val="10"/>
                <w:b w:val="1"/>
                <w:bCs w:val="1"/>
                <w:color w:val="auto"/>
              </w:rPr>
              <w:t>Total Upstream</w:t>
            </w:r>
          </w:p>
        </w:tc>
        <w:tc>
          <w:tcPr>
            <w:tcW w:w="80" w:type="dxa"/>
            <w:vAlign w:val="bottom"/>
          </w:tcPr>
          <w:p>
            <w:pPr>
              <w:spacing w:after="0"/>
              <w:rPr>
                <w:sz w:val="9"/>
                <w:szCs w:val="9"/>
                <w:color w:val="auto"/>
              </w:rPr>
            </w:pPr>
          </w:p>
        </w:tc>
        <w:tc>
          <w:tcPr>
            <w:tcW w:w="56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3"/>
              </w:rPr>
              <w:t>200,164</w:t>
            </w:r>
          </w:p>
        </w:tc>
        <w:tc>
          <w:tcPr>
            <w:tcW w:w="280" w:type="dxa"/>
            <w:vAlign w:val="bottom"/>
          </w:tcPr>
          <w:p>
            <w:pPr>
              <w:spacing w:after="0"/>
              <w:rPr>
                <w:sz w:val="9"/>
                <w:szCs w:val="9"/>
                <w:color w:val="auto"/>
              </w:rPr>
            </w:pPr>
          </w:p>
        </w:tc>
        <w:tc>
          <w:tcPr>
            <w:tcW w:w="560" w:type="dxa"/>
            <w:vAlign w:val="bottom"/>
          </w:tcPr>
          <w:p>
            <w:pPr>
              <w:jc w:val="right"/>
              <w:ind w:right="150"/>
              <w:spacing w:after="0" w:line="105" w:lineRule="exact"/>
              <w:rPr>
                <w:sz w:val="20"/>
                <w:szCs w:val="20"/>
                <w:color w:val="auto"/>
              </w:rPr>
            </w:pPr>
            <w:r>
              <w:rPr>
                <w:rFonts w:ascii="Arial" w:cs="Arial" w:eastAsia="Arial" w:hAnsi="Arial"/>
                <w:sz w:val="10"/>
                <w:szCs w:val="10"/>
                <w:color w:val="auto"/>
                <w:w w:val="93"/>
              </w:rPr>
              <w:t>173,101</w:t>
            </w:r>
          </w:p>
        </w:tc>
        <w:tc>
          <w:tcPr>
            <w:tcW w:w="260" w:type="dxa"/>
            <w:vAlign w:val="bottom"/>
          </w:tcPr>
          <w:p>
            <w:pPr>
              <w:spacing w:after="0"/>
              <w:rPr>
                <w:sz w:val="9"/>
                <w:szCs w:val="9"/>
                <w:color w:val="auto"/>
              </w:rPr>
            </w:pPr>
          </w:p>
        </w:tc>
        <w:tc>
          <w:tcPr>
            <w:tcW w:w="380" w:type="dxa"/>
            <w:vAlign w:val="bottom"/>
          </w:tcPr>
          <w:p>
            <w:pPr>
              <w:jc w:val="right"/>
              <w:spacing w:after="0" w:line="105" w:lineRule="exact"/>
              <w:rPr>
                <w:sz w:val="20"/>
                <w:szCs w:val="20"/>
                <w:color w:val="auto"/>
              </w:rPr>
            </w:pPr>
            <w:r>
              <w:rPr>
                <w:rFonts w:ascii="Arial" w:cs="Arial" w:eastAsia="Arial" w:hAnsi="Arial"/>
                <w:sz w:val="10"/>
                <w:szCs w:val="10"/>
                <w:color w:val="auto"/>
                <w:w w:val="99"/>
              </w:rPr>
              <w:t>154,885</w:t>
            </w:r>
          </w:p>
        </w:tc>
        <w:tc>
          <w:tcPr>
            <w:tcW w:w="200" w:type="dxa"/>
            <w:vAlign w:val="bottom"/>
            <w:tcBorders>
              <w:right w:val="single" w:sz="8" w:color="0077C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w w:val="99"/>
              </w:rPr>
              <w:t>106,004</w:t>
            </w:r>
          </w:p>
        </w:tc>
        <w:tc>
          <w:tcPr>
            <w:tcW w:w="280" w:type="dxa"/>
            <w:vAlign w:val="bottom"/>
          </w:tcPr>
          <w:p>
            <w:pPr>
              <w:spacing w:after="0"/>
              <w:rPr>
                <w:sz w:val="9"/>
                <w:szCs w:val="9"/>
                <w:color w:val="auto"/>
              </w:rPr>
            </w:pPr>
          </w:p>
        </w:tc>
        <w:tc>
          <w:tcPr>
            <w:tcW w:w="460" w:type="dxa"/>
            <w:vAlign w:val="bottom"/>
          </w:tcPr>
          <w:p>
            <w:pPr>
              <w:jc w:val="right"/>
              <w:ind w:right="49"/>
              <w:spacing w:after="0" w:line="105" w:lineRule="exact"/>
              <w:rPr>
                <w:sz w:val="20"/>
                <w:szCs w:val="20"/>
                <w:color w:val="auto"/>
              </w:rPr>
            </w:pPr>
            <w:r>
              <w:rPr>
                <w:rFonts w:ascii="Arial" w:cs="Arial" w:eastAsia="Arial" w:hAnsi="Arial"/>
                <w:sz w:val="10"/>
                <w:szCs w:val="10"/>
                <w:color w:val="auto"/>
              </w:rPr>
              <w:t>87,665</w:t>
            </w:r>
          </w:p>
        </w:tc>
        <w:tc>
          <w:tcPr>
            <w:tcW w:w="400" w:type="dxa"/>
            <w:vAlign w:val="bottom"/>
          </w:tcPr>
          <w:p>
            <w:pPr>
              <w:spacing w:after="0"/>
              <w:rPr>
                <w:sz w:val="9"/>
                <w:szCs w:val="9"/>
                <w:color w:val="auto"/>
              </w:rPr>
            </w:pPr>
          </w:p>
        </w:tc>
        <w:tc>
          <w:tcPr>
            <w:tcW w:w="520" w:type="dxa"/>
            <w:vAlign w:val="bottom"/>
            <w:tcBorders>
              <w:right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w w:val="91"/>
              </w:rPr>
              <w:t>79,723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30,126</w:t>
            </w:r>
          </w:p>
        </w:tc>
        <w:tc>
          <w:tcPr>
            <w:tcW w:w="30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0"/>
                <w:szCs w:val="10"/>
                <w:color w:val="auto"/>
                <w:w w:val="91"/>
              </w:rPr>
              <w:t>19,315</w:t>
            </w:r>
          </w:p>
        </w:tc>
        <w:tc>
          <w:tcPr>
            <w:tcW w:w="460" w:type="dxa"/>
            <w:vAlign w:val="bottom"/>
          </w:tcPr>
          <w:p>
            <w:pPr>
              <w:spacing w:after="0"/>
              <w:rPr>
                <w:sz w:val="9"/>
                <w:szCs w:val="9"/>
                <w:color w:val="auto"/>
              </w:rPr>
            </w:pPr>
          </w:p>
        </w:tc>
        <w:tc>
          <w:tcPr>
            <w:tcW w:w="540" w:type="dxa"/>
            <w:vAlign w:val="bottom"/>
            <w:tcBorders>
              <w:right w:val="single" w:sz="8" w:color="0077C0"/>
            </w:tcBorders>
            <w:gridSpan w:val="2"/>
          </w:tcPr>
          <w:p>
            <w:pPr>
              <w:jc w:val="right"/>
              <w:ind w:right="240"/>
              <w:spacing w:after="0" w:line="105" w:lineRule="exact"/>
              <w:rPr>
                <w:sz w:val="20"/>
                <w:szCs w:val="20"/>
                <w:color w:val="auto"/>
              </w:rPr>
            </w:pPr>
            <w:r>
              <w:rPr>
                <w:rFonts w:ascii="Arial" w:cs="Arial" w:eastAsia="Arial" w:hAnsi="Arial"/>
                <w:sz w:val="10"/>
                <w:szCs w:val="10"/>
                <w:color w:val="auto"/>
                <w:w w:val="91"/>
              </w:rPr>
              <w:t>14,231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w w:val="97"/>
              </w:rPr>
              <w:t>11,460</w:t>
            </w:r>
          </w:p>
        </w:tc>
        <w:tc>
          <w:tcPr>
            <w:tcW w:w="280" w:type="dxa"/>
            <w:vAlign w:val="bottom"/>
          </w:tcPr>
          <w:p>
            <w:pPr>
              <w:spacing w:after="0"/>
              <w:rPr>
                <w:sz w:val="9"/>
                <w:szCs w:val="9"/>
                <w:color w:val="auto"/>
              </w:rPr>
            </w:pPr>
          </w:p>
        </w:tc>
        <w:tc>
          <w:tcPr>
            <w:tcW w:w="520" w:type="dxa"/>
            <w:vAlign w:val="bottom"/>
          </w:tcPr>
          <w:p>
            <w:pPr>
              <w:jc w:val="right"/>
              <w:ind w:right="150"/>
              <w:spacing w:after="0" w:line="105" w:lineRule="exact"/>
              <w:rPr>
                <w:sz w:val="20"/>
                <w:szCs w:val="20"/>
                <w:color w:val="auto"/>
              </w:rPr>
            </w:pPr>
            <w:r>
              <w:rPr>
                <w:rFonts w:ascii="Arial" w:cs="Arial" w:eastAsia="Arial" w:hAnsi="Arial"/>
                <w:sz w:val="10"/>
                <w:szCs w:val="10"/>
                <w:color w:val="auto"/>
                <w:w w:val="97"/>
              </w:rPr>
              <w:t>11,526</w:t>
            </w:r>
          </w:p>
        </w:tc>
        <w:tc>
          <w:tcPr>
            <w:tcW w:w="300" w:type="dxa"/>
            <w:vAlign w:val="bottom"/>
          </w:tcPr>
          <w:p>
            <w:pPr>
              <w:spacing w:after="0"/>
              <w:rPr>
                <w:sz w:val="9"/>
                <w:szCs w:val="9"/>
                <w:color w:val="auto"/>
              </w:rPr>
            </w:pPr>
          </w:p>
        </w:tc>
        <w:tc>
          <w:tcPr>
            <w:tcW w:w="32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w w:val="91"/>
              </w:rPr>
              <w:t>10,661</w:t>
            </w:r>
          </w:p>
        </w:tc>
        <w:tc>
          <w:tcPr>
            <w:tcW w:w="0" w:type="dxa"/>
            <w:vAlign w:val="bottom"/>
          </w:tcPr>
          <w:p>
            <w:pPr>
              <w:spacing w:after="0"/>
              <w:rPr>
                <w:sz w:val="1"/>
                <w:szCs w:val="1"/>
                <w:color w:val="auto"/>
              </w:rPr>
            </w:pPr>
          </w:p>
        </w:tc>
      </w:tr>
      <w:tr>
        <w:trPr>
          <w:trHeight w:val="92"/>
        </w:trPr>
        <w:tc>
          <w:tcPr>
            <w:tcW w:w="2240" w:type="dxa"/>
            <w:vAlign w:val="bottom"/>
            <w:tcBorders>
              <w:top w:val="single" w:sz="8" w:color="0077C0"/>
            </w:tcBorders>
            <w:gridSpan w:val="2"/>
          </w:tcPr>
          <w:p>
            <w:pPr>
              <w:spacing w:after="0" w:line="92" w:lineRule="exact"/>
              <w:rPr>
                <w:sz w:val="20"/>
                <w:szCs w:val="20"/>
                <w:color w:val="auto"/>
              </w:rPr>
            </w:pPr>
            <w:r>
              <w:rPr>
                <w:rFonts w:ascii="Arial" w:cs="Arial" w:eastAsia="Arial" w:hAnsi="Arial"/>
                <w:sz w:val="10"/>
                <w:szCs w:val="10"/>
                <w:b w:val="1"/>
                <w:bCs w:val="1"/>
                <w:color w:val="auto"/>
              </w:rPr>
              <w:t>Downstream</w:t>
            </w:r>
          </w:p>
        </w:tc>
        <w:tc>
          <w:tcPr>
            <w:tcW w:w="8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20,699</w:t>
            </w:r>
          </w:p>
        </w:tc>
        <w:tc>
          <w:tcPr>
            <w:tcW w:w="28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26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200" w:type="dxa"/>
            <w:vAlign w:val="bottom"/>
            <w:tcBorders>
              <w:top w:val="single" w:sz="8" w:color="0077C0"/>
              <w:right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10,723</w:t>
            </w:r>
          </w:p>
        </w:tc>
        <w:tc>
          <w:tcPr>
            <w:tcW w:w="28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20" w:type="dxa"/>
            <w:vAlign w:val="bottom"/>
            <w:tcBorders>
              <w:top w:val="single" w:sz="8" w:color="0077C0"/>
              <w:right w:val="single" w:sz="8" w:color="0077C0"/>
            </w:tcBorders>
          </w:tcPr>
          <w:p>
            <w:pPr>
              <w:spacing w:after="0"/>
              <w:rPr>
                <w:sz w:val="8"/>
                <w:szCs w:val="8"/>
                <w:color w:val="auto"/>
              </w:rPr>
            </w:pPr>
          </w:p>
        </w:tc>
        <w:tc>
          <w:tcPr>
            <w:tcW w:w="10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1,226</w:t>
            </w:r>
          </w:p>
        </w:tc>
        <w:tc>
          <w:tcPr>
            <w:tcW w:w="30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46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40" w:type="dxa"/>
            <w:vAlign w:val="bottom"/>
            <w:tcBorders>
              <w:top w:val="single" w:sz="8" w:color="0077C0"/>
              <w:right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vMerge w:val="restart"/>
          </w:tcPr>
          <w:p>
            <w:pPr>
              <w:jc w:val="right"/>
              <w:ind w:right="149"/>
              <w:spacing w:after="0"/>
              <w:rPr>
                <w:sz w:val="20"/>
                <w:szCs w:val="20"/>
                <w:color w:val="auto"/>
              </w:rPr>
            </w:pPr>
            <w:r>
              <w:rPr>
                <w:rFonts w:ascii="Arial" w:cs="Arial" w:eastAsia="Arial" w:hAnsi="Arial"/>
                <w:sz w:val="10"/>
                <w:szCs w:val="10"/>
                <w:b w:val="1"/>
                <w:bCs w:val="1"/>
                <w:color w:val="auto"/>
              </w:rPr>
              <w:t>776</w:t>
            </w:r>
          </w:p>
        </w:tc>
        <w:tc>
          <w:tcPr>
            <w:tcW w:w="2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ind w:left="12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19,820</w:t>
            </w:r>
          </w:p>
        </w:tc>
        <w:tc>
          <w:tcPr>
            <w:tcW w:w="260" w:type="dxa"/>
            <w:vAlign w:val="bottom"/>
          </w:tcPr>
          <w:p>
            <w:pPr>
              <w:spacing w:after="0"/>
              <w:rPr>
                <w:sz w:val="9"/>
                <w:szCs w:val="9"/>
                <w:color w:val="auto"/>
              </w:rPr>
            </w:pPr>
          </w:p>
        </w:tc>
        <w:tc>
          <w:tcPr>
            <w:tcW w:w="380" w:type="dxa"/>
            <w:vAlign w:val="bottom"/>
          </w:tcPr>
          <w:p>
            <w:pPr>
              <w:jc w:val="right"/>
              <w:spacing w:after="0" w:line="104" w:lineRule="exact"/>
              <w:rPr>
                <w:sz w:val="20"/>
                <w:szCs w:val="20"/>
                <w:color w:val="auto"/>
              </w:rPr>
            </w:pPr>
            <w:r>
              <w:rPr>
                <w:rFonts w:ascii="Arial" w:cs="Arial" w:eastAsia="Arial" w:hAnsi="Arial"/>
                <w:sz w:val="10"/>
                <w:szCs w:val="10"/>
                <w:color w:val="auto"/>
              </w:rPr>
              <w:t>18,962</w:t>
            </w:r>
          </w:p>
        </w:tc>
        <w:tc>
          <w:tcPr>
            <w:tcW w:w="200" w:type="dxa"/>
            <w:vAlign w:val="bottom"/>
            <w:tcBorders>
              <w:right w:val="single" w:sz="8" w:color="0077C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jc w:val="right"/>
              <w:ind w:right="49"/>
              <w:spacing w:after="0" w:line="104" w:lineRule="exact"/>
              <w:rPr>
                <w:sz w:val="20"/>
                <w:szCs w:val="20"/>
                <w:color w:val="auto"/>
              </w:rPr>
            </w:pPr>
            <w:r>
              <w:rPr>
                <w:rFonts w:ascii="Arial" w:cs="Arial" w:eastAsia="Arial" w:hAnsi="Arial"/>
                <w:sz w:val="10"/>
                <w:szCs w:val="10"/>
                <w:color w:val="auto"/>
              </w:rPr>
              <w:t>10,379</w:t>
            </w:r>
          </w:p>
        </w:tc>
        <w:tc>
          <w:tcPr>
            <w:tcW w:w="400" w:type="dxa"/>
            <w:vAlign w:val="bottom"/>
          </w:tcPr>
          <w:p>
            <w:pPr>
              <w:spacing w:after="0"/>
              <w:rPr>
                <w:sz w:val="9"/>
                <w:szCs w:val="9"/>
                <w:color w:val="auto"/>
              </w:rPr>
            </w:pPr>
          </w:p>
        </w:tc>
        <w:tc>
          <w:tcPr>
            <w:tcW w:w="520" w:type="dxa"/>
            <w:vAlign w:val="bottom"/>
            <w:tcBorders>
              <w:right w:val="single" w:sz="8" w:color="0077C0"/>
            </w:tcBorders>
            <w:gridSpan w:val="2"/>
          </w:tcPr>
          <w:p>
            <w:pPr>
              <w:jc w:val="right"/>
              <w:ind w:right="220"/>
              <w:spacing w:after="0" w:line="104" w:lineRule="exact"/>
              <w:rPr>
                <w:sz w:val="20"/>
                <w:szCs w:val="20"/>
                <w:color w:val="auto"/>
              </w:rPr>
            </w:pPr>
            <w:r>
              <w:rPr>
                <w:rFonts w:ascii="Arial" w:cs="Arial" w:eastAsia="Arial" w:hAnsi="Arial"/>
                <w:sz w:val="10"/>
                <w:szCs w:val="10"/>
                <w:color w:val="auto"/>
                <w:w w:val="91"/>
              </w:rPr>
              <w:t>10,032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1,199</w:t>
            </w:r>
          </w:p>
        </w:tc>
        <w:tc>
          <w:tcPr>
            <w:tcW w:w="460" w:type="dxa"/>
            <w:vAlign w:val="bottom"/>
          </w:tcPr>
          <w:p>
            <w:pPr>
              <w:spacing w:after="0"/>
              <w:rPr>
                <w:sz w:val="9"/>
                <w:szCs w:val="9"/>
                <w:color w:val="auto"/>
              </w:rPr>
            </w:pPr>
          </w:p>
        </w:tc>
        <w:tc>
          <w:tcPr>
            <w:tcW w:w="540" w:type="dxa"/>
            <w:vAlign w:val="bottom"/>
            <w:tcBorders>
              <w:right w:val="single" w:sz="8" w:color="0077C0"/>
            </w:tcBorders>
            <w:gridSpan w:val="2"/>
          </w:tcPr>
          <w:p>
            <w:pPr>
              <w:jc w:val="right"/>
              <w:ind w:right="240"/>
              <w:spacing w:after="0" w:line="104" w:lineRule="exact"/>
              <w:rPr>
                <w:sz w:val="20"/>
                <w:szCs w:val="20"/>
                <w:color w:val="auto"/>
              </w:rPr>
            </w:pPr>
            <w:r>
              <w:rPr>
                <w:rFonts w:ascii="Arial" w:cs="Arial" w:eastAsia="Arial" w:hAnsi="Arial"/>
                <w:sz w:val="10"/>
                <w:szCs w:val="10"/>
                <w:color w:val="auto"/>
              </w:rPr>
              <w:t>1,874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741</w:t>
            </w:r>
          </w:p>
        </w:tc>
        <w:tc>
          <w:tcPr>
            <w:tcW w:w="30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666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7,422</w:t>
            </w:r>
          </w:p>
        </w:tc>
        <w:tc>
          <w:tcPr>
            <w:tcW w:w="2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9,697</w:t>
            </w:r>
          </w:p>
        </w:tc>
        <w:tc>
          <w:tcPr>
            <w:tcW w:w="2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9,852</w:t>
            </w:r>
          </w:p>
        </w:tc>
        <w:tc>
          <w:tcPr>
            <w:tcW w:w="200" w:type="dxa"/>
            <w:vAlign w:val="bottom"/>
            <w:tcBorders>
              <w:bottom w:val="single" w:sz="8" w:color="0077C0"/>
              <w:right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2,995</w:t>
            </w:r>
          </w:p>
        </w:tc>
        <w:tc>
          <w:tcPr>
            <w:tcW w:w="2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3,948</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gridSpan w:val="2"/>
          </w:tcPr>
          <w:p>
            <w:pPr>
              <w:jc w:val="right"/>
              <w:ind w:right="220"/>
              <w:spacing w:after="0"/>
              <w:rPr>
                <w:sz w:val="20"/>
                <w:szCs w:val="20"/>
                <w:color w:val="auto"/>
              </w:rPr>
            </w:pPr>
            <w:r>
              <w:rPr>
                <w:rFonts w:ascii="Arial" w:cs="Arial" w:eastAsia="Arial" w:hAnsi="Arial"/>
                <w:sz w:val="10"/>
                <w:szCs w:val="10"/>
                <w:color w:val="auto"/>
              </w:rPr>
              <w:t>4,154</w:t>
            </w: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443</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361</w:t>
            </w:r>
          </w:p>
        </w:tc>
        <w:tc>
          <w:tcPr>
            <w:tcW w:w="46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456</w:t>
            </w:r>
          </w:p>
        </w:tc>
        <w:tc>
          <w:tcPr>
            <w:tcW w:w="240" w:type="dxa"/>
            <w:vAlign w:val="bottom"/>
            <w:tcBorders>
              <w:bottom w:val="single" w:sz="8" w:color="0077C0"/>
              <w:right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332</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451</w:t>
            </w:r>
          </w:p>
        </w:tc>
        <w:tc>
          <w:tcPr>
            <w:tcW w:w="3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2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Downstream</w:t>
            </w:r>
          </w:p>
        </w:tc>
        <w:tc>
          <w:tcPr>
            <w:tcW w:w="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28,121</w:t>
            </w:r>
          </w:p>
        </w:tc>
        <w:tc>
          <w:tcPr>
            <w:tcW w:w="2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50"/>
              <w:spacing w:after="0" w:line="105" w:lineRule="exact"/>
              <w:rPr>
                <w:sz w:val="20"/>
                <w:szCs w:val="20"/>
                <w:color w:val="auto"/>
              </w:rPr>
            </w:pPr>
            <w:r>
              <w:rPr>
                <w:rFonts w:ascii="Arial" w:cs="Arial" w:eastAsia="Arial" w:hAnsi="Arial"/>
                <w:sz w:val="10"/>
                <w:szCs w:val="10"/>
                <w:color w:val="auto"/>
              </w:rPr>
              <w:t>29,517</w:t>
            </w:r>
          </w:p>
        </w:tc>
        <w:tc>
          <w:tcPr>
            <w:tcW w:w="2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28,814</w:t>
            </w:r>
          </w:p>
        </w:tc>
        <w:tc>
          <w:tcPr>
            <w:tcW w:w="200" w:type="dxa"/>
            <w:vAlign w:val="bottom"/>
            <w:tcBorders>
              <w:bottom w:val="single" w:sz="8" w:color="0077C0"/>
              <w:right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13,718</w:t>
            </w:r>
          </w:p>
        </w:tc>
        <w:tc>
          <w:tcPr>
            <w:tcW w:w="28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14,327</w:t>
            </w:r>
          </w:p>
        </w:tc>
        <w:tc>
          <w:tcPr>
            <w:tcW w:w="40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w w:val="91"/>
              </w:rPr>
              <w:t>14,186</w:t>
            </w:r>
          </w:p>
        </w:tc>
        <w:tc>
          <w:tcPr>
            <w:tcW w:w="1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1,669</w:t>
            </w:r>
          </w:p>
        </w:tc>
        <w:tc>
          <w:tcPr>
            <w:tcW w:w="3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1,560</w:t>
            </w:r>
          </w:p>
        </w:tc>
        <w:tc>
          <w:tcPr>
            <w:tcW w:w="460" w:type="dxa"/>
            <w:vAlign w:val="bottom"/>
            <w:tcBorders>
              <w:bottom w:val="single" w:sz="8" w:color="0077C0"/>
            </w:tcBorders>
          </w:tcPr>
          <w:p>
            <w:pPr>
              <w:spacing w:after="0"/>
              <w:rPr>
                <w:sz w:val="9"/>
                <w:szCs w:val="9"/>
                <w:color w:val="auto"/>
              </w:rPr>
            </w:pPr>
          </w:p>
        </w:tc>
        <w:tc>
          <w:tcPr>
            <w:tcW w:w="540" w:type="dxa"/>
            <w:vAlign w:val="bottom"/>
            <w:tcBorders>
              <w:bottom w:val="single" w:sz="8" w:color="0077C0"/>
              <w:right w:val="single" w:sz="8" w:color="0077C0"/>
            </w:tcBorders>
            <w:gridSpan w:val="2"/>
          </w:tcPr>
          <w:p>
            <w:pPr>
              <w:jc w:val="right"/>
              <w:ind w:right="240"/>
              <w:spacing w:after="0" w:line="105" w:lineRule="exact"/>
              <w:rPr>
                <w:sz w:val="20"/>
                <w:szCs w:val="20"/>
                <w:color w:val="auto"/>
              </w:rPr>
            </w:pPr>
            <w:r>
              <w:rPr>
                <w:rFonts w:ascii="Arial" w:cs="Arial" w:eastAsia="Arial" w:hAnsi="Arial"/>
                <w:sz w:val="10"/>
                <w:szCs w:val="10"/>
                <w:color w:val="auto"/>
              </w:rPr>
              <w:t>2,330</w:t>
            </w:r>
          </w:p>
        </w:tc>
        <w:tc>
          <w:tcPr>
            <w:tcW w:w="8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1,108</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50"/>
              <w:spacing w:after="0" w:line="105" w:lineRule="exact"/>
              <w:rPr>
                <w:sz w:val="20"/>
                <w:szCs w:val="20"/>
                <w:color w:val="auto"/>
              </w:rPr>
            </w:pPr>
            <w:r>
              <w:rPr>
                <w:rFonts w:ascii="Arial" w:cs="Arial" w:eastAsia="Arial" w:hAnsi="Arial"/>
                <w:sz w:val="10"/>
                <w:szCs w:val="10"/>
                <w:color w:val="auto"/>
              </w:rPr>
              <w:t>1,192</w:t>
            </w:r>
          </w:p>
        </w:tc>
        <w:tc>
          <w:tcPr>
            <w:tcW w:w="3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24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All Other</w:t>
            </w:r>
            <w:r>
              <w:rPr>
                <w:rFonts w:ascii="Arial" w:cs="Arial" w:eastAsia="Arial" w:hAnsi="Arial"/>
                <w:sz w:val="8"/>
                <w:szCs w:val="8"/>
                <w:b w:val="1"/>
                <w:bCs w:val="1"/>
                <w:color w:val="auto"/>
              </w:rPr>
              <w:t>5</w:t>
            </w:r>
          </w:p>
        </w:tc>
        <w:tc>
          <w:tcPr>
            <w:tcW w:w="80" w:type="dxa"/>
            <w:vAlign w:val="bottom"/>
          </w:tcPr>
          <w:p>
            <w:pPr>
              <w:spacing w:after="0"/>
              <w:rPr>
                <w:sz w:val="8"/>
                <w:szCs w:val="8"/>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5,117</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right w:val="single" w:sz="8" w:color="0077C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2,872</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right w:val="single" w:sz="8" w:color="0077C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591</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right w:val="single" w:sz="8" w:color="0077C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338</w:t>
            </w: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20" w:type="dxa"/>
            <w:vAlign w:val="bottom"/>
          </w:tcPr>
          <w:p>
            <w:pPr>
              <w:ind w:left="120"/>
              <w:spacing w:after="0" w:line="104" w:lineRule="exact"/>
              <w:rPr>
                <w:sz w:val="20"/>
                <w:szCs w:val="20"/>
                <w:color w:val="auto"/>
              </w:rPr>
            </w:pPr>
            <w:r>
              <w:rPr>
                <w:rFonts w:ascii="Arial" w:cs="Arial" w:eastAsia="Arial" w:hAnsi="Arial"/>
                <w:sz w:val="10"/>
                <w:szCs w:val="10"/>
                <w:color w:val="auto"/>
              </w:rPr>
              <w:t>United States</w:t>
            </w: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4,722</w:t>
            </w:r>
          </w:p>
        </w:tc>
        <w:tc>
          <w:tcPr>
            <w:tcW w:w="260" w:type="dxa"/>
            <w:vAlign w:val="bottom"/>
          </w:tcPr>
          <w:p>
            <w:pPr>
              <w:spacing w:after="0"/>
              <w:rPr>
                <w:sz w:val="9"/>
                <w:szCs w:val="9"/>
                <w:color w:val="auto"/>
              </w:rPr>
            </w:pPr>
          </w:p>
        </w:tc>
        <w:tc>
          <w:tcPr>
            <w:tcW w:w="380" w:type="dxa"/>
            <w:vAlign w:val="bottom"/>
          </w:tcPr>
          <w:p>
            <w:pPr>
              <w:jc w:val="right"/>
              <w:spacing w:after="0" w:line="104" w:lineRule="exact"/>
              <w:rPr>
                <w:sz w:val="20"/>
                <w:szCs w:val="20"/>
                <w:color w:val="auto"/>
              </w:rPr>
            </w:pPr>
            <w:r>
              <w:rPr>
                <w:rFonts w:ascii="Arial" w:cs="Arial" w:eastAsia="Arial" w:hAnsi="Arial"/>
                <w:sz w:val="10"/>
                <w:szCs w:val="10"/>
                <w:color w:val="auto"/>
              </w:rPr>
              <w:t>4,569</w:t>
            </w:r>
          </w:p>
        </w:tc>
        <w:tc>
          <w:tcPr>
            <w:tcW w:w="200" w:type="dxa"/>
            <w:vAlign w:val="bottom"/>
            <w:tcBorders>
              <w:right w:val="single" w:sz="8" w:color="0077C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jc w:val="right"/>
              <w:ind w:right="49"/>
              <w:spacing w:after="0" w:line="104" w:lineRule="exact"/>
              <w:rPr>
                <w:sz w:val="20"/>
                <w:szCs w:val="20"/>
                <w:color w:val="auto"/>
              </w:rPr>
            </w:pPr>
            <w:r>
              <w:rPr>
                <w:rFonts w:ascii="Arial" w:cs="Arial" w:eastAsia="Arial" w:hAnsi="Arial"/>
                <w:sz w:val="10"/>
                <w:szCs w:val="10"/>
                <w:color w:val="auto"/>
              </w:rPr>
              <w:t>2,496</w:t>
            </w:r>
          </w:p>
        </w:tc>
        <w:tc>
          <w:tcPr>
            <w:tcW w:w="400" w:type="dxa"/>
            <w:vAlign w:val="bottom"/>
          </w:tcPr>
          <w:p>
            <w:pPr>
              <w:spacing w:after="0"/>
              <w:rPr>
                <w:sz w:val="9"/>
                <w:szCs w:val="9"/>
                <w:color w:val="auto"/>
              </w:rPr>
            </w:pPr>
          </w:p>
        </w:tc>
        <w:tc>
          <w:tcPr>
            <w:tcW w:w="520" w:type="dxa"/>
            <w:vAlign w:val="bottom"/>
            <w:tcBorders>
              <w:right w:val="single" w:sz="8" w:color="0077C0"/>
            </w:tcBorders>
            <w:gridSpan w:val="2"/>
          </w:tcPr>
          <w:p>
            <w:pPr>
              <w:jc w:val="right"/>
              <w:ind w:right="220"/>
              <w:spacing w:after="0" w:line="104" w:lineRule="exact"/>
              <w:rPr>
                <w:sz w:val="20"/>
                <w:szCs w:val="20"/>
                <w:color w:val="auto"/>
              </w:rPr>
            </w:pPr>
            <w:r>
              <w:rPr>
                <w:rFonts w:ascii="Arial" w:cs="Arial" w:eastAsia="Arial" w:hAnsi="Arial"/>
                <w:sz w:val="10"/>
                <w:szCs w:val="10"/>
                <w:color w:val="auto"/>
              </w:rPr>
              <w:t>2,548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jc w:val="right"/>
              <w:spacing w:after="0" w:line="104" w:lineRule="exact"/>
              <w:rPr>
                <w:sz w:val="20"/>
                <w:szCs w:val="20"/>
                <w:color w:val="auto"/>
              </w:rPr>
            </w:pPr>
            <w:r>
              <w:rPr>
                <w:rFonts w:ascii="Arial" w:cs="Arial" w:eastAsia="Arial" w:hAnsi="Arial"/>
                <w:sz w:val="10"/>
                <w:szCs w:val="10"/>
                <w:color w:val="auto"/>
              </w:rPr>
              <w:t>259</w:t>
            </w:r>
          </w:p>
        </w:tc>
        <w:tc>
          <w:tcPr>
            <w:tcW w:w="46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354</w:t>
            </w:r>
          </w:p>
        </w:tc>
        <w:tc>
          <w:tcPr>
            <w:tcW w:w="240" w:type="dxa"/>
            <w:vAlign w:val="bottom"/>
            <w:tcBorders>
              <w:right w:val="single" w:sz="8" w:color="0077C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jc w:val="right"/>
              <w:ind w:right="150"/>
              <w:spacing w:after="0" w:line="104" w:lineRule="exact"/>
              <w:rPr>
                <w:sz w:val="20"/>
                <w:szCs w:val="20"/>
                <w:color w:val="auto"/>
              </w:rPr>
            </w:pPr>
            <w:r>
              <w:rPr>
                <w:rFonts w:ascii="Arial" w:cs="Arial" w:eastAsia="Arial" w:hAnsi="Arial"/>
                <w:sz w:val="10"/>
                <w:szCs w:val="10"/>
                <w:color w:val="auto"/>
              </w:rPr>
              <w:t>341</w:t>
            </w:r>
          </w:p>
        </w:tc>
        <w:tc>
          <w:tcPr>
            <w:tcW w:w="30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325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International</w:t>
            </w: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30</w:t>
            </w:r>
          </w:p>
        </w:tc>
        <w:tc>
          <w:tcPr>
            <w:tcW w:w="2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27</w:t>
            </w:r>
          </w:p>
        </w:tc>
        <w:tc>
          <w:tcPr>
            <w:tcW w:w="26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w:t>
            </w:r>
          </w:p>
        </w:tc>
        <w:tc>
          <w:tcPr>
            <w:tcW w:w="200" w:type="dxa"/>
            <w:vAlign w:val="bottom"/>
            <w:tcBorders>
              <w:bottom w:val="single" w:sz="8" w:color="0077C0"/>
              <w:right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14</w:t>
            </w:r>
          </w:p>
        </w:tc>
        <w:tc>
          <w:tcPr>
            <w:tcW w:w="28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16</w:t>
            </w:r>
          </w:p>
        </w:tc>
        <w:tc>
          <w:tcPr>
            <w:tcW w:w="4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right w:val="single" w:sz="8" w:color="0077C0"/>
            </w:tcBorders>
            <w:gridSpan w:val="2"/>
          </w:tcPr>
          <w:p>
            <w:pPr>
              <w:jc w:val="right"/>
              <w:ind w:right="220"/>
              <w:spacing w:after="0"/>
              <w:rPr>
                <w:sz w:val="20"/>
                <w:szCs w:val="20"/>
                <w:color w:val="auto"/>
              </w:rPr>
            </w:pPr>
            <w:r>
              <w:rPr>
                <w:rFonts w:ascii="Arial" w:cs="Arial" w:eastAsia="Arial" w:hAnsi="Arial"/>
                <w:sz w:val="10"/>
                <w:szCs w:val="10"/>
                <w:color w:val="auto"/>
              </w:rPr>
              <w:t>11</w:t>
            </w:r>
          </w:p>
        </w:tc>
        <w:tc>
          <w:tcPr>
            <w:tcW w:w="10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5</w:t>
            </w:r>
          </w:p>
        </w:tc>
        <w:tc>
          <w:tcPr>
            <w:tcW w:w="30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11</w:t>
            </w:r>
          </w:p>
        </w:tc>
        <w:tc>
          <w:tcPr>
            <w:tcW w:w="46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0077C0"/>
              <w:right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5</w:t>
            </w:r>
          </w:p>
        </w:tc>
        <w:tc>
          <w:tcPr>
            <w:tcW w:w="28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4</w:t>
            </w:r>
          </w:p>
        </w:tc>
        <w:tc>
          <w:tcPr>
            <w:tcW w:w="3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2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auto"/>
              </w:rPr>
              <w:t>Total All Other</w:t>
            </w:r>
          </w:p>
        </w:tc>
        <w:tc>
          <w:tcPr>
            <w:tcW w:w="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5,147</w:t>
            </w:r>
          </w:p>
        </w:tc>
        <w:tc>
          <w:tcPr>
            <w:tcW w:w="2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50"/>
              <w:spacing w:after="0" w:line="105" w:lineRule="exact"/>
              <w:rPr>
                <w:sz w:val="20"/>
                <w:szCs w:val="20"/>
                <w:color w:val="auto"/>
              </w:rPr>
            </w:pPr>
            <w:r>
              <w:rPr>
                <w:rFonts w:ascii="Arial" w:cs="Arial" w:eastAsia="Arial" w:hAnsi="Arial"/>
                <w:sz w:val="10"/>
                <w:szCs w:val="10"/>
                <w:color w:val="auto"/>
              </w:rPr>
              <w:t>4,749</w:t>
            </w:r>
          </w:p>
        </w:tc>
        <w:tc>
          <w:tcPr>
            <w:tcW w:w="26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4,589</w:t>
            </w:r>
          </w:p>
        </w:tc>
        <w:tc>
          <w:tcPr>
            <w:tcW w:w="200" w:type="dxa"/>
            <w:vAlign w:val="bottom"/>
            <w:tcBorders>
              <w:bottom w:val="single" w:sz="8" w:color="0077C0"/>
              <w:right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2,886</w:t>
            </w:r>
          </w:p>
        </w:tc>
        <w:tc>
          <w:tcPr>
            <w:tcW w:w="28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2,512</w:t>
            </w:r>
          </w:p>
        </w:tc>
        <w:tc>
          <w:tcPr>
            <w:tcW w:w="400" w:type="dxa"/>
            <w:vAlign w:val="bottom"/>
            <w:tcBorders>
              <w:bottom w:val="single" w:sz="8" w:color="0077C0"/>
            </w:tcBorders>
          </w:tcPr>
          <w:p>
            <w:pPr>
              <w:spacing w:after="0"/>
              <w:rPr>
                <w:sz w:val="9"/>
                <w:szCs w:val="9"/>
                <w:color w:val="auto"/>
              </w:rPr>
            </w:pPr>
          </w:p>
        </w:tc>
        <w:tc>
          <w:tcPr>
            <w:tcW w:w="520" w:type="dxa"/>
            <w:vAlign w:val="bottom"/>
            <w:tcBorders>
              <w:bottom w:val="single" w:sz="8" w:color="0077C0"/>
              <w:right w:val="single" w:sz="8" w:color="0077C0"/>
            </w:tcBorders>
            <w:gridSpan w:val="2"/>
          </w:tcPr>
          <w:p>
            <w:pPr>
              <w:jc w:val="right"/>
              <w:ind w:right="220"/>
              <w:spacing w:after="0" w:line="105" w:lineRule="exact"/>
              <w:rPr>
                <w:sz w:val="20"/>
                <w:szCs w:val="20"/>
                <w:color w:val="auto"/>
              </w:rPr>
            </w:pPr>
            <w:r>
              <w:rPr>
                <w:rFonts w:ascii="Arial" w:cs="Arial" w:eastAsia="Arial" w:hAnsi="Arial"/>
                <w:sz w:val="10"/>
                <w:szCs w:val="10"/>
                <w:color w:val="auto"/>
              </w:rPr>
              <w:t>2,559</w:t>
            </w:r>
          </w:p>
        </w:tc>
        <w:tc>
          <w:tcPr>
            <w:tcW w:w="10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596</w:t>
            </w:r>
          </w:p>
        </w:tc>
        <w:tc>
          <w:tcPr>
            <w:tcW w:w="30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270</w:t>
            </w:r>
          </w:p>
        </w:tc>
        <w:tc>
          <w:tcPr>
            <w:tcW w:w="46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357</w:t>
            </w:r>
          </w:p>
        </w:tc>
        <w:tc>
          <w:tcPr>
            <w:tcW w:w="240" w:type="dxa"/>
            <w:vAlign w:val="bottom"/>
            <w:tcBorders>
              <w:bottom w:val="single" w:sz="8" w:color="0077C0"/>
              <w:right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343</w:t>
            </w:r>
          </w:p>
        </w:tc>
        <w:tc>
          <w:tcPr>
            <w:tcW w:w="280" w:type="dxa"/>
            <w:vAlign w:val="bottom"/>
            <w:tcBorders>
              <w:bottom w:val="single" w:sz="8" w:color="0077C0"/>
            </w:tcBorders>
          </w:tcPr>
          <w:p>
            <w:pPr>
              <w:spacing w:after="0"/>
              <w:rPr>
                <w:sz w:val="9"/>
                <w:szCs w:val="9"/>
                <w:color w:val="auto"/>
              </w:rPr>
            </w:pPr>
          </w:p>
        </w:tc>
        <w:tc>
          <w:tcPr>
            <w:tcW w:w="520" w:type="dxa"/>
            <w:vAlign w:val="bottom"/>
            <w:tcBorders>
              <w:bottom w:val="single" w:sz="8" w:color="0077C0"/>
            </w:tcBorders>
          </w:tcPr>
          <w:p>
            <w:pPr>
              <w:jc w:val="right"/>
              <w:ind w:right="150"/>
              <w:spacing w:after="0" w:line="105" w:lineRule="exact"/>
              <w:rPr>
                <w:sz w:val="20"/>
                <w:szCs w:val="20"/>
                <w:color w:val="auto"/>
              </w:rPr>
            </w:pPr>
            <w:r>
              <w:rPr>
                <w:rFonts w:ascii="Arial" w:cs="Arial" w:eastAsia="Arial" w:hAnsi="Arial"/>
                <w:sz w:val="10"/>
                <w:szCs w:val="10"/>
                <w:color w:val="auto"/>
              </w:rPr>
              <w:t>345</w:t>
            </w:r>
          </w:p>
        </w:tc>
        <w:tc>
          <w:tcPr>
            <w:tcW w:w="300" w:type="dxa"/>
            <w:vAlign w:val="bottom"/>
            <w:tcBorders>
              <w:bottom w:val="single" w:sz="8" w:color="0077C0"/>
            </w:tcBorders>
          </w:tcPr>
          <w:p>
            <w:pPr>
              <w:spacing w:after="0"/>
              <w:rPr>
                <w:sz w:val="9"/>
                <w:szCs w:val="9"/>
                <w:color w:val="auto"/>
              </w:rPr>
            </w:pPr>
          </w:p>
        </w:tc>
        <w:tc>
          <w:tcPr>
            <w:tcW w:w="30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240" w:type="dxa"/>
            <w:vAlign w:val="bottom"/>
            <w:gridSpan w:val="2"/>
          </w:tcPr>
          <w:p>
            <w:pPr>
              <w:spacing w:after="0" w:line="91" w:lineRule="exact"/>
              <w:rPr>
                <w:sz w:val="20"/>
                <w:szCs w:val="20"/>
                <w:color w:val="auto"/>
              </w:rPr>
            </w:pPr>
            <w:r>
              <w:rPr>
                <w:rFonts w:ascii="Arial" w:cs="Arial" w:eastAsia="Arial" w:hAnsi="Arial"/>
                <w:sz w:val="10"/>
                <w:szCs w:val="10"/>
                <w:color w:val="auto"/>
              </w:rPr>
              <w:t>Total United States</w:t>
            </w:r>
          </w:p>
        </w:tc>
        <w:tc>
          <w:tcPr>
            <w:tcW w:w="80" w:type="dxa"/>
            <w:vAlign w:val="bottom"/>
          </w:tcPr>
          <w:p>
            <w:pPr>
              <w:spacing w:after="0"/>
              <w:rPr>
                <w:sz w:val="7"/>
                <w:szCs w:val="7"/>
                <w:color w:val="auto"/>
              </w:rPr>
            </w:pPr>
          </w:p>
        </w:tc>
        <w:tc>
          <w:tcPr>
            <w:tcW w:w="56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w w:val="93"/>
              </w:rPr>
              <w:t>100,185</w:t>
            </w:r>
          </w:p>
        </w:tc>
        <w:tc>
          <w:tcPr>
            <w:tcW w:w="280" w:type="dxa"/>
            <w:vAlign w:val="bottom"/>
          </w:tcPr>
          <w:p>
            <w:pPr>
              <w:spacing w:after="0"/>
              <w:rPr>
                <w:sz w:val="7"/>
                <w:szCs w:val="7"/>
                <w:color w:val="auto"/>
              </w:rPr>
            </w:pPr>
          </w:p>
        </w:tc>
        <w:tc>
          <w:tcPr>
            <w:tcW w:w="560" w:type="dxa"/>
            <w:vAlign w:val="bottom"/>
          </w:tcPr>
          <w:p>
            <w:pPr>
              <w:jc w:val="right"/>
              <w:ind w:right="150"/>
              <w:spacing w:after="0" w:line="91" w:lineRule="exact"/>
              <w:rPr>
                <w:sz w:val="20"/>
                <w:szCs w:val="20"/>
                <w:color w:val="auto"/>
              </w:rPr>
            </w:pPr>
            <w:r>
              <w:rPr>
                <w:rFonts w:ascii="Arial" w:cs="Arial" w:eastAsia="Arial" w:hAnsi="Arial"/>
                <w:sz w:val="10"/>
                <w:szCs w:val="10"/>
                <w:color w:val="auto"/>
              </w:rPr>
              <w:t>87,065</w:t>
            </w:r>
          </w:p>
        </w:tc>
        <w:tc>
          <w:tcPr>
            <w:tcW w:w="260" w:type="dxa"/>
            <w:vAlign w:val="bottom"/>
          </w:tcPr>
          <w:p>
            <w:pPr>
              <w:spacing w:after="0"/>
              <w:rPr>
                <w:sz w:val="7"/>
                <w:szCs w:val="7"/>
                <w:color w:val="auto"/>
              </w:rPr>
            </w:pPr>
          </w:p>
        </w:tc>
        <w:tc>
          <w:tcPr>
            <w:tcW w:w="380" w:type="dxa"/>
            <w:vAlign w:val="bottom"/>
          </w:tcPr>
          <w:p>
            <w:pPr>
              <w:jc w:val="right"/>
              <w:spacing w:after="0" w:line="91" w:lineRule="exact"/>
              <w:rPr>
                <w:sz w:val="20"/>
                <w:szCs w:val="20"/>
                <w:color w:val="auto"/>
              </w:rPr>
            </w:pPr>
            <w:r>
              <w:rPr>
                <w:rFonts w:ascii="Arial" w:cs="Arial" w:eastAsia="Arial" w:hAnsi="Arial"/>
                <w:sz w:val="10"/>
                <w:szCs w:val="10"/>
                <w:color w:val="auto"/>
              </w:rPr>
              <w:t>81,859</w:t>
            </w:r>
          </w:p>
        </w:tc>
        <w:tc>
          <w:tcPr>
            <w:tcW w:w="200" w:type="dxa"/>
            <w:vAlign w:val="bottom"/>
            <w:tcBorders>
              <w:right w:val="single" w:sz="8" w:color="0077C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rPr>
              <w:t>47,056</w:t>
            </w:r>
          </w:p>
        </w:tc>
        <w:tc>
          <w:tcPr>
            <w:tcW w:w="280" w:type="dxa"/>
            <w:vAlign w:val="bottom"/>
          </w:tcPr>
          <w:p>
            <w:pPr>
              <w:spacing w:after="0"/>
              <w:rPr>
                <w:sz w:val="7"/>
                <w:szCs w:val="7"/>
                <w:color w:val="auto"/>
              </w:rPr>
            </w:pPr>
          </w:p>
        </w:tc>
        <w:tc>
          <w:tcPr>
            <w:tcW w:w="460" w:type="dxa"/>
            <w:vAlign w:val="bottom"/>
          </w:tcPr>
          <w:p>
            <w:pPr>
              <w:jc w:val="right"/>
              <w:ind w:right="49"/>
              <w:spacing w:after="0" w:line="91" w:lineRule="exact"/>
              <w:rPr>
                <w:sz w:val="20"/>
                <w:szCs w:val="20"/>
                <w:color w:val="auto"/>
              </w:rPr>
            </w:pPr>
            <w:r>
              <w:rPr>
                <w:rFonts w:ascii="Arial" w:cs="Arial" w:eastAsia="Arial" w:hAnsi="Arial"/>
                <w:sz w:val="10"/>
                <w:szCs w:val="10"/>
                <w:color w:val="auto"/>
              </w:rPr>
              <w:t>36,152</w:t>
            </w:r>
          </w:p>
        </w:tc>
        <w:tc>
          <w:tcPr>
            <w:tcW w:w="400" w:type="dxa"/>
            <w:vAlign w:val="bottom"/>
          </w:tcPr>
          <w:p>
            <w:pPr>
              <w:spacing w:after="0"/>
              <w:rPr>
                <w:sz w:val="7"/>
                <w:szCs w:val="7"/>
                <w:color w:val="auto"/>
              </w:rPr>
            </w:pPr>
          </w:p>
        </w:tc>
        <w:tc>
          <w:tcPr>
            <w:tcW w:w="520" w:type="dxa"/>
            <w:vAlign w:val="bottom"/>
            <w:tcBorders>
              <w:right w:val="single" w:sz="8" w:color="0077C0"/>
            </w:tcBorders>
            <w:gridSpan w:val="2"/>
          </w:tcPr>
          <w:p>
            <w:pPr>
              <w:jc w:val="right"/>
              <w:ind w:right="220"/>
              <w:spacing w:after="0" w:line="91" w:lineRule="exact"/>
              <w:rPr>
                <w:sz w:val="20"/>
                <w:szCs w:val="20"/>
                <w:color w:val="auto"/>
              </w:rPr>
            </w:pPr>
            <w:r>
              <w:rPr>
                <w:rFonts w:ascii="Arial" w:cs="Arial" w:eastAsia="Arial" w:hAnsi="Arial"/>
                <w:sz w:val="10"/>
                <w:szCs w:val="10"/>
                <w:color w:val="auto"/>
                <w:w w:val="91"/>
              </w:rPr>
              <w:t>34,853</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w w:val="97"/>
              </w:rPr>
              <w:t>16,221</w:t>
            </w:r>
          </w:p>
        </w:tc>
        <w:tc>
          <w:tcPr>
            <w:tcW w:w="30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10"/>
                <w:szCs w:val="10"/>
                <w:color w:val="auto"/>
              </w:rPr>
              <w:t>6,392</w:t>
            </w:r>
          </w:p>
        </w:tc>
        <w:tc>
          <w:tcPr>
            <w:tcW w:w="460" w:type="dxa"/>
            <w:vAlign w:val="bottom"/>
          </w:tcPr>
          <w:p>
            <w:pPr>
              <w:spacing w:after="0"/>
              <w:rPr>
                <w:sz w:val="7"/>
                <w:szCs w:val="7"/>
                <w:color w:val="auto"/>
              </w:rPr>
            </w:pPr>
          </w:p>
        </w:tc>
        <w:tc>
          <w:tcPr>
            <w:tcW w:w="540" w:type="dxa"/>
            <w:vAlign w:val="bottom"/>
            <w:tcBorders>
              <w:right w:val="single" w:sz="8" w:color="0077C0"/>
            </w:tcBorders>
            <w:gridSpan w:val="2"/>
          </w:tcPr>
          <w:p>
            <w:pPr>
              <w:jc w:val="right"/>
              <w:ind w:right="240"/>
              <w:spacing w:after="0" w:line="91" w:lineRule="exact"/>
              <w:rPr>
                <w:sz w:val="20"/>
                <w:szCs w:val="20"/>
                <w:color w:val="auto"/>
              </w:rPr>
            </w:pPr>
            <w:r>
              <w:rPr>
                <w:rFonts w:ascii="Arial" w:cs="Arial" w:eastAsia="Arial" w:hAnsi="Arial"/>
                <w:sz w:val="10"/>
                <w:szCs w:val="10"/>
                <w:color w:val="auto"/>
              </w:rPr>
              <w:t>5,746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4,984</w:t>
            </w:r>
          </w:p>
        </w:tc>
        <w:tc>
          <w:tcPr>
            <w:tcW w:w="280" w:type="dxa"/>
            <w:vAlign w:val="bottom"/>
          </w:tcPr>
          <w:p>
            <w:pPr>
              <w:spacing w:after="0"/>
              <w:rPr>
                <w:sz w:val="7"/>
                <w:szCs w:val="7"/>
                <w:color w:val="auto"/>
              </w:rPr>
            </w:pPr>
          </w:p>
        </w:tc>
        <w:tc>
          <w:tcPr>
            <w:tcW w:w="520" w:type="dxa"/>
            <w:vAlign w:val="bottom"/>
          </w:tcPr>
          <w:p>
            <w:pPr>
              <w:jc w:val="right"/>
              <w:ind w:right="150"/>
              <w:spacing w:after="0" w:line="91" w:lineRule="exact"/>
              <w:rPr>
                <w:sz w:val="20"/>
                <w:szCs w:val="20"/>
                <w:color w:val="auto"/>
              </w:rPr>
            </w:pPr>
            <w:r>
              <w:rPr>
                <w:rFonts w:ascii="Arial" w:cs="Arial" w:eastAsia="Arial" w:hAnsi="Arial"/>
                <w:sz w:val="10"/>
                <w:szCs w:val="10"/>
                <w:color w:val="auto"/>
              </w:rPr>
              <w:t>5,160</w:t>
            </w:r>
          </w:p>
        </w:tc>
        <w:tc>
          <w:tcPr>
            <w:tcW w:w="300" w:type="dxa"/>
            <w:vAlign w:val="bottom"/>
          </w:tcPr>
          <w:p>
            <w:pPr>
              <w:spacing w:after="0"/>
              <w:rPr>
                <w:sz w:val="7"/>
                <w:szCs w:val="7"/>
                <w:color w:val="auto"/>
              </w:rPr>
            </w:pPr>
          </w:p>
        </w:tc>
        <w:tc>
          <w:tcPr>
            <w:tcW w:w="300" w:type="dxa"/>
            <w:vAlign w:val="bottom"/>
          </w:tcPr>
          <w:p>
            <w:pPr>
              <w:jc w:val="right"/>
              <w:spacing w:after="0" w:line="91" w:lineRule="exact"/>
              <w:rPr>
                <w:sz w:val="20"/>
                <w:szCs w:val="20"/>
                <w:color w:val="auto"/>
              </w:rPr>
            </w:pPr>
            <w:r>
              <w:rPr>
                <w:rFonts w:ascii="Arial" w:cs="Arial" w:eastAsia="Arial" w:hAnsi="Arial"/>
                <w:sz w:val="10"/>
                <w:szCs w:val="10"/>
                <w:color w:val="auto"/>
              </w:rPr>
              <w:t>4,983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240" w:type="dxa"/>
            <w:vAlign w:val="bottom"/>
            <w:gridSpan w:val="2"/>
          </w:tcPr>
          <w:p>
            <w:pPr>
              <w:spacing w:after="0"/>
              <w:rPr>
                <w:sz w:val="20"/>
                <w:szCs w:val="20"/>
                <w:color w:val="auto"/>
              </w:rPr>
            </w:pPr>
            <w:r>
              <w:rPr>
                <w:rFonts w:ascii="Arial" w:cs="Arial" w:eastAsia="Arial" w:hAnsi="Arial"/>
                <w:sz w:val="10"/>
                <w:szCs w:val="10"/>
                <w:color w:val="auto"/>
              </w:rPr>
              <w:t>Total International</w:t>
            </w:r>
          </w:p>
        </w:tc>
        <w:tc>
          <w:tcPr>
            <w:tcW w:w="80" w:type="dxa"/>
            <w:vAlign w:val="bottom"/>
          </w:tcPr>
          <w:p>
            <w:pPr>
              <w:spacing w:after="0"/>
              <w:rPr>
                <w:sz w:val="10"/>
                <w:szCs w:val="10"/>
                <w:color w:val="auto"/>
              </w:rPr>
            </w:pPr>
          </w:p>
        </w:tc>
        <w:tc>
          <w:tcPr>
            <w:tcW w:w="560" w:type="dxa"/>
            <w:vAlign w:val="bottom"/>
          </w:tcPr>
          <w:p>
            <w:pPr>
              <w:jc w:val="right"/>
              <w:ind w:right="149"/>
              <w:spacing w:after="0"/>
              <w:rPr>
                <w:sz w:val="20"/>
                <w:szCs w:val="20"/>
                <w:color w:val="auto"/>
              </w:rPr>
            </w:pPr>
            <w:r>
              <w:rPr>
                <w:rFonts w:ascii="Arial" w:cs="Arial" w:eastAsia="Arial" w:hAnsi="Arial"/>
                <w:sz w:val="10"/>
                <w:szCs w:val="10"/>
                <w:b w:val="1"/>
                <w:bCs w:val="1"/>
                <w:color w:val="auto"/>
                <w:w w:val="93"/>
              </w:rPr>
              <w:t>133,247</w:t>
            </w:r>
          </w:p>
        </w:tc>
        <w:tc>
          <w:tcPr>
            <w:tcW w:w="280" w:type="dxa"/>
            <w:vAlign w:val="bottom"/>
          </w:tcPr>
          <w:p>
            <w:pPr>
              <w:spacing w:after="0"/>
              <w:rPr>
                <w:sz w:val="10"/>
                <w:szCs w:val="10"/>
                <w:color w:val="auto"/>
              </w:rPr>
            </w:pPr>
          </w:p>
        </w:tc>
        <w:tc>
          <w:tcPr>
            <w:tcW w:w="560" w:type="dxa"/>
            <w:vAlign w:val="bottom"/>
          </w:tcPr>
          <w:p>
            <w:pPr>
              <w:jc w:val="right"/>
              <w:ind w:right="150"/>
              <w:spacing w:after="0"/>
              <w:rPr>
                <w:sz w:val="20"/>
                <w:szCs w:val="20"/>
                <w:color w:val="auto"/>
              </w:rPr>
            </w:pPr>
            <w:r>
              <w:rPr>
                <w:rFonts w:ascii="Arial" w:cs="Arial" w:eastAsia="Arial" w:hAnsi="Arial"/>
                <w:sz w:val="10"/>
                <w:szCs w:val="10"/>
                <w:color w:val="auto"/>
                <w:w w:val="93"/>
              </w:rPr>
              <w:t>120,302</w:t>
            </w:r>
          </w:p>
        </w:tc>
        <w:tc>
          <w:tcPr>
            <w:tcW w:w="2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9"/>
              </w:rPr>
              <w:t>106,429</w:t>
            </w:r>
          </w:p>
        </w:tc>
        <w:tc>
          <w:tcPr>
            <w:tcW w:w="200" w:type="dxa"/>
            <w:vAlign w:val="bottom"/>
            <w:tcBorders>
              <w:right w:val="single" w:sz="8" w:color="0077C0"/>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29"/>
              <w:spacing w:after="0"/>
              <w:rPr>
                <w:sz w:val="20"/>
                <w:szCs w:val="20"/>
                <w:color w:val="auto"/>
              </w:rPr>
            </w:pPr>
            <w:r>
              <w:rPr>
                <w:rFonts w:ascii="Arial" w:cs="Arial" w:eastAsia="Arial" w:hAnsi="Arial"/>
                <w:sz w:val="10"/>
                <w:szCs w:val="10"/>
                <w:b w:val="1"/>
                <w:bCs w:val="1"/>
                <w:color w:val="auto"/>
              </w:rPr>
              <w:t>75,552</w:t>
            </w:r>
          </w:p>
        </w:tc>
        <w:tc>
          <w:tcPr>
            <w:tcW w:w="280" w:type="dxa"/>
            <w:vAlign w:val="bottom"/>
          </w:tcPr>
          <w:p>
            <w:pPr>
              <w:spacing w:after="0"/>
              <w:rPr>
                <w:sz w:val="10"/>
                <w:szCs w:val="10"/>
                <w:color w:val="auto"/>
              </w:rPr>
            </w:pPr>
          </w:p>
        </w:tc>
        <w:tc>
          <w:tcPr>
            <w:tcW w:w="460" w:type="dxa"/>
            <w:vAlign w:val="bottom"/>
          </w:tcPr>
          <w:p>
            <w:pPr>
              <w:jc w:val="right"/>
              <w:ind w:right="49"/>
              <w:spacing w:after="0"/>
              <w:rPr>
                <w:sz w:val="20"/>
                <w:szCs w:val="20"/>
                <w:color w:val="auto"/>
              </w:rPr>
            </w:pPr>
            <w:r>
              <w:rPr>
                <w:rFonts w:ascii="Arial" w:cs="Arial" w:eastAsia="Arial" w:hAnsi="Arial"/>
                <w:sz w:val="10"/>
                <w:szCs w:val="10"/>
                <w:color w:val="auto"/>
              </w:rPr>
              <w:t>68,352</w:t>
            </w:r>
          </w:p>
        </w:tc>
        <w:tc>
          <w:tcPr>
            <w:tcW w:w="400" w:type="dxa"/>
            <w:vAlign w:val="bottom"/>
          </w:tcPr>
          <w:p>
            <w:pPr>
              <w:spacing w:after="0"/>
              <w:rPr>
                <w:sz w:val="10"/>
                <w:szCs w:val="10"/>
                <w:color w:val="auto"/>
              </w:rPr>
            </w:pPr>
          </w:p>
        </w:tc>
        <w:tc>
          <w:tcPr>
            <w:tcW w:w="52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0"/>
                <w:szCs w:val="10"/>
                <w:color w:val="auto"/>
                <w:w w:val="91"/>
              </w:rPr>
              <w:t>61,615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w w:val="97"/>
              </w:rPr>
              <w:t>16,170</w:t>
            </w:r>
          </w:p>
        </w:tc>
        <w:tc>
          <w:tcPr>
            <w:tcW w:w="3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1"/>
              </w:rPr>
              <w:t>14,753</w:t>
            </w:r>
          </w:p>
        </w:tc>
        <w:tc>
          <w:tcPr>
            <w:tcW w:w="4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w w:val="91"/>
              </w:rPr>
              <w:t>11,262</w:t>
            </w:r>
          </w:p>
        </w:tc>
        <w:tc>
          <w:tcPr>
            <w:tcW w:w="240" w:type="dxa"/>
            <w:vAlign w:val="bottom"/>
            <w:tcBorders>
              <w:right w:val="single" w:sz="8" w:color="0077C0"/>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9"/>
              <w:spacing w:after="0"/>
              <w:rPr>
                <w:sz w:val="20"/>
                <w:szCs w:val="20"/>
                <w:color w:val="auto"/>
              </w:rPr>
            </w:pPr>
            <w:r>
              <w:rPr>
                <w:rFonts w:ascii="Arial" w:cs="Arial" w:eastAsia="Arial" w:hAnsi="Arial"/>
                <w:sz w:val="10"/>
                <w:szCs w:val="10"/>
                <w:b w:val="1"/>
                <w:bCs w:val="1"/>
                <w:color w:val="auto"/>
              </w:rPr>
              <w:t>7,927</w:t>
            </w:r>
          </w:p>
        </w:tc>
        <w:tc>
          <w:tcPr>
            <w:tcW w:w="280" w:type="dxa"/>
            <w:vAlign w:val="bottom"/>
          </w:tcPr>
          <w:p>
            <w:pPr>
              <w:spacing w:after="0"/>
              <w:rPr>
                <w:sz w:val="10"/>
                <w:szCs w:val="10"/>
                <w:color w:val="auto"/>
              </w:rPr>
            </w:pPr>
          </w:p>
        </w:tc>
        <w:tc>
          <w:tcPr>
            <w:tcW w:w="520" w:type="dxa"/>
            <w:vAlign w:val="bottom"/>
          </w:tcPr>
          <w:p>
            <w:pPr>
              <w:jc w:val="right"/>
              <w:ind w:right="150"/>
              <w:spacing w:after="0"/>
              <w:rPr>
                <w:sz w:val="20"/>
                <w:szCs w:val="20"/>
                <w:color w:val="auto"/>
              </w:rPr>
            </w:pPr>
            <w:r>
              <w:rPr>
                <w:rFonts w:ascii="Arial" w:cs="Arial" w:eastAsia="Arial" w:hAnsi="Arial"/>
                <w:sz w:val="10"/>
                <w:szCs w:val="10"/>
                <w:color w:val="auto"/>
              </w:rPr>
              <w:t>7,903</w:t>
            </w:r>
          </w:p>
        </w:tc>
        <w:tc>
          <w:tcPr>
            <w:tcW w:w="300" w:type="dxa"/>
            <w:vAlign w:val="bottom"/>
          </w:tcPr>
          <w:p>
            <w:pPr>
              <w:spacing w:after="0"/>
              <w:rPr>
                <w:sz w:val="10"/>
                <w:szCs w:val="1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0"/>
                <w:szCs w:val="10"/>
                <w:color w:val="auto"/>
              </w:rPr>
              <w:t>7,127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220" w:type="dxa"/>
            <w:vAlign w:val="bottom"/>
            <w:tcBorders>
              <w:top w:val="single" w:sz="8" w:color="0077C0"/>
              <w:bottom w:val="single" w:sz="8" w:color="0077C0"/>
            </w:tcBorders>
          </w:tcPr>
          <w:p>
            <w:pPr>
              <w:ind w:left="120"/>
              <w:spacing w:after="0"/>
              <w:rPr>
                <w:sz w:val="20"/>
                <w:szCs w:val="20"/>
                <w:color w:val="auto"/>
              </w:rPr>
            </w:pPr>
            <w:r>
              <w:rPr>
                <w:rFonts w:ascii="Arial" w:cs="Arial" w:eastAsia="Arial" w:hAnsi="Arial"/>
                <w:sz w:val="10"/>
                <w:szCs w:val="10"/>
                <w:b w:val="1"/>
                <w:bCs w:val="1"/>
                <w:color w:val="auto"/>
              </w:rPr>
              <w:t>Total</w:t>
            </w:r>
          </w:p>
        </w:tc>
        <w:tc>
          <w:tcPr>
            <w:tcW w:w="80" w:type="dxa"/>
            <w:vAlign w:val="bottom"/>
            <w:tcBorders>
              <w:top w:val="single" w:sz="8" w:color="0077C0"/>
              <w:bottom w:val="single" w:sz="8" w:color="0077C0"/>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0077C0"/>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3"/>
              </w:rPr>
              <w:t>233,432</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0077C0"/>
              <w:bottom w:val="single" w:sz="8" w:color="0077C0"/>
            </w:tcBorders>
          </w:tcPr>
          <w:p>
            <w:pPr>
              <w:jc w:val="right"/>
              <w:ind w:right="150"/>
              <w:spacing w:after="0"/>
              <w:rPr>
                <w:sz w:val="20"/>
                <w:szCs w:val="20"/>
                <w:color w:val="auto"/>
              </w:rPr>
            </w:pPr>
            <w:r>
              <w:rPr>
                <w:rFonts w:ascii="Arial" w:cs="Arial" w:eastAsia="Arial" w:hAnsi="Arial"/>
                <w:sz w:val="10"/>
                <w:szCs w:val="10"/>
                <w:color w:val="auto"/>
                <w:w w:val="93"/>
              </w:rPr>
              <w:t>207,367</w:t>
            </w:r>
          </w:p>
        </w:tc>
        <w:tc>
          <w:tcPr>
            <w:tcW w:w="2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w w:val="99"/>
              </w:rPr>
              <w:t>188,288</w:t>
            </w:r>
          </w:p>
        </w:tc>
        <w:tc>
          <w:tcPr>
            <w:tcW w:w="200" w:type="dxa"/>
            <w:vAlign w:val="bottom"/>
            <w:tcBorders>
              <w:top w:val="single" w:sz="8" w:color="0077C0"/>
              <w:bottom w:val="single" w:sz="8" w:color="0077C0"/>
              <w:right w:val="single" w:sz="8" w:color="0077C0"/>
            </w:tcBorders>
          </w:tcPr>
          <w:p>
            <w:pPr>
              <w:spacing w:after="0"/>
              <w:rPr>
                <w:sz w:val="10"/>
                <w:szCs w:val="10"/>
                <w:color w:val="auto"/>
              </w:rPr>
            </w:pPr>
          </w:p>
        </w:tc>
        <w:tc>
          <w:tcPr>
            <w:tcW w:w="160" w:type="dxa"/>
            <w:vAlign w:val="bottom"/>
            <w:tcBorders>
              <w:top w:val="single" w:sz="8" w:color="0077C0"/>
              <w:bottom w:val="single" w:sz="8" w:color="0077C0"/>
            </w:tcBorders>
            <w:gridSpan w:val="2"/>
          </w:tcPr>
          <w:p>
            <w:pPr>
              <w:jc w:val="right"/>
              <w:ind w:right="20"/>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0077C0"/>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9"/>
              </w:rPr>
              <w:t>122,608</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0077C0"/>
              <w:bottom w:val="single" w:sz="8" w:color="0077C0"/>
            </w:tcBorders>
          </w:tcPr>
          <w:p>
            <w:pPr>
              <w:jc w:val="right"/>
              <w:ind w:right="49"/>
              <w:spacing w:after="0"/>
              <w:rPr>
                <w:sz w:val="20"/>
                <w:szCs w:val="20"/>
                <w:color w:val="auto"/>
              </w:rPr>
            </w:pPr>
            <w:r>
              <w:rPr>
                <w:rFonts w:ascii="Arial" w:cs="Arial" w:eastAsia="Arial" w:hAnsi="Arial"/>
                <w:sz w:val="10"/>
                <w:szCs w:val="10"/>
                <w:color w:val="auto"/>
                <w:w w:val="93"/>
              </w:rPr>
              <w:t>104,504</w:t>
            </w:r>
          </w:p>
        </w:tc>
        <w:tc>
          <w:tcPr>
            <w:tcW w:w="4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0077C0"/>
              <w:bottom w:val="single" w:sz="8" w:color="0077C0"/>
              <w:right w:val="single" w:sz="8" w:color="0077C0"/>
            </w:tcBorders>
            <w:gridSpan w:val="2"/>
          </w:tcPr>
          <w:p>
            <w:pPr>
              <w:jc w:val="right"/>
              <w:ind w:right="220"/>
              <w:spacing w:after="0"/>
              <w:rPr>
                <w:sz w:val="20"/>
                <w:szCs w:val="20"/>
                <w:color w:val="auto"/>
              </w:rPr>
            </w:pPr>
            <w:r>
              <w:rPr>
                <w:rFonts w:ascii="Arial" w:cs="Arial" w:eastAsia="Arial" w:hAnsi="Arial"/>
                <w:sz w:val="10"/>
                <w:szCs w:val="10"/>
                <w:color w:val="auto"/>
                <w:w w:val="91"/>
              </w:rPr>
              <w:t>96,468</w:t>
            </w:r>
          </w:p>
        </w:tc>
        <w:tc>
          <w:tcPr>
            <w:tcW w:w="100" w:type="dxa"/>
            <w:vAlign w:val="bottom"/>
            <w:tcBorders>
              <w:top w:val="single" w:sz="8" w:color="0077C0"/>
              <w:bottom w:val="single" w:sz="8" w:color="0077C0"/>
            </w:tcBorders>
          </w:tcPr>
          <w:p>
            <w:pPr>
              <w:spacing w:after="0"/>
              <w:rPr>
                <w:sz w:val="10"/>
                <w:szCs w:val="10"/>
                <w:color w:val="auto"/>
              </w:rPr>
            </w:pPr>
          </w:p>
        </w:tc>
        <w:tc>
          <w:tcPr>
            <w:tcW w:w="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0077C0"/>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7"/>
              </w:rPr>
              <w:t>32,391</w:t>
            </w:r>
          </w:p>
        </w:tc>
        <w:tc>
          <w:tcPr>
            <w:tcW w:w="3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w w:val="91"/>
              </w:rPr>
              <w:t>21,145</w:t>
            </w:r>
          </w:p>
        </w:tc>
        <w:tc>
          <w:tcPr>
            <w:tcW w:w="460" w:type="dxa"/>
            <w:vAlign w:val="bottom"/>
            <w:tcBorders>
              <w:top w:val="single" w:sz="8" w:color="0077C0"/>
              <w:bottom w:val="single" w:sz="8" w:color="0077C0"/>
            </w:tcBorders>
          </w:tcPr>
          <w:p>
            <w:pPr>
              <w:jc w:val="center"/>
              <w:ind w:left="29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0077C0"/>
              <w:bottom w:val="single" w:sz="8" w:color="0077C0"/>
              <w:right w:val="single" w:sz="8" w:color="0077C0"/>
            </w:tcBorders>
            <w:gridSpan w:val="2"/>
          </w:tcPr>
          <w:p>
            <w:pPr>
              <w:jc w:val="right"/>
              <w:ind w:right="240"/>
              <w:spacing w:after="0"/>
              <w:rPr>
                <w:sz w:val="20"/>
                <w:szCs w:val="20"/>
                <w:color w:val="auto"/>
              </w:rPr>
            </w:pPr>
            <w:r>
              <w:rPr>
                <w:rFonts w:ascii="Arial" w:cs="Arial" w:eastAsia="Arial" w:hAnsi="Arial"/>
                <w:sz w:val="10"/>
                <w:szCs w:val="10"/>
                <w:color w:val="auto"/>
                <w:w w:val="91"/>
              </w:rPr>
              <w:t>17,008</w:t>
            </w:r>
          </w:p>
        </w:tc>
        <w:tc>
          <w:tcPr>
            <w:tcW w:w="80" w:type="dxa"/>
            <w:vAlign w:val="bottom"/>
            <w:tcBorders>
              <w:top w:val="single" w:sz="8" w:color="0077C0"/>
              <w:bottom w:val="single" w:sz="8" w:color="0077C0"/>
            </w:tcBorders>
          </w:tcPr>
          <w:p>
            <w:pPr>
              <w:spacing w:after="0"/>
              <w:rPr>
                <w:sz w:val="10"/>
                <w:szCs w:val="10"/>
                <w:color w:val="auto"/>
              </w:rPr>
            </w:pPr>
          </w:p>
        </w:tc>
        <w:tc>
          <w:tcPr>
            <w:tcW w:w="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0077C0"/>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w w:val="97"/>
              </w:rPr>
              <w:t>12,911</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0077C0"/>
              <w:bottom w:val="single" w:sz="8" w:color="0077C0"/>
            </w:tcBorders>
          </w:tcPr>
          <w:p>
            <w:pPr>
              <w:jc w:val="right"/>
              <w:ind w:right="150"/>
              <w:spacing w:after="0"/>
              <w:rPr>
                <w:sz w:val="20"/>
                <w:szCs w:val="20"/>
                <w:color w:val="auto"/>
              </w:rPr>
            </w:pPr>
            <w:r>
              <w:rPr>
                <w:rFonts w:ascii="Arial" w:cs="Arial" w:eastAsia="Arial" w:hAnsi="Arial"/>
                <w:sz w:val="10"/>
                <w:szCs w:val="10"/>
                <w:color w:val="auto"/>
                <w:w w:val="97"/>
              </w:rPr>
              <w:t>13,063</w:t>
            </w:r>
          </w:p>
        </w:tc>
        <w:tc>
          <w:tcPr>
            <w:tcW w:w="3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w w:val="91"/>
              </w:rPr>
              <w:t>12,110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23" w:hanging="123"/>
        <w:spacing w:after="0"/>
        <w:tabs>
          <w:tab w:leader="none" w:pos="123" w:val="left"/>
        </w:tabs>
        <w:numPr>
          <w:ilvl w:val="0"/>
          <w:numId w:val="37"/>
        </w:numPr>
        <w:rPr>
          <w:rFonts w:ascii="Arial" w:cs="Arial" w:eastAsia="Arial" w:hAnsi="Arial"/>
          <w:sz w:val="7"/>
          <w:szCs w:val="7"/>
          <w:color w:val="auto"/>
        </w:rPr>
      </w:pPr>
      <w:r>
        <w:rPr>
          <w:rFonts w:ascii="Arial" w:cs="Arial" w:eastAsia="Arial" w:hAnsi="Arial"/>
          <w:sz w:val="8"/>
          <w:szCs w:val="8"/>
          <w:color w:val="auto"/>
        </w:rPr>
        <w:t>Other than the United States, Nigeria and Australia, no other country accounted for 10 percent or more of the company’s net properties, plant and equipment (PP&amp;E) in 2011. Nigeria had PP&amp;E of $15,601, $13,896 and $12,463 for 2011, 2010 and 2009, respectively. Australia had $12,423 in 2011.</w:t>
      </w:r>
    </w:p>
    <w:p>
      <w:pPr>
        <w:spacing w:after="0" w:line="21" w:lineRule="exact"/>
        <w:rPr>
          <w:rFonts w:ascii="Arial" w:cs="Arial" w:eastAsia="Arial" w:hAnsi="Arial"/>
          <w:sz w:val="7"/>
          <w:szCs w:val="7"/>
          <w:color w:val="auto"/>
        </w:rPr>
      </w:pPr>
    </w:p>
    <w:p>
      <w:pPr>
        <w:ind w:left="3" w:right="7100"/>
        <w:spacing w:after="0" w:line="275" w:lineRule="auto"/>
        <w:rPr>
          <w:rFonts w:ascii="Arial" w:cs="Arial" w:eastAsia="Arial" w:hAnsi="Arial"/>
          <w:sz w:val="7"/>
          <w:szCs w:val="7"/>
          <w:color w:val="auto"/>
        </w:rPr>
      </w:pPr>
      <w:r>
        <w:rPr>
          <w:rFonts w:ascii="Arial" w:cs="Arial" w:eastAsia="Arial" w:hAnsi="Arial"/>
          <w:sz w:val="8"/>
          <w:szCs w:val="8"/>
          <w:color w:val="auto"/>
        </w:rPr>
        <w:t>2 Net of dry hole expense related to prior years’ expenditures of $45, $82 and $84 in 2011, 2010 and 2009, respectively. 3 Includes properties acquired with the acquisition of Atlas Energy, Inc. in 2011.</w:t>
      </w:r>
    </w:p>
    <w:p>
      <w:pPr>
        <w:ind w:left="3"/>
        <w:spacing w:after="0"/>
        <w:rPr>
          <w:rFonts w:ascii="Arial" w:cs="Arial" w:eastAsia="Arial" w:hAnsi="Arial"/>
          <w:sz w:val="7"/>
          <w:szCs w:val="7"/>
          <w:color w:val="auto"/>
        </w:rPr>
      </w:pPr>
      <w:r>
        <w:rPr>
          <w:rFonts w:ascii="Arial" w:cs="Arial" w:eastAsia="Arial" w:hAnsi="Arial"/>
          <w:sz w:val="8"/>
          <w:szCs w:val="8"/>
          <w:color w:val="auto"/>
        </w:rPr>
        <w:t>4  Depreciation expense includes accretion expense of $628, $513 and $463 in 2011, 2010 and 2009, respectively.</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5  Primarily mining operations, power generation businesses, real estate assets and management information systems.</w:t>
      </w:r>
    </w:p>
    <w:p>
      <w:pPr>
        <w:sectPr>
          <w:pgSz w:w="11900" w:h="16838" w:orient="portrait"/>
          <w:cols w:equalWidth="0" w:num="1">
            <w:col w:w="11463"/>
          </w:cols>
          <w:pgMar w:left="217" w:top="338" w:right="219" w:bottom="1440" w:gutter="0" w:footer="0" w:header="0"/>
        </w:sectPr>
      </w:pPr>
    </w:p>
    <w:p>
      <w:pPr>
        <w:spacing w:after="0" w:line="138"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0077C0"/>
        </w:rPr>
        <w:t>Note 14</w:t>
      </w:r>
    </w:p>
    <w:p>
      <w:pPr>
        <w:spacing w:after="0" w:line="25" w:lineRule="exact"/>
        <w:rPr>
          <w:sz w:val="20"/>
          <w:szCs w:val="20"/>
          <w:color w:val="auto"/>
        </w:rPr>
      </w:pPr>
    </w:p>
    <w:p>
      <w:pPr>
        <w:ind w:left="3"/>
        <w:spacing w:after="0"/>
        <w:rPr>
          <w:sz w:val="20"/>
          <w:szCs w:val="20"/>
          <w:color w:val="auto"/>
        </w:rPr>
      </w:pPr>
      <w:r>
        <w:rPr>
          <w:rFonts w:ascii="Arial" w:cs="Arial" w:eastAsia="Arial" w:hAnsi="Arial"/>
          <w:sz w:val="10"/>
          <w:szCs w:val="10"/>
          <w:color w:val="0077C0"/>
        </w:rPr>
        <w:t>Litigation</w:t>
      </w:r>
    </w:p>
    <w:p>
      <w:pPr>
        <w:ind w:left="3"/>
        <w:spacing w:after="0" w:line="298" w:lineRule="auto"/>
        <w:rPr>
          <w:sz w:val="20"/>
          <w:szCs w:val="20"/>
          <w:color w:val="auto"/>
        </w:rPr>
      </w:pPr>
      <w:r>
        <w:rPr>
          <w:rFonts w:ascii="Arial" w:cs="Arial" w:eastAsia="Arial" w:hAnsi="Arial"/>
          <w:sz w:val="11"/>
          <w:szCs w:val="11"/>
          <w:i w:val="1"/>
          <w:iCs w:val="1"/>
          <w:color w:val="E51837"/>
        </w:rPr>
        <w:t xml:space="preserve">MTBE </w:t>
      </w:r>
      <w:r>
        <w:rPr>
          <w:rFonts w:ascii="Arial" w:cs="Arial" w:eastAsia="Arial" w:hAnsi="Arial"/>
          <w:sz w:val="11"/>
          <w:szCs w:val="11"/>
          <w:color w:val="000000"/>
        </w:rPr>
        <w:t>Chevron and many other companies in the petroleum industry have used methyl tertiary butyl ether</w:t>
      </w:r>
      <w:r>
        <w:rPr>
          <w:rFonts w:ascii="Arial" w:cs="Arial" w:eastAsia="Arial" w:hAnsi="Arial"/>
          <w:sz w:val="11"/>
          <w:szCs w:val="11"/>
          <w:i w:val="1"/>
          <w:iCs w:val="1"/>
          <w:color w:val="E51837"/>
        </w:rPr>
        <w:t xml:space="preserve"> </w:t>
      </w:r>
      <w:r>
        <w:rPr>
          <w:rFonts w:ascii="Arial" w:cs="Arial" w:eastAsia="Arial" w:hAnsi="Arial"/>
          <w:sz w:val="11"/>
          <w:szCs w:val="11"/>
          <w:color w:val="000000"/>
        </w:rPr>
        <w:t>(MTBE) as a gasoline additive. Chevron is a party to eight pending lawsuits and claims, the majority of which involve numerous other petroleum marketers and refiners. Resolution of these lawsuits and claims may ultimately require the company to correct or ameliorate the alleged effects on the environment of prior release of MTBE by the company or other parties. Additional lawsuits and claims related to the use of MTBE, including personal-injury claims, may be filed in the future. The company’s ultimate exposure related to pending lawsuits and claims is not determinable, but could be material to net income in any one period. The company no longer uses MTBE in the manufacture of gasoline in the United States.</w:t>
      </w:r>
    </w:p>
    <w:p>
      <w:pPr>
        <w:spacing w:after="0" w:line="41" w:lineRule="exact"/>
        <w:rPr>
          <w:sz w:val="20"/>
          <w:szCs w:val="20"/>
          <w:color w:val="auto"/>
        </w:rPr>
      </w:pPr>
    </w:p>
    <w:p>
      <w:pPr>
        <w:ind w:left="3" w:right="60"/>
        <w:spacing w:after="0" w:line="275" w:lineRule="auto"/>
        <w:rPr>
          <w:sz w:val="20"/>
          <w:szCs w:val="20"/>
          <w:color w:val="auto"/>
        </w:rPr>
      </w:pPr>
      <w:r>
        <w:rPr>
          <w:rFonts w:ascii="Arial" w:cs="Arial" w:eastAsia="Arial" w:hAnsi="Arial"/>
          <w:sz w:val="12"/>
          <w:szCs w:val="12"/>
          <w:i w:val="1"/>
          <w:iCs w:val="1"/>
          <w:color w:val="E51837"/>
        </w:rPr>
        <w:t xml:space="preserve">Ecuador </w:t>
      </w:r>
      <w:r>
        <w:rPr>
          <w:rFonts w:ascii="Arial" w:cs="Arial" w:eastAsia="Arial" w:hAnsi="Arial"/>
          <w:sz w:val="12"/>
          <w:szCs w:val="12"/>
          <w:color w:val="000000"/>
        </w:rPr>
        <w:t>Chevron is a defendant in a civil lawsuit before the Superior Court of Nueva Loja in Lago Agrio,</w:t>
      </w:r>
      <w:r>
        <w:rPr>
          <w:rFonts w:ascii="Arial" w:cs="Arial" w:eastAsia="Arial" w:hAnsi="Arial"/>
          <w:sz w:val="12"/>
          <w:szCs w:val="12"/>
          <w:i w:val="1"/>
          <w:iCs w:val="1"/>
          <w:color w:val="E51837"/>
        </w:rPr>
        <w:t xml:space="preserve"> </w:t>
      </w:r>
      <w:r>
        <w:rPr>
          <w:rFonts w:ascii="Arial" w:cs="Arial" w:eastAsia="Arial" w:hAnsi="Arial"/>
          <w:sz w:val="12"/>
          <w:szCs w:val="12"/>
          <w:color w:val="000000"/>
        </w:rPr>
        <w:t>Ecuador, brought in May 2003 by plaintiffs who claim to be representatives of certain residents of an area where an oil production consortium formerly had operations. The lawsuit alleges damage to the environment from the oil exploration and production operations and seeks unspecified damages to fund environmental remediation and restoration of the alleged environmental harm, plus a health monitoring program. Until 1992, Texaco Petroleum Company (Texpet), a subsidiary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Texaco Inc., was a minority member of this consortium with Petroecuador, the Ecuadorian state-owned oil company, as the majority partner; since 1990, the operations have been conducted solely by Petroecuador. At the conclusion of the consortium and following an independent third-party environmental audit of the concession area, Texpet entered into a formal agreement with the Republic of Ecuador and Petroecuador for Texpet to remediate specific sites assigned by the government in proportion to Texpet’s ownership share of the consortium. Pursuant to that agreement, Texpet conducted a three-year remediation program at a cost of $40. After certifying that the sites were properly remediated, the government granted Texpet and all related corporate entities a full release from any and all environmental liability arising from the consortium operations.</w:t>
      </w:r>
    </w:p>
    <w:p>
      <w:pPr>
        <w:ind w:firstLine="160"/>
        <w:spacing w:after="0" w:line="300" w:lineRule="auto"/>
        <w:rPr>
          <w:sz w:val="20"/>
          <w:szCs w:val="20"/>
          <w:color w:val="auto"/>
        </w:rPr>
      </w:pPr>
      <w:r>
        <w:rPr>
          <w:rFonts w:ascii="Arial" w:cs="Arial" w:eastAsia="Arial" w:hAnsi="Arial"/>
          <w:sz w:val="11"/>
          <w:szCs w:val="11"/>
          <w:color w:val="auto"/>
        </w:rPr>
        <w:t>Based on the history described above, Chevron believes that this lawsuit lacks legal or factual merit. As to matters of law, the company believes first, that the court lacks jurisdiction over Chevron; second, that the law under which plaintiffs bring the action, enacted in 1999, cannot be applied retroactively; third, that the claims are barred by the statute of limitations in Ecuador; and, fourth, that the lawsuit is also barred by the releases from liability previously given to Texpet by the Republic of Ecuador and Petroecuador and by the pertinent provincial and municipal governments. With regard to the facts, the company believes that the evidence confirms that Texpet’s remediation was properly conducted and that the</w:t>
      </w:r>
    </w:p>
    <w:p>
      <w:pPr>
        <w:spacing w:after="0" w:line="200" w:lineRule="exact"/>
        <w:rPr>
          <w:sz w:val="20"/>
          <w:szCs w:val="20"/>
          <w:color w:val="auto"/>
        </w:rPr>
      </w:pPr>
    </w:p>
    <w:p>
      <w:pPr>
        <w:sectPr>
          <w:pgSz w:w="11900" w:h="16838" w:orient="portrait"/>
          <w:cols w:equalWidth="0" w:num="2">
            <w:col w:w="5503" w:space="460"/>
            <w:col w:w="5500"/>
          </w:cols>
          <w:pgMar w:left="217" w:top="338" w:right="219" w:bottom="1440" w:gutter="0" w:footer="0" w:header="0"/>
          <w:type w:val="continuous"/>
        </w:sectPr>
      </w:pPr>
    </w:p>
    <w:p>
      <w:pPr>
        <w:spacing w:after="0" w:line="52"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720"/>
        <w:spacing w:after="0"/>
        <w:rPr>
          <w:sz w:val="20"/>
          <w:szCs w:val="20"/>
          <w:color w:val="auto"/>
        </w:rPr>
      </w:pPr>
      <w:r>
        <w:rPr>
          <w:rFonts w:ascii="Arial" w:cs="Arial" w:eastAsia="Arial" w:hAnsi="Arial"/>
          <w:sz w:val="10"/>
          <w:szCs w:val="10"/>
          <w:color w:val="0077C0"/>
        </w:rPr>
        <w:t>Notes to the Consolidated Financial Statements</w:t>
      </w:r>
    </w:p>
    <w:p>
      <w:pPr>
        <w:jc w:val="right"/>
        <w:ind w:right="572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14 </w:t>
      </w:r>
      <w:r>
        <w:rPr>
          <w:rFonts w:ascii="Arial" w:cs="Arial" w:eastAsia="Arial" w:hAnsi="Arial"/>
          <w:sz w:val="8"/>
          <w:szCs w:val="8"/>
          <w:color w:val="000000"/>
        </w:rPr>
        <w:t>Litigation - Continued</w:t>
      </w:r>
    </w:p>
    <w:p>
      <w:pPr>
        <w:sectPr>
          <w:pgSz w:w="11900" w:h="16838" w:orient="portrait"/>
          <w:cols w:equalWidth="0" w:num="1">
            <w:col w:w="11460"/>
          </w:cols>
          <w:pgMar w:left="220" w:top="339" w:right="219" w:bottom="1440" w:gutter="0" w:footer="0" w:header="0"/>
        </w:sectPr>
      </w:pPr>
    </w:p>
    <w:p>
      <w:pPr>
        <w:spacing w:after="0" w:line="327" w:lineRule="exact"/>
        <w:rPr>
          <w:sz w:val="20"/>
          <w:szCs w:val="20"/>
          <w:color w:val="auto"/>
        </w:rPr>
      </w:pPr>
    </w:p>
    <w:p>
      <w:pPr>
        <w:ind w:right="120"/>
        <w:spacing w:after="0" w:line="274" w:lineRule="auto"/>
        <w:rPr>
          <w:sz w:val="20"/>
          <w:szCs w:val="20"/>
          <w:color w:val="auto"/>
        </w:rPr>
      </w:pPr>
      <w:r>
        <w:rPr>
          <w:rFonts w:ascii="Arial" w:cs="Arial" w:eastAsia="Arial" w:hAnsi="Arial"/>
          <w:sz w:val="12"/>
          <w:szCs w:val="12"/>
          <w:color w:val="auto"/>
        </w:rPr>
        <w:t>remaining environmental damage reflects Petroecuador’s failure to timely fulfill its legal obligations and Petroecuador’s further conduct since assuming full control over the operations.</w:t>
      </w:r>
    </w:p>
    <w:p>
      <w:pPr>
        <w:spacing w:after="0" w:line="1" w:lineRule="exact"/>
        <w:rPr>
          <w:sz w:val="20"/>
          <w:szCs w:val="20"/>
          <w:color w:val="auto"/>
        </w:rPr>
      </w:pPr>
    </w:p>
    <w:p>
      <w:pPr>
        <w:ind w:right="20" w:firstLine="160"/>
        <w:spacing w:after="0" w:line="295" w:lineRule="auto"/>
        <w:rPr>
          <w:sz w:val="20"/>
          <w:szCs w:val="20"/>
          <w:color w:val="auto"/>
        </w:rPr>
      </w:pPr>
      <w:r>
        <w:rPr>
          <w:rFonts w:ascii="Arial" w:cs="Arial" w:eastAsia="Arial" w:hAnsi="Arial"/>
          <w:sz w:val="11"/>
          <w:szCs w:val="11"/>
          <w:color w:val="auto"/>
        </w:rPr>
        <w:t>In 2008, a mining engineer appointed by the court to identify and determine the cause of environmental damage, and to specify steps needed to remediate it, issued a report recommending that the court assess $18,900, which would, according to the engineer, provide financial compensation for purported damages, including wrongful death claims, and pay for, among other items, environmental remediation, health care systems and additional infrastructure for Petroecuador. The engineer’s report also asserted that an additional $8,400 could be assessed against Chevron for unjust enrichment. In 2009, following the disclosure by Chevron of evidence that the judge participated in meetings in which businesspeople and individuals holding themselves out as government officials discussed the case and its likely outcome, the judge presiding over the case was recused. In 2010, Chevron moved to strike the mining engineer’s report and to dismiss the case based on evidence obtained through discovery in the United States indicating that the report was prepared by consultants for the plaintiffs before being presented as the mining engineer’s independent and impartial work and showing further evidence of misconduct. In August 2010, the judge issued an order stating that he was not bound by the mining engineer’s report and requiring the parties to provide their positions on damages within 45 days. Chevron subsequently petitioned for recusal of the judge, claiming that he had disregarded evidence of fraud and misconduct and that he had failed to rule on a number of motions within the statutory time requirement.</w:t>
      </w:r>
    </w:p>
    <w:p>
      <w:pPr>
        <w:spacing w:after="0" w:line="128" w:lineRule="exact"/>
        <w:rPr>
          <w:sz w:val="20"/>
          <w:szCs w:val="20"/>
          <w:color w:val="auto"/>
        </w:rPr>
      </w:pPr>
    </w:p>
    <w:p>
      <w:pPr>
        <w:ind w:firstLine="160"/>
        <w:spacing w:after="0" w:line="296" w:lineRule="auto"/>
        <w:rPr>
          <w:sz w:val="20"/>
          <w:szCs w:val="20"/>
          <w:color w:val="auto"/>
        </w:rPr>
      </w:pPr>
      <w:r>
        <w:rPr>
          <w:rFonts w:ascii="Arial" w:cs="Arial" w:eastAsia="Arial" w:hAnsi="Arial"/>
          <w:sz w:val="11"/>
          <w:szCs w:val="11"/>
          <w:color w:val="auto"/>
        </w:rPr>
        <w:t>In September 2010, Chevron submitted its position on damages, asserting that no amount should be assessed against it. The plaintiffs’submission, which relied in part on the mining engineer’s report, took the position that damages are between approximately $16,000 and $76,000 and that unjust enrichment should be assessed in an amount between approximately $5,000 and $38,000. The next day, the judge issued an order closing the evidentiary phase of the case and notifying the parties that he had requested the case file so that he could prepare a judgment. Chevron petitioned to have that order declared a nullity in light of Chevron’s prior recusal petition, and because procedural and evidentiary matters remained unresolved. In October 2010, Chevron’s motion to recuse the judge was granted. A new judge took charge of the case and revoked the prior judge’s order closing the evidentiary phase of the case. On December 17, 2010, the judge issued an order closing the evidentiary phase of the case and notifying the parties that he had requested the case file so that he could prepare a judgment.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firstLine="160"/>
        <w:spacing w:after="0" w:line="294" w:lineRule="auto"/>
        <w:rPr>
          <w:sz w:val="20"/>
          <w:szCs w:val="20"/>
          <w:color w:val="auto"/>
        </w:rPr>
      </w:pPr>
      <w:r>
        <w:rPr>
          <w:rFonts w:ascii="Arial" w:cs="Arial" w:eastAsia="Arial" w:hAnsi="Arial"/>
          <w:sz w:val="11"/>
          <w:szCs w:val="11"/>
          <w:color w:val="auto"/>
        </w:rPr>
        <w:t>On February 14, 2011, the provincial court in Lago Agrio rendered an adverse judgment in the case. The court rejected Chevron’s defenses to the extent the court addressed them in its opinion. The judgment assessed approximately $8,600 in damages and approximately $900 as an award for the plaintiffs’ representatives. It also assessed an additional amount of approximately $8,600 in punitive damages unless the company issued a public apology within 15 days of the judgment, which Chevron did not do. On February 17, 2011, the plaintiffs appealed the judgment, seeking increased damages, and on March 11, 2011, Chevron appealed the judgment seeking to have the judgment nullified. On January 3, 2012, an appellate panel in the provincial court affirmed the February 14, 2011 decision and ordered that Chevron pay additional attorneys’ fees in the amount of “.10% of the values that are derived from the decisional act of this judgment.” The plaintiffs filed a petition to clarify and amplify the appellate decision on January 6, 2012, and the court issued a ruling in response on January 13, 2012, purporting to clarify and amplify its January 3, 2012 ruling, which included clarification that the deadline for the company to issue a public apology to avoid the additional amount of approximately $8,600 in punitive damages was within fifteen days of the clarification ruling, or February 3, 2012. Chevron did not issue an apology because doing so might be mischaracterized as an admission of liability and would be contrary to facts and evidence submitted at trial. On January 20, 2012, Chevron appealed (called a petition for cassation) the appellate panel’s decision to Ecuador’s National Court of Justice. As part of the appeal, Chevron requested the suspension of any requirement that Chevron post a bond to prevent enforcement under Ecuadorian law of the judgment during the cassation appeal. On February 17, 2012, the appellate panel of the provincial court admitted Chevron’s cassation appeal in a procedural step necessary for the National Court of Justice to hear the appeal. The provincial court appellate panel denied Chevron’s request for a suspension of the requirement that Chevron post a bond and stated that it would not comply with the first Interim Award of the international arbitration tribunal discussed below. Chevron continues to believe the provincial court’s judgment is illegitimate and unenforceable in Ecuador, the United States and other countries. The company also believes the judgment is the product of fraud, and contrary to the legitimate scientific evidence. Chevron cannot predict the timing or ultimate outcome of the appeals process in Ecuador. Chevron will continue a vigorous defense of any imposition of liability. Chevron has no assets in Ecuador and the Lago Agrio plaintiffs’ lawyers have stated in press releases and through other media that they will seek to enforce the Ecuadorian judgement in various countries and otherwise disrupt Chevron’s operations. Chevron expects to contest and defend against any such actions.</w:t>
      </w:r>
    </w:p>
    <w:p>
      <w:pPr>
        <w:spacing w:after="0" w:line="353" w:lineRule="exact"/>
        <w:rPr>
          <w:sz w:val="20"/>
          <w:szCs w:val="20"/>
          <w:color w:val="auto"/>
        </w:rPr>
      </w:pPr>
    </w:p>
    <w:p>
      <w:pPr>
        <w:sectPr>
          <w:pgSz w:w="11900" w:h="16838" w:orient="portrait"/>
          <w:cols w:equalWidth="0" w:num="2">
            <w:col w:w="5480" w:space="480"/>
            <w:col w:w="5500"/>
          </w:cols>
          <w:pgMar w:left="220" w:top="339" w:right="21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83" w:name="page84"/>
    <w:bookmarkEnd w:id="83"/>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85990" cy="500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160"/>
        <w:spacing w:after="0" w:line="295" w:lineRule="auto"/>
        <w:rPr>
          <w:sz w:val="20"/>
          <w:szCs w:val="20"/>
          <w:color w:val="auto"/>
        </w:rPr>
      </w:pPr>
      <w:r>
        <w:rPr>
          <w:rFonts w:ascii="Arial" w:cs="Arial" w:eastAsia="Arial" w:hAnsi="Arial"/>
          <w:sz w:val="11"/>
          <w:szCs w:val="11"/>
          <w:color w:val="auto"/>
        </w:rPr>
        <w:t>Chevron and Texpet filed an arbitration claim in September 2009 against the Republic of Ecuador before an arbitral tribunal presiding in the Permanent Court of Arbitration in The Hague under the Rules of the United Nations Commission on International Trade Law. The claim alleges violations of the Republic of Ecuador’s obligations under the United States–Ecuador Bilateral Investment Treaty (BIT) and breaches of the settlement and release agreements between the Republic of Ecuador and Texpet (described above), which are investment agreements protected by the BIT. Through the arbitration, Chevron and Texpet are seeking relief against the Republic of Ecuador, including a declaration that any judgment against Chevron in the Lago Agrio litigation constitutes a violation of Ecuador’s obligations under the BIT. On February 9, 2011, the Tribunal issued an Order for Interim Measures requiring the Republic of Ecuador to take all measures at its disposal to suspend or cause to be suspended the enforcement or recognition within and without Ecuador of any judgment against Chevron in the Lago Agrio case pending further order of the Tribunal. On January 25, 2012, the Tribunal converted the Order for Interim Measures into an Interim Award. Chevron filed a renewed application for further interim measures on January 4, 2012, and the Republic of Ecuador opposed Chevron’s application and requested that the existing Order for Interim Measures be vacated on January 9, 2012. On February 16, 2012, the Tribunal issued a second Interim Award mandating that the Republic of Ecuador take all measures necessary (whether by its judicial, legislative or executive branches) to suspend or cause to be suspended the enforcement and recognition within and without Ecuador of the judgment against Chevron and, in particular, to preclude any certification by the Republic of Ecuador that would cause the judgment to be enforceable against Chevron. Chevron expects to continue seeking permanent injunctive relief and monetary relief before the Tribunal.</w:t>
      </w:r>
    </w:p>
    <w:p>
      <w:pPr>
        <w:spacing w:after="0" w:line="130" w:lineRule="exact"/>
        <w:rPr>
          <w:sz w:val="20"/>
          <w:szCs w:val="20"/>
          <w:color w:val="auto"/>
        </w:rPr>
      </w:pPr>
    </w:p>
    <w:p>
      <w:pPr>
        <w:ind w:firstLine="158"/>
        <w:spacing w:after="0" w:line="299" w:lineRule="auto"/>
        <w:rPr>
          <w:sz w:val="20"/>
          <w:szCs w:val="20"/>
          <w:color w:val="auto"/>
        </w:rPr>
      </w:pPr>
      <w:r>
        <w:rPr>
          <w:rFonts w:ascii="Arial" w:cs="Arial" w:eastAsia="Arial" w:hAnsi="Arial"/>
          <w:sz w:val="11"/>
          <w:szCs w:val="11"/>
          <w:color w:val="auto"/>
        </w:rPr>
        <w:t>Through a series of recent U.S. court proceedings initiated by Chevron to obtain discovery relating to the Lago Agrio litigation and the BIT arbitration, Chevron has obtained evidence that it believes shows a pattern of fraud, collusion, corruption, and other misconduct on the part of several lawyers, consultants and others acting for the Lago Agrio plaintiffs. In February 2011, Chevron filed a civil lawsuit in the Federal District Court for the Southern District of New York against the Lago Agrio plaintiffs and several of their lawyers, consultants and supporters, alleging violations of the Racketeer Influenced and Corrupt Organizations Act and other state laws. Through the civil lawsuit, Chevron is seeking relief that includes an award of damages and a declaration that any judgment against Chevron in the Lago Agrio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93" w:lineRule="auto"/>
        <w:rPr>
          <w:sz w:val="20"/>
          <w:szCs w:val="20"/>
          <w:color w:val="auto"/>
        </w:rPr>
      </w:pPr>
      <w:r>
        <w:rPr>
          <w:rFonts w:ascii="Arial" w:cs="Arial" w:eastAsia="Arial" w:hAnsi="Arial"/>
          <w:sz w:val="11"/>
          <w:szCs w:val="11"/>
          <w:color w:val="auto"/>
        </w:rPr>
        <w:t>litigation is the result of fraud and other unlawful conduct and is therefore unenforceable. On March 7, 2011, the Federal District Court issued a preliminary injunction prohibiting the Lago Agrio plaintiffs and persons acting in concert with them from taking any action in furtherance of recognition or enforcement of any judgment against Chevron in the Lago Agrio case pending resolution of Chevron’s civil lawsuit by the Federal District Court. On May 31, 2011, the Federal District Court severed claims one through eight of Chevron’s complaint from the ninth claim for declaratory relief and imposed a discovery stay on claims one through eight pending a trial on the ninth claim for declaratory relief. On September 19, 2011, the U.S. Court of Appeals for the Second Circuit vacated the preliminary injunction, stayed the trial on Chevron’s ninth claim, a claim for declaratory relief, that had been set for November 14, 2011, and denied the defendants’ mandamus petition to recuse the judge hearing the lawsuit. The Second Circuit issued its opinion on January 26, 2012 ordering the dismissal of Chevron’s ninth claim for declaratory relief. On February 16, 2012, the Federal District Court lifted the stay on claims one through eight.</w:t>
      </w:r>
    </w:p>
    <w:p>
      <w:pPr>
        <w:ind w:right="20" w:firstLine="158"/>
        <w:spacing w:after="0" w:line="271" w:lineRule="auto"/>
        <w:rPr>
          <w:sz w:val="20"/>
          <w:szCs w:val="20"/>
          <w:color w:val="auto"/>
        </w:rPr>
      </w:pPr>
      <w:r>
        <w:rPr>
          <w:rFonts w:ascii="Arial" w:cs="Arial" w:eastAsia="Arial" w:hAnsi="Arial"/>
          <w:sz w:val="12"/>
          <w:szCs w:val="12"/>
          <w:color w:val="auto"/>
        </w:rPr>
        <w:t>The ultimate outcome of the foregoing matters, including any financial effect on Chevron, remains uncertain. Management does not believe an estimate of a reasonably possible loss (or a range of loss) can be made in this case. Due to the defects associated with the Ecuadorian judgment, the 2008 engineer’s report on alleged damages and the September 2010 plaintiffs’submission on alleged damages, management does not believe these documents have any utility in calculating a reasonably possible loss (or a range of loss). Moreover, the highly uncertain legal environment surrounding the case provides no basis for management to estimate a reasonably possible loss (or a range of loss).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15</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Taxes</w:t>
      </w:r>
    </w:p>
    <w:p>
      <w:pPr>
        <w:spacing w:after="0"/>
        <w:rPr>
          <w:sz w:val="20"/>
          <w:szCs w:val="20"/>
          <w:color w:val="auto"/>
        </w:rPr>
      </w:pPr>
      <w:r>
        <w:rPr>
          <w:rFonts w:ascii="Arial" w:cs="Arial" w:eastAsia="Arial" w:hAnsi="Arial"/>
          <w:sz w:val="13"/>
          <w:szCs w:val="13"/>
          <w:i w:val="1"/>
          <w:iCs w:val="1"/>
          <w:color w:val="auto"/>
        </w:rPr>
        <w:t>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9"/>
                <w:szCs w:val="9"/>
                <w:color w:val="auto"/>
                <w:w w:val="87"/>
              </w:rPr>
              <w:t>Year ended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60" w:type="dxa"/>
            <w:vAlign w:val="bottom"/>
            <w:tcBorders>
              <w:bottom w:val="single" w:sz="8" w:color="0077C0"/>
            </w:tcBorders>
          </w:tcPr>
          <w:p>
            <w:pPr>
              <w:spacing w:after="0"/>
              <w:rPr>
                <w:sz w:val="7"/>
                <w:szCs w:val="7"/>
                <w:color w:val="auto"/>
              </w:rPr>
            </w:pPr>
          </w:p>
        </w:tc>
        <w:tc>
          <w:tcPr>
            <w:tcW w:w="1480" w:type="dxa"/>
            <w:vAlign w:val="bottom"/>
            <w:tcBorders>
              <w:bottom w:val="single" w:sz="8" w:color="0077C0"/>
            </w:tcBorders>
          </w:tcPr>
          <w:p>
            <w:pPr>
              <w:spacing w:after="0"/>
              <w:rPr>
                <w:sz w:val="7"/>
                <w:szCs w:val="7"/>
                <w:color w:val="auto"/>
              </w:rPr>
            </w:pPr>
          </w:p>
        </w:tc>
        <w:tc>
          <w:tcPr>
            <w:tcW w:w="6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ind w:right="109"/>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110"/>
              <w:spacing w:after="0" w:line="86" w:lineRule="exact"/>
              <w:rPr>
                <w:sz w:val="20"/>
                <w:szCs w:val="20"/>
                <w:color w:val="auto"/>
              </w:rPr>
            </w:pPr>
            <w:r>
              <w:rPr>
                <w:rFonts w:ascii="Arial" w:cs="Arial" w:eastAsia="Arial" w:hAnsi="Arial"/>
                <w:sz w:val="9"/>
                <w:szCs w:val="9"/>
                <w:color w:val="auto"/>
              </w:rPr>
              <w:t>2010</w:t>
            </w:r>
          </w:p>
        </w:tc>
        <w:tc>
          <w:tcPr>
            <w:tcW w:w="220" w:type="dxa"/>
            <w:vAlign w:val="bottom"/>
            <w:tcBorders>
              <w:top w:val="single" w:sz="8" w:color="0077C0"/>
              <w:bottom w:val="single" w:sz="8" w:color="0077C0"/>
            </w:tcBorders>
          </w:tcPr>
          <w:p>
            <w:pPr>
              <w:spacing w:after="0"/>
              <w:rPr>
                <w:sz w:val="7"/>
                <w:szCs w:val="7"/>
                <w:color w:val="auto"/>
              </w:rPr>
            </w:pPr>
          </w:p>
        </w:tc>
        <w:tc>
          <w:tcPr>
            <w:tcW w:w="2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60" w:type="dxa"/>
            <w:vAlign w:val="bottom"/>
          </w:tcPr>
          <w:p>
            <w:pPr>
              <w:spacing w:after="0" w:line="92" w:lineRule="exact"/>
              <w:rPr>
                <w:sz w:val="20"/>
                <w:szCs w:val="20"/>
                <w:color w:val="auto"/>
              </w:rPr>
            </w:pPr>
            <w:r>
              <w:rPr>
                <w:rFonts w:ascii="Arial" w:cs="Arial" w:eastAsia="Arial" w:hAnsi="Arial"/>
                <w:sz w:val="10"/>
                <w:szCs w:val="10"/>
                <w:color w:val="auto"/>
              </w:rPr>
              <w:t>Taxes on income</w:t>
            </w: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380" w:type="dxa"/>
            <w:vAlign w:val="bottom"/>
            <w:gridSpan w:val="2"/>
          </w:tcPr>
          <w:p>
            <w:pPr>
              <w:spacing w:after="0" w:line="106" w:lineRule="exact"/>
              <w:rPr>
                <w:sz w:val="20"/>
                <w:szCs w:val="20"/>
                <w:color w:val="auto"/>
              </w:rPr>
            </w:pPr>
            <w:r>
              <w:rPr>
                <w:rFonts w:ascii="Arial" w:cs="Arial" w:eastAsia="Arial" w:hAnsi="Arial"/>
                <w:sz w:val="10"/>
                <w:szCs w:val="10"/>
                <w:color w:val="auto"/>
              </w:rPr>
              <w:t>U.S. Federal</w:t>
            </w:r>
          </w:p>
        </w:tc>
        <w:tc>
          <w:tcPr>
            <w:tcW w:w="15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1,893</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60" w:type="dxa"/>
            <w:vAlign w:val="bottom"/>
          </w:tcPr>
          <w:p>
            <w:pPr>
              <w:ind w:left="120"/>
              <w:spacing w:after="0" w:line="104" w:lineRule="exact"/>
              <w:rPr>
                <w:sz w:val="20"/>
                <w:szCs w:val="20"/>
                <w:color w:val="auto"/>
              </w:rPr>
            </w:pPr>
            <w:r>
              <w:rPr>
                <w:rFonts w:ascii="Arial" w:cs="Arial" w:eastAsia="Arial" w:hAnsi="Arial"/>
                <w:sz w:val="10"/>
                <w:szCs w:val="10"/>
                <w:color w:val="auto"/>
              </w:rPr>
              <w:t>Current</w:t>
            </w:r>
          </w:p>
        </w:tc>
        <w:tc>
          <w:tcPr>
            <w:tcW w:w="154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1,501</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128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ind w:left="120"/>
              <w:spacing w:after="0" w:line="108" w:lineRule="exact"/>
              <w:rPr>
                <w:sz w:val="20"/>
                <w:szCs w:val="20"/>
                <w:color w:val="auto"/>
              </w:rPr>
            </w:pPr>
            <w:r>
              <w:rPr>
                <w:rFonts w:ascii="Arial" w:cs="Arial" w:eastAsia="Arial" w:hAnsi="Arial"/>
                <w:sz w:val="10"/>
                <w:szCs w:val="10"/>
                <w:color w:val="auto"/>
              </w:rPr>
              <w:t>Deferred</w:t>
            </w: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877</w:t>
            </w:r>
          </w:p>
        </w:tc>
        <w:tc>
          <w:tcPr>
            <w:tcW w:w="160" w:type="dxa"/>
            <w:vAlign w:val="bottom"/>
          </w:tcPr>
          <w:p>
            <w:pPr>
              <w:spacing w:after="0"/>
              <w:rPr>
                <w:sz w:val="9"/>
                <w:szCs w:val="9"/>
                <w:color w:val="auto"/>
              </w:rPr>
            </w:pPr>
          </w:p>
        </w:tc>
        <w:tc>
          <w:tcPr>
            <w:tcW w:w="440" w:type="dxa"/>
            <w:vAlign w:val="bottom"/>
          </w:tcPr>
          <w:p>
            <w:pPr>
              <w:jc w:val="right"/>
              <w:ind w:right="110"/>
              <w:spacing w:after="0" w:line="108" w:lineRule="exact"/>
              <w:rPr>
                <w:sz w:val="20"/>
                <w:szCs w:val="20"/>
                <w:color w:val="auto"/>
              </w:rPr>
            </w:pPr>
            <w:r>
              <w:rPr>
                <w:rFonts w:ascii="Arial" w:cs="Arial" w:eastAsia="Arial" w:hAnsi="Arial"/>
                <w:sz w:val="10"/>
                <w:szCs w:val="10"/>
                <w:color w:val="auto"/>
              </w:rPr>
              <w:t>162</w:t>
            </w:r>
          </w:p>
        </w:tc>
        <w:tc>
          <w:tcPr>
            <w:tcW w:w="220" w:type="dxa"/>
            <w:vAlign w:val="bottom"/>
          </w:tcPr>
          <w:p>
            <w:pPr>
              <w:spacing w:after="0"/>
              <w:rPr>
                <w:sz w:val="9"/>
                <w:szCs w:val="9"/>
                <w:color w:val="auto"/>
              </w:rPr>
            </w:pP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06"/>
        </w:trPr>
        <w:tc>
          <w:tcPr>
            <w:tcW w:w="2380" w:type="dxa"/>
            <w:vAlign w:val="bottom"/>
            <w:gridSpan w:val="2"/>
          </w:tcPr>
          <w:p>
            <w:pPr>
              <w:spacing w:after="0" w:line="106" w:lineRule="exact"/>
              <w:rPr>
                <w:sz w:val="20"/>
                <w:szCs w:val="20"/>
                <w:color w:val="auto"/>
              </w:rPr>
            </w:pPr>
            <w:r>
              <w:rPr>
                <w:rFonts w:ascii="Arial" w:cs="Arial" w:eastAsia="Arial" w:hAnsi="Arial"/>
                <w:sz w:val="10"/>
                <w:szCs w:val="10"/>
                <w:color w:val="auto"/>
              </w:rPr>
              <w:t>State and local</w:t>
            </w: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596</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60" w:type="dxa"/>
            <w:vAlign w:val="bottom"/>
          </w:tcPr>
          <w:p>
            <w:pPr>
              <w:ind w:left="120"/>
              <w:spacing w:after="0" w:line="104" w:lineRule="exact"/>
              <w:rPr>
                <w:sz w:val="20"/>
                <w:szCs w:val="20"/>
                <w:color w:val="auto"/>
              </w:rPr>
            </w:pPr>
            <w:r>
              <w:rPr>
                <w:rFonts w:ascii="Arial" w:cs="Arial" w:eastAsia="Arial" w:hAnsi="Arial"/>
                <w:sz w:val="10"/>
                <w:szCs w:val="10"/>
                <w:color w:val="auto"/>
              </w:rPr>
              <w:t>Current</w:t>
            </w: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376</w:t>
            </w:r>
          </w:p>
        </w:tc>
        <w:tc>
          <w:tcPr>
            <w:tcW w:w="22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216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Deferred</w:t>
            </w:r>
          </w:p>
        </w:tc>
        <w:tc>
          <w:tcPr>
            <w:tcW w:w="14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41</w:t>
            </w:r>
          </w:p>
        </w:tc>
        <w:tc>
          <w:tcPr>
            <w:tcW w:w="1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20</w:t>
            </w:r>
          </w:p>
        </w:tc>
        <w:tc>
          <w:tcPr>
            <w:tcW w:w="22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3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United States</w:t>
            </w:r>
          </w:p>
        </w:tc>
        <w:tc>
          <w:tcPr>
            <w:tcW w:w="14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3,407</w:t>
            </w:r>
          </w:p>
        </w:tc>
        <w:tc>
          <w:tcPr>
            <w:tcW w:w="1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2,059</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380" w:type="dxa"/>
            <w:vAlign w:val="bottom"/>
            <w:gridSpan w:val="2"/>
          </w:tcPr>
          <w:p>
            <w:pPr>
              <w:spacing w:after="0" w:line="92" w:lineRule="exact"/>
              <w:rPr>
                <w:sz w:val="20"/>
                <w:szCs w:val="20"/>
                <w:color w:val="auto"/>
              </w:rPr>
            </w:pPr>
            <w:r>
              <w:rPr>
                <w:rFonts w:ascii="Arial" w:cs="Arial" w:eastAsia="Arial" w:hAnsi="Arial"/>
                <w:sz w:val="10"/>
                <w:szCs w:val="10"/>
                <w:color w:val="auto"/>
              </w:rPr>
              <w:t>International</w:t>
            </w: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w w:val="91"/>
              </w:rPr>
              <w:t>16,548</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60" w:type="dxa"/>
            <w:vAlign w:val="bottom"/>
          </w:tcPr>
          <w:p>
            <w:pPr>
              <w:ind w:left="120"/>
              <w:spacing w:after="0" w:line="104" w:lineRule="exact"/>
              <w:rPr>
                <w:sz w:val="20"/>
                <w:szCs w:val="20"/>
                <w:color w:val="auto"/>
              </w:rPr>
            </w:pPr>
            <w:r>
              <w:rPr>
                <w:rFonts w:ascii="Arial" w:cs="Arial" w:eastAsia="Arial" w:hAnsi="Arial"/>
                <w:sz w:val="10"/>
                <w:szCs w:val="10"/>
                <w:color w:val="auto"/>
              </w:rPr>
              <w:t>Current</w:t>
            </w: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w w:val="84"/>
              </w:rPr>
              <w:t>10,483</w:t>
            </w:r>
          </w:p>
        </w:tc>
        <w:tc>
          <w:tcPr>
            <w:tcW w:w="22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7,154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Deferred</w:t>
            </w:r>
          </w:p>
        </w:tc>
        <w:tc>
          <w:tcPr>
            <w:tcW w:w="14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671</w:t>
            </w:r>
          </w:p>
        </w:tc>
        <w:tc>
          <w:tcPr>
            <w:tcW w:w="1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377</w:t>
            </w:r>
          </w:p>
        </w:tc>
        <w:tc>
          <w:tcPr>
            <w:tcW w:w="22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3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International</w:t>
            </w:r>
          </w:p>
        </w:tc>
        <w:tc>
          <w:tcPr>
            <w:tcW w:w="14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1"/>
              </w:rPr>
              <w:t>17,219</w:t>
            </w:r>
          </w:p>
        </w:tc>
        <w:tc>
          <w:tcPr>
            <w:tcW w:w="1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w w:val="84"/>
              </w:rPr>
              <w:t>10,860</w:t>
            </w:r>
          </w:p>
        </w:tc>
        <w:tc>
          <w:tcPr>
            <w:tcW w:w="22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7,754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38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taxes on income</w:t>
            </w:r>
          </w:p>
        </w:tc>
        <w:tc>
          <w:tcPr>
            <w:tcW w:w="154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1"/>
              </w:rPr>
              <w:t>20,626</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w w:val="84"/>
              </w:rPr>
              <w:t>12,919</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7,965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460"/>
        <w:spacing w:after="0" w:line="267" w:lineRule="auto"/>
        <w:rPr>
          <w:sz w:val="20"/>
          <w:szCs w:val="20"/>
          <w:color w:val="auto"/>
        </w:rPr>
      </w:pPr>
      <w:r>
        <w:rPr>
          <w:rFonts w:ascii="Arial" w:cs="Arial" w:eastAsia="Arial" w:hAnsi="Arial"/>
          <w:sz w:val="13"/>
          <w:szCs w:val="13"/>
          <w:color w:val="auto"/>
        </w:rPr>
        <w:t>In 2011, before-tax income for U.S. operations, including related corporate and other charges, was $10,222, compared</w:t>
      </w:r>
    </w:p>
    <w:p>
      <w:pPr>
        <w:spacing w:after="0" w:line="20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980"/>
        <w:spacing w:after="0"/>
        <w:rPr>
          <w:sz w:val="20"/>
          <w:szCs w:val="20"/>
          <w:color w:val="auto"/>
        </w:rPr>
      </w:pPr>
      <w:r>
        <w:rPr>
          <w:rFonts w:ascii="Arial" w:cs="Arial" w:eastAsia="Arial" w:hAnsi="Arial"/>
          <w:sz w:val="10"/>
          <w:szCs w:val="10"/>
          <w:color w:val="0077C0"/>
        </w:rPr>
        <w:t>Notes to the Consolidated Financial Statements</w:t>
      </w:r>
    </w:p>
    <w:p>
      <w:pPr>
        <w:jc w:val="right"/>
        <w:ind w:right="596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15 </w:t>
      </w:r>
      <w:r>
        <w:rPr>
          <w:rFonts w:ascii="Arial" w:cs="Arial" w:eastAsia="Arial" w:hAnsi="Arial"/>
          <w:sz w:val="8"/>
          <w:szCs w:val="8"/>
          <w:color w:val="000000"/>
        </w:rPr>
        <w:t>Taxes - Continued</w:t>
      </w:r>
    </w:p>
    <w:p>
      <w:pPr>
        <w:sectPr>
          <w:pgSz w:w="11900" w:h="16838" w:orient="portrait"/>
          <w:cols w:equalWidth="0" w:num="1">
            <w:col w:w="11460"/>
          </w:cols>
          <w:pgMar w:left="220" w:top="338" w:right="219" w:bottom="1440" w:gutter="0" w:footer="0" w:header="0"/>
        </w:sectPr>
      </w:pPr>
    </w:p>
    <w:p>
      <w:pPr>
        <w:spacing w:after="0" w:line="327"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with before-tax income of $6,528 and $1,310 in 2010 and 2009, respectively. For international operations, before-tax income was $37,412, $25,527 and $17,218 in 2011, 2010 and 2009, respectively. U.S. federal income tax expense was reduced by $191, $162 and $204 in 2011, 2010 and 2009, respectively, for business tax credits.</w:t>
      </w:r>
    </w:p>
    <w:p>
      <w:pPr>
        <w:spacing w:after="0" w:line="1" w:lineRule="exact"/>
        <w:rPr>
          <w:sz w:val="20"/>
          <w:szCs w:val="20"/>
          <w:color w:val="auto"/>
        </w:rPr>
      </w:pPr>
    </w:p>
    <w:p>
      <w:pPr>
        <w:ind w:right="340" w:firstLine="158"/>
        <w:spacing w:after="0" w:line="253" w:lineRule="auto"/>
        <w:rPr>
          <w:sz w:val="20"/>
          <w:szCs w:val="20"/>
          <w:color w:val="auto"/>
        </w:rPr>
      </w:pPr>
      <w:r>
        <w:rPr>
          <w:rFonts w:ascii="Arial" w:cs="Arial" w:eastAsia="Arial" w:hAnsi="Arial"/>
          <w:sz w:val="13"/>
          <w:szCs w:val="13"/>
          <w:color w:val="auto"/>
        </w:rPr>
        <w:t>The reconciliation between the U.S. statutory federal income tax rate and the company’s effective income tax rate is detailed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9"/>
                <w:szCs w:val="9"/>
                <w:color w:val="auto"/>
              </w:rPr>
              <w:t>Year ended December 31</w:t>
            </w:r>
          </w:p>
        </w:tc>
        <w:tc>
          <w:tcPr>
            <w:tcW w:w="0" w:type="dxa"/>
            <w:vAlign w:val="bottom"/>
          </w:tcPr>
          <w:p>
            <w:pPr>
              <w:spacing w:after="0"/>
              <w:rPr>
                <w:sz w:val="1"/>
                <w:szCs w:val="1"/>
                <w:color w:val="auto"/>
              </w:rPr>
            </w:pPr>
          </w:p>
        </w:tc>
      </w:tr>
      <w:tr>
        <w:trPr>
          <w:trHeight w:val="86"/>
        </w:trPr>
        <w:tc>
          <w:tcPr>
            <w:tcW w:w="3800" w:type="dxa"/>
            <w:vAlign w:val="bottom"/>
            <w:tcBorders>
              <w:bottom w:val="single" w:sz="8" w:color="0077C0"/>
            </w:tcBorders>
          </w:tcPr>
          <w:p>
            <w:pPr>
              <w:spacing w:after="0"/>
              <w:rPr>
                <w:sz w:val="7"/>
                <w:szCs w:val="7"/>
                <w:color w:val="auto"/>
              </w:rPr>
            </w:pPr>
          </w:p>
        </w:tc>
        <w:tc>
          <w:tcPr>
            <w:tcW w:w="540" w:type="dxa"/>
            <w:vAlign w:val="bottom"/>
            <w:tcBorders>
              <w:top w:val="single" w:sz="8" w:color="0077C0"/>
              <w:bottom w:val="single" w:sz="8" w:color="0077C0"/>
            </w:tcBorders>
          </w:tcPr>
          <w:p>
            <w:pPr>
              <w:jc w:val="right"/>
              <w:ind w:right="169"/>
              <w:spacing w:after="0" w:line="86" w:lineRule="exact"/>
              <w:rPr>
                <w:sz w:val="20"/>
                <w:szCs w:val="20"/>
                <w:color w:val="auto"/>
              </w:rPr>
            </w:pPr>
            <w:r>
              <w:rPr>
                <w:rFonts w:ascii="Arial" w:cs="Arial" w:eastAsia="Arial" w:hAnsi="Arial"/>
                <w:sz w:val="9"/>
                <w:szCs w:val="9"/>
                <w:b w:val="1"/>
                <w:bCs w:val="1"/>
                <w:color w:val="auto"/>
              </w:rPr>
              <w:t>2011</w:t>
            </w:r>
          </w:p>
        </w:tc>
        <w:tc>
          <w:tcPr>
            <w:tcW w:w="700" w:type="dxa"/>
            <w:vAlign w:val="bottom"/>
            <w:tcBorders>
              <w:top w:val="single" w:sz="8" w:color="0077C0"/>
              <w:bottom w:val="single" w:sz="8" w:color="0077C0"/>
            </w:tcBorders>
          </w:tcPr>
          <w:p>
            <w:pPr>
              <w:jc w:val="right"/>
              <w:ind w:right="250"/>
              <w:spacing w:after="0" w:line="86" w:lineRule="exact"/>
              <w:rPr>
                <w:sz w:val="20"/>
                <w:szCs w:val="20"/>
                <w:color w:val="auto"/>
              </w:rPr>
            </w:pPr>
            <w:r>
              <w:rPr>
                <w:rFonts w:ascii="Arial" w:cs="Arial" w:eastAsia="Arial" w:hAnsi="Arial"/>
                <w:sz w:val="9"/>
                <w:szCs w:val="9"/>
                <w:color w:val="auto"/>
              </w:rPr>
              <w:t>2010</w:t>
            </w:r>
          </w:p>
        </w:tc>
        <w:tc>
          <w:tcPr>
            <w:tcW w:w="400" w:type="dxa"/>
            <w:vAlign w:val="bottom"/>
            <w:tcBorders>
              <w:top w:val="single" w:sz="8" w:color="0077C0"/>
              <w:bottom w:val="single" w:sz="8" w:color="0077C0"/>
            </w:tcBorders>
            <w:gridSpan w:val="2"/>
          </w:tcPr>
          <w:p>
            <w:pPr>
              <w:jc w:val="right"/>
              <w:ind w:right="20"/>
              <w:spacing w:after="0" w:line="86" w:lineRule="exact"/>
              <w:rPr>
                <w:sz w:val="20"/>
                <w:szCs w:val="20"/>
                <w:color w:val="auto"/>
              </w:rPr>
            </w:pPr>
            <w:r>
              <w:rPr>
                <w:rFonts w:ascii="Arial" w:cs="Arial" w:eastAsia="Arial" w:hAnsi="Arial"/>
                <w:sz w:val="9"/>
                <w:szCs w:val="9"/>
                <w:color w:val="auto"/>
              </w:rPr>
              <w:t>2009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line="92" w:lineRule="exact"/>
              <w:rPr>
                <w:sz w:val="20"/>
                <w:szCs w:val="20"/>
                <w:color w:val="auto"/>
              </w:rPr>
            </w:pPr>
            <w:r>
              <w:rPr>
                <w:rFonts w:ascii="Arial" w:cs="Arial" w:eastAsia="Arial" w:hAnsi="Arial"/>
                <w:sz w:val="10"/>
                <w:szCs w:val="10"/>
                <w:color w:val="auto"/>
              </w:rPr>
              <w:t>U.S. statutory federal income tax rate</w:t>
            </w:r>
          </w:p>
        </w:tc>
        <w:tc>
          <w:tcPr>
            <w:tcW w:w="540" w:type="dxa"/>
            <w:vAlign w:val="bottom"/>
            <w:tcBorders>
              <w:right w:val="single" w:sz="8" w:color="0077C0"/>
            </w:tcBorders>
          </w:tcPr>
          <w:p>
            <w:pPr>
              <w:jc w:val="right"/>
              <w:ind w:right="69"/>
              <w:spacing w:after="0" w:line="92" w:lineRule="exact"/>
              <w:rPr>
                <w:sz w:val="20"/>
                <w:szCs w:val="20"/>
                <w:color w:val="auto"/>
              </w:rPr>
            </w:pPr>
            <w:r>
              <w:rPr>
                <w:rFonts w:ascii="Arial" w:cs="Arial" w:eastAsia="Arial" w:hAnsi="Arial"/>
                <w:sz w:val="10"/>
                <w:szCs w:val="10"/>
                <w:b w:val="1"/>
                <w:bCs w:val="1"/>
                <w:color w:val="auto"/>
              </w:rPr>
              <w:t>35.0%</w:t>
            </w:r>
          </w:p>
        </w:tc>
        <w:tc>
          <w:tcPr>
            <w:tcW w:w="700" w:type="dxa"/>
            <w:vAlign w:val="bottom"/>
          </w:tcPr>
          <w:p>
            <w:pPr>
              <w:jc w:val="right"/>
              <w:ind w:right="150"/>
              <w:spacing w:after="0" w:line="92" w:lineRule="exact"/>
              <w:rPr>
                <w:sz w:val="20"/>
                <w:szCs w:val="20"/>
                <w:color w:val="auto"/>
              </w:rPr>
            </w:pPr>
            <w:r>
              <w:rPr>
                <w:rFonts w:ascii="Arial" w:cs="Arial" w:eastAsia="Arial" w:hAnsi="Arial"/>
                <w:sz w:val="10"/>
                <w:szCs w:val="10"/>
                <w:color w:val="auto"/>
              </w:rPr>
              <w:t>35.0%</w:t>
            </w:r>
          </w:p>
        </w:tc>
        <w:tc>
          <w:tcPr>
            <w:tcW w:w="460" w:type="dxa"/>
            <w:vAlign w:val="bottom"/>
            <w:gridSpan w:val="3"/>
          </w:tcPr>
          <w:p>
            <w:pPr>
              <w:jc w:val="right"/>
              <w:spacing w:after="0" w:line="92" w:lineRule="exact"/>
              <w:rPr>
                <w:sz w:val="20"/>
                <w:szCs w:val="20"/>
                <w:color w:val="auto"/>
              </w:rPr>
            </w:pPr>
            <w:r>
              <w:rPr>
                <w:rFonts w:ascii="Arial" w:cs="Arial" w:eastAsia="Arial" w:hAnsi="Arial"/>
                <w:sz w:val="10"/>
                <w:szCs w:val="10"/>
                <w:color w:val="auto"/>
              </w:rPr>
              <w:t>35.0%</w:t>
            </w: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Effect of income taxes from inter-</w:t>
            </w:r>
          </w:p>
        </w:tc>
        <w:tc>
          <w:tcPr>
            <w:tcW w:w="540" w:type="dxa"/>
            <w:vAlign w:val="bottom"/>
            <w:tcBorders>
              <w:right w:val="single" w:sz="8" w:color="0077C0"/>
            </w:tcBorders>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ind w:left="140"/>
              <w:spacing w:after="0" w:line="106" w:lineRule="exact"/>
              <w:rPr>
                <w:sz w:val="20"/>
                <w:szCs w:val="20"/>
                <w:color w:val="auto"/>
              </w:rPr>
            </w:pPr>
            <w:r>
              <w:rPr>
                <w:rFonts w:ascii="Arial" w:cs="Arial" w:eastAsia="Arial" w:hAnsi="Arial"/>
                <w:sz w:val="10"/>
                <w:szCs w:val="10"/>
                <w:color w:val="auto"/>
              </w:rPr>
              <w:t>national operations at rates different</w:t>
            </w:r>
          </w:p>
        </w:tc>
        <w:tc>
          <w:tcPr>
            <w:tcW w:w="54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7.5</w:t>
            </w: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ind w:left="140"/>
              <w:spacing w:after="0" w:line="106" w:lineRule="exact"/>
              <w:rPr>
                <w:sz w:val="20"/>
                <w:szCs w:val="20"/>
                <w:color w:val="auto"/>
              </w:rPr>
            </w:pPr>
            <w:r>
              <w:rPr>
                <w:rFonts w:ascii="Arial" w:cs="Arial" w:eastAsia="Arial" w:hAnsi="Arial"/>
                <w:sz w:val="10"/>
                <w:szCs w:val="10"/>
                <w:color w:val="auto"/>
              </w:rPr>
              <w:t>from the U.S. statutory rate</w:t>
            </w:r>
          </w:p>
        </w:tc>
        <w:tc>
          <w:tcPr>
            <w:tcW w:w="540" w:type="dxa"/>
            <w:vAlign w:val="bottom"/>
            <w:tcBorders>
              <w:right w:val="single" w:sz="8" w:color="0077C0"/>
            </w:tcBorders>
            <w:vMerge w:val="continue"/>
          </w:tcPr>
          <w:p>
            <w:pPr>
              <w:spacing w:after="0"/>
              <w:rPr>
                <w:sz w:val="9"/>
                <w:szCs w:val="9"/>
                <w:color w:val="auto"/>
              </w:rPr>
            </w:pPr>
          </w:p>
        </w:tc>
        <w:tc>
          <w:tcPr>
            <w:tcW w:w="700" w:type="dxa"/>
            <w:vAlign w:val="bottom"/>
          </w:tcPr>
          <w:p>
            <w:pPr>
              <w:jc w:val="right"/>
              <w:ind w:right="250"/>
              <w:spacing w:after="0" w:line="106" w:lineRule="exact"/>
              <w:rPr>
                <w:sz w:val="20"/>
                <w:szCs w:val="20"/>
                <w:color w:val="auto"/>
              </w:rPr>
            </w:pPr>
            <w:r>
              <w:rPr>
                <w:rFonts w:ascii="Arial" w:cs="Arial" w:eastAsia="Arial" w:hAnsi="Arial"/>
                <w:sz w:val="10"/>
                <w:szCs w:val="10"/>
                <w:color w:val="auto"/>
              </w:rPr>
              <w:t>5.2</w:t>
            </w: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10.4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State and local taxes on income, net</w:t>
            </w:r>
          </w:p>
        </w:tc>
        <w:tc>
          <w:tcPr>
            <w:tcW w:w="54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0.9</w:t>
            </w: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00" w:type="dxa"/>
            <w:vAlign w:val="bottom"/>
          </w:tcPr>
          <w:p>
            <w:pPr>
              <w:ind w:left="140"/>
              <w:spacing w:after="0" w:line="104" w:lineRule="exact"/>
              <w:rPr>
                <w:sz w:val="20"/>
                <w:szCs w:val="20"/>
                <w:color w:val="auto"/>
              </w:rPr>
            </w:pPr>
            <w:r>
              <w:rPr>
                <w:rFonts w:ascii="Arial" w:cs="Arial" w:eastAsia="Arial" w:hAnsi="Arial"/>
                <w:sz w:val="10"/>
                <w:szCs w:val="10"/>
                <w:color w:val="auto"/>
              </w:rPr>
              <w:t>of U.S. federal income tax benefit</w:t>
            </w:r>
          </w:p>
        </w:tc>
        <w:tc>
          <w:tcPr>
            <w:tcW w:w="540" w:type="dxa"/>
            <w:vAlign w:val="bottom"/>
            <w:tcBorders>
              <w:right w:val="single" w:sz="8" w:color="0077C0"/>
            </w:tcBorders>
            <w:vMerge w:val="continue"/>
          </w:tcPr>
          <w:p>
            <w:pPr>
              <w:spacing w:after="0"/>
              <w:rPr>
                <w:sz w:val="9"/>
                <w:szCs w:val="9"/>
                <w:color w:val="auto"/>
              </w:rPr>
            </w:pPr>
          </w:p>
        </w:tc>
        <w:tc>
          <w:tcPr>
            <w:tcW w:w="700" w:type="dxa"/>
            <w:vAlign w:val="bottom"/>
          </w:tcPr>
          <w:p>
            <w:pPr>
              <w:jc w:val="right"/>
              <w:ind w:right="250"/>
              <w:spacing w:after="0" w:line="104" w:lineRule="exact"/>
              <w:rPr>
                <w:sz w:val="20"/>
                <w:szCs w:val="20"/>
                <w:color w:val="auto"/>
              </w:rPr>
            </w:pPr>
            <w:r>
              <w:rPr>
                <w:rFonts w:ascii="Arial" w:cs="Arial" w:eastAsia="Arial" w:hAnsi="Arial"/>
                <w:sz w:val="10"/>
                <w:szCs w:val="10"/>
                <w:color w:val="auto"/>
              </w:rPr>
              <w:t>0.8</w:t>
            </w:r>
          </w:p>
        </w:tc>
        <w:tc>
          <w:tcPr>
            <w:tcW w:w="40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0.9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Prior year tax adjustments</w:t>
            </w:r>
          </w:p>
        </w:tc>
        <w:tc>
          <w:tcPr>
            <w:tcW w:w="54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(0.1)</w:t>
            </w:r>
          </w:p>
        </w:tc>
        <w:tc>
          <w:tcPr>
            <w:tcW w:w="7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(0.6)</w:t>
            </w:r>
          </w:p>
        </w:tc>
        <w:tc>
          <w:tcPr>
            <w:tcW w:w="46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Tax credits</w:t>
            </w:r>
          </w:p>
        </w:tc>
        <w:tc>
          <w:tcPr>
            <w:tcW w:w="540" w:type="dxa"/>
            <w:vAlign w:val="bottom"/>
            <w:tcBorders>
              <w:right w:val="single" w:sz="8" w:color="0077C0"/>
            </w:tcBorders>
          </w:tcPr>
          <w:p>
            <w:pPr>
              <w:jc w:val="right"/>
              <w:ind w:right="149"/>
              <w:spacing w:after="0" w:line="106" w:lineRule="exact"/>
              <w:rPr>
                <w:sz w:val="20"/>
                <w:szCs w:val="20"/>
                <w:color w:val="auto"/>
              </w:rPr>
            </w:pPr>
            <w:r>
              <w:rPr>
                <w:rFonts w:ascii="Arial" w:cs="Arial" w:eastAsia="Arial" w:hAnsi="Arial"/>
                <w:sz w:val="10"/>
                <w:szCs w:val="10"/>
                <w:b w:val="1"/>
                <w:bCs w:val="1"/>
                <w:color w:val="auto"/>
              </w:rPr>
              <w:t>(0.4)</w:t>
            </w:r>
          </w:p>
        </w:tc>
        <w:tc>
          <w:tcPr>
            <w:tcW w:w="7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(0.5)</w:t>
            </w:r>
          </w:p>
        </w:tc>
        <w:tc>
          <w:tcPr>
            <w:tcW w:w="46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6"/>
        </w:trPr>
        <w:tc>
          <w:tcPr>
            <w:tcW w:w="3800" w:type="dxa"/>
            <w:vAlign w:val="bottom"/>
          </w:tcPr>
          <w:p>
            <w:pPr>
              <w:spacing w:after="0" w:line="106" w:lineRule="exact"/>
              <w:rPr>
                <w:sz w:val="20"/>
                <w:szCs w:val="20"/>
                <w:color w:val="auto"/>
              </w:rPr>
            </w:pPr>
            <w:r>
              <w:rPr>
                <w:rFonts w:ascii="Arial" w:cs="Arial" w:eastAsia="Arial" w:hAnsi="Arial"/>
                <w:sz w:val="10"/>
                <w:szCs w:val="10"/>
                <w:color w:val="auto"/>
              </w:rPr>
              <w:t>Effects of changes in tax rates</w:t>
            </w:r>
          </w:p>
        </w:tc>
        <w:tc>
          <w:tcPr>
            <w:tcW w:w="54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0.5</w:t>
            </w:r>
          </w:p>
        </w:tc>
        <w:tc>
          <w:tcPr>
            <w:tcW w:w="700" w:type="dxa"/>
            <w:vAlign w:val="bottom"/>
          </w:tcPr>
          <w:p>
            <w:pPr>
              <w:jc w:val="right"/>
              <w:ind w:right="250"/>
              <w:spacing w:after="0" w:line="106" w:lineRule="exact"/>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0.1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20"/>
                <w:szCs w:val="20"/>
                <w:color w:val="auto"/>
              </w:rPr>
            </w:pPr>
            <w:r>
              <w:rPr>
                <w:rFonts w:ascii="Arial" w:cs="Arial" w:eastAsia="Arial" w:hAnsi="Arial"/>
                <w:sz w:val="10"/>
                <w:szCs w:val="10"/>
                <w:color w:val="auto"/>
              </w:rPr>
              <w:t>Other</w:t>
            </w:r>
          </w:p>
        </w:tc>
        <w:tc>
          <w:tcPr>
            <w:tcW w:w="540" w:type="dxa"/>
            <w:vAlign w:val="bottom"/>
            <w:tcBorders>
              <w:right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(0.1)</w:t>
            </w:r>
          </w:p>
        </w:tc>
        <w:tc>
          <w:tcPr>
            <w:tcW w:w="700" w:type="dxa"/>
            <w:vAlign w:val="bottom"/>
          </w:tcPr>
          <w:p>
            <w:pPr>
              <w:jc w:val="right"/>
              <w:ind w:right="250"/>
              <w:spacing w:after="0"/>
              <w:rPr>
                <w:sz w:val="20"/>
                <w:szCs w:val="20"/>
                <w:color w:val="auto"/>
              </w:rPr>
            </w:pPr>
            <w:r>
              <w:rPr>
                <w:rFonts w:ascii="Arial" w:cs="Arial" w:eastAsia="Arial" w:hAnsi="Arial"/>
                <w:sz w:val="10"/>
                <w:szCs w:val="10"/>
                <w:color w:val="auto"/>
              </w:rPr>
              <w:t>0.4</w:t>
            </w:r>
          </w:p>
        </w:tc>
        <w:tc>
          <w:tcPr>
            <w:tcW w:w="460" w:type="dxa"/>
            <w:vAlign w:val="bottom"/>
            <w:gridSpan w:val="3"/>
          </w:tcPr>
          <w:p>
            <w:pPr>
              <w:jc w:val="right"/>
              <w:ind w:right="40"/>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20"/>
        </w:trPr>
        <w:tc>
          <w:tcPr>
            <w:tcW w:w="3800" w:type="dxa"/>
            <w:vAlign w:val="bottom"/>
            <w:shd w:val="clear" w:color="auto" w:fill="0077C0"/>
          </w:tcPr>
          <w:p>
            <w:pPr>
              <w:spacing w:after="0" w:line="20" w:lineRule="exact"/>
              <w:rPr>
                <w:sz w:val="1"/>
                <w:szCs w:val="1"/>
                <w:color w:val="auto"/>
              </w:rPr>
            </w:pPr>
          </w:p>
        </w:tc>
        <w:tc>
          <w:tcPr>
            <w:tcW w:w="540" w:type="dxa"/>
            <w:vAlign w:val="bottom"/>
            <w:tcBorders>
              <w:right w:val="single" w:sz="8" w:color="0077C0"/>
            </w:tcBorders>
            <w:shd w:val="clear" w:color="auto" w:fill="0077C0"/>
          </w:tcPr>
          <w:p>
            <w:pPr>
              <w:spacing w:after="0" w:line="20" w:lineRule="exact"/>
              <w:rPr>
                <w:sz w:val="1"/>
                <w:szCs w:val="1"/>
                <w:color w:val="auto"/>
              </w:rPr>
            </w:pPr>
          </w:p>
        </w:tc>
        <w:tc>
          <w:tcPr>
            <w:tcW w:w="70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Effective tax rate</w:t>
            </w:r>
          </w:p>
        </w:tc>
        <w:tc>
          <w:tcPr>
            <w:tcW w:w="540" w:type="dxa"/>
            <w:vAlign w:val="bottom"/>
            <w:tcBorders>
              <w:right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43.3%</w:t>
            </w:r>
          </w:p>
        </w:tc>
        <w:tc>
          <w:tcPr>
            <w:tcW w:w="700" w:type="dxa"/>
            <w:vAlign w:val="bottom"/>
          </w:tcPr>
          <w:p>
            <w:pPr>
              <w:jc w:val="right"/>
              <w:ind w:right="150"/>
              <w:spacing w:after="0"/>
              <w:rPr>
                <w:sz w:val="20"/>
                <w:szCs w:val="20"/>
                <w:color w:val="auto"/>
              </w:rPr>
            </w:pPr>
            <w:r>
              <w:rPr>
                <w:rFonts w:ascii="Arial" w:cs="Arial" w:eastAsia="Arial" w:hAnsi="Arial"/>
                <w:sz w:val="10"/>
                <w:szCs w:val="10"/>
                <w:color w:val="auto"/>
              </w:rPr>
              <w:t>40.3%</w:t>
            </w:r>
          </w:p>
        </w:tc>
        <w:tc>
          <w:tcPr>
            <w:tcW w:w="460" w:type="dxa"/>
            <w:vAlign w:val="bottom"/>
            <w:gridSpan w:val="3"/>
          </w:tcPr>
          <w:p>
            <w:pPr>
              <w:jc w:val="right"/>
              <w:spacing w:after="0"/>
              <w:rPr>
                <w:sz w:val="20"/>
                <w:szCs w:val="20"/>
                <w:color w:val="auto"/>
              </w:rPr>
            </w:pPr>
            <w:r>
              <w:rPr>
                <w:rFonts w:ascii="Arial" w:cs="Arial" w:eastAsia="Arial" w:hAnsi="Arial"/>
                <w:sz w:val="10"/>
                <w:szCs w:val="10"/>
                <w:color w:val="auto"/>
              </w:rPr>
              <w:t>43.0%</w:t>
            </w:r>
          </w:p>
        </w:tc>
        <w:tc>
          <w:tcPr>
            <w:tcW w:w="0" w:type="dxa"/>
            <w:vAlign w:val="bottom"/>
          </w:tcPr>
          <w:p>
            <w:pPr>
              <w:spacing w:after="0"/>
              <w:rPr>
                <w:sz w:val="1"/>
                <w:szCs w:val="1"/>
                <w:color w:val="auto"/>
              </w:rPr>
            </w:pPr>
          </w:p>
        </w:tc>
      </w:tr>
      <w:tr>
        <w:trPr>
          <w:trHeight w:val="29"/>
        </w:trPr>
        <w:tc>
          <w:tcPr>
            <w:tcW w:w="3800" w:type="dxa"/>
            <w:vAlign w:val="bottom"/>
            <w:shd w:val="clear" w:color="auto" w:fill="0077C0"/>
          </w:tcPr>
          <w:p>
            <w:pPr>
              <w:spacing w:after="0"/>
              <w:rPr>
                <w:sz w:val="2"/>
                <w:szCs w:val="2"/>
                <w:color w:val="auto"/>
              </w:rPr>
            </w:pPr>
          </w:p>
        </w:tc>
        <w:tc>
          <w:tcPr>
            <w:tcW w:w="540" w:type="dxa"/>
            <w:vAlign w:val="bottom"/>
            <w:tcBorders>
              <w:right w:val="single" w:sz="8" w:color="0077C0"/>
            </w:tcBorders>
            <w:shd w:val="clear" w:color="auto" w:fill="0077C0"/>
          </w:tcPr>
          <w:p>
            <w:pPr>
              <w:spacing w:after="0"/>
              <w:rPr>
                <w:sz w:val="2"/>
                <w:szCs w:val="2"/>
                <w:color w:val="auto"/>
              </w:rPr>
            </w:pPr>
          </w:p>
        </w:tc>
        <w:tc>
          <w:tcPr>
            <w:tcW w:w="7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right="40" w:firstLine="158"/>
        <w:spacing w:after="0" w:line="270" w:lineRule="auto"/>
        <w:rPr>
          <w:sz w:val="20"/>
          <w:szCs w:val="20"/>
          <w:color w:val="auto"/>
        </w:rPr>
      </w:pPr>
      <w:r>
        <w:rPr>
          <w:rFonts w:ascii="Arial" w:cs="Arial" w:eastAsia="Arial" w:hAnsi="Arial"/>
          <w:sz w:val="12"/>
          <w:szCs w:val="12"/>
          <w:color w:val="auto"/>
        </w:rPr>
        <w:t>The company’s effective tax rate increased from 40.3 percent in 2010 to 43.3 percent in 2011. This increase primarily reflected higher effective tax rates in international upstream jurisdictions. The higher international upstream effective tax rates were driven primarily by lower utilization of non-U.S. tax credits in 2011 and the effect of changes in income tax rates between periods, which were partially offset by foreign currency remeasurement impacts between periods.</w:t>
      </w:r>
    </w:p>
    <w:p>
      <w:pPr>
        <w:spacing w:after="0" w:line="1" w:lineRule="exact"/>
        <w:rPr>
          <w:sz w:val="20"/>
          <w:szCs w:val="20"/>
          <w:color w:val="auto"/>
        </w:rPr>
      </w:pPr>
    </w:p>
    <w:p>
      <w:pPr>
        <w:ind w:right="160" w:firstLine="158"/>
        <w:spacing w:after="0" w:line="250" w:lineRule="auto"/>
        <w:rPr>
          <w:sz w:val="20"/>
          <w:szCs w:val="20"/>
          <w:color w:val="auto"/>
        </w:rPr>
      </w:pPr>
      <w:r>
        <w:rPr>
          <w:rFonts w:ascii="Arial" w:cs="Arial" w:eastAsia="Arial" w:hAnsi="Arial"/>
          <w:sz w:val="13"/>
          <w:szCs w:val="13"/>
          <w:color w:val="auto"/>
        </w:rPr>
        <w:t>The company records its deferred taxes on a tax-jurisdiction basis and classifies those net amounts as current or noncurrent based on the balance sheet classification of the related assets or liabilities. The reported deferred tax balances are composed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4440" w:type="dxa"/>
            <w:vAlign w:val="bottom"/>
          </w:tcPr>
          <w:p>
            <w:pPr>
              <w:spacing w:after="0"/>
              <w:rPr>
                <w:sz w:val="9"/>
                <w:szCs w:val="9"/>
                <w:color w:val="auto"/>
              </w:rPr>
            </w:pPr>
          </w:p>
        </w:tc>
        <w:tc>
          <w:tcPr>
            <w:tcW w:w="42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gridSpan w:val="3"/>
          </w:tcPr>
          <w:p>
            <w:pPr>
              <w:jc w:val="right"/>
              <w:ind w:right="20"/>
              <w:spacing w:after="0"/>
              <w:rPr>
                <w:sz w:val="20"/>
                <w:szCs w:val="20"/>
                <w:color w:val="auto"/>
              </w:rPr>
            </w:pPr>
            <w:r>
              <w:rPr>
                <w:rFonts w:ascii="Arial" w:cs="Arial" w:eastAsia="Arial" w:hAnsi="Arial"/>
                <w:sz w:val="9"/>
                <w:szCs w:val="9"/>
                <w:color w:val="auto"/>
                <w:w w:val="89"/>
              </w:rPr>
              <w:t>At December 31</w:t>
            </w:r>
          </w:p>
        </w:tc>
        <w:tc>
          <w:tcPr>
            <w:tcW w:w="0" w:type="dxa"/>
            <w:vAlign w:val="bottom"/>
          </w:tcPr>
          <w:p>
            <w:pPr>
              <w:spacing w:after="0"/>
              <w:rPr>
                <w:sz w:val="1"/>
                <w:szCs w:val="1"/>
                <w:color w:val="auto"/>
              </w:rPr>
            </w:pPr>
          </w:p>
        </w:tc>
      </w:tr>
      <w:tr>
        <w:trPr>
          <w:trHeight w:val="86"/>
        </w:trPr>
        <w:tc>
          <w:tcPr>
            <w:tcW w:w="4440" w:type="dxa"/>
            <w:vAlign w:val="bottom"/>
            <w:tcBorders>
              <w:bottom w:val="single" w:sz="8" w:color="0077C0"/>
            </w:tcBorders>
          </w:tcPr>
          <w:p>
            <w:pPr>
              <w:spacing w:after="0"/>
              <w:rPr>
                <w:sz w:val="7"/>
                <w:szCs w:val="7"/>
                <w:color w:val="auto"/>
              </w:rPr>
            </w:pPr>
          </w:p>
        </w:tc>
        <w:tc>
          <w:tcPr>
            <w:tcW w:w="42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rPr>
              <w:t>2010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440" w:type="dxa"/>
            <w:vAlign w:val="bottom"/>
          </w:tcPr>
          <w:p>
            <w:pPr>
              <w:spacing w:after="0" w:line="92" w:lineRule="exact"/>
              <w:rPr>
                <w:sz w:val="20"/>
                <w:szCs w:val="20"/>
                <w:color w:val="auto"/>
              </w:rPr>
            </w:pPr>
            <w:r>
              <w:rPr>
                <w:rFonts w:ascii="Arial" w:cs="Arial" w:eastAsia="Arial" w:hAnsi="Arial"/>
                <w:sz w:val="10"/>
                <w:szCs w:val="10"/>
                <w:color w:val="auto"/>
              </w:rPr>
              <w:t>Deferred tax liabilities</w:t>
            </w:r>
          </w:p>
        </w:tc>
        <w:tc>
          <w:tcPr>
            <w:tcW w:w="4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2"/>
              </w:rPr>
              <w:t>$ 23,597</w:t>
            </w:r>
          </w:p>
        </w:tc>
        <w:tc>
          <w:tcPr>
            <w:tcW w:w="120" w:type="dxa"/>
            <w:vAlign w:val="bottom"/>
            <w:tcBorders>
              <w:right w:val="single" w:sz="8" w:color="0077C0"/>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440" w:type="dxa"/>
            <w:vAlign w:val="bottom"/>
          </w:tcPr>
          <w:p>
            <w:pPr>
              <w:ind w:left="140"/>
              <w:spacing w:after="0" w:line="104" w:lineRule="exact"/>
              <w:rPr>
                <w:sz w:val="20"/>
                <w:szCs w:val="20"/>
                <w:color w:val="auto"/>
              </w:rPr>
            </w:pPr>
            <w:r>
              <w:rPr>
                <w:rFonts w:ascii="Arial" w:cs="Arial" w:eastAsia="Arial" w:hAnsi="Arial"/>
                <w:sz w:val="10"/>
                <w:szCs w:val="10"/>
                <w:color w:val="auto"/>
              </w:rPr>
              <w:t>Properties, plant and equipment</w:t>
            </w:r>
          </w:p>
        </w:tc>
        <w:tc>
          <w:tcPr>
            <w:tcW w:w="420" w:type="dxa"/>
            <w:vAlign w:val="bottom"/>
            <w:vMerge w:val="continue"/>
          </w:tcPr>
          <w:p>
            <w:pPr>
              <w:spacing w:after="0"/>
              <w:rPr>
                <w:sz w:val="9"/>
                <w:szCs w:val="9"/>
                <w:color w:val="auto"/>
              </w:rPr>
            </w:pPr>
          </w:p>
        </w:tc>
        <w:tc>
          <w:tcPr>
            <w:tcW w:w="120" w:type="dxa"/>
            <w:vAlign w:val="bottom"/>
            <w:tcBorders>
              <w:right w:val="single" w:sz="8" w:color="0077C0"/>
            </w:tcBorders>
          </w:tcPr>
          <w:p>
            <w:pPr>
              <w:spacing w:after="0"/>
              <w:rPr>
                <w:sz w:val="9"/>
                <w:szCs w:val="9"/>
                <w:color w:val="auto"/>
              </w:rPr>
            </w:pPr>
          </w:p>
        </w:tc>
        <w:tc>
          <w:tcPr>
            <w:tcW w:w="480" w:type="dxa"/>
            <w:vAlign w:val="bottom"/>
          </w:tcPr>
          <w:p>
            <w:pPr>
              <w:jc w:val="right"/>
              <w:spacing w:after="0" w:line="104" w:lineRule="exact"/>
              <w:rPr>
                <w:sz w:val="20"/>
                <w:szCs w:val="20"/>
                <w:color w:val="auto"/>
              </w:rPr>
            </w:pPr>
            <w:r>
              <w:rPr>
                <w:rFonts w:ascii="Arial" w:cs="Arial" w:eastAsia="Arial" w:hAnsi="Arial"/>
                <w:sz w:val="10"/>
                <w:szCs w:val="10"/>
                <w:color w:val="auto"/>
              </w:rPr>
              <w:t>$ 19,855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44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Investments and other</w:t>
            </w: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2,271</w:t>
            </w:r>
          </w:p>
        </w:tc>
        <w:tc>
          <w:tcPr>
            <w:tcW w:w="120" w:type="dxa"/>
            <w:vAlign w:val="bottom"/>
            <w:tcBorders>
              <w:bottom w:val="single" w:sz="8" w:color="0077C0"/>
              <w:right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2,401</w:t>
            </w:r>
          </w:p>
        </w:tc>
        <w:tc>
          <w:tcPr>
            <w:tcW w:w="20" w:type="dxa"/>
            <w:vAlign w:val="bottom"/>
            <w:tcBorders>
              <w:bottom w:val="single" w:sz="8" w:color="0077C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deferred tax liabilities</w:t>
            </w:r>
          </w:p>
        </w:tc>
        <w:tc>
          <w:tcPr>
            <w:tcW w:w="4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25,868</w:t>
            </w:r>
          </w:p>
        </w:tc>
        <w:tc>
          <w:tcPr>
            <w:tcW w:w="120" w:type="dxa"/>
            <w:vAlign w:val="bottom"/>
            <w:tcBorders>
              <w:bottom w:val="single" w:sz="8" w:color="0077C0"/>
              <w:right w:val="single" w:sz="8" w:color="0077C0"/>
            </w:tcBorders>
          </w:tcPr>
          <w:p>
            <w:pPr>
              <w:spacing w:after="0"/>
              <w:rPr>
                <w:sz w:val="9"/>
                <w:szCs w:val="9"/>
                <w:color w:val="auto"/>
              </w:rPr>
            </w:pP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22,256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440" w:type="dxa"/>
            <w:vAlign w:val="bottom"/>
          </w:tcPr>
          <w:p>
            <w:pPr>
              <w:spacing w:after="0" w:line="92" w:lineRule="exact"/>
              <w:rPr>
                <w:sz w:val="20"/>
                <w:szCs w:val="20"/>
                <w:color w:val="auto"/>
              </w:rPr>
            </w:pPr>
            <w:r>
              <w:rPr>
                <w:rFonts w:ascii="Arial" w:cs="Arial" w:eastAsia="Arial" w:hAnsi="Arial"/>
                <w:sz w:val="10"/>
                <w:szCs w:val="10"/>
                <w:color w:val="auto"/>
              </w:rPr>
              <w:t>Deferred tax assets</w:t>
            </w:r>
          </w:p>
        </w:tc>
        <w:tc>
          <w:tcPr>
            <w:tcW w:w="4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(8,476)</w:t>
            </w:r>
          </w:p>
        </w:tc>
        <w:tc>
          <w:tcPr>
            <w:tcW w:w="120" w:type="dxa"/>
            <w:vAlign w:val="bottom"/>
            <w:tcBorders>
              <w:right w:val="single" w:sz="8" w:color="0077C0"/>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440" w:type="dxa"/>
            <w:vAlign w:val="bottom"/>
          </w:tcPr>
          <w:p>
            <w:pPr>
              <w:ind w:left="140"/>
              <w:spacing w:after="0" w:line="104" w:lineRule="exact"/>
              <w:rPr>
                <w:sz w:val="20"/>
                <w:szCs w:val="20"/>
                <w:color w:val="auto"/>
              </w:rPr>
            </w:pPr>
            <w:r>
              <w:rPr>
                <w:rFonts w:ascii="Arial" w:cs="Arial" w:eastAsia="Arial" w:hAnsi="Arial"/>
                <w:sz w:val="10"/>
                <w:szCs w:val="10"/>
                <w:color w:val="auto"/>
              </w:rPr>
              <w:t>Foreign tax credits</w:t>
            </w:r>
          </w:p>
        </w:tc>
        <w:tc>
          <w:tcPr>
            <w:tcW w:w="420" w:type="dxa"/>
            <w:vAlign w:val="bottom"/>
            <w:vMerge w:val="continue"/>
          </w:tcPr>
          <w:p>
            <w:pPr>
              <w:spacing w:after="0"/>
              <w:rPr>
                <w:sz w:val="9"/>
                <w:szCs w:val="9"/>
                <w:color w:val="auto"/>
              </w:rPr>
            </w:pP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(6,669)</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Abandonment/environmental reserves</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(5,387)</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(5,004)</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Employee benefits</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(4,773)</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(3,627)</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Deferred credits</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(1,548)</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(2,176)</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Tax loss carryforwards</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(828)</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(882)</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Other accrued liabilities</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(531)</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(486)</w:t>
            </w:r>
          </w:p>
        </w:tc>
        <w:tc>
          <w:tcPr>
            <w:tcW w:w="0" w:type="dxa"/>
            <w:vAlign w:val="bottom"/>
          </w:tcPr>
          <w:p>
            <w:pPr>
              <w:spacing w:after="0"/>
              <w:rPr>
                <w:sz w:val="1"/>
                <w:szCs w:val="1"/>
                <w:color w:val="auto"/>
              </w:rPr>
            </w:pPr>
          </w:p>
        </w:tc>
      </w:tr>
      <w:tr>
        <w:trPr>
          <w:trHeight w:val="106"/>
        </w:trPr>
        <w:tc>
          <w:tcPr>
            <w:tcW w:w="4440" w:type="dxa"/>
            <w:vAlign w:val="bottom"/>
          </w:tcPr>
          <w:p>
            <w:pPr>
              <w:ind w:left="140"/>
              <w:spacing w:after="0" w:line="106" w:lineRule="exact"/>
              <w:rPr>
                <w:sz w:val="20"/>
                <w:szCs w:val="20"/>
                <w:color w:val="auto"/>
              </w:rPr>
            </w:pPr>
            <w:r>
              <w:rPr>
                <w:rFonts w:ascii="Arial" w:cs="Arial" w:eastAsia="Arial" w:hAnsi="Arial"/>
                <w:sz w:val="10"/>
                <w:szCs w:val="10"/>
                <w:color w:val="auto"/>
              </w:rPr>
              <w:t>Inventory</w:t>
            </w: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(360)</w:t>
            </w:r>
          </w:p>
        </w:tc>
        <w:tc>
          <w:tcPr>
            <w:tcW w:w="120" w:type="dxa"/>
            <w:vAlign w:val="bottom"/>
            <w:tcBorders>
              <w:right w:val="single" w:sz="8" w:color="0077C0"/>
            </w:tcBorders>
          </w:tcPr>
          <w:p>
            <w:pPr>
              <w:spacing w:after="0"/>
              <w:rPr>
                <w:sz w:val="9"/>
                <w:szCs w:val="9"/>
                <w:color w:val="auto"/>
              </w:rPr>
            </w:pP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(483)</w:t>
            </w:r>
          </w:p>
        </w:tc>
        <w:tc>
          <w:tcPr>
            <w:tcW w:w="0" w:type="dxa"/>
            <w:vAlign w:val="bottom"/>
          </w:tcPr>
          <w:p>
            <w:pPr>
              <w:spacing w:after="0"/>
              <w:rPr>
                <w:sz w:val="1"/>
                <w:szCs w:val="1"/>
                <w:color w:val="auto"/>
              </w:rPr>
            </w:pPr>
          </w:p>
        </w:tc>
      </w:tr>
      <w:tr>
        <w:trPr>
          <w:trHeight w:val="120"/>
        </w:trPr>
        <w:tc>
          <w:tcPr>
            <w:tcW w:w="4440" w:type="dxa"/>
            <w:vAlign w:val="bottom"/>
          </w:tcPr>
          <w:p>
            <w:pPr>
              <w:ind w:left="140"/>
              <w:spacing w:after="0"/>
              <w:rPr>
                <w:sz w:val="20"/>
                <w:szCs w:val="20"/>
                <w:color w:val="auto"/>
              </w:rPr>
            </w:pPr>
            <w:r>
              <w:rPr>
                <w:rFonts w:ascii="Arial" w:cs="Arial" w:eastAsia="Arial" w:hAnsi="Arial"/>
                <w:sz w:val="10"/>
                <w:szCs w:val="10"/>
                <w:color w:val="auto"/>
              </w:rPr>
              <w:t>Miscellaneous</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(1,595)</w:t>
            </w:r>
          </w:p>
        </w:tc>
        <w:tc>
          <w:tcPr>
            <w:tcW w:w="120" w:type="dxa"/>
            <w:vAlign w:val="bottom"/>
            <w:tcBorders>
              <w:right w:val="single" w:sz="8" w:color="0077C0"/>
            </w:tcBorders>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(1,676)</w:t>
            </w:r>
          </w:p>
        </w:tc>
        <w:tc>
          <w:tcPr>
            <w:tcW w:w="0" w:type="dxa"/>
            <w:vAlign w:val="bottom"/>
          </w:tcPr>
          <w:p>
            <w:pPr>
              <w:spacing w:after="0"/>
              <w:rPr>
                <w:sz w:val="1"/>
                <w:szCs w:val="1"/>
                <w:color w:val="auto"/>
              </w:rPr>
            </w:pPr>
          </w:p>
        </w:tc>
      </w:tr>
      <w:tr>
        <w:trPr>
          <w:trHeight w:val="105"/>
        </w:trPr>
        <w:tc>
          <w:tcPr>
            <w:tcW w:w="44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Total deferred tax assets</w:t>
            </w:r>
          </w:p>
        </w:tc>
        <w:tc>
          <w:tcPr>
            <w:tcW w:w="4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(23,498)</w:t>
            </w:r>
          </w:p>
        </w:tc>
        <w:tc>
          <w:tcPr>
            <w:tcW w:w="120" w:type="dxa"/>
            <w:vAlign w:val="bottom"/>
            <w:tcBorders>
              <w:top w:val="single" w:sz="8" w:color="0077C0"/>
              <w:bottom w:val="single" w:sz="8" w:color="0077C0"/>
              <w:right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(21,003)</w:t>
            </w:r>
          </w:p>
        </w:tc>
        <w:tc>
          <w:tcPr>
            <w:tcW w:w="20" w:type="dxa"/>
            <w:vAlign w:val="bottom"/>
            <w:tcBorders>
              <w:bottom w:val="single" w:sz="8" w:color="0077C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4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Deferred tax assets valuation allowance</w:t>
            </w:r>
          </w:p>
        </w:tc>
        <w:tc>
          <w:tcPr>
            <w:tcW w:w="42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11,096</w:t>
            </w:r>
          </w:p>
        </w:tc>
        <w:tc>
          <w:tcPr>
            <w:tcW w:w="120" w:type="dxa"/>
            <w:vAlign w:val="bottom"/>
            <w:tcBorders>
              <w:bottom w:val="single" w:sz="8" w:color="0077C0"/>
              <w:right w:val="single" w:sz="8" w:color="0077C0"/>
            </w:tcBorders>
          </w:tcPr>
          <w:p>
            <w:pPr>
              <w:spacing w:after="0"/>
              <w:rPr>
                <w:sz w:val="9"/>
                <w:szCs w:val="9"/>
                <w:color w:val="auto"/>
              </w:rPr>
            </w:pPr>
          </w:p>
        </w:tc>
        <w:tc>
          <w:tcPr>
            <w:tcW w:w="4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9,185</w:t>
            </w:r>
          </w:p>
        </w:tc>
        <w:tc>
          <w:tcPr>
            <w:tcW w:w="20" w:type="dxa"/>
            <w:vAlign w:val="bottom"/>
            <w:tcBorders>
              <w:bottom w:val="single" w:sz="8" w:color="0077C0"/>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4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Total deferred taxes, net</w:t>
            </w:r>
          </w:p>
        </w:tc>
        <w:tc>
          <w:tcPr>
            <w:tcW w:w="42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92"/>
              </w:rPr>
              <w:t>$ 13,466</w:t>
            </w:r>
          </w:p>
        </w:tc>
        <w:tc>
          <w:tcPr>
            <w:tcW w:w="120" w:type="dxa"/>
            <w:vAlign w:val="bottom"/>
            <w:tcBorders>
              <w:bottom w:val="single" w:sz="8" w:color="0077C0"/>
              <w:right w:val="single" w:sz="8" w:color="0077C0"/>
            </w:tcBorders>
          </w:tcPr>
          <w:p>
            <w:pPr>
              <w:spacing w:after="0"/>
              <w:rPr>
                <w:sz w:val="10"/>
                <w:szCs w:val="10"/>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$ 10,438</w:t>
            </w:r>
          </w:p>
        </w:tc>
        <w:tc>
          <w:tcPr>
            <w:tcW w:w="20" w:type="dxa"/>
            <w:vAlign w:val="bottom"/>
            <w:tcBorders>
              <w:bottom w:val="single" w:sz="8" w:color="0077C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60" w:right="100" w:firstLine="160"/>
        <w:spacing w:after="0" w:line="274" w:lineRule="auto"/>
        <w:rPr>
          <w:sz w:val="20"/>
          <w:szCs w:val="20"/>
          <w:color w:val="auto"/>
        </w:rPr>
      </w:pPr>
      <w:r>
        <w:rPr>
          <w:rFonts w:ascii="Arial" w:cs="Arial" w:eastAsia="Arial" w:hAnsi="Arial"/>
          <w:sz w:val="12"/>
          <w:szCs w:val="12"/>
          <w:color w:val="auto"/>
        </w:rPr>
        <w:t>Deferred tax liabilities at the end of 2011 increased by approximately $3,600 from year-end 2010. The increase was related to increased temporary differences for property, plant and equipment.</w:t>
      </w:r>
    </w:p>
    <w:p>
      <w:pPr>
        <w:spacing w:after="0" w:line="1" w:lineRule="exact"/>
        <w:rPr>
          <w:sz w:val="20"/>
          <w:szCs w:val="20"/>
          <w:color w:val="auto"/>
        </w:rPr>
      </w:pPr>
    </w:p>
    <w:p>
      <w:pPr>
        <w:ind w:left="360" w:firstLine="160"/>
        <w:spacing w:after="0" w:line="246" w:lineRule="auto"/>
        <w:rPr>
          <w:sz w:val="20"/>
          <w:szCs w:val="20"/>
          <w:color w:val="auto"/>
        </w:rPr>
      </w:pPr>
      <w:r>
        <w:rPr>
          <w:rFonts w:ascii="Arial" w:cs="Arial" w:eastAsia="Arial" w:hAnsi="Arial"/>
          <w:sz w:val="13"/>
          <w:szCs w:val="13"/>
          <w:color w:val="auto"/>
        </w:rPr>
        <w:t>Deferred tax assets increased by approximately $2,500 in 2011. Increases primarily related to additional foreign tax credits arising from earnings in high-tax-rate international jurisdictions (which were substantially offset by valuation allowances) and to increased temporary differences for employee benefits. These effects were partially offset by reductions in deferred credits resulting primarily from the usage of tax benefits in international tax jurisdictions.</w:t>
      </w:r>
    </w:p>
    <w:p>
      <w:pPr>
        <w:spacing w:after="0" w:line="3" w:lineRule="exact"/>
        <w:rPr>
          <w:sz w:val="20"/>
          <w:szCs w:val="20"/>
          <w:color w:val="auto"/>
        </w:rPr>
      </w:pPr>
    </w:p>
    <w:p>
      <w:pPr>
        <w:ind w:left="360" w:right="120" w:firstLine="158"/>
        <w:spacing w:after="0" w:line="291" w:lineRule="auto"/>
        <w:rPr>
          <w:sz w:val="20"/>
          <w:szCs w:val="20"/>
          <w:color w:val="auto"/>
        </w:rPr>
      </w:pPr>
      <w:r>
        <w:rPr>
          <w:rFonts w:ascii="Arial" w:cs="Arial" w:eastAsia="Arial" w:hAnsi="Arial"/>
          <w:sz w:val="11"/>
          <w:szCs w:val="11"/>
          <w:color w:val="auto"/>
        </w:rPr>
        <w:t>The overall valuation allowance relates to deferred tax assets for foreign tax credit carryforwards, tax loss carryforwards and temporary differences. It reduces the deferred tax assets to amounts that are, in management’s assessment, more likely than not to be realized. At the end of 2011, tax loss carryforwards were approximately $2,160, primarily related to various international tax jurisdictions. Whereas some of these tax loss carryforwards do not have an expiration date, others expire at various times from 2012 through 2036. Foreign tax credit carryforwards of $8,476 will expire between 2012 and 2021.</w:t>
      </w:r>
    </w:p>
    <w:p>
      <w:pPr>
        <w:spacing w:after="0" w:line="2" w:lineRule="exact"/>
        <w:rPr>
          <w:sz w:val="20"/>
          <w:szCs w:val="20"/>
          <w:color w:val="auto"/>
        </w:rPr>
      </w:pPr>
    </w:p>
    <w:p>
      <w:pPr>
        <w:ind w:left="360" w:right="140" w:firstLine="153"/>
        <w:spacing w:after="0" w:line="253" w:lineRule="auto"/>
        <w:rPr>
          <w:sz w:val="20"/>
          <w:szCs w:val="20"/>
          <w:color w:val="auto"/>
        </w:rPr>
      </w:pPr>
      <w:r>
        <w:rPr>
          <w:rFonts w:ascii="Arial" w:cs="Arial" w:eastAsia="Arial" w:hAnsi="Arial"/>
          <w:sz w:val="13"/>
          <w:szCs w:val="13"/>
          <w:color w:val="auto"/>
        </w:rPr>
        <w:t>At December 31, 2011 and 2010, deferred taxes were classified on the Consolidated Balance Sheet as follows:</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9"/>
                <w:szCs w:val="9"/>
                <w:color w:val="auto"/>
              </w:rPr>
              <w:t>At December 31</w:t>
            </w:r>
          </w:p>
        </w:tc>
      </w:tr>
      <w:tr>
        <w:trPr>
          <w:trHeight w:val="86"/>
        </w:trPr>
        <w:tc>
          <w:tcPr>
            <w:tcW w:w="20" w:type="dxa"/>
            <w:vAlign w:val="bottom"/>
          </w:tcPr>
          <w:p>
            <w:pPr>
              <w:spacing w:after="0"/>
              <w:rPr>
                <w:sz w:val="7"/>
                <w:szCs w:val="7"/>
                <w:color w:val="auto"/>
              </w:rPr>
            </w:pPr>
          </w:p>
        </w:tc>
        <w:tc>
          <w:tcPr>
            <w:tcW w:w="3080" w:type="dxa"/>
            <w:vAlign w:val="bottom"/>
            <w:tcBorders>
              <w:bottom w:val="single" w:sz="8" w:color="0077C0"/>
            </w:tcBorders>
          </w:tcPr>
          <w:p>
            <w:pPr>
              <w:spacing w:after="0"/>
              <w:rPr>
                <w:sz w:val="7"/>
                <w:szCs w:val="7"/>
                <w:color w:val="auto"/>
              </w:rPr>
            </w:pPr>
          </w:p>
        </w:tc>
        <w:tc>
          <w:tcPr>
            <w:tcW w:w="1420" w:type="dxa"/>
            <w:vAlign w:val="bottom"/>
            <w:tcBorders>
              <w:bottom w:val="single" w:sz="8" w:color="0077C0"/>
            </w:tcBorders>
          </w:tcPr>
          <w:p>
            <w:pPr>
              <w:spacing w:after="0"/>
              <w:rPr>
                <w:sz w:val="7"/>
                <w:szCs w:val="7"/>
                <w:color w:val="auto"/>
              </w:rPr>
            </w:pPr>
          </w:p>
        </w:tc>
        <w:tc>
          <w:tcPr>
            <w:tcW w:w="500" w:type="dxa"/>
            <w:vAlign w:val="bottom"/>
            <w:tcBorders>
              <w:top w:val="single" w:sz="8" w:color="0077C0"/>
              <w:bottom w:val="single" w:sz="8" w:color="0077C0"/>
            </w:tcBorders>
          </w:tcPr>
          <w:p>
            <w:pPr>
              <w:jc w:val="right"/>
              <w:ind w:right="115"/>
              <w:spacing w:after="0" w:line="86" w:lineRule="exact"/>
              <w:rPr>
                <w:sz w:val="20"/>
                <w:szCs w:val="20"/>
                <w:color w:val="auto"/>
              </w:rPr>
            </w:pPr>
            <w:r>
              <w:rPr>
                <w:rFonts w:ascii="Arial" w:cs="Arial" w:eastAsia="Arial" w:hAnsi="Arial"/>
                <w:sz w:val="9"/>
                <w:szCs w:val="9"/>
                <w:b w:val="1"/>
                <w:bCs w:val="1"/>
                <w:color w:val="auto"/>
              </w:rPr>
              <w:t>2011</w:t>
            </w:r>
          </w:p>
        </w:tc>
        <w:tc>
          <w:tcPr>
            <w:tcW w:w="4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4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3080" w:type="dxa"/>
            <w:vAlign w:val="bottom"/>
          </w:tcPr>
          <w:p>
            <w:pPr>
              <w:spacing w:after="0" w:line="91" w:lineRule="exact"/>
              <w:rPr>
                <w:sz w:val="20"/>
                <w:szCs w:val="20"/>
                <w:color w:val="auto"/>
              </w:rPr>
            </w:pPr>
            <w:r>
              <w:rPr>
                <w:rFonts w:ascii="Arial" w:cs="Arial" w:eastAsia="Arial" w:hAnsi="Arial"/>
                <w:sz w:val="10"/>
                <w:szCs w:val="10"/>
                <w:color w:val="auto"/>
              </w:rPr>
              <w:t>Prepaid expenses and other current assets</w:t>
            </w:r>
          </w:p>
        </w:tc>
        <w:tc>
          <w:tcPr>
            <w:tcW w:w="1920" w:type="dxa"/>
            <w:vAlign w:val="bottom"/>
            <w:tcBorders>
              <w:right w:val="single" w:sz="8" w:color="0077C0"/>
            </w:tcBorders>
            <w:gridSpan w:val="2"/>
          </w:tcPr>
          <w:p>
            <w:pPr>
              <w:jc w:val="right"/>
              <w:ind w:right="75"/>
              <w:spacing w:after="0" w:line="91" w:lineRule="exact"/>
              <w:rPr>
                <w:sz w:val="20"/>
                <w:szCs w:val="20"/>
                <w:color w:val="auto"/>
              </w:rPr>
            </w:pPr>
            <w:r>
              <w:rPr>
                <w:rFonts w:ascii="Arial" w:cs="Arial" w:eastAsia="Arial" w:hAnsi="Arial"/>
                <w:sz w:val="10"/>
                <w:szCs w:val="10"/>
                <w:b w:val="1"/>
                <w:bCs w:val="1"/>
                <w:color w:val="auto"/>
              </w:rPr>
              <w:t>$ (1,149)</w:t>
            </w:r>
          </w:p>
        </w:tc>
        <w:tc>
          <w:tcPr>
            <w:tcW w:w="440" w:type="dxa"/>
            <w:vAlign w:val="bottom"/>
          </w:tcPr>
          <w:p>
            <w:pPr>
              <w:jc w:val="right"/>
              <w:spacing w:after="0" w:line="91" w:lineRule="exact"/>
              <w:rPr>
                <w:sz w:val="20"/>
                <w:szCs w:val="20"/>
                <w:color w:val="auto"/>
              </w:rPr>
            </w:pPr>
            <w:r>
              <w:rPr>
                <w:rFonts w:ascii="Arial" w:cs="Arial" w:eastAsia="Arial" w:hAnsi="Arial"/>
                <w:sz w:val="10"/>
                <w:szCs w:val="10"/>
                <w:color w:val="auto"/>
              </w:rPr>
              <w:t>$ (1,624)</w:t>
            </w:r>
          </w:p>
        </w:tc>
        <w:tc>
          <w:tcPr>
            <w:tcW w:w="40" w:type="dxa"/>
            <w:vAlign w:val="bottom"/>
          </w:tcPr>
          <w:p>
            <w:pPr>
              <w:spacing w:after="0"/>
              <w:rPr>
                <w:sz w:val="7"/>
                <w:szCs w:val="7"/>
                <w:color w:val="auto"/>
              </w:rPr>
            </w:pPr>
          </w:p>
        </w:tc>
      </w:tr>
      <w:tr>
        <w:trPr>
          <w:trHeight w:val="106"/>
        </w:trPr>
        <w:tc>
          <w:tcPr>
            <w:tcW w:w="3100" w:type="dxa"/>
            <w:vAlign w:val="bottom"/>
            <w:gridSpan w:val="2"/>
          </w:tcPr>
          <w:p>
            <w:pPr>
              <w:spacing w:after="0" w:line="106" w:lineRule="exact"/>
              <w:rPr>
                <w:sz w:val="20"/>
                <w:szCs w:val="20"/>
                <w:color w:val="auto"/>
              </w:rPr>
            </w:pPr>
            <w:r>
              <w:rPr>
                <w:rFonts w:ascii="Arial" w:cs="Arial" w:eastAsia="Arial" w:hAnsi="Arial"/>
                <w:sz w:val="10"/>
                <w:szCs w:val="10"/>
                <w:color w:val="auto"/>
              </w:rPr>
              <w:t>Deferred charges and other assets</w:t>
            </w:r>
          </w:p>
        </w:tc>
        <w:tc>
          <w:tcPr>
            <w:tcW w:w="1920" w:type="dxa"/>
            <w:vAlign w:val="bottom"/>
            <w:tcBorders>
              <w:right w:val="single" w:sz="8" w:color="0077C0"/>
            </w:tcBorders>
            <w:gridSpan w:val="2"/>
          </w:tcPr>
          <w:p>
            <w:pPr>
              <w:jc w:val="right"/>
              <w:ind w:right="75"/>
              <w:spacing w:after="0" w:line="106" w:lineRule="exact"/>
              <w:rPr>
                <w:sz w:val="20"/>
                <w:szCs w:val="20"/>
                <w:color w:val="auto"/>
              </w:rPr>
            </w:pPr>
            <w:r>
              <w:rPr>
                <w:rFonts w:ascii="Arial" w:cs="Arial" w:eastAsia="Arial" w:hAnsi="Arial"/>
                <w:sz w:val="10"/>
                <w:szCs w:val="10"/>
                <w:b w:val="1"/>
                <w:bCs w:val="1"/>
                <w:color w:val="auto"/>
              </w:rPr>
              <w:t>(1,224)</w:t>
            </w:r>
          </w:p>
        </w:tc>
        <w:tc>
          <w:tcPr>
            <w:tcW w:w="4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(851)</w:t>
            </w:r>
          </w:p>
        </w:tc>
      </w:tr>
      <w:tr>
        <w:trPr>
          <w:trHeight w:val="106"/>
        </w:trPr>
        <w:tc>
          <w:tcPr>
            <w:tcW w:w="3100" w:type="dxa"/>
            <w:vAlign w:val="bottom"/>
            <w:gridSpan w:val="2"/>
          </w:tcPr>
          <w:p>
            <w:pPr>
              <w:spacing w:after="0" w:line="106" w:lineRule="exact"/>
              <w:rPr>
                <w:sz w:val="20"/>
                <w:szCs w:val="20"/>
                <w:color w:val="auto"/>
              </w:rPr>
            </w:pPr>
            <w:r>
              <w:rPr>
                <w:rFonts w:ascii="Arial" w:cs="Arial" w:eastAsia="Arial" w:hAnsi="Arial"/>
                <w:sz w:val="10"/>
                <w:szCs w:val="10"/>
                <w:color w:val="auto"/>
              </w:rPr>
              <w:t>Federal and other taxes on income</w:t>
            </w:r>
          </w:p>
        </w:tc>
        <w:tc>
          <w:tcPr>
            <w:tcW w:w="1920" w:type="dxa"/>
            <w:vAlign w:val="bottom"/>
            <w:tcBorders>
              <w:right w:val="single" w:sz="8" w:color="0077C0"/>
            </w:tcBorders>
            <w:gridSpan w:val="2"/>
          </w:tcPr>
          <w:p>
            <w:pPr>
              <w:jc w:val="right"/>
              <w:ind w:right="115"/>
              <w:spacing w:after="0" w:line="106" w:lineRule="exact"/>
              <w:rPr>
                <w:sz w:val="20"/>
                <w:szCs w:val="20"/>
                <w:color w:val="auto"/>
              </w:rPr>
            </w:pPr>
            <w:r>
              <w:rPr>
                <w:rFonts w:ascii="Arial" w:cs="Arial" w:eastAsia="Arial" w:hAnsi="Arial"/>
                <w:sz w:val="10"/>
                <w:szCs w:val="10"/>
                <w:b w:val="1"/>
                <w:bCs w:val="1"/>
                <w:color w:val="auto"/>
              </w:rPr>
              <w:t>295</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216</w:t>
            </w:r>
          </w:p>
        </w:tc>
        <w:tc>
          <w:tcPr>
            <w:tcW w:w="40" w:type="dxa"/>
            <w:vAlign w:val="bottom"/>
          </w:tcPr>
          <w:p>
            <w:pPr>
              <w:spacing w:after="0"/>
              <w:rPr>
                <w:sz w:val="9"/>
                <w:szCs w:val="9"/>
                <w:color w:val="auto"/>
              </w:rPr>
            </w:pPr>
          </w:p>
        </w:tc>
      </w:tr>
      <w:tr>
        <w:trPr>
          <w:trHeight w:val="120"/>
        </w:trPr>
        <w:tc>
          <w:tcPr>
            <w:tcW w:w="31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Noncurrent deferred income taxes</w:t>
            </w:r>
          </w:p>
        </w:tc>
        <w:tc>
          <w:tcPr>
            <w:tcW w:w="1920" w:type="dxa"/>
            <w:vAlign w:val="bottom"/>
            <w:tcBorders>
              <w:bottom w:val="single" w:sz="8" w:color="0077C0"/>
              <w:right w:val="single" w:sz="8" w:color="0077C0"/>
            </w:tcBorders>
            <w:gridSpan w:val="2"/>
          </w:tcPr>
          <w:p>
            <w:pPr>
              <w:jc w:val="right"/>
              <w:ind w:right="115"/>
              <w:spacing w:after="0"/>
              <w:rPr>
                <w:sz w:val="20"/>
                <w:szCs w:val="20"/>
                <w:color w:val="auto"/>
              </w:rPr>
            </w:pPr>
            <w:r>
              <w:rPr>
                <w:rFonts w:ascii="Arial" w:cs="Arial" w:eastAsia="Arial" w:hAnsi="Arial"/>
                <w:sz w:val="10"/>
                <w:szCs w:val="10"/>
                <w:b w:val="1"/>
                <w:bCs w:val="1"/>
                <w:color w:val="auto"/>
              </w:rPr>
              <w:t>15,544</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12,697</w:t>
            </w:r>
          </w:p>
        </w:tc>
        <w:tc>
          <w:tcPr>
            <w:tcW w:w="40" w:type="dxa"/>
            <w:vAlign w:val="bottom"/>
          </w:tcPr>
          <w:p>
            <w:pPr>
              <w:spacing w:after="0"/>
              <w:rPr>
                <w:sz w:val="10"/>
                <w:szCs w:val="10"/>
                <w:color w:val="auto"/>
              </w:rPr>
            </w:pPr>
          </w:p>
        </w:tc>
      </w:tr>
      <w:tr>
        <w:trPr>
          <w:trHeight w:val="123"/>
        </w:trPr>
        <w:tc>
          <w:tcPr>
            <w:tcW w:w="31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deferred income taxes, net</w:t>
            </w:r>
          </w:p>
        </w:tc>
        <w:tc>
          <w:tcPr>
            <w:tcW w:w="1920" w:type="dxa"/>
            <w:vAlign w:val="bottom"/>
            <w:tcBorders>
              <w:bottom w:val="single" w:sz="8" w:color="0077C0"/>
              <w:right w:val="single" w:sz="8" w:color="0077C0"/>
            </w:tcBorders>
            <w:gridSpan w:val="2"/>
          </w:tcPr>
          <w:p>
            <w:pPr>
              <w:jc w:val="right"/>
              <w:ind w:right="115"/>
              <w:spacing w:after="0"/>
              <w:rPr>
                <w:sz w:val="20"/>
                <w:szCs w:val="20"/>
                <w:color w:val="auto"/>
              </w:rPr>
            </w:pPr>
            <w:r>
              <w:rPr>
                <w:rFonts w:ascii="Arial" w:cs="Arial" w:eastAsia="Arial" w:hAnsi="Arial"/>
                <w:sz w:val="10"/>
                <w:szCs w:val="10"/>
                <w:b w:val="1"/>
                <w:bCs w:val="1"/>
                <w:color w:val="auto"/>
              </w:rPr>
              <w:t>$ 13,466</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$ 10,438</w:t>
            </w:r>
          </w:p>
        </w:tc>
        <w:tc>
          <w:tcPr>
            <w:tcW w:w="40" w:type="dxa"/>
            <w:vAlign w:val="bottom"/>
          </w:tcPr>
          <w:p>
            <w:pPr>
              <w:spacing w:after="0"/>
              <w:rPr>
                <w:sz w:val="10"/>
                <w:szCs w:val="10"/>
                <w:color w:val="auto"/>
              </w:rPr>
            </w:pPr>
          </w:p>
        </w:tc>
      </w:tr>
    </w:tbl>
    <w:p>
      <w:pPr>
        <w:spacing w:after="0" w:line="68" w:lineRule="exact"/>
        <w:rPr>
          <w:sz w:val="20"/>
          <w:szCs w:val="20"/>
          <w:color w:val="auto"/>
        </w:rPr>
      </w:pPr>
    </w:p>
    <w:p>
      <w:pPr>
        <w:ind w:left="360" w:right="20" w:firstLine="160"/>
        <w:spacing w:after="0" w:line="300" w:lineRule="auto"/>
        <w:rPr>
          <w:sz w:val="20"/>
          <w:szCs w:val="20"/>
          <w:color w:val="auto"/>
        </w:rPr>
      </w:pPr>
      <w:r>
        <w:rPr>
          <w:rFonts w:ascii="Arial" w:cs="Arial" w:eastAsia="Arial" w:hAnsi="Arial"/>
          <w:sz w:val="11"/>
          <w:szCs w:val="11"/>
          <w:color w:val="auto"/>
        </w:rPr>
        <w:t>Income taxes are not accrued for unremitted earnings of international operations that have been or are intended to be reinvested indefinitely. Undistributed earnings of international consolidated subsidiaries and affiliates for which no deferred income tax provision has been made for possible future remittances totaled $24,376 at December 31, 2011. This amount represents earnings reinvested as part of the company’s ongoing international business. It is not practicable to estimate the amount of taxes that might be payable on the possible remittance of earnings that are intended to be reinvested indefinitely. At the end of 2011, deferred income taxes were recorded for the undistributed earnings of certain international operations where indefinite reinvestment of the earnings is not planned. The company does not anticipate incurring significant additional taxes on remittances of earnings that are not indefinitely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0"/>
          <w:szCs w:val="10"/>
          <w:color w:val="auto"/>
        </w:rPr>
        <w:t>FS-44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60"/>
          </w:cols>
          <w:pgMar w:left="220" w:top="338" w:right="21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15 </w:t>
      </w:r>
      <w:r>
        <w:rPr>
          <w:rFonts w:ascii="Arial" w:cs="Arial" w:eastAsia="Arial" w:hAnsi="Arial"/>
          <w:sz w:val="8"/>
          <w:szCs w:val="8"/>
          <w:color w:val="000000"/>
        </w:rPr>
        <w:t>Taxes - Continued</w:t>
      </w:r>
    </w:p>
    <w:p>
      <w:pPr>
        <w:sectPr>
          <w:pgSz w:w="11900" w:h="16838" w:orient="portrait"/>
          <w:cols w:equalWidth="0" w:num="1">
            <w:col w:w="11460"/>
          </w:cols>
          <w:pgMar w:left="220" w:top="339" w:right="219" w:bottom="1440" w:gutter="0" w:footer="0" w:header="0"/>
        </w:sectPr>
      </w:pPr>
    </w:p>
    <w:p>
      <w:pPr>
        <w:spacing w:after="0" w:line="250" w:lineRule="exact"/>
        <w:rPr>
          <w:sz w:val="20"/>
          <w:szCs w:val="20"/>
          <w:color w:val="auto"/>
        </w:rPr>
      </w:pPr>
    </w:p>
    <w:p>
      <w:pPr>
        <w:ind w:right="160"/>
        <w:spacing w:after="0" w:line="297" w:lineRule="auto"/>
        <w:rPr>
          <w:sz w:val="20"/>
          <w:szCs w:val="20"/>
          <w:color w:val="auto"/>
        </w:rPr>
      </w:pPr>
      <w:r>
        <w:rPr>
          <w:rFonts w:ascii="Arial" w:cs="Arial" w:eastAsia="Arial" w:hAnsi="Arial"/>
          <w:sz w:val="11"/>
          <w:szCs w:val="11"/>
          <w:i w:val="1"/>
          <w:iCs w:val="1"/>
          <w:color w:val="E51837"/>
        </w:rPr>
        <w:t xml:space="preserve">Uncertain Income Tax Positions </w:t>
      </w:r>
      <w:r>
        <w:rPr>
          <w:rFonts w:ascii="Arial" w:cs="Arial" w:eastAsia="Arial" w:hAnsi="Arial"/>
          <w:sz w:val="11"/>
          <w:szCs w:val="11"/>
          <w:color w:val="000000"/>
        </w:rPr>
        <w:t>Under accounting standards for uncertainty in income taxes (ASC 740-10), a company recognizes a tax benefit in the financial statements for an uncertain tax position only if management’s assessment is that the position is “more likely than not” (i.e., a likelihood greater than</w:t>
      </w:r>
    </w:p>
    <w:p>
      <w:pPr>
        <w:jc w:val="both"/>
        <w:ind w:right="100"/>
        <w:spacing w:after="0" w:line="267" w:lineRule="auto"/>
        <w:rPr>
          <w:sz w:val="20"/>
          <w:szCs w:val="20"/>
          <w:color w:val="auto"/>
        </w:rPr>
      </w:pPr>
      <w:r>
        <w:rPr>
          <w:rFonts w:ascii="Arial" w:cs="Arial" w:eastAsia="Arial" w:hAnsi="Arial"/>
          <w:sz w:val="12"/>
          <w:szCs w:val="12"/>
          <w:color w:val="auto"/>
        </w:rPr>
        <w:t>50 percent) to be allowed by the tax jurisdiction based solely on the technical merits of the position. The term “tax position” in the accounting standards for income taxes refers to a position in a previously filed tax return or a position expected to be taken in a future tax return that is reflected in measuring current or deferred income tax assets and liabilities for interim or annual periods.</w:t>
      </w:r>
    </w:p>
    <w:p>
      <w:pPr>
        <w:spacing w:after="0" w:line="1" w:lineRule="exact"/>
        <w:rPr>
          <w:sz w:val="20"/>
          <w:szCs w:val="20"/>
          <w:color w:val="auto"/>
        </w:rPr>
      </w:pPr>
    </w:p>
    <w:p>
      <w:pPr>
        <w:ind w:right="20" w:firstLine="158"/>
        <w:spacing w:after="0" w:line="248" w:lineRule="auto"/>
        <w:rPr>
          <w:sz w:val="20"/>
          <w:szCs w:val="20"/>
          <w:color w:val="auto"/>
        </w:rPr>
      </w:pPr>
      <w:r>
        <w:rPr>
          <w:rFonts w:ascii="Arial" w:cs="Arial" w:eastAsia="Arial" w:hAnsi="Arial"/>
          <w:sz w:val="13"/>
          <w:szCs w:val="13"/>
          <w:color w:val="auto"/>
        </w:rPr>
        <w:t>The following table indicates the changes to the company’s unrecognized tax benefits for the years ended December 31, 2011, 2010 and 2009. The term “unrecognized tax benefits” in the accounting standards for income taxes refers to the differences between a tax position taken or expected to be taken in a tax return and the benefit measured and recognized in the financial statements. Interest and penalties are not included.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780" w:type="dxa"/>
            <w:vAlign w:val="bottom"/>
            <w:tcBorders>
              <w:bottom w:val="single" w:sz="8" w:color="0077C0"/>
            </w:tcBorders>
          </w:tcPr>
          <w:p>
            <w:pPr>
              <w:spacing w:after="0"/>
              <w:rPr>
                <w:sz w:val="9"/>
                <w:szCs w:val="9"/>
                <w:color w:val="auto"/>
              </w:rPr>
            </w:pPr>
          </w:p>
        </w:tc>
        <w:tc>
          <w:tcPr>
            <w:tcW w:w="11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0077C0"/>
            </w:tcBorders>
          </w:tcPr>
          <w:p>
            <w:pPr>
              <w:jc w:val="right"/>
              <w:ind w:right="109"/>
              <w:spacing w:after="0"/>
              <w:rPr>
                <w:sz w:val="20"/>
                <w:szCs w:val="20"/>
                <w:color w:val="auto"/>
              </w:rPr>
            </w:pPr>
            <w:r>
              <w:rPr>
                <w:rFonts w:ascii="Arial" w:cs="Arial" w:eastAsia="Arial" w:hAnsi="Arial"/>
                <w:sz w:val="9"/>
                <w:szCs w:val="9"/>
                <w:color w:val="auto"/>
              </w:rPr>
              <w:t>2010</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78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16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3,507</w:t>
            </w:r>
          </w:p>
        </w:tc>
        <w:tc>
          <w:tcPr>
            <w:tcW w:w="600" w:type="dxa"/>
            <w:vAlign w:val="bottom"/>
          </w:tcPr>
          <w:p>
            <w:pPr>
              <w:jc w:val="right"/>
              <w:ind w:right="109"/>
              <w:spacing w:after="0" w:line="91" w:lineRule="exact"/>
              <w:rPr>
                <w:sz w:val="20"/>
                <w:szCs w:val="20"/>
                <w:color w:val="auto"/>
              </w:rPr>
            </w:pPr>
            <w:r>
              <w:rPr>
                <w:rFonts w:ascii="Arial" w:cs="Arial" w:eastAsia="Arial" w:hAnsi="Arial"/>
                <w:sz w:val="10"/>
                <w:szCs w:val="10"/>
                <w:color w:val="auto"/>
              </w:rPr>
              <w:t>$ 3,195</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$ 2,696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line="108" w:lineRule="exact"/>
              <w:rPr>
                <w:sz w:val="20"/>
                <w:szCs w:val="20"/>
                <w:color w:val="auto"/>
              </w:rPr>
            </w:pPr>
            <w:r>
              <w:rPr>
                <w:rFonts w:ascii="Arial" w:cs="Arial" w:eastAsia="Arial" w:hAnsi="Arial"/>
                <w:sz w:val="10"/>
                <w:szCs w:val="10"/>
                <w:color w:val="auto"/>
              </w:rPr>
              <w:t>Foreign currency effects</w:t>
            </w:r>
          </w:p>
        </w:tc>
        <w:tc>
          <w:tcPr>
            <w:tcW w:w="1160" w:type="dxa"/>
            <w:vAlign w:val="bottom"/>
          </w:tcPr>
          <w:p>
            <w:pPr>
              <w:spacing w:after="0"/>
              <w:rPr>
                <w:sz w:val="9"/>
                <w:szCs w:val="9"/>
                <w:color w:val="auto"/>
              </w:rPr>
            </w:pPr>
          </w:p>
        </w:tc>
        <w:tc>
          <w:tcPr>
            <w:tcW w:w="440" w:type="dxa"/>
            <w:vAlign w:val="bottom"/>
            <w:tcBorders>
              <w:right w:val="single" w:sz="8" w:color="0077C0"/>
            </w:tcBorders>
          </w:tcPr>
          <w:p>
            <w:pPr>
              <w:jc w:val="right"/>
              <w:ind w:right="89"/>
              <w:spacing w:after="0" w:line="108" w:lineRule="exact"/>
              <w:rPr>
                <w:sz w:val="20"/>
                <w:szCs w:val="20"/>
                <w:color w:val="auto"/>
              </w:rPr>
            </w:pPr>
            <w:r>
              <w:rPr>
                <w:rFonts w:ascii="Arial" w:cs="Arial" w:eastAsia="Arial" w:hAnsi="Arial"/>
                <w:sz w:val="10"/>
                <w:szCs w:val="10"/>
                <w:b w:val="1"/>
                <w:bCs w:val="1"/>
                <w:color w:val="auto"/>
              </w:rPr>
              <w:t>(2)</w:t>
            </w:r>
          </w:p>
        </w:tc>
        <w:tc>
          <w:tcPr>
            <w:tcW w:w="600" w:type="dxa"/>
            <w:vAlign w:val="bottom"/>
          </w:tcPr>
          <w:p>
            <w:pPr>
              <w:jc w:val="right"/>
              <w:ind w:right="109"/>
              <w:spacing w:after="0" w:line="108" w:lineRule="exact"/>
              <w:rPr>
                <w:sz w:val="20"/>
                <w:szCs w:val="20"/>
                <w:color w:val="auto"/>
              </w:rPr>
            </w:pPr>
            <w:r>
              <w:rPr>
                <w:rFonts w:ascii="Arial" w:cs="Arial" w:eastAsia="Arial" w:hAnsi="Arial"/>
                <w:sz w:val="10"/>
                <w:szCs w:val="10"/>
                <w:color w:val="auto"/>
              </w:rPr>
              <w:t>17</w:t>
            </w:r>
          </w:p>
        </w:tc>
        <w:tc>
          <w:tcPr>
            <w:tcW w:w="5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Additions based on tax positions</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469</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taken in current year</w:t>
            </w:r>
          </w:p>
        </w:tc>
        <w:tc>
          <w:tcPr>
            <w:tcW w:w="11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334</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459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Reductions based on tax positions</w:t>
            </w:r>
          </w:p>
        </w:tc>
        <w:tc>
          <w:tcPr>
            <w:tcW w:w="1160" w:type="dxa"/>
            <w:vAlign w:val="bottom"/>
          </w:tcPr>
          <w:p>
            <w:pPr>
              <w:spacing w:after="0"/>
              <w:rPr>
                <w:sz w:val="9"/>
                <w:szCs w:val="9"/>
                <w:color w:val="auto"/>
              </w:rPr>
            </w:pPr>
          </w:p>
        </w:tc>
        <w:tc>
          <w:tcPr>
            <w:tcW w:w="440" w:type="dxa"/>
            <w:vAlign w:val="bottom"/>
            <w:tcBorders>
              <w:right w:val="single" w:sz="8" w:color="0077C0"/>
            </w:tcBorders>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taken in current year</w:t>
            </w:r>
          </w:p>
        </w:tc>
        <w:tc>
          <w:tcPr>
            <w:tcW w:w="11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Additions/reductions resulting from</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(41)</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current-year asset acquisitions/sales</w:t>
            </w:r>
          </w:p>
        </w:tc>
        <w:tc>
          <w:tcPr>
            <w:tcW w:w="11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Additions for tax positions taken</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236</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in prior years</w:t>
            </w:r>
          </w:p>
        </w:tc>
        <w:tc>
          <w:tcPr>
            <w:tcW w:w="11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270</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533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Reductions for tax positions taken</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(366)</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in prior years</w:t>
            </w:r>
          </w:p>
        </w:tc>
        <w:tc>
          <w:tcPr>
            <w:tcW w:w="11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(165)</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(182)</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Settlements with taxing authorities</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(318)</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80" w:type="dxa"/>
            <w:vAlign w:val="bottom"/>
          </w:tcPr>
          <w:p>
            <w:pPr>
              <w:ind w:left="140"/>
              <w:spacing w:after="0" w:line="106" w:lineRule="exact"/>
              <w:rPr>
                <w:sz w:val="20"/>
                <w:szCs w:val="20"/>
                <w:color w:val="auto"/>
              </w:rPr>
            </w:pPr>
            <w:r>
              <w:rPr>
                <w:rFonts w:ascii="Arial" w:cs="Arial" w:eastAsia="Arial" w:hAnsi="Arial"/>
                <w:sz w:val="10"/>
                <w:szCs w:val="10"/>
                <w:color w:val="auto"/>
              </w:rPr>
              <w:t>in current year</w:t>
            </w:r>
          </w:p>
        </w:tc>
        <w:tc>
          <w:tcPr>
            <w:tcW w:w="11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(136)</w:t>
            </w:r>
          </w:p>
        </w:tc>
        <w:tc>
          <w:tcPr>
            <w:tcW w:w="5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(300)</w:t>
            </w:r>
          </w:p>
        </w:tc>
        <w:tc>
          <w:tcPr>
            <w:tcW w:w="0" w:type="dxa"/>
            <w:vAlign w:val="bottom"/>
          </w:tcPr>
          <w:p>
            <w:pPr>
              <w:spacing w:after="0"/>
              <w:rPr>
                <w:sz w:val="1"/>
                <w:szCs w:val="1"/>
                <w:color w:val="auto"/>
              </w:rPr>
            </w:pPr>
          </w:p>
        </w:tc>
      </w:tr>
      <w:tr>
        <w:trPr>
          <w:trHeight w:val="106"/>
        </w:trPr>
        <w:tc>
          <w:tcPr>
            <w:tcW w:w="2780" w:type="dxa"/>
            <w:vAlign w:val="bottom"/>
          </w:tcPr>
          <w:p>
            <w:pPr>
              <w:spacing w:after="0" w:line="106" w:lineRule="exact"/>
              <w:rPr>
                <w:sz w:val="20"/>
                <w:szCs w:val="20"/>
                <w:color w:val="auto"/>
              </w:rPr>
            </w:pPr>
            <w:r>
              <w:rPr>
                <w:rFonts w:ascii="Arial" w:cs="Arial" w:eastAsia="Arial" w:hAnsi="Arial"/>
                <w:sz w:val="10"/>
                <w:szCs w:val="10"/>
                <w:color w:val="auto"/>
              </w:rPr>
              <w:t>Reductions as a result of a lapse</w:t>
            </w:r>
          </w:p>
        </w:tc>
        <w:tc>
          <w:tcPr>
            <w:tcW w:w="11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89"/>
              <w:spacing w:after="0"/>
              <w:rPr>
                <w:sz w:val="20"/>
                <w:szCs w:val="20"/>
                <w:color w:val="auto"/>
              </w:rPr>
            </w:pPr>
            <w:r>
              <w:rPr>
                <w:rFonts w:ascii="Arial" w:cs="Arial" w:eastAsia="Arial" w:hAnsi="Arial"/>
                <w:sz w:val="10"/>
                <w:szCs w:val="10"/>
                <w:b w:val="1"/>
                <w:bCs w:val="1"/>
                <w:color w:val="auto"/>
              </w:rPr>
              <w:t>(4)</w:t>
            </w: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80" w:type="dxa"/>
            <w:vAlign w:val="bottom"/>
          </w:tcPr>
          <w:p>
            <w:pPr>
              <w:ind w:left="140"/>
              <w:spacing w:after="0"/>
              <w:rPr>
                <w:sz w:val="20"/>
                <w:szCs w:val="20"/>
                <w:color w:val="auto"/>
              </w:rPr>
            </w:pPr>
            <w:r>
              <w:rPr>
                <w:rFonts w:ascii="Arial" w:cs="Arial" w:eastAsia="Arial" w:hAnsi="Arial"/>
                <w:sz w:val="10"/>
                <w:szCs w:val="10"/>
                <w:color w:val="auto"/>
              </w:rPr>
              <w:t>of the applicable statute of limitations</w:t>
            </w:r>
          </w:p>
        </w:tc>
        <w:tc>
          <w:tcPr>
            <w:tcW w:w="1160" w:type="dxa"/>
            <w:vAlign w:val="bottom"/>
          </w:tcPr>
          <w:p>
            <w:pPr>
              <w:spacing w:after="0"/>
              <w:rPr>
                <w:sz w:val="10"/>
                <w:szCs w:val="10"/>
                <w:color w:val="auto"/>
              </w:rPr>
            </w:pPr>
          </w:p>
        </w:tc>
        <w:tc>
          <w:tcPr>
            <w:tcW w:w="440" w:type="dxa"/>
            <w:vAlign w:val="bottom"/>
            <w:tcBorders>
              <w:right w:val="single" w:sz="8" w:color="0077C0"/>
            </w:tcBorders>
            <w:vMerge w:val="continue"/>
          </w:tcPr>
          <w:p>
            <w:pPr>
              <w:spacing w:after="0"/>
              <w:rPr>
                <w:sz w:val="10"/>
                <w:szCs w:val="10"/>
                <w:color w:val="auto"/>
              </w:rPr>
            </w:pPr>
          </w:p>
        </w:tc>
        <w:tc>
          <w:tcPr>
            <w:tcW w:w="600" w:type="dxa"/>
            <w:vAlign w:val="bottom"/>
          </w:tcPr>
          <w:p>
            <w:pPr>
              <w:jc w:val="right"/>
              <w:ind w:right="89"/>
              <w:spacing w:after="0"/>
              <w:rPr>
                <w:sz w:val="20"/>
                <w:szCs w:val="20"/>
                <w:color w:val="auto"/>
              </w:rPr>
            </w:pPr>
            <w:r>
              <w:rPr>
                <w:rFonts w:ascii="Arial" w:cs="Arial" w:eastAsia="Arial" w:hAnsi="Arial"/>
                <w:sz w:val="10"/>
                <w:szCs w:val="10"/>
                <w:color w:val="auto"/>
              </w:rPr>
              <w:t>(8)</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23"/>
        </w:trPr>
        <w:tc>
          <w:tcPr>
            <w:tcW w:w="2780" w:type="dxa"/>
            <w:vAlign w:val="bottom"/>
            <w:tcBorders>
              <w:top w:val="single" w:sz="8" w:color="0077C0"/>
              <w:bottom w:val="single" w:sz="8" w:color="0077C0"/>
            </w:tcBorders>
          </w:tcPr>
          <w:p>
            <w:pPr>
              <w:spacing w:after="0"/>
              <w:rPr>
                <w:sz w:val="20"/>
                <w:szCs w:val="20"/>
                <w:color w:val="auto"/>
              </w:rPr>
            </w:pPr>
            <w:r>
              <w:rPr>
                <w:rFonts w:ascii="Arial" w:cs="Arial" w:eastAsia="Arial" w:hAnsi="Arial"/>
                <w:sz w:val="10"/>
                <w:szCs w:val="10"/>
                <w:color w:val="auto"/>
              </w:rPr>
              <w:t>Balance at December 31</w:t>
            </w:r>
          </w:p>
        </w:tc>
        <w:tc>
          <w:tcPr>
            <w:tcW w:w="11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3,481</w:t>
            </w:r>
          </w:p>
        </w:tc>
        <w:tc>
          <w:tcPr>
            <w:tcW w:w="600" w:type="dxa"/>
            <w:vAlign w:val="bottom"/>
            <w:tcBorders>
              <w:top w:val="single" w:sz="8" w:color="0077C0"/>
              <w:bottom w:val="single" w:sz="8" w:color="0077C0"/>
            </w:tcBorders>
          </w:tcPr>
          <w:p>
            <w:pPr>
              <w:jc w:val="right"/>
              <w:ind w:right="109"/>
              <w:spacing w:after="0"/>
              <w:rPr>
                <w:sz w:val="20"/>
                <w:szCs w:val="20"/>
                <w:color w:val="auto"/>
              </w:rPr>
            </w:pPr>
            <w:r>
              <w:rPr>
                <w:rFonts w:ascii="Arial" w:cs="Arial" w:eastAsia="Arial" w:hAnsi="Arial"/>
                <w:sz w:val="10"/>
                <w:szCs w:val="10"/>
                <w:color w:val="auto"/>
              </w:rPr>
              <w:t>$ 3,507</w:t>
            </w:r>
          </w:p>
        </w:tc>
        <w:tc>
          <w:tcPr>
            <w:tcW w:w="4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$ 3,195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right="240" w:firstLine="153"/>
        <w:spacing w:after="0" w:line="250" w:lineRule="auto"/>
        <w:rPr>
          <w:sz w:val="20"/>
          <w:szCs w:val="20"/>
          <w:color w:val="auto"/>
        </w:rPr>
      </w:pPr>
      <w:r>
        <w:rPr>
          <w:rFonts w:ascii="Arial" w:cs="Arial" w:eastAsia="Arial" w:hAnsi="Arial"/>
          <w:sz w:val="13"/>
          <w:szCs w:val="13"/>
          <w:color w:val="auto"/>
        </w:rPr>
        <w:t>Approximately 80 percent of the $3,481 of unrecognized tax benefits at December 31, 2011, would have an impact on the effective tax rate if subsequently recognized. Certain of these unrecognized tax benefits relate to tax carryforwards that may require a full valuation allowance at the time of any such recognition.</w:t>
      </w:r>
    </w:p>
    <w:p>
      <w:pPr>
        <w:spacing w:after="0" w:line="1" w:lineRule="exact"/>
        <w:rPr>
          <w:sz w:val="20"/>
          <w:szCs w:val="20"/>
          <w:color w:val="auto"/>
        </w:rPr>
      </w:pPr>
    </w:p>
    <w:p>
      <w:pPr>
        <w:ind w:right="160" w:firstLine="158"/>
        <w:spacing w:after="0" w:line="250" w:lineRule="auto"/>
        <w:rPr>
          <w:sz w:val="20"/>
          <w:szCs w:val="20"/>
          <w:color w:val="auto"/>
        </w:rPr>
      </w:pPr>
      <w:r>
        <w:rPr>
          <w:rFonts w:ascii="Arial" w:cs="Arial" w:eastAsia="Arial" w:hAnsi="Arial"/>
          <w:sz w:val="13"/>
          <w:szCs w:val="13"/>
          <w:color w:val="auto"/>
        </w:rPr>
        <w:t>Tax positions for Chevron and its subsidiaries and affiliates are subject to income tax audits by many tax jurisdictions throughout the world. For the company’s major tax jurisdictions, examinations of tax returns for certain prior tax years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ind w:left="360"/>
        <w:spacing w:after="0" w:line="251" w:lineRule="auto"/>
        <w:rPr>
          <w:sz w:val="20"/>
          <w:szCs w:val="20"/>
          <w:color w:val="auto"/>
        </w:rPr>
      </w:pPr>
      <w:r>
        <w:rPr>
          <w:rFonts w:ascii="Arial" w:cs="Arial" w:eastAsia="Arial" w:hAnsi="Arial"/>
          <w:sz w:val="13"/>
          <w:szCs w:val="13"/>
          <w:color w:val="auto"/>
        </w:rPr>
        <w:t>had not been completed as of December 31, 2011. For these jurisdictions, the latest years for which income tax examinations had been finalized were as follows: United States – 2007, Nigeria – 2000, Angola – 2001, Saudi Arabia – 2003 and Kazakhstan – 2005.</w:t>
      </w:r>
    </w:p>
    <w:p>
      <w:pPr>
        <w:spacing w:after="0" w:line="1" w:lineRule="exact"/>
        <w:rPr>
          <w:sz w:val="20"/>
          <w:szCs w:val="20"/>
          <w:color w:val="auto"/>
        </w:rPr>
      </w:pPr>
    </w:p>
    <w:p>
      <w:pPr>
        <w:ind w:left="360" w:right="60" w:firstLine="158"/>
        <w:spacing w:after="0" w:line="246" w:lineRule="auto"/>
        <w:rPr>
          <w:sz w:val="20"/>
          <w:szCs w:val="20"/>
          <w:color w:val="auto"/>
        </w:rPr>
      </w:pPr>
      <w:r>
        <w:rPr>
          <w:rFonts w:ascii="Arial" w:cs="Arial" w:eastAsia="Arial" w:hAnsi="Arial"/>
          <w:sz w:val="13"/>
          <w:szCs w:val="13"/>
          <w:color w:val="auto"/>
        </w:rPr>
        <w:t>The company engages in ongoing discussions with tax authorities regarding the resolution of tax matters in the various jurisdictions. Both the outcome of these tax matters and the timing of resolution and/or closure of the tax audits are highly uncertain. However, it is reasonably possible that developments on tax matters in certain tax jurisdictions may result in significant increases or decreases in the company’s total unrecognized tax benefits within the next 12 months. Given the number of years that still remain subject to examination and the number of matters being examined in the various tax jurisdictions, the company is unable to estimate the range of possible adjustments to the balance of unrecognized tax benefits.</w:t>
      </w:r>
    </w:p>
    <w:p>
      <w:pPr>
        <w:spacing w:after="0" w:line="4" w:lineRule="exact"/>
        <w:rPr>
          <w:sz w:val="20"/>
          <w:szCs w:val="20"/>
          <w:color w:val="auto"/>
        </w:rPr>
      </w:pPr>
    </w:p>
    <w:p>
      <w:pPr>
        <w:ind w:left="360" w:right="20" w:firstLine="160"/>
        <w:spacing w:after="0" w:line="274" w:lineRule="auto"/>
        <w:rPr>
          <w:sz w:val="20"/>
          <w:szCs w:val="20"/>
          <w:color w:val="auto"/>
        </w:rPr>
      </w:pPr>
      <w:r>
        <w:rPr>
          <w:rFonts w:ascii="Arial" w:cs="Arial" w:eastAsia="Arial" w:hAnsi="Arial"/>
          <w:sz w:val="12"/>
          <w:szCs w:val="12"/>
          <w:color w:val="auto"/>
        </w:rPr>
        <w:t>On the Consolidated Statement of Income, the company reports interest and penalties related to liabilities for uncertain tax positions as “Income tax expense.” As of December 31, 2011, accruals of $118 for anticipated interest and penalty obligations were included on the Consolidated Balance Sheet, compared with accruals of $225 as of year-end 2010. Income tax expense (benefit) associated with interest and penalties was $(64), $40 and $(20) in 2011, 2010 and 2009, respectively.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Taxes Other Than on Income</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9"/>
                <w:szCs w:val="9"/>
                <w:color w:val="auto"/>
                <w:w w:val="89"/>
              </w:rPr>
              <w:t>Year ended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640" w:type="dxa"/>
            <w:vAlign w:val="bottom"/>
            <w:tcBorders>
              <w:bottom w:val="single" w:sz="8" w:color="0077C0"/>
            </w:tcBorders>
          </w:tcPr>
          <w:p>
            <w:pPr>
              <w:spacing w:after="0"/>
              <w:rPr>
                <w:sz w:val="7"/>
                <w:szCs w:val="7"/>
                <w:color w:val="auto"/>
              </w:rPr>
            </w:pPr>
          </w:p>
        </w:tc>
        <w:tc>
          <w:tcPr>
            <w:tcW w:w="1180" w:type="dxa"/>
            <w:vAlign w:val="bottom"/>
            <w:tcBorders>
              <w:bottom w:val="single" w:sz="8" w:color="0077C0"/>
            </w:tcBorders>
          </w:tcPr>
          <w:p>
            <w:pPr>
              <w:spacing w:after="0"/>
              <w:rPr>
                <w:sz w:val="7"/>
                <w:szCs w:val="7"/>
                <w:color w:val="auto"/>
              </w:rPr>
            </w:pPr>
          </w:p>
        </w:tc>
        <w:tc>
          <w:tcPr>
            <w:tcW w:w="60" w:type="dxa"/>
            <w:vAlign w:val="bottom"/>
            <w:tcBorders>
              <w:top w:val="single" w:sz="8" w:color="0077C0"/>
              <w:bottom w:val="single" w:sz="8" w:color="0077C0"/>
            </w:tcBorders>
          </w:tcPr>
          <w:p>
            <w:pPr>
              <w:spacing w:after="0"/>
              <w:rPr>
                <w:sz w:val="7"/>
                <w:szCs w:val="7"/>
                <w:color w:val="auto"/>
              </w:rPr>
            </w:pPr>
          </w:p>
        </w:tc>
        <w:tc>
          <w:tcPr>
            <w:tcW w:w="460" w:type="dxa"/>
            <w:vAlign w:val="bottom"/>
            <w:tcBorders>
              <w:top w:val="single" w:sz="8" w:color="0077C0"/>
              <w:bottom w:val="single" w:sz="8" w:color="0077C0"/>
            </w:tcBorders>
          </w:tcPr>
          <w:p>
            <w:pPr>
              <w:jc w:val="right"/>
              <w:ind w:right="109"/>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110"/>
              <w:spacing w:after="0" w:line="86" w:lineRule="exact"/>
              <w:rPr>
                <w:sz w:val="20"/>
                <w:szCs w:val="20"/>
                <w:color w:val="auto"/>
              </w:rPr>
            </w:pPr>
            <w:r>
              <w:rPr>
                <w:rFonts w:ascii="Arial" w:cs="Arial" w:eastAsia="Arial" w:hAnsi="Arial"/>
                <w:sz w:val="9"/>
                <w:szCs w:val="9"/>
                <w:color w:val="auto"/>
              </w:rPr>
              <w:t>2010</w:t>
            </w:r>
          </w:p>
        </w:tc>
        <w:tc>
          <w:tcPr>
            <w:tcW w:w="220" w:type="dxa"/>
            <w:vAlign w:val="bottom"/>
            <w:tcBorders>
              <w:top w:val="single" w:sz="8" w:color="0077C0"/>
              <w:bottom w:val="single" w:sz="8" w:color="0077C0"/>
            </w:tcBorders>
          </w:tcPr>
          <w:p>
            <w:pPr>
              <w:spacing w:after="0"/>
              <w:rPr>
                <w:sz w:val="7"/>
                <w:szCs w:val="7"/>
                <w:color w:val="auto"/>
              </w:rPr>
            </w:pPr>
          </w:p>
        </w:tc>
        <w:tc>
          <w:tcPr>
            <w:tcW w:w="2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40" w:type="dxa"/>
            <w:vAlign w:val="bottom"/>
          </w:tcPr>
          <w:p>
            <w:pPr>
              <w:spacing w:after="0" w:line="92" w:lineRule="exact"/>
              <w:rPr>
                <w:sz w:val="20"/>
                <w:szCs w:val="20"/>
                <w:color w:val="auto"/>
              </w:rPr>
            </w:pPr>
            <w:r>
              <w:rPr>
                <w:rFonts w:ascii="Arial" w:cs="Arial" w:eastAsia="Arial" w:hAnsi="Arial"/>
                <w:sz w:val="10"/>
                <w:szCs w:val="10"/>
                <w:color w:val="auto"/>
              </w:rPr>
              <w:t>United States</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Excise and similar taxes</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4,199</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40" w:type="dxa"/>
            <w:vAlign w:val="bottom"/>
          </w:tcPr>
          <w:p>
            <w:pPr>
              <w:ind w:left="280"/>
              <w:spacing w:after="0" w:line="104" w:lineRule="exact"/>
              <w:rPr>
                <w:sz w:val="20"/>
                <w:szCs w:val="20"/>
                <w:color w:val="auto"/>
              </w:rPr>
            </w:pPr>
            <w:r>
              <w:rPr>
                <w:rFonts w:ascii="Arial" w:cs="Arial" w:eastAsia="Arial" w:hAnsi="Arial"/>
                <w:sz w:val="10"/>
                <w:szCs w:val="10"/>
                <w:color w:val="auto"/>
              </w:rPr>
              <w:t>on products and merchandise</w:t>
            </w:r>
          </w:p>
        </w:tc>
        <w:tc>
          <w:tcPr>
            <w:tcW w:w="1240" w:type="dxa"/>
            <w:vAlign w:val="bottom"/>
            <w:gridSpan w:val="2"/>
            <w:vMerge w:val="continue"/>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4,484</w:t>
            </w:r>
          </w:p>
        </w:tc>
        <w:tc>
          <w:tcPr>
            <w:tcW w:w="22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4,573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ind w:left="120"/>
              <w:spacing w:after="0" w:line="108" w:lineRule="exact"/>
              <w:rPr>
                <w:sz w:val="20"/>
                <w:szCs w:val="20"/>
                <w:color w:val="auto"/>
              </w:rPr>
            </w:pPr>
            <w:r>
              <w:rPr>
                <w:rFonts w:ascii="Arial" w:cs="Arial" w:eastAsia="Arial" w:hAnsi="Arial"/>
                <w:sz w:val="10"/>
                <w:szCs w:val="10"/>
                <w:color w:val="auto"/>
              </w:rPr>
              <w:t>Import duties and other levies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9"/>
                <w:szCs w:val="9"/>
                <w:color w:val="auto"/>
              </w:rPr>
            </w:pPr>
          </w:p>
        </w:tc>
        <w:tc>
          <w:tcPr>
            <w:tcW w:w="440" w:type="dxa"/>
            <w:vAlign w:val="bottom"/>
          </w:tcPr>
          <w:p>
            <w:pPr>
              <w:jc w:val="right"/>
              <w:ind w:right="11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Property and other</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726</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40" w:type="dxa"/>
            <w:vAlign w:val="bottom"/>
          </w:tcPr>
          <w:p>
            <w:pPr>
              <w:ind w:left="280"/>
              <w:spacing w:after="0" w:line="104" w:lineRule="exact"/>
              <w:rPr>
                <w:sz w:val="20"/>
                <w:szCs w:val="20"/>
                <w:color w:val="auto"/>
              </w:rPr>
            </w:pPr>
            <w:r>
              <w:rPr>
                <w:rFonts w:ascii="Arial" w:cs="Arial" w:eastAsia="Arial" w:hAnsi="Arial"/>
                <w:sz w:val="10"/>
                <w:szCs w:val="10"/>
                <w:color w:val="auto"/>
              </w:rPr>
              <w:t>miscellaneous taxes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567</w:t>
            </w:r>
          </w:p>
        </w:tc>
        <w:tc>
          <w:tcPr>
            <w:tcW w:w="22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584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Payroll taxes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236</w:t>
            </w:r>
          </w:p>
        </w:tc>
        <w:tc>
          <w:tcPr>
            <w:tcW w:w="160" w:type="dxa"/>
            <w:vAlign w:val="bottom"/>
          </w:tcPr>
          <w:p>
            <w:pPr>
              <w:spacing w:after="0"/>
              <w:rPr>
                <w:sz w:val="9"/>
                <w:szCs w:val="9"/>
                <w:color w:val="auto"/>
              </w:rPr>
            </w:pPr>
          </w:p>
        </w:tc>
        <w:tc>
          <w:tcPr>
            <w:tcW w:w="44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219</w:t>
            </w:r>
          </w:p>
        </w:tc>
        <w:tc>
          <w:tcPr>
            <w:tcW w:w="22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223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Taxes on production</w:t>
            </w:r>
          </w:p>
        </w:tc>
        <w:tc>
          <w:tcPr>
            <w:tcW w:w="11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308</w:t>
            </w:r>
          </w:p>
        </w:tc>
        <w:tc>
          <w:tcPr>
            <w:tcW w:w="1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271</w:t>
            </w:r>
          </w:p>
        </w:tc>
        <w:tc>
          <w:tcPr>
            <w:tcW w:w="22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6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United States</w:t>
            </w:r>
          </w:p>
        </w:tc>
        <w:tc>
          <w:tcPr>
            <w:tcW w:w="11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5,473</w:t>
            </w:r>
          </w:p>
        </w:tc>
        <w:tc>
          <w:tcPr>
            <w:tcW w:w="1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5,541</w:t>
            </w:r>
          </w:p>
        </w:tc>
        <w:tc>
          <w:tcPr>
            <w:tcW w:w="22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5,511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660" w:type="dxa"/>
            <w:vAlign w:val="bottom"/>
            <w:gridSpan w:val="2"/>
          </w:tcPr>
          <w:p>
            <w:pPr>
              <w:spacing w:after="0" w:line="92" w:lineRule="exact"/>
              <w:rPr>
                <w:sz w:val="20"/>
                <w:szCs w:val="20"/>
                <w:color w:val="auto"/>
              </w:rPr>
            </w:pPr>
            <w:r>
              <w:rPr>
                <w:rFonts w:ascii="Arial" w:cs="Arial" w:eastAsia="Arial" w:hAnsi="Arial"/>
                <w:sz w:val="10"/>
                <w:szCs w:val="10"/>
                <w:color w:val="auto"/>
              </w:rPr>
              <w:t>International</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Excise and similar taxes on</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3,886</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40" w:type="dxa"/>
            <w:vAlign w:val="bottom"/>
          </w:tcPr>
          <w:p>
            <w:pPr>
              <w:ind w:left="280"/>
              <w:spacing w:after="0" w:line="104" w:lineRule="exact"/>
              <w:rPr>
                <w:sz w:val="20"/>
                <w:szCs w:val="20"/>
                <w:color w:val="auto"/>
              </w:rPr>
            </w:pPr>
            <w:r>
              <w:rPr>
                <w:rFonts w:ascii="Arial" w:cs="Arial" w:eastAsia="Arial" w:hAnsi="Arial"/>
                <w:sz w:val="10"/>
                <w:szCs w:val="10"/>
                <w:color w:val="auto"/>
              </w:rPr>
              <w:t>products and merchandise</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4,107</w:t>
            </w:r>
          </w:p>
        </w:tc>
        <w:tc>
          <w:tcPr>
            <w:tcW w:w="22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3,536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ind w:left="120"/>
              <w:spacing w:after="0" w:line="108" w:lineRule="exact"/>
              <w:rPr>
                <w:sz w:val="20"/>
                <w:szCs w:val="20"/>
                <w:color w:val="auto"/>
              </w:rPr>
            </w:pPr>
            <w:r>
              <w:rPr>
                <w:rFonts w:ascii="Arial" w:cs="Arial" w:eastAsia="Arial" w:hAnsi="Arial"/>
                <w:sz w:val="10"/>
                <w:szCs w:val="10"/>
                <w:color w:val="auto"/>
              </w:rPr>
              <w:t>Import duties and other levies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8" w:lineRule="exact"/>
              <w:rPr>
                <w:sz w:val="20"/>
                <w:szCs w:val="20"/>
                <w:color w:val="auto"/>
              </w:rPr>
            </w:pPr>
            <w:r>
              <w:rPr>
                <w:rFonts w:ascii="Arial" w:cs="Arial" w:eastAsia="Arial" w:hAnsi="Arial"/>
                <w:sz w:val="10"/>
                <w:szCs w:val="10"/>
                <w:b w:val="1"/>
                <w:bCs w:val="1"/>
                <w:color w:val="auto"/>
              </w:rPr>
              <w:t>3,511</w:t>
            </w:r>
          </w:p>
        </w:tc>
        <w:tc>
          <w:tcPr>
            <w:tcW w:w="160" w:type="dxa"/>
            <w:vAlign w:val="bottom"/>
          </w:tcPr>
          <w:p>
            <w:pPr>
              <w:spacing w:after="0"/>
              <w:rPr>
                <w:sz w:val="9"/>
                <w:szCs w:val="9"/>
                <w:color w:val="auto"/>
              </w:rPr>
            </w:pPr>
          </w:p>
        </w:tc>
        <w:tc>
          <w:tcPr>
            <w:tcW w:w="440" w:type="dxa"/>
            <w:vAlign w:val="bottom"/>
          </w:tcPr>
          <w:p>
            <w:pPr>
              <w:jc w:val="right"/>
              <w:ind w:right="110"/>
              <w:spacing w:after="0" w:line="108" w:lineRule="exact"/>
              <w:rPr>
                <w:sz w:val="20"/>
                <w:szCs w:val="20"/>
                <w:color w:val="auto"/>
              </w:rPr>
            </w:pPr>
            <w:r>
              <w:rPr>
                <w:rFonts w:ascii="Arial" w:cs="Arial" w:eastAsia="Arial" w:hAnsi="Arial"/>
                <w:sz w:val="10"/>
                <w:szCs w:val="10"/>
                <w:color w:val="auto"/>
              </w:rPr>
              <w:t>6,183</w:t>
            </w:r>
          </w:p>
        </w:tc>
        <w:tc>
          <w:tcPr>
            <w:tcW w:w="22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6,550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Property and other</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0"/>
                <w:szCs w:val="10"/>
                <w:b w:val="1"/>
                <w:bCs w:val="1"/>
                <w:color w:val="auto"/>
              </w:rPr>
              <w:t>2,354</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40" w:type="dxa"/>
            <w:vAlign w:val="bottom"/>
          </w:tcPr>
          <w:p>
            <w:pPr>
              <w:ind w:left="280"/>
              <w:spacing w:after="0" w:line="104" w:lineRule="exact"/>
              <w:rPr>
                <w:sz w:val="20"/>
                <w:szCs w:val="20"/>
                <w:color w:val="auto"/>
              </w:rPr>
            </w:pPr>
            <w:r>
              <w:rPr>
                <w:rFonts w:ascii="Arial" w:cs="Arial" w:eastAsia="Arial" w:hAnsi="Arial"/>
                <w:sz w:val="10"/>
                <w:szCs w:val="10"/>
                <w:color w:val="auto"/>
              </w:rPr>
              <w:t>miscellaneous taxes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10"/>
              <w:spacing w:after="0" w:line="104" w:lineRule="exact"/>
              <w:rPr>
                <w:sz w:val="20"/>
                <w:szCs w:val="20"/>
                <w:color w:val="auto"/>
              </w:rPr>
            </w:pPr>
            <w:r>
              <w:rPr>
                <w:rFonts w:ascii="Arial" w:cs="Arial" w:eastAsia="Arial" w:hAnsi="Arial"/>
                <w:sz w:val="10"/>
                <w:szCs w:val="10"/>
                <w:color w:val="auto"/>
              </w:rPr>
              <w:t>2,000</w:t>
            </w:r>
          </w:p>
        </w:tc>
        <w:tc>
          <w:tcPr>
            <w:tcW w:w="22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1,740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40" w:type="dxa"/>
            <w:vAlign w:val="bottom"/>
          </w:tcPr>
          <w:p>
            <w:pPr>
              <w:ind w:left="120"/>
              <w:spacing w:after="0" w:line="106" w:lineRule="exact"/>
              <w:rPr>
                <w:sz w:val="20"/>
                <w:szCs w:val="20"/>
                <w:color w:val="auto"/>
              </w:rPr>
            </w:pPr>
            <w:r>
              <w:rPr>
                <w:rFonts w:ascii="Arial" w:cs="Arial" w:eastAsia="Arial" w:hAnsi="Arial"/>
                <w:sz w:val="10"/>
                <w:szCs w:val="10"/>
                <w:color w:val="auto"/>
              </w:rPr>
              <w:t>Payroll taxes</w:t>
            </w: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0077C0"/>
            </w:tcBorders>
          </w:tcPr>
          <w:p>
            <w:pPr>
              <w:jc w:val="right"/>
              <w:ind w:right="109"/>
              <w:spacing w:after="0" w:line="106" w:lineRule="exact"/>
              <w:rPr>
                <w:sz w:val="20"/>
                <w:szCs w:val="20"/>
                <w:color w:val="auto"/>
              </w:rPr>
            </w:pPr>
            <w:r>
              <w:rPr>
                <w:rFonts w:ascii="Arial" w:cs="Arial" w:eastAsia="Arial" w:hAnsi="Arial"/>
                <w:sz w:val="10"/>
                <w:szCs w:val="10"/>
                <w:b w:val="1"/>
                <w:bCs w:val="1"/>
                <w:color w:val="auto"/>
              </w:rPr>
              <w:t>148</w:t>
            </w:r>
          </w:p>
        </w:tc>
        <w:tc>
          <w:tcPr>
            <w:tcW w:w="160" w:type="dxa"/>
            <w:vAlign w:val="bottom"/>
          </w:tcPr>
          <w:p>
            <w:pPr>
              <w:spacing w:after="0"/>
              <w:rPr>
                <w:sz w:val="9"/>
                <w:szCs w:val="9"/>
                <w:color w:val="auto"/>
              </w:rPr>
            </w:pPr>
          </w:p>
        </w:tc>
        <w:tc>
          <w:tcPr>
            <w:tcW w:w="44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133</w:t>
            </w:r>
          </w:p>
        </w:tc>
        <w:tc>
          <w:tcPr>
            <w:tcW w:w="22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134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Taxes on production</w:t>
            </w:r>
          </w:p>
        </w:tc>
        <w:tc>
          <w:tcPr>
            <w:tcW w:w="118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256</w:t>
            </w:r>
          </w:p>
        </w:tc>
        <w:tc>
          <w:tcPr>
            <w:tcW w:w="1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rPr>
              <w:t>227</w:t>
            </w:r>
          </w:p>
        </w:tc>
        <w:tc>
          <w:tcPr>
            <w:tcW w:w="22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6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International</w:t>
            </w:r>
          </w:p>
        </w:tc>
        <w:tc>
          <w:tcPr>
            <w:tcW w:w="1180" w:type="dxa"/>
            <w:vAlign w:val="bottom"/>
            <w:tcBorders>
              <w:bottom w:val="single" w:sz="8" w:color="0077C0"/>
            </w:tcBorders>
          </w:tcPr>
          <w:p>
            <w:pPr>
              <w:spacing w:after="0"/>
              <w:rPr>
                <w:sz w:val="9"/>
                <w:szCs w:val="9"/>
                <w:color w:val="auto"/>
              </w:rPr>
            </w:pPr>
          </w:p>
        </w:tc>
        <w:tc>
          <w:tcPr>
            <w:tcW w:w="60" w:type="dxa"/>
            <w:vAlign w:val="bottom"/>
            <w:tcBorders>
              <w:bottom w:val="single" w:sz="8" w:color="0077C0"/>
            </w:tcBorders>
          </w:tcPr>
          <w:p>
            <w:pPr>
              <w:spacing w:after="0"/>
              <w:rPr>
                <w:sz w:val="9"/>
                <w:szCs w:val="9"/>
                <w:color w:val="auto"/>
              </w:rPr>
            </w:pPr>
          </w:p>
        </w:tc>
        <w:tc>
          <w:tcPr>
            <w:tcW w:w="460" w:type="dxa"/>
            <w:vAlign w:val="bottom"/>
            <w:tcBorders>
              <w:bottom w:val="single" w:sz="8" w:color="0077C0"/>
              <w:right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w w:val="91"/>
              </w:rPr>
              <w:t>10,155</w:t>
            </w:r>
          </w:p>
        </w:tc>
        <w:tc>
          <w:tcPr>
            <w:tcW w:w="16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w w:val="84"/>
              </w:rPr>
              <w:t>12,650</w:t>
            </w:r>
          </w:p>
        </w:tc>
        <w:tc>
          <w:tcPr>
            <w:tcW w:w="22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84"/>
              </w:rPr>
              <w:t>12,080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Total taxes other than on income</w:t>
            </w:r>
          </w:p>
        </w:tc>
        <w:tc>
          <w:tcPr>
            <w:tcW w:w="124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w w:val="91"/>
              </w:rPr>
              <w:t>15,628</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color w:val="auto"/>
                <w:w w:val="84"/>
              </w:rPr>
              <w:t>18,191</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4"/>
              </w:rPr>
              <w:t>17,591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0"/>
          <w:szCs w:val="10"/>
          <w:color w:val="auto"/>
        </w:rPr>
        <w:t>FS-45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480" w:space="120"/>
            <w:col w:w="5860"/>
          </w:cols>
          <w:pgMar w:left="220" w:top="339" w:right="219" w:bottom="1440" w:gutter="0" w:footer="0" w:header="0"/>
          <w:type w:val="continuous"/>
        </w:sectPr>
      </w:pPr>
    </w:p>
    <w:bookmarkStart w:id="86" w:name="page87"/>
    <w:bookmarkEnd w:id="86"/>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390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5990" cy="390525"/>
                    </a:xfrm>
                    <a:prstGeom prst="rect">
                      <a:avLst/>
                    </a:prstGeom>
                    <a:noFill/>
                  </pic:spPr>
                </pic:pic>
              </a:graphicData>
            </a:graphic>
          </wp:anchor>
        </w:drawing>
      </w:r>
    </w:p>
    <w:p>
      <w:pPr>
        <w:spacing w:after="0" w:line="300" w:lineRule="exact"/>
        <w:rPr>
          <w:sz w:val="20"/>
          <w:szCs w:val="20"/>
          <w:color w:val="auto"/>
        </w:rPr>
      </w:pPr>
    </w:p>
    <w:p>
      <w:pPr>
        <w:jc w:val="right"/>
        <w:ind w:right="5980"/>
        <w:spacing w:after="0"/>
        <w:rPr>
          <w:sz w:val="20"/>
          <w:szCs w:val="20"/>
          <w:color w:val="auto"/>
        </w:rPr>
      </w:pPr>
      <w:r>
        <w:rPr>
          <w:rFonts w:ascii="Arial" w:cs="Arial" w:eastAsia="Arial" w:hAnsi="Arial"/>
          <w:sz w:val="10"/>
          <w:szCs w:val="10"/>
          <w:color w:val="0077C0"/>
        </w:rPr>
        <w:t>Notes to the Consolidated Financial Statements</w:t>
      </w:r>
    </w:p>
    <w:p>
      <w:pPr>
        <w:jc w:val="right"/>
        <w:ind w:right="5960"/>
        <w:spacing w:after="0"/>
        <w:rPr>
          <w:sz w:val="20"/>
          <w:szCs w:val="20"/>
          <w:color w:val="auto"/>
        </w:rPr>
      </w:pPr>
      <w:r>
        <w:rPr>
          <w:rFonts w:ascii="Arial" w:cs="Arial" w:eastAsia="Arial" w:hAnsi="Arial"/>
          <w:sz w:val="9"/>
          <w:szCs w:val="9"/>
          <w:color w:val="0077C0"/>
        </w:rPr>
        <w:t>Millions of dollars, except per-share amounts</w:t>
      </w:r>
    </w:p>
    <w:p>
      <w:pPr>
        <w:sectPr>
          <w:pgSz w:w="11900" w:h="16838" w:orient="portrait"/>
          <w:cols w:equalWidth="0" w:num="1">
            <w:col w:w="11463"/>
          </w:cols>
          <w:pgMar w:left="217" w:top="338" w:right="21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0077C0"/>
        </w:rPr>
        <w:t>Note 16</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0"/>
          <w:szCs w:val="10"/>
          <w:color w:val="0077C0"/>
        </w:rPr>
        <w:t>Short-Term Debt</w:t>
      </w:r>
    </w:p>
    <w:p>
      <w:pPr>
        <w:spacing w:after="0" w:line="92"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4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jc w:val="center"/>
              <w:ind w:left="190"/>
              <w:spacing w:after="0"/>
              <w:rPr>
                <w:sz w:val="20"/>
                <w:szCs w:val="20"/>
                <w:color w:val="auto"/>
              </w:rPr>
            </w:pPr>
            <w:r>
              <w:rPr>
                <w:rFonts w:ascii="Arial" w:cs="Arial" w:eastAsia="Arial" w:hAnsi="Arial"/>
                <w:sz w:val="9"/>
                <w:szCs w:val="9"/>
                <w:color w:val="auto"/>
                <w:w w:val="92"/>
              </w:rPr>
              <w:t>At December 31</w:t>
            </w:r>
          </w:p>
        </w:tc>
        <w:tc>
          <w:tcPr>
            <w:tcW w:w="0" w:type="dxa"/>
            <w:vAlign w:val="bottom"/>
          </w:tcPr>
          <w:p>
            <w:pPr>
              <w:spacing w:after="0"/>
              <w:rPr>
                <w:sz w:val="1"/>
                <w:szCs w:val="1"/>
                <w:color w:val="auto"/>
              </w:rPr>
            </w:pPr>
          </w:p>
        </w:tc>
      </w:tr>
      <w:tr>
        <w:trPr>
          <w:trHeight w:val="86"/>
        </w:trPr>
        <w:tc>
          <w:tcPr>
            <w:tcW w:w="4520" w:type="dxa"/>
            <w:vAlign w:val="bottom"/>
            <w:tcBorders>
              <w:bottom w:val="single" w:sz="8" w:color="0077C0"/>
            </w:tcBorders>
          </w:tcPr>
          <w:p>
            <w:pPr>
              <w:spacing w:after="0"/>
              <w:rPr>
                <w:sz w:val="7"/>
                <w:szCs w:val="7"/>
                <w:color w:val="auto"/>
              </w:rPr>
            </w:pPr>
          </w:p>
        </w:tc>
        <w:tc>
          <w:tcPr>
            <w:tcW w:w="8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0077C0"/>
              <w:bottom w:val="single" w:sz="8" w:color="0077C0"/>
            </w:tcBorders>
          </w:tcPr>
          <w:p>
            <w:pPr>
              <w:spacing w:after="0"/>
              <w:rPr>
                <w:sz w:val="7"/>
                <w:szCs w:val="7"/>
                <w:color w:val="auto"/>
              </w:rPr>
            </w:pPr>
          </w:p>
        </w:tc>
        <w:tc>
          <w:tcPr>
            <w:tcW w:w="2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520" w:type="dxa"/>
            <w:vAlign w:val="bottom"/>
          </w:tcPr>
          <w:p>
            <w:pPr>
              <w:spacing w:after="0" w:line="92" w:lineRule="exact"/>
              <w:rPr>
                <w:sz w:val="20"/>
                <w:szCs w:val="20"/>
                <w:color w:val="auto"/>
              </w:rPr>
            </w:pPr>
            <w:r>
              <w:rPr>
                <w:rFonts w:ascii="Arial" w:cs="Arial" w:eastAsia="Arial" w:hAnsi="Arial"/>
                <w:sz w:val="10"/>
                <w:szCs w:val="10"/>
                <w:color w:val="auto"/>
              </w:rPr>
              <w:t>Commercial paper*</w:t>
            </w:r>
          </w:p>
        </w:tc>
        <w:tc>
          <w:tcPr>
            <w:tcW w:w="80" w:type="dxa"/>
            <w:vAlign w:val="bottom"/>
          </w:tcPr>
          <w:p>
            <w:pPr>
              <w:jc w:val="right"/>
              <w:spacing w:after="0" w:line="92" w:lineRule="exact"/>
              <w:rPr>
                <w:sz w:val="20"/>
                <w:szCs w:val="20"/>
                <w:color w:val="auto"/>
              </w:rPr>
            </w:pPr>
            <w:r>
              <w:rPr>
                <w:rFonts w:ascii="Arial" w:cs="Arial" w:eastAsia="Arial" w:hAnsi="Arial"/>
                <w:sz w:val="10"/>
                <w:szCs w:val="10"/>
                <w:b w:val="1"/>
                <w:bCs w:val="1"/>
                <w:color w:val="auto"/>
                <w:w w:val="71"/>
              </w:rPr>
              <w:t>$</w:t>
            </w:r>
          </w:p>
        </w:tc>
        <w:tc>
          <w:tcPr>
            <w:tcW w:w="440" w:type="dxa"/>
            <w:vAlign w:val="bottom"/>
            <w:tcBorders>
              <w:right w:val="single" w:sz="8" w:color="0077C0"/>
            </w:tcBorders>
          </w:tcPr>
          <w:p>
            <w:pPr>
              <w:jc w:val="right"/>
              <w:ind w:right="130"/>
              <w:spacing w:after="0" w:line="92" w:lineRule="exact"/>
              <w:rPr>
                <w:sz w:val="20"/>
                <w:szCs w:val="20"/>
                <w:color w:val="auto"/>
              </w:rPr>
            </w:pPr>
            <w:r>
              <w:rPr>
                <w:rFonts w:ascii="Arial" w:cs="Arial" w:eastAsia="Arial" w:hAnsi="Arial"/>
                <w:sz w:val="10"/>
                <w:szCs w:val="10"/>
                <w:b w:val="1"/>
                <w:bCs w:val="1"/>
                <w:color w:val="auto"/>
                <w:w w:val="95"/>
              </w:rPr>
              <w:t>2,498</w:t>
            </w:r>
          </w:p>
        </w:tc>
        <w:tc>
          <w:tcPr>
            <w:tcW w:w="140" w:type="dxa"/>
            <w:vAlign w:val="bottom"/>
          </w:tcPr>
          <w:p>
            <w:pPr>
              <w:jc w:val="center"/>
              <w:ind w:left="29"/>
              <w:spacing w:after="0" w:line="92"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2" w:lineRule="exact"/>
              <w:rPr>
                <w:sz w:val="20"/>
                <w:szCs w:val="20"/>
                <w:color w:val="auto"/>
              </w:rPr>
            </w:pPr>
            <w:r>
              <w:rPr>
                <w:rFonts w:ascii="Arial" w:cs="Arial" w:eastAsia="Arial" w:hAnsi="Arial"/>
                <w:sz w:val="10"/>
                <w:szCs w:val="10"/>
                <w:color w:val="auto"/>
              </w:rPr>
              <w:t>2,471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Notes payable to banks and others with</w:t>
            </w:r>
          </w:p>
        </w:tc>
        <w:tc>
          <w:tcPr>
            <w:tcW w:w="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40</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520" w:type="dxa"/>
            <w:vAlign w:val="bottom"/>
          </w:tcPr>
          <w:p>
            <w:pPr>
              <w:ind w:left="140"/>
              <w:spacing w:after="0" w:line="104" w:lineRule="exact"/>
              <w:rPr>
                <w:sz w:val="20"/>
                <w:szCs w:val="20"/>
                <w:color w:val="auto"/>
              </w:rPr>
            </w:pPr>
            <w:r>
              <w:rPr>
                <w:rFonts w:ascii="Arial" w:cs="Arial" w:eastAsia="Arial" w:hAnsi="Arial"/>
                <w:sz w:val="10"/>
                <w:szCs w:val="10"/>
                <w:color w:val="auto"/>
              </w:rPr>
              <w:t>originating terms of one year or less</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Current maturities of long-term debt</w:t>
            </w:r>
          </w:p>
        </w:tc>
        <w:tc>
          <w:tcPr>
            <w:tcW w:w="80" w:type="dxa"/>
            <w:vAlign w:val="bottom"/>
          </w:tcPr>
          <w:p>
            <w:pPr>
              <w:spacing w:after="0"/>
              <w:rPr>
                <w:sz w:val="9"/>
                <w:szCs w:val="9"/>
                <w:color w:val="auto"/>
              </w:rPr>
            </w:pPr>
          </w:p>
        </w:tc>
        <w:tc>
          <w:tcPr>
            <w:tcW w:w="440" w:type="dxa"/>
            <w:vAlign w:val="bottom"/>
            <w:tcBorders>
              <w:right w:val="single" w:sz="8" w:color="0077C0"/>
            </w:tcBorders>
          </w:tcPr>
          <w:p>
            <w:pPr>
              <w:jc w:val="right"/>
              <w:ind w:right="130"/>
              <w:spacing w:after="0" w:line="108" w:lineRule="exact"/>
              <w:rPr>
                <w:sz w:val="20"/>
                <w:szCs w:val="20"/>
                <w:color w:val="auto"/>
              </w:rPr>
            </w:pPr>
            <w:r>
              <w:rPr>
                <w:rFonts w:ascii="Arial" w:cs="Arial" w:eastAsia="Arial" w:hAnsi="Arial"/>
                <w:sz w:val="10"/>
                <w:szCs w:val="10"/>
                <w:b w:val="1"/>
                <w:bCs w:val="1"/>
                <w:color w:val="auto"/>
              </w:rPr>
              <w:t>17</w:t>
            </w:r>
          </w:p>
        </w:tc>
        <w:tc>
          <w:tcPr>
            <w:tcW w:w="14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Current maturities of long-term</w:t>
            </w:r>
          </w:p>
        </w:tc>
        <w:tc>
          <w:tcPr>
            <w:tcW w:w="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54</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tcPr>
          <w:p>
            <w:pPr>
              <w:ind w:left="140"/>
              <w:spacing w:after="0" w:line="106" w:lineRule="exact"/>
              <w:rPr>
                <w:sz w:val="20"/>
                <w:szCs w:val="20"/>
                <w:color w:val="auto"/>
              </w:rPr>
            </w:pPr>
            <w:r>
              <w:rPr>
                <w:rFonts w:ascii="Arial" w:cs="Arial" w:eastAsia="Arial" w:hAnsi="Arial"/>
                <w:sz w:val="10"/>
                <w:szCs w:val="10"/>
                <w:color w:val="auto"/>
              </w:rPr>
              <w:t>capital leases</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520" w:type="dxa"/>
            <w:vAlign w:val="bottom"/>
          </w:tcPr>
          <w:p>
            <w:pPr>
              <w:spacing w:after="0" w:line="106" w:lineRule="exact"/>
              <w:rPr>
                <w:sz w:val="20"/>
                <w:szCs w:val="20"/>
                <w:color w:val="auto"/>
              </w:rPr>
            </w:pPr>
            <w:r>
              <w:rPr>
                <w:rFonts w:ascii="Arial" w:cs="Arial" w:eastAsia="Arial" w:hAnsi="Arial"/>
                <w:sz w:val="10"/>
                <w:szCs w:val="10"/>
                <w:color w:val="auto"/>
              </w:rPr>
              <w:t>Redeemable long-term obligations</w:t>
            </w:r>
          </w:p>
        </w:tc>
        <w:tc>
          <w:tcPr>
            <w:tcW w:w="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w w:val="95"/>
              </w:rPr>
              <w:t>3,317</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520" w:type="dxa"/>
            <w:vAlign w:val="bottom"/>
          </w:tcPr>
          <w:p>
            <w:pPr>
              <w:ind w:left="140"/>
              <w:spacing w:after="0" w:line="104" w:lineRule="exact"/>
              <w:rPr>
                <w:sz w:val="20"/>
                <w:szCs w:val="20"/>
                <w:color w:val="auto"/>
              </w:rPr>
            </w:pPr>
            <w:r>
              <w:rPr>
                <w:rFonts w:ascii="Arial" w:cs="Arial" w:eastAsia="Arial" w:hAnsi="Arial"/>
                <w:sz w:val="10"/>
                <w:szCs w:val="10"/>
                <w:color w:val="auto"/>
              </w:rPr>
              <w:t>Long-term debt</w:t>
            </w:r>
          </w:p>
        </w:tc>
        <w:tc>
          <w:tcPr>
            <w:tcW w:w="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2,943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52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Capital leases</w:t>
            </w:r>
          </w:p>
        </w:tc>
        <w:tc>
          <w:tcPr>
            <w:tcW w:w="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14</w:t>
            </w:r>
          </w:p>
        </w:tc>
        <w:tc>
          <w:tcPr>
            <w:tcW w:w="1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520" w:type="dxa"/>
            <w:vAlign w:val="bottom"/>
          </w:tcPr>
          <w:p>
            <w:pPr>
              <w:ind w:left="140"/>
              <w:spacing w:after="0" w:line="91" w:lineRule="exact"/>
              <w:rPr>
                <w:sz w:val="20"/>
                <w:szCs w:val="20"/>
                <w:color w:val="auto"/>
              </w:rPr>
            </w:pPr>
            <w:r>
              <w:rPr>
                <w:rFonts w:ascii="Arial" w:cs="Arial" w:eastAsia="Arial" w:hAnsi="Arial"/>
                <w:sz w:val="10"/>
                <w:szCs w:val="10"/>
                <w:color w:val="auto"/>
              </w:rPr>
              <w:t>Subtotal</w:t>
            </w:r>
          </w:p>
        </w:tc>
        <w:tc>
          <w:tcPr>
            <w:tcW w:w="80" w:type="dxa"/>
            <w:vAlign w:val="bottom"/>
          </w:tcPr>
          <w:p>
            <w:pPr>
              <w:spacing w:after="0"/>
              <w:rPr>
                <w:sz w:val="7"/>
                <w:szCs w:val="7"/>
                <w:color w:val="auto"/>
              </w:rPr>
            </w:pPr>
          </w:p>
        </w:tc>
        <w:tc>
          <w:tcPr>
            <w:tcW w:w="44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w w:val="95"/>
              </w:rPr>
              <w:t>5,940</w:t>
            </w:r>
          </w:p>
        </w:tc>
        <w:tc>
          <w:tcPr>
            <w:tcW w:w="140" w:type="dxa"/>
            <w:vAlign w:val="bottom"/>
          </w:tcPr>
          <w:p>
            <w:pPr>
              <w:spacing w:after="0"/>
              <w:rPr>
                <w:sz w:val="7"/>
                <w:szCs w:val="7"/>
                <w:color w:val="auto"/>
              </w:rPr>
            </w:pP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5,587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520" w:type="dxa"/>
            <w:vAlign w:val="bottom"/>
          </w:tcPr>
          <w:p>
            <w:pPr>
              <w:spacing w:after="0"/>
              <w:rPr>
                <w:sz w:val="20"/>
                <w:szCs w:val="20"/>
                <w:color w:val="auto"/>
              </w:rPr>
            </w:pPr>
            <w:r>
              <w:rPr>
                <w:rFonts w:ascii="Arial" w:cs="Arial" w:eastAsia="Arial" w:hAnsi="Arial"/>
                <w:sz w:val="10"/>
                <w:szCs w:val="10"/>
                <w:color w:val="auto"/>
              </w:rPr>
              <w:t>Reclassified to long-term debt</w:t>
            </w:r>
          </w:p>
        </w:tc>
        <w:tc>
          <w:tcPr>
            <w:tcW w:w="80" w:type="dxa"/>
            <w:vAlign w:val="bottom"/>
          </w:tcPr>
          <w:p>
            <w:pPr>
              <w:spacing w:after="0"/>
              <w:rPr>
                <w:sz w:val="10"/>
                <w:szCs w:val="10"/>
                <w:color w:val="auto"/>
              </w:rPr>
            </w:pPr>
          </w:p>
        </w:tc>
        <w:tc>
          <w:tcPr>
            <w:tcW w:w="440" w:type="dxa"/>
            <w:vAlign w:val="bottom"/>
            <w:tcBorders>
              <w:right w:val="single" w:sz="8" w:color="0077C0"/>
            </w:tcBorders>
          </w:tcPr>
          <w:p>
            <w:pPr>
              <w:jc w:val="right"/>
              <w:ind w:right="90"/>
              <w:spacing w:after="0"/>
              <w:rPr>
                <w:sz w:val="20"/>
                <w:szCs w:val="20"/>
                <w:color w:val="auto"/>
              </w:rPr>
            </w:pPr>
            <w:r>
              <w:rPr>
                <w:rFonts w:ascii="Arial" w:cs="Arial" w:eastAsia="Arial" w:hAnsi="Arial"/>
                <w:sz w:val="10"/>
                <w:szCs w:val="10"/>
                <w:b w:val="1"/>
                <w:bCs w:val="1"/>
                <w:color w:val="auto"/>
                <w:w w:val="88"/>
              </w:rPr>
              <w:t>(5,600)</w:t>
            </w:r>
          </w:p>
        </w:tc>
        <w:tc>
          <w:tcPr>
            <w:tcW w:w="14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color w:val="auto"/>
                <w:w w:val="88"/>
              </w:rPr>
              <w:t>(5,400)</w:t>
            </w:r>
          </w:p>
        </w:tc>
        <w:tc>
          <w:tcPr>
            <w:tcW w:w="0" w:type="dxa"/>
            <w:vAlign w:val="bottom"/>
          </w:tcPr>
          <w:p>
            <w:pPr>
              <w:spacing w:after="0"/>
              <w:rPr>
                <w:sz w:val="1"/>
                <w:szCs w:val="1"/>
                <w:color w:val="auto"/>
              </w:rPr>
            </w:pPr>
          </w:p>
        </w:tc>
      </w:tr>
      <w:tr>
        <w:trPr>
          <w:trHeight w:val="123"/>
        </w:trPr>
        <w:tc>
          <w:tcPr>
            <w:tcW w:w="4520" w:type="dxa"/>
            <w:vAlign w:val="bottom"/>
            <w:tcBorders>
              <w:top w:val="single" w:sz="8" w:color="0077C0"/>
              <w:bottom w:val="single" w:sz="8" w:color="0077C0"/>
            </w:tcBorders>
          </w:tcPr>
          <w:p>
            <w:pPr>
              <w:spacing w:after="0"/>
              <w:rPr>
                <w:sz w:val="20"/>
                <w:szCs w:val="20"/>
                <w:color w:val="auto"/>
              </w:rPr>
            </w:pPr>
            <w:r>
              <w:rPr>
                <w:rFonts w:ascii="Arial" w:cs="Arial" w:eastAsia="Arial" w:hAnsi="Arial"/>
                <w:sz w:val="10"/>
                <w:szCs w:val="10"/>
                <w:color w:val="auto"/>
              </w:rPr>
              <w:t>Total short-term debt</w:t>
            </w:r>
          </w:p>
        </w:tc>
        <w:tc>
          <w:tcPr>
            <w:tcW w:w="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0077C0"/>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340</w:t>
            </w:r>
          </w:p>
        </w:tc>
        <w:tc>
          <w:tcPr>
            <w:tcW w:w="140" w:type="dxa"/>
            <w:vAlign w:val="bottom"/>
            <w:tcBorders>
              <w:top w:val="single" w:sz="8" w:color="0077C0"/>
              <w:bottom w:val="single" w:sz="8" w:color="0077C0"/>
            </w:tcBorders>
          </w:tcPr>
          <w:p>
            <w:pPr>
              <w:jc w:val="center"/>
              <w:ind w:left="29"/>
              <w:spacing w:after="0"/>
              <w:rPr>
                <w:sz w:val="20"/>
                <w:szCs w:val="20"/>
                <w:color w:val="auto"/>
              </w:rPr>
            </w:pPr>
            <w:r>
              <w:rPr>
                <w:rFonts w:ascii="Arial" w:cs="Arial" w:eastAsia="Arial" w:hAnsi="Arial"/>
                <w:sz w:val="10"/>
                <w:szCs w:val="10"/>
                <w:color w:val="auto"/>
              </w:rPr>
              <w:t>$</w:t>
            </w:r>
          </w:p>
        </w:tc>
        <w:tc>
          <w:tcPr>
            <w:tcW w:w="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187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23" w:hanging="223"/>
        <w:spacing w:after="0"/>
        <w:tabs>
          <w:tab w:leader="none" w:pos="223" w:val="left"/>
        </w:tabs>
        <w:numPr>
          <w:ilvl w:val="0"/>
          <w:numId w:val="38"/>
        </w:numPr>
        <w:rPr>
          <w:rFonts w:ascii="Arial" w:cs="Arial" w:eastAsia="Arial" w:hAnsi="Arial"/>
          <w:sz w:val="9"/>
          <w:szCs w:val="9"/>
          <w:color w:val="auto"/>
        </w:rPr>
      </w:pPr>
      <w:r>
        <w:rPr>
          <w:rFonts w:ascii="Arial" w:cs="Arial" w:eastAsia="Arial" w:hAnsi="Arial"/>
          <w:sz w:val="9"/>
          <w:szCs w:val="9"/>
          <w:color w:val="auto"/>
        </w:rPr>
        <w:t>Weighted-average interest rates at December 31, 2011 and 2010, were 0.04 percent and 0.16 percent, respectively.</w:t>
      </w:r>
    </w:p>
    <w:p>
      <w:pPr>
        <w:spacing w:after="0" w:line="72" w:lineRule="exact"/>
        <w:rPr>
          <w:sz w:val="20"/>
          <w:szCs w:val="20"/>
          <w:color w:val="auto"/>
        </w:rPr>
      </w:pPr>
    </w:p>
    <w:p>
      <w:pPr>
        <w:ind w:left="3" w:right="40"/>
        <w:spacing w:after="0" w:line="250" w:lineRule="auto"/>
        <w:rPr>
          <w:sz w:val="20"/>
          <w:szCs w:val="20"/>
          <w:color w:val="auto"/>
        </w:rPr>
      </w:pPr>
      <w:r>
        <w:rPr>
          <w:rFonts w:ascii="Arial" w:cs="Arial" w:eastAsia="Arial" w:hAnsi="Arial"/>
          <w:sz w:val="13"/>
          <w:szCs w:val="13"/>
          <w:color w:val="auto"/>
        </w:rPr>
        <w:t>Redeemable long-term obligations consist primarily of tax-exempt variable-rate put bonds that are included as current liabilities because they become redeemable at the option of the bondholders during the year following the balance sheet date. In 2011, $374 of tax-exempt bonds related to projects at the Pascagoula, Mississippi, refinery were issued.</w:t>
      </w:r>
    </w:p>
    <w:p>
      <w:pPr>
        <w:spacing w:after="0" w:line="1" w:lineRule="exact"/>
        <w:rPr>
          <w:sz w:val="20"/>
          <w:szCs w:val="20"/>
          <w:color w:val="auto"/>
        </w:rPr>
      </w:pPr>
    </w:p>
    <w:p>
      <w:pPr>
        <w:ind w:left="3" w:right="280" w:firstLine="158"/>
        <w:spacing w:after="0" w:line="267" w:lineRule="auto"/>
        <w:rPr>
          <w:sz w:val="20"/>
          <w:szCs w:val="20"/>
          <w:color w:val="auto"/>
        </w:rPr>
      </w:pPr>
      <w:r>
        <w:rPr>
          <w:rFonts w:ascii="Arial" w:cs="Arial" w:eastAsia="Arial" w:hAnsi="Arial"/>
          <w:sz w:val="12"/>
          <w:szCs w:val="12"/>
          <w:color w:val="auto"/>
        </w:rPr>
        <w:t>The company may periodically enter into interest rate swaps on a portion of its short-term debt. At December 31, 2011, the company had no interest rate swaps on short-term debt.</w:t>
      </w:r>
    </w:p>
    <w:p>
      <w:pPr>
        <w:ind w:left="3" w:right="100" w:firstLine="153"/>
        <w:spacing w:after="0" w:line="267" w:lineRule="auto"/>
        <w:rPr>
          <w:sz w:val="20"/>
          <w:szCs w:val="20"/>
          <w:color w:val="auto"/>
        </w:rPr>
      </w:pPr>
      <w:r>
        <w:rPr>
          <w:rFonts w:ascii="Arial" w:cs="Arial" w:eastAsia="Arial" w:hAnsi="Arial"/>
          <w:sz w:val="12"/>
          <w:szCs w:val="12"/>
          <w:color w:val="auto"/>
        </w:rPr>
        <w:t>At December 31, 2011, the company had $6,000 in committed credit facilities with various major banks, expiring in December 2016, that enable the refinancing of short-term obligations on a long-term basis. These facilities support commercial paper borrowing and can also be used for general corporate purposes. The company’s practice has been to continually replace expiring commitments with new commitments on substantially the same terms, maintaining levels management believes appropriate. Any borrowings under the facilities would be unsecured indebtedness at interest rates based on the London Interbank Offered Rate or an average of base lending rates published by specified banks and on terms reflecting the company’s strong credit rating. No borrowings were outstanding under these facilities at December 31, 2011.</w:t>
      </w:r>
    </w:p>
    <w:p>
      <w:pPr>
        <w:spacing w:after="0" w:line="2" w:lineRule="exact"/>
        <w:rPr>
          <w:sz w:val="20"/>
          <w:szCs w:val="20"/>
          <w:color w:val="auto"/>
        </w:rPr>
      </w:pPr>
    </w:p>
    <w:p>
      <w:pPr>
        <w:ind w:left="3" w:right="20" w:firstLine="153"/>
        <w:spacing w:after="0" w:line="249" w:lineRule="auto"/>
        <w:rPr>
          <w:sz w:val="20"/>
          <w:szCs w:val="20"/>
          <w:color w:val="auto"/>
        </w:rPr>
      </w:pPr>
      <w:r>
        <w:rPr>
          <w:rFonts w:ascii="Arial" w:cs="Arial" w:eastAsia="Arial" w:hAnsi="Arial"/>
          <w:sz w:val="13"/>
          <w:szCs w:val="13"/>
          <w:color w:val="auto"/>
        </w:rPr>
        <w:t>At December 31, 2011 and 2010, the company classified $5,600 and $5,400, respectively, of short-term debt as long-term. Settlement of these obligations is not expected to require the use of working capital within one year, as the company has both the intent and the ability, as evidenced by committed credit facilities, to refinance them on a long-term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17</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Long-Term Debt</w:t>
      </w:r>
    </w:p>
    <w:p>
      <w:pPr>
        <w:ind w:right="180"/>
        <w:spacing w:after="0" w:line="251" w:lineRule="auto"/>
        <w:rPr>
          <w:sz w:val="20"/>
          <w:szCs w:val="20"/>
          <w:color w:val="auto"/>
        </w:rPr>
      </w:pPr>
      <w:r>
        <w:rPr>
          <w:rFonts w:ascii="Arial" w:cs="Arial" w:eastAsia="Arial" w:hAnsi="Arial"/>
          <w:sz w:val="13"/>
          <w:szCs w:val="13"/>
          <w:color w:val="auto"/>
        </w:rPr>
        <w:t>Total long-term debt, excluding capital leases, at December 31, 2011, was $9,684. The company’s long-term debt outstanding at year-end 2011 and 2010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9"/>
                <w:szCs w:val="9"/>
                <w:color w:val="auto"/>
              </w:rPr>
              <w:t>At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280" w:type="dxa"/>
            <w:vAlign w:val="bottom"/>
            <w:tcBorders>
              <w:bottom w:val="single" w:sz="8" w:color="0077C0"/>
            </w:tcBorders>
          </w:tcPr>
          <w:p>
            <w:pPr>
              <w:spacing w:after="0"/>
              <w:rPr>
                <w:sz w:val="7"/>
                <w:szCs w:val="7"/>
                <w:color w:val="auto"/>
              </w:rPr>
            </w:pPr>
          </w:p>
        </w:tc>
        <w:tc>
          <w:tcPr>
            <w:tcW w:w="1240" w:type="dxa"/>
            <w:vAlign w:val="bottom"/>
            <w:tcBorders>
              <w:bottom w:val="single" w:sz="8" w:color="0077C0"/>
            </w:tcBorders>
          </w:tcPr>
          <w:p>
            <w:pPr>
              <w:spacing w:after="0"/>
              <w:rPr>
                <w:sz w:val="7"/>
                <w:szCs w:val="7"/>
                <w:color w:val="auto"/>
              </w:rPr>
            </w:pPr>
          </w:p>
        </w:tc>
        <w:tc>
          <w:tcPr>
            <w:tcW w:w="6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129"/>
              <w:spacing w:after="0" w:line="86" w:lineRule="exact"/>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0077C0"/>
              <w:bottom w:val="single" w:sz="8" w:color="0077C0"/>
            </w:tcBorders>
          </w:tcPr>
          <w:p>
            <w:pPr>
              <w:spacing w:after="0"/>
              <w:rPr>
                <w:sz w:val="7"/>
                <w:szCs w:val="7"/>
                <w:color w:val="auto"/>
              </w:rPr>
            </w:pPr>
          </w:p>
        </w:tc>
        <w:tc>
          <w:tcPr>
            <w:tcW w:w="2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80" w:type="dxa"/>
            <w:vAlign w:val="bottom"/>
          </w:tcPr>
          <w:p>
            <w:pPr>
              <w:spacing w:after="0" w:line="91" w:lineRule="exact"/>
              <w:rPr>
                <w:sz w:val="20"/>
                <w:szCs w:val="20"/>
                <w:color w:val="auto"/>
              </w:rPr>
            </w:pPr>
            <w:r>
              <w:rPr>
                <w:rFonts w:ascii="Arial" w:cs="Arial" w:eastAsia="Arial" w:hAnsi="Arial"/>
                <w:sz w:val="10"/>
                <w:szCs w:val="10"/>
                <w:color w:val="auto"/>
              </w:rPr>
              <w:t>3.95% notes due 2014</w:t>
            </w:r>
          </w:p>
        </w:tc>
        <w:tc>
          <w:tcPr>
            <w:tcW w:w="1300" w:type="dxa"/>
            <w:vAlign w:val="bottom"/>
            <w:gridSpan w:val="2"/>
          </w:tcPr>
          <w:p>
            <w:pPr>
              <w:jc w:val="right"/>
              <w:ind w:right="20"/>
              <w:spacing w:after="0" w:line="91"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1,998</w:t>
            </w:r>
          </w:p>
        </w:tc>
        <w:tc>
          <w:tcPr>
            <w:tcW w:w="1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1,998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3.45% notes due 2012</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1,500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4.95% notes due 2019</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w w:val="95"/>
              </w:rPr>
              <w:t>1,500</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1,500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8.625% debentures due 2032</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147</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8.625% debentures due 2031</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107</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107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7.5% debentures due 2043</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83</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8% debentures due 2032</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74</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74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7.327% amortizing notes due 2014</w:t>
            </w:r>
            <w:r>
              <w:rPr>
                <w:rFonts w:ascii="Arial" w:cs="Arial" w:eastAsia="Arial" w:hAnsi="Arial"/>
                <w:sz w:val="8"/>
                <w:szCs w:val="8"/>
                <w:color w:val="auto"/>
              </w:rPr>
              <w:t>1</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59</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72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9.75% debentures due 2020</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54</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00" w:type="dxa"/>
            <w:vAlign w:val="bottom"/>
            <w:gridSpan w:val="2"/>
          </w:tcPr>
          <w:p>
            <w:pPr>
              <w:spacing w:after="0" w:line="108" w:lineRule="exact"/>
              <w:rPr>
                <w:sz w:val="20"/>
                <w:szCs w:val="20"/>
                <w:color w:val="auto"/>
              </w:rPr>
            </w:pPr>
            <w:r>
              <w:rPr>
                <w:rFonts w:ascii="Arial" w:cs="Arial" w:eastAsia="Arial" w:hAnsi="Arial"/>
                <w:sz w:val="10"/>
                <w:szCs w:val="10"/>
                <w:color w:val="auto"/>
              </w:rPr>
              <w:t>8.875% debentures due 2021</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8" w:lineRule="exact"/>
              <w:rPr>
                <w:sz w:val="20"/>
                <w:szCs w:val="20"/>
                <w:color w:val="auto"/>
              </w:rPr>
            </w:pPr>
            <w:r>
              <w:rPr>
                <w:rFonts w:ascii="Arial" w:cs="Arial" w:eastAsia="Arial" w:hAnsi="Arial"/>
                <w:sz w:val="10"/>
                <w:szCs w:val="10"/>
                <w:b w:val="1"/>
                <w:bCs w:val="1"/>
                <w:color w:val="auto"/>
              </w:rPr>
              <w:t>40</w:t>
            </w:r>
          </w:p>
        </w:tc>
        <w:tc>
          <w:tcPr>
            <w:tcW w:w="14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auto"/>
              </w:rPr>
              <w:t>40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Medium-term notes, maturing from</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29"/>
              <w:spacing w:after="0"/>
              <w:rPr>
                <w:sz w:val="20"/>
                <w:szCs w:val="20"/>
                <w:color w:val="auto"/>
              </w:rPr>
            </w:pPr>
            <w:r>
              <w:rPr>
                <w:rFonts w:ascii="Arial" w:cs="Arial" w:eastAsia="Arial" w:hAnsi="Arial"/>
                <w:sz w:val="10"/>
                <w:szCs w:val="10"/>
                <w:b w:val="1"/>
                <w:bCs w:val="1"/>
                <w:color w:val="auto"/>
              </w:rPr>
              <w:t>38</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80" w:type="dxa"/>
            <w:vAlign w:val="bottom"/>
          </w:tcPr>
          <w:p>
            <w:pPr>
              <w:ind w:left="120"/>
              <w:spacing w:after="0" w:line="104" w:lineRule="exact"/>
              <w:rPr>
                <w:sz w:val="20"/>
                <w:szCs w:val="20"/>
                <w:color w:val="auto"/>
              </w:rPr>
            </w:pPr>
            <w:r>
              <w:rPr>
                <w:rFonts w:ascii="Arial" w:cs="Arial" w:eastAsia="Arial" w:hAnsi="Arial"/>
                <w:sz w:val="10"/>
                <w:szCs w:val="10"/>
                <w:color w:val="auto"/>
              </w:rPr>
              <w:t>2021 to 2038 (6.02%)</w:t>
            </w:r>
            <w:r>
              <w:rPr>
                <w:rFonts w:ascii="Arial" w:cs="Arial" w:eastAsia="Arial" w:hAnsi="Arial"/>
                <w:sz w:val="8"/>
                <w:szCs w:val="8"/>
                <w:color w:val="auto"/>
              </w:rPr>
              <w:t>2</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jc w:val="right"/>
              <w:spacing w:after="0" w:line="104" w:lineRule="exact"/>
              <w:rPr>
                <w:sz w:val="20"/>
                <w:szCs w:val="20"/>
                <w:color w:val="auto"/>
              </w:rPr>
            </w:pPr>
            <w:r>
              <w:rPr>
                <w:rFonts w:ascii="Arial" w:cs="Arial" w:eastAsia="Arial" w:hAnsi="Arial"/>
                <w:sz w:val="10"/>
                <w:szCs w:val="10"/>
                <w:color w:val="auto"/>
              </w:rPr>
              <w:t>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300" w:type="dxa"/>
            <w:vAlign w:val="bottom"/>
            <w:gridSpan w:val="2"/>
          </w:tcPr>
          <w:p>
            <w:pPr>
              <w:spacing w:after="0" w:line="106" w:lineRule="exact"/>
              <w:rPr>
                <w:sz w:val="20"/>
                <w:szCs w:val="20"/>
                <w:color w:val="auto"/>
              </w:rPr>
            </w:pPr>
            <w:r>
              <w:rPr>
                <w:rFonts w:ascii="Arial" w:cs="Arial" w:eastAsia="Arial" w:hAnsi="Arial"/>
                <w:sz w:val="10"/>
                <w:szCs w:val="10"/>
                <w:color w:val="auto"/>
              </w:rPr>
              <w:t>Fixed interest rate notes, maturing 2011 (9.378%)</w:t>
            </w:r>
            <w:r>
              <w:rPr>
                <w:rFonts w:ascii="Arial" w:cs="Arial" w:eastAsia="Arial" w:hAnsi="Arial"/>
                <w:sz w:val="8"/>
                <w:szCs w:val="8"/>
                <w:color w:val="auto"/>
              </w:rPr>
              <w:t>2</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9"/>
                <w:szCs w:val="9"/>
                <w:color w:val="auto"/>
              </w:rPr>
            </w:pP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300" w:type="dxa"/>
            <w:vAlign w:val="bottom"/>
            <w:gridSpan w:val="2"/>
          </w:tcPr>
          <w:p>
            <w:pPr>
              <w:spacing w:after="0"/>
              <w:rPr>
                <w:sz w:val="20"/>
                <w:szCs w:val="20"/>
                <w:color w:val="auto"/>
              </w:rPr>
            </w:pPr>
            <w:r>
              <w:rPr>
                <w:rFonts w:ascii="Arial" w:cs="Arial" w:eastAsia="Arial" w:hAnsi="Arial"/>
                <w:sz w:val="10"/>
                <w:szCs w:val="10"/>
                <w:color w:val="auto"/>
              </w:rPr>
              <w:t>Other long-term debt (8.07%)</w:t>
            </w:r>
            <w:r>
              <w:rPr>
                <w:rFonts w:ascii="Arial" w:cs="Arial" w:eastAsia="Arial" w:hAnsi="Arial"/>
                <w:sz w:val="8"/>
                <w:szCs w:val="8"/>
                <w:color w:val="auto"/>
              </w:rPr>
              <w:t>2</w:t>
            </w: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w:t>
            </w:r>
          </w:p>
        </w:tc>
        <w:tc>
          <w:tcPr>
            <w:tcW w:w="1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80" w:type="dxa"/>
            <w:vAlign w:val="bottom"/>
            <w:tcBorders>
              <w:top w:val="single" w:sz="8" w:color="0077C0"/>
            </w:tcBorders>
          </w:tcPr>
          <w:p>
            <w:pPr>
              <w:ind w:left="120"/>
              <w:spacing w:after="0" w:line="91" w:lineRule="exact"/>
              <w:rPr>
                <w:sz w:val="20"/>
                <w:szCs w:val="20"/>
                <w:color w:val="auto"/>
              </w:rPr>
            </w:pPr>
            <w:r>
              <w:rPr>
                <w:rFonts w:ascii="Arial" w:cs="Arial" w:eastAsia="Arial" w:hAnsi="Arial"/>
                <w:sz w:val="10"/>
                <w:szCs w:val="10"/>
                <w:color w:val="auto"/>
              </w:rPr>
              <w:t>Total including debt due within one year</w:t>
            </w:r>
          </w:p>
        </w:tc>
        <w:tc>
          <w:tcPr>
            <w:tcW w:w="1240" w:type="dxa"/>
            <w:vAlign w:val="bottom"/>
            <w:tcBorders>
              <w:top w:val="single" w:sz="8" w:color="0077C0"/>
            </w:tcBorders>
          </w:tcPr>
          <w:p>
            <w:pPr>
              <w:spacing w:after="0"/>
              <w:rPr>
                <w:sz w:val="7"/>
                <w:szCs w:val="7"/>
                <w:color w:val="auto"/>
              </w:rPr>
            </w:pPr>
          </w:p>
        </w:tc>
        <w:tc>
          <w:tcPr>
            <w:tcW w:w="60" w:type="dxa"/>
            <w:vAlign w:val="bottom"/>
            <w:tcBorders>
              <w:top w:val="single" w:sz="8" w:color="0077C0"/>
            </w:tcBorders>
          </w:tcPr>
          <w:p>
            <w:pPr>
              <w:spacing w:after="0"/>
              <w:rPr>
                <w:sz w:val="7"/>
                <w:szCs w:val="7"/>
                <w:color w:val="auto"/>
              </w:rPr>
            </w:pPr>
          </w:p>
        </w:tc>
        <w:tc>
          <w:tcPr>
            <w:tcW w:w="440" w:type="dxa"/>
            <w:vAlign w:val="bottom"/>
            <w:tcBorders>
              <w:top w:val="single" w:sz="8" w:color="0077C0"/>
              <w:right w:val="single" w:sz="8" w:color="0077C0"/>
            </w:tcBorders>
          </w:tcPr>
          <w:p>
            <w:pPr>
              <w:jc w:val="right"/>
              <w:ind w:right="129"/>
              <w:spacing w:after="0" w:line="91" w:lineRule="exact"/>
              <w:rPr>
                <w:sz w:val="20"/>
                <w:szCs w:val="20"/>
                <w:color w:val="auto"/>
              </w:rPr>
            </w:pPr>
            <w:r>
              <w:rPr>
                <w:rFonts w:ascii="Arial" w:cs="Arial" w:eastAsia="Arial" w:hAnsi="Arial"/>
                <w:sz w:val="10"/>
                <w:szCs w:val="10"/>
                <w:b w:val="1"/>
                <w:bCs w:val="1"/>
                <w:color w:val="auto"/>
                <w:w w:val="95"/>
              </w:rPr>
              <w:t>4,101</w:t>
            </w:r>
          </w:p>
        </w:tc>
        <w:tc>
          <w:tcPr>
            <w:tcW w:w="1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color w:val="auto"/>
              </w:rPr>
              <w:t>5,636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80" w:type="dxa"/>
            <w:vAlign w:val="bottom"/>
          </w:tcPr>
          <w:p>
            <w:pPr>
              <w:ind w:left="280"/>
              <w:spacing w:after="0" w:line="106" w:lineRule="exact"/>
              <w:rPr>
                <w:sz w:val="20"/>
                <w:szCs w:val="20"/>
                <w:color w:val="auto"/>
              </w:rPr>
            </w:pPr>
            <w:r>
              <w:rPr>
                <w:rFonts w:ascii="Arial" w:cs="Arial" w:eastAsia="Arial" w:hAnsi="Arial"/>
                <w:sz w:val="10"/>
                <w:szCs w:val="10"/>
                <w:color w:val="auto"/>
              </w:rPr>
              <w:t>Debt due within one year</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0077C0"/>
            </w:tcBorders>
          </w:tcPr>
          <w:p>
            <w:pPr>
              <w:jc w:val="right"/>
              <w:ind w:right="89"/>
              <w:spacing w:after="0" w:line="106" w:lineRule="exact"/>
              <w:rPr>
                <w:sz w:val="20"/>
                <w:szCs w:val="20"/>
                <w:color w:val="auto"/>
              </w:rPr>
            </w:pPr>
            <w:r>
              <w:rPr>
                <w:rFonts w:ascii="Arial" w:cs="Arial" w:eastAsia="Arial" w:hAnsi="Arial"/>
                <w:sz w:val="10"/>
                <w:szCs w:val="10"/>
                <w:b w:val="1"/>
                <w:bCs w:val="1"/>
                <w:color w:val="auto"/>
              </w:rPr>
              <w:t>(17)</w:t>
            </w:r>
          </w:p>
        </w:tc>
        <w:tc>
          <w:tcPr>
            <w:tcW w:w="14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Borders>
              <w:bottom w:val="single" w:sz="8" w:color="0077C0"/>
            </w:tcBorders>
          </w:tcPr>
          <w:p>
            <w:pPr>
              <w:ind w:left="280"/>
              <w:spacing w:after="0"/>
              <w:rPr>
                <w:sz w:val="20"/>
                <w:szCs w:val="20"/>
                <w:color w:val="auto"/>
              </w:rPr>
            </w:pPr>
            <w:r>
              <w:rPr>
                <w:rFonts w:ascii="Arial" w:cs="Arial" w:eastAsia="Arial" w:hAnsi="Arial"/>
                <w:sz w:val="10"/>
                <w:szCs w:val="10"/>
                <w:color w:val="auto"/>
              </w:rPr>
              <w:t>Reclassified from short-term debt</w:t>
            </w:r>
          </w:p>
        </w:tc>
        <w:tc>
          <w:tcPr>
            <w:tcW w:w="1240" w:type="dxa"/>
            <w:vAlign w:val="bottom"/>
            <w:tcBorders>
              <w:bottom w:val="single" w:sz="8" w:color="0077C0"/>
            </w:tcBorders>
          </w:tcPr>
          <w:p>
            <w:pPr>
              <w:spacing w:after="0"/>
              <w:rPr>
                <w:sz w:val="10"/>
                <w:szCs w:val="10"/>
                <w:color w:val="auto"/>
              </w:rPr>
            </w:pPr>
          </w:p>
        </w:tc>
        <w:tc>
          <w:tcPr>
            <w:tcW w:w="6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5,600</w:t>
            </w:r>
          </w:p>
        </w:tc>
        <w:tc>
          <w:tcPr>
            <w:tcW w:w="1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0077C0"/>
            </w:tcBorders>
          </w:tcPr>
          <w:p>
            <w:pPr>
              <w:spacing w:after="0"/>
              <w:rPr>
                <w:sz w:val="10"/>
                <w:szCs w:val="10"/>
                <w:color w:val="auto"/>
              </w:rPr>
            </w:pPr>
          </w:p>
        </w:tc>
        <w:tc>
          <w:tcPr>
            <w:tcW w:w="32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Total long-term debt</w:t>
            </w:r>
          </w:p>
        </w:tc>
        <w:tc>
          <w:tcPr>
            <w:tcW w:w="13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w w:val="95"/>
              </w:rPr>
              <w:t>9,684</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84"/>
              </w:rPr>
              <w:t>11,003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20" w:hanging="216"/>
        <w:spacing w:after="0"/>
        <w:tabs>
          <w:tab w:leader="none" w:pos="220" w:val="left"/>
        </w:tabs>
        <w:numPr>
          <w:ilvl w:val="0"/>
          <w:numId w:val="39"/>
        </w:numPr>
        <w:rPr>
          <w:rFonts w:ascii="Arial" w:cs="Arial" w:eastAsia="Arial" w:hAnsi="Arial"/>
          <w:sz w:val="8"/>
          <w:szCs w:val="8"/>
          <w:color w:val="auto"/>
        </w:rPr>
      </w:pPr>
      <w:r>
        <w:rPr>
          <w:rFonts w:ascii="Arial" w:cs="Arial" w:eastAsia="Arial" w:hAnsi="Arial"/>
          <w:sz w:val="9"/>
          <w:szCs w:val="9"/>
          <w:color w:val="auto"/>
        </w:rPr>
        <w:t>Guarantee of ESOP debt.</w:t>
      </w:r>
    </w:p>
    <w:p>
      <w:pPr>
        <w:spacing w:after="0" w:line="1" w:lineRule="exact"/>
        <w:rPr>
          <w:sz w:val="20"/>
          <w:szCs w:val="20"/>
          <w:color w:val="auto"/>
        </w:rPr>
      </w:pPr>
    </w:p>
    <w:p>
      <w:pPr>
        <w:ind w:left="220" w:hanging="216"/>
        <w:spacing w:after="0"/>
        <w:tabs>
          <w:tab w:leader="none" w:pos="220" w:val="left"/>
        </w:tabs>
        <w:numPr>
          <w:ilvl w:val="0"/>
          <w:numId w:val="40"/>
        </w:numPr>
        <w:rPr>
          <w:rFonts w:ascii="Arial" w:cs="Arial" w:eastAsia="Arial" w:hAnsi="Arial"/>
          <w:sz w:val="8"/>
          <w:szCs w:val="8"/>
          <w:color w:val="auto"/>
        </w:rPr>
      </w:pPr>
      <w:r>
        <w:rPr>
          <w:rFonts w:ascii="Arial" w:cs="Arial" w:eastAsia="Arial" w:hAnsi="Arial"/>
          <w:sz w:val="9"/>
          <w:szCs w:val="9"/>
          <w:color w:val="auto"/>
        </w:rPr>
        <w:t>Weighted-average interest rate at December 31, 2011 and 2010.</w:t>
      </w:r>
    </w:p>
    <w:p>
      <w:pPr>
        <w:spacing w:after="0" w:line="64" w:lineRule="exact"/>
        <w:rPr>
          <w:sz w:val="20"/>
          <w:szCs w:val="20"/>
          <w:color w:val="auto"/>
        </w:rPr>
      </w:pPr>
    </w:p>
    <w:p>
      <w:pPr>
        <w:ind w:right="260" w:firstLine="160"/>
        <w:spacing w:after="0" w:line="251" w:lineRule="auto"/>
        <w:rPr>
          <w:sz w:val="20"/>
          <w:szCs w:val="20"/>
          <w:color w:val="auto"/>
        </w:rPr>
      </w:pPr>
      <w:r>
        <w:rPr>
          <w:rFonts w:ascii="Arial" w:cs="Arial" w:eastAsia="Arial" w:hAnsi="Arial"/>
          <w:sz w:val="13"/>
          <w:szCs w:val="13"/>
          <w:color w:val="auto"/>
        </w:rPr>
        <w:t>In March 2010, the company filed with the SEC an automatic registration statement that expires on February 28, 2013. This registration statement is for an unspecified amount of non-convertible debt securities issued or guaranteed by the company.</w:t>
      </w:r>
    </w:p>
    <w:p>
      <w:pPr>
        <w:spacing w:after="0" w:line="1" w:lineRule="exact"/>
        <w:rPr>
          <w:sz w:val="20"/>
          <w:szCs w:val="20"/>
          <w:color w:val="auto"/>
        </w:rPr>
      </w:pPr>
    </w:p>
    <w:p>
      <w:pPr>
        <w:ind w:right="40" w:firstLine="160"/>
        <w:spacing w:after="0" w:line="246" w:lineRule="auto"/>
        <w:rPr>
          <w:sz w:val="20"/>
          <w:szCs w:val="20"/>
          <w:color w:val="auto"/>
        </w:rPr>
      </w:pPr>
      <w:r>
        <w:rPr>
          <w:rFonts w:ascii="Arial" w:cs="Arial" w:eastAsia="Arial" w:hAnsi="Arial"/>
          <w:sz w:val="13"/>
          <w:szCs w:val="13"/>
          <w:color w:val="auto"/>
        </w:rPr>
        <w:t>Long-term debt of $4,101 matures as follows: 2012 – $17; 2013 – $20; 2014 – $2,021; 2015 - $0; 2016 – $0; and after 2016 – $2,043.</w:t>
      </w:r>
    </w:p>
    <w:p>
      <w:pPr>
        <w:spacing w:after="0" w:line="1"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In September 2011, $1,500 of Chevron Corp. bonds were redeemed early. In June 2010, $30 of Texaco Capital Inc. bonds matured.</w:t>
      </w:r>
    </w:p>
    <w:p>
      <w:pPr>
        <w:spacing w:after="0" w:line="1" w:lineRule="exact"/>
        <w:rPr>
          <w:sz w:val="20"/>
          <w:szCs w:val="20"/>
          <w:color w:val="auto"/>
        </w:rPr>
      </w:pPr>
    </w:p>
    <w:p>
      <w:pPr>
        <w:ind w:right="40" w:firstLine="160"/>
        <w:spacing w:after="0" w:line="253" w:lineRule="auto"/>
        <w:rPr>
          <w:sz w:val="20"/>
          <w:szCs w:val="20"/>
          <w:color w:val="auto"/>
        </w:rPr>
      </w:pPr>
      <w:r>
        <w:rPr>
          <w:rFonts w:ascii="Arial" w:cs="Arial" w:eastAsia="Arial" w:hAnsi="Arial"/>
          <w:sz w:val="13"/>
          <w:szCs w:val="13"/>
          <w:color w:val="auto"/>
        </w:rPr>
        <w:t>See Note 9, beginning on page FS-34, for information concerning the fair value of the company’s long-term debt.</w:t>
      </w:r>
    </w:p>
    <w:p>
      <w:pPr>
        <w:spacing w:after="0" w:line="697" w:lineRule="exact"/>
        <w:rPr>
          <w:sz w:val="20"/>
          <w:szCs w:val="20"/>
          <w:color w:val="auto"/>
        </w:rPr>
      </w:pPr>
    </w:p>
    <w:p>
      <w:pPr>
        <w:sectPr>
          <w:pgSz w:w="11900" w:h="16838" w:orient="portrait"/>
          <w:cols w:equalWidth="0" w:num="2">
            <w:col w:w="5483" w:space="480"/>
            <w:col w:w="5500"/>
          </w:cols>
          <w:pgMar w:left="217" w:top="338" w:right="219" w:bottom="1440" w:gutter="0" w:footer="0" w:header="0"/>
          <w:type w:val="continuous"/>
        </w:sectPr>
      </w:pPr>
    </w:p>
    <w:p>
      <w:pPr>
        <w:spacing w:after="0" w:line="68"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87" w:name="page88"/>
    <w:bookmarkEnd w:id="87"/>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85990" cy="4635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18</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New Accounting Standards</w:t>
      </w:r>
    </w:p>
    <w:p>
      <w:pPr>
        <w:ind w:right="260"/>
        <w:spacing w:after="0" w:line="290" w:lineRule="auto"/>
        <w:rPr>
          <w:sz w:val="20"/>
          <w:szCs w:val="20"/>
          <w:color w:val="auto"/>
        </w:rPr>
      </w:pPr>
      <w:r>
        <w:rPr>
          <w:rFonts w:ascii="Arial" w:cs="Arial" w:eastAsia="Arial" w:hAnsi="Arial"/>
          <w:sz w:val="11"/>
          <w:szCs w:val="11"/>
          <w:i w:val="1"/>
          <w:iCs w:val="1"/>
          <w:color w:val="E51837"/>
        </w:rPr>
        <w:t xml:space="preserve">Fair Value Measurement (Topic 820), Amendments to Achieve Common Fair Value Measurement and Disclosure Requirements in U.S. GAAP and IFRS (ASU 2011-04) </w:t>
      </w:r>
      <w:r>
        <w:rPr>
          <w:rFonts w:ascii="Arial" w:cs="Arial" w:eastAsia="Arial" w:hAnsi="Arial"/>
          <w:sz w:val="11"/>
          <w:szCs w:val="11"/>
          <w:color w:val="000000"/>
        </w:rPr>
        <w:t>In May 2011, the FASB issued ASU</w:t>
      </w:r>
    </w:p>
    <w:p>
      <w:pPr>
        <w:spacing w:after="0" w:line="267" w:lineRule="auto"/>
        <w:rPr>
          <w:sz w:val="20"/>
          <w:szCs w:val="20"/>
          <w:color w:val="auto"/>
        </w:rPr>
      </w:pPr>
      <w:r>
        <w:rPr>
          <w:rFonts w:ascii="Arial" w:cs="Arial" w:eastAsia="Arial" w:hAnsi="Arial"/>
          <w:sz w:val="12"/>
          <w:szCs w:val="12"/>
          <w:color w:val="auto"/>
        </w:rPr>
        <w:t>2011-04, which becomes effective for the company on January 1, 2012. The amendments in ASU 2011-04 result in common fair value measurement and disclosure requirements in U.S. GAAP and IFRS. As a result of these amendments, the requirements in U.S. GAAP for measuring fair value and for disclosing information about fair value measurements were changed. The company does not anticipate changes to its existing classification and measurement of fair value when the amended standard becomes effective. However, the company’s disclosures on certain items not required to be measured at fair value are expected to be expanded when the amended standard becomes effective.</w:t>
      </w:r>
    </w:p>
    <w:p>
      <w:pPr>
        <w:spacing w:after="0" w:line="2"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i w:val="1"/>
          <w:iCs w:val="1"/>
          <w:color w:val="E51837"/>
        </w:rPr>
        <w:t xml:space="preserve">Comprehensive Income (Topic 220) Presentation of Comprehensive Income (ASU 2011-05) </w:t>
      </w:r>
      <w:r>
        <w:rPr>
          <w:rFonts w:ascii="Arial" w:cs="Arial" w:eastAsia="Arial" w:hAnsi="Arial"/>
          <w:sz w:val="11"/>
          <w:szCs w:val="11"/>
          <w:color w:val="000000"/>
        </w:rPr>
        <w:t>The FASB</w:t>
      </w:r>
      <w:r>
        <w:rPr>
          <w:rFonts w:ascii="Arial" w:cs="Arial" w:eastAsia="Arial" w:hAnsi="Arial"/>
          <w:sz w:val="11"/>
          <w:szCs w:val="11"/>
          <w:i w:val="1"/>
          <w:iCs w:val="1"/>
          <w:color w:val="E51837"/>
        </w:rPr>
        <w:t xml:space="preserve"> </w:t>
      </w:r>
      <w:r>
        <w:rPr>
          <w:rFonts w:ascii="Arial" w:cs="Arial" w:eastAsia="Arial" w:hAnsi="Arial"/>
          <w:sz w:val="11"/>
          <w:szCs w:val="11"/>
          <w:color w:val="000000"/>
        </w:rPr>
        <w:t>issued ASU 2011-05 in June 2011. This standard becomes effective for the company on January 1, 2012. ASU 2011-05 changes the presentation requirements for comprehensive income. Adoption of the standard is not expected to have a significant impact on the company’s current financial statement presentation.</w:t>
      </w:r>
    </w:p>
    <w:p>
      <w:pPr>
        <w:spacing w:after="0" w:line="2" w:lineRule="exact"/>
        <w:rPr>
          <w:sz w:val="20"/>
          <w:szCs w:val="20"/>
          <w:color w:val="auto"/>
        </w:rPr>
      </w:pPr>
    </w:p>
    <w:p>
      <w:pPr>
        <w:ind w:right="20" w:firstLine="160"/>
        <w:spacing w:after="0" w:line="248" w:lineRule="auto"/>
        <w:rPr>
          <w:sz w:val="20"/>
          <w:szCs w:val="20"/>
          <w:color w:val="auto"/>
        </w:rPr>
      </w:pPr>
      <w:r>
        <w:rPr>
          <w:rFonts w:ascii="Arial" w:cs="Arial" w:eastAsia="Arial" w:hAnsi="Arial"/>
          <w:sz w:val="13"/>
          <w:szCs w:val="13"/>
          <w:i w:val="1"/>
          <w:iCs w:val="1"/>
          <w:color w:val="E51837"/>
        </w:rPr>
        <w:t>Intangibles</w:t>
      </w:r>
      <w:r>
        <w:rPr>
          <w:rFonts w:ascii="Arial" w:cs="Arial" w:eastAsia="Arial" w:hAnsi="Arial"/>
          <w:sz w:val="13"/>
          <w:szCs w:val="13"/>
          <w:color w:val="E51837"/>
        </w:rPr>
        <w:t>—</w:t>
      </w:r>
      <w:r>
        <w:rPr>
          <w:rFonts w:ascii="Arial" w:cs="Arial" w:eastAsia="Arial" w:hAnsi="Arial"/>
          <w:sz w:val="13"/>
          <w:szCs w:val="13"/>
          <w:i w:val="1"/>
          <w:iCs w:val="1"/>
          <w:color w:val="E51837"/>
        </w:rPr>
        <w:t xml:space="preserve">Goodwill and Other (Topic 350) Testing Goodwill for Impairment (ASU 2011-08) </w:t>
      </w:r>
      <w:r>
        <w:rPr>
          <w:rFonts w:ascii="Arial" w:cs="Arial" w:eastAsia="Arial" w:hAnsi="Arial"/>
          <w:sz w:val="13"/>
          <w:szCs w:val="13"/>
          <w:color w:val="000000"/>
        </w:rPr>
        <w:t>In</w:t>
      </w:r>
      <w:r>
        <w:rPr>
          <w:rFonts w:ascii="Arial" w:cs="Arial" w:eastAsia="Arial" w:hAnsi="Arial"/>
          <w:sz w:val="13"/>
          <w:szCs w:val="13"/>
          <w:i w:val="1"/>
          <w:iCs w:val="1"/>
          <w:color w:val="E51837"/>
        </w:rPr>
        <w:t xml:space="preserve"> </w:t>
      </w:r>
      <w:r>
        <w:rPr>
          <w:rFonts w:ascii="Arial" w:cs="Arial" w:eastAsia="Arial" w:hAnsi="Arial"/>
          <w:sz w:val="13"/>
          <w:szCs w:val="13"/>
          <w:color w:val="000000"/>
        </w:rPr>
        <w:t>September 2011, the FASB issued ASU 2011-08, which becomes effective for the company on January 1, 2012. The standard simplifies how companies test goodwill for impairment. The company does not anticipate any impact to its results of operations, financial position or liquidity when the guidance becomes effective.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19</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Accounting for Suspended Exploratory Wells</w:t>
      </w:r>
    </w:p>
    <w:p>
      <w:pPr>
        <w:ind w:right="20"/>
        <w:spacing w:after="0" w:line="270" w:lineRule="auto"/>
        <w:rPr>
          <w:sz w:val="20"/>
          <w:szCs w:val="20"/>
          <w:color w:val="auto"/>
        </w:rPr>
      </w:pPr>
      <w:r>
        <w:rPr>
          <w:rFonts w:ascii="Arial" w:cs="Arial" w:eastAsia="Arial" w:hAnsi="Arial"/>
          <w:sz w:val="12"/>
          <w:szCs w:val="12"/>
          <w:color w:val="auto"/>
        </w:rPr>
        <w:t>Accounting standards for the costs of exploratory wells (ASC 932) provide that exploratory well costs continue to be capitalized after the completion of drilling when (a) the well has found a sufficient quantity of reserves to justify completion as a producing well and (b) the entity is making sufficient progress assessing the reserves and the economic and operating viability of the project. If either condition is not met or if an enterprise obtains information that raises substantial doubt about the economic or operational viability of the project, the exploratory well would be assumed to be impaired, and its costs, net of any salvage value, would be charged to expense. (Note that an entity is not required to complete the exploratory well as a producing well.) The accounting standards provide a number of indicators that can assist an entity in demonstrating that sufficient progress is being made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359" w:lineRule="auto"/>
        <w:rPr>
          <w:sz w:val="20"/>
          <w:szCs w:val="20"/>
          <w:color w:val="auto"/>
        </w:rPr>
      </w:pPr>
      <w:r>
        <w:rPr>
          <w:rFonts w:ascii="Arial" w:cs="Arial" w:eastAsia="Arial" w:hAnsi="Arial"/>
          <w:sz w:val="11"/>
          <w:szCs w:val="11"/>
          <w:color w:val="auto"/>
        </w:rPr>
        <w:t>assessing the reserves and economic viability of the project. The following table indicates the changes to the company’s suspended exploratory well costs for the three years ended December 31, 2011: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2580" w:type="dxa"/>
            <w:vAlign w:val="bottom"/>
            <w:tcBorders>
              <w:bottom w:val="single" w:sz="8" w:color="0077C0"/>
            </w:tcBorders>
          </w:tcPr>
          <w:p>
            <w:pPr>
              <w:spacing w:after="0"/>
              <w:rPr>
                <w:sz w:val="9"/>
                <w:szCs w:val="9"/>
                <w:color w:val="auto"/>
              </w:rPr>
            </w:pPr>
          </w:p>
        </w:tc>
        <w:tc>
          <w:tcPr>
            <w:tcW w:w="12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b w:val="1"/>
                <w:bCs w:val="1"/>
                <w:color w:val="auto"/>
              </w:rPr>
              <w:t>2011</w:t>
            </w:r>
          </w:p>
        </w:tc>
        <w:tc>
          <w:tcPr>
            <w:tcW w:w="60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color w:val="auto"/>
              </w:rPr>
              <w:t>2010</w:t>
            </w:r>
          </w:p>
        </w:tc>
        <w:tc>
          <w:tcPr>
            <w:tcW w:w="200" w:type="dxa"/>
            <w:vAlign w:val="bottom"/>
            <w:tcBorders>
              <w:bottom w:val="single" w:sz="8" w:color="0077C0"/>
            </w:tcBorders>
          </w:tcPr>
          <w:p>
            <w:pPr>
              <w:spacing w:after="0"/>
              <w:rPr>
                <w:sz w:val="9"/>
                <w:szCs w:val="9"/>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60" w:type="dxa"/>
            <w:vAlign w:val="bottom"/>
            <w:gridSpan w:val="2"/>
          </w:tcPr>
          <w:p>
            <w:pPr>
              <w:spacing w:after="0" w:line="92" w:lineRule="exact"/>
              <w:rPr>
                <w:sz w:val="20"/>
                <w:szCs w:val="20"/>
                <w:color w:val="auto"/>
              </w:rPr>
            </w:pPr>
            <w:r>
              <w:rPr>
                <w:rFonts w:ascii="Arial" w:cs="Arial" w:eastAsia="Arial" w:hAnsi="Arial"/>
                <w:sz w:val="10"/>
                <w:szCs w:val="10"/>
                <w:color w:val="auto"/>
              </w:rPr>
              <w:t>Beginning balance at January 1</w:t>
            </w:r>
          </w:p>
        </w:tc>
        <w:tc>
          <w:tcPr>
            <w:tcW w:w="128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tcPr>
          <w:p>
            <w:pPr>
              <w:jc w:val="right"/>
              <w:ind w:right="130"/>
              <w:spacing w:after="0" w:line="92" w:lineRule="exact"/>
              <w:rPr>
                <w:sz w:val="20"/>
                <w:szCs w:val="20"/>
                <w:color w:val="auto"/>
              </w:rPr>
            </w:pPr>
            <w:r>
              <w:rPr>
                <w:rFonts w:ascii="Arial" w:cs="Arial" w:eastAsia="Arial" w:hAnsi="Arial"/>
                <w:sz w:val="10"/>
                <w:szCs w:val="10"/>
                <w:b w:val="1"/>
                <w:bCs w:val="1"/>
                <w:color w:val="auto"/>
                <w:w w:val="95"/>
              </w:rPr>
              <w:t>2,718</w:t>
            </w:r>
          </w:p>
        </w:tc>
        <w:tc>
          <w:tcPr>
            <w:tcW w:w="600" w:type="dxa"/>
            <w:vAlign w:val="bottom"/>
          </w:tcPr>
          <w:p>
            <w:pPr>
              <w:jc w:val="right"/>
              <w:ind w:right="130"/>
              <w:spacing w:after="0" w:line="92" w:lineRule="exact"/>
              <w:rPr>
                <w:sz w:val="20"/>
                <w:szCs w:val="20"/>
                <w:color w:val="auto"/>
              </w:rPr>
            </w:pPr>
            <w:r>
              <w:rPr>
                <w:rFonts w:ascii="Arial" w:cs="Arial" w:eastAsia="Arial" w:hAnsi="Arial"/>
                <w:sz w:val="10"/>
                <w:szCs w:val="10"/>
                <w:color w:val="auto"/>
              </w:rPr>
              <w:t>$ 2,435</w:t>
            </w:r>
          </w:p>
        </w:tc>
        <w:tc>
          <w:tcPr>
            <w:tcW w:w="20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92" w:lineRule="exact"/>
              <w:rPr>
                <w:sz w:val="20"/>
                <w:szCs w:val="20"/>
                <w:color w:val="auto"/>
              </w:rPr>
            </w:pPr>
            <w:r>
              <w:rPr>
                <w:rFonts w:ascii="Arial" w:cs="Arial" w:eastAsia="Arial" w:hAnsi="Arial"/>
                <w:sz w:val="10"/>
                <w:szCs w:val="10"/>
                <w:color w:val="auto"/>
                <w:w w:val="95"/>
              </w:rPr>
              <w:t>2,118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680" w:type="dxa"/>
            <w:vAlign w:val="bottom"/>
            <w:gridSpan w:val="3"/>
          </w:tcPr>
          <w:p>
            <w:pPr>
              <w:spacing w:after="0" w:line="106" w:lineRule="exact"/>
              <w:rPr>
                <w:sz w:val="20"/>
                <w:szCs w:val="20"/>
                <w:color w:val="auto"/>
              </w:rPr>
            </w:pPr>
            <w:r>
              <w:rPr>
                <w:rFonts w:ascii="Arial" w:cs="Arial" w:eastAsia="Arial" w:hAnsi="Arial"/>
                <w:sz w:val="10"/>
                <w:szCs w:val="10"/>
                <w:color w:val="auto"/>
              </w:rPr>
              <w:t>Additions to capitalized exploratory</w:t>
            </w:r>
          </w:p>
        </w:tc>
        <w:tc>
          <w:tcPr>
            <w:tcW w:w="1280" w:type="dxa"/>
            <w:vAlign w:val="bottom"/>
          </w:tcPr>
          <w:p>
            <w:pPr>
              <w:spacing w:after="0"/>
              <w:rPr>
                <w:sz w:val="9"/>
                <w:szCs w:val="9"/>
                <w:color w:val="auto"/>
              </w:rPr>
            </w:pPr>
          </w:p>
        </w:tc>
        <w:tc>
          <w:tcPr>
            <w:tcW w:w="440" w:type="dxa"/>
            <w:vAlign w:val="bottom"/>
            <w:tcBorders>
              <w:right w:val="single" w:sz="8" w:color="0077C0"/>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ind w:left="40"/>
              <w:spacing w:after="0" w:line="106" w:lineRule="exact"/>
              <w:rPr>
                <w:sz w:val="20"/>
                <w:szCs w:val="20"/>
                <w:color w:val="auto"/>
              </w:rPr>
            </w:pPr>
            <w:r>
              <w:rPr>
                <w:rFonts w:ascii="Arial" w:cs="Arial" w:eastAsia="Arial" w:hAnsi="Arial"/>
                <w:sz w:val="10"/>
                <w:szCs w:val="10"/>
                <w:color w:val="auto"/>
              </w:rPr>
              <w:t>well costs pending the</w:t>
            </w:r>
          </w:p>
        </w:tc>
        <w:tc>
          <w:tcPr>
            <w:tcW w:w="12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652</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ind w:left="40"/>
              <w:spacing w:after="0" w:line="106" w:lineRule="exact"/>
              <w:rPr>
                <w:sz w:val="20"/>
                <w:szCs w:val="20"/>
                <w:color w:val="auto"/>
              </w:rPr>
            </w:pPr>
            <w:r>
              <w:rPr>
                <w:rFonts w:ascii="Arial" w:cs="Arial" w:eastAsia="Arial" w:hAnsi="Arial"/>
                <w:sz w:val="10"/>
                <w:szCs w:val="10"/>
                <w:color w:val="auto"/>
              </w:rPr>
              <w:t>determination of proved reserves</w:t>
            </w:r>
          </w:p>
        </w:tc>
        <w:tc>
          <w:tcPr>
            <w:tcW w:w="12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482</w:t>
            </w:r>
          </w:p>
        </w:tc>
        <w:tc>
          <w:tcPr>
            <w:tcW w:w="20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663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80" w:type="dxa"/>
            <w:vAlign w:val="bottom"/>
            <w:gridSpan w:val="3"/>
          </w:tcPr>
          <w:p>
            <w:pPr>
              <w:spacing w:after="0" w:line="106" w:lineRule="exact"/>
              <w:rPr>
                <w:sz w:val="20"/>
                <w:szCs w:val="20"/>
                <w:color w:val="auto"/>
              </w:rPr>
            </w:pPr>
            <w:r>
              <w:rPr>
                <w:rFonts w:ascii="Arial" w:cs="Arial" w:eastAsia="Arial" w:hAnsi="Arial"/>
                <w:sz w:val="10"/>
                <w:szCs w:val="10"/>
                <w:color w:val="auto"/>
              </w:rPr>
              <w:t>Reclassifications to wells, facilities</w:t>
            </w:r>
          </w:p>
        </w:tc>
        <w:tc>
          <w:tcPr>
            <w:tcW w:w="1280" w:type="dxa"/>
            <w:vAlign w:val="bottom"/>
          </w:tcPr>
          <w:p>
            <w:pPr>
              <w:spacing w:after="0"/>
              <w:rPr>
                <w:sz w:val="9"/>
                <w:szCs w:val="9"/>
                <w:color w:val="auto"/>
              </w:rPr>
            </w:pPr>
          </w:p>
        </w:tc>
        <w:tc>
          <w:tcPr>
            <w:tcW w:w="440" w:type="dxa"/>
            <w:vAlign w:val="bottom"/>
            <w:tcBorders>
              <w:right w:val="single" w:sz="8" w:color="0077C0"/>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ind w:left="40"/>
              <w:spacing w:after="0" w:line="106" w:lineRule="exact"/>
              <w:rPr>
                <w:sz w:val="20"/>
                <w:szCs w:val="20"/>
                <w:color w:val="auto"/>
              </w:rPr>
            </w:pPr>
            <w:r>
              <w:rPr>
                <w:rFonts w:ascii="Arial" w:cs="Arial" w:eastAsia="Arial" w:hAnsi="Arial"/>
                <w:sz w:val="10"/>
                <w:szCs w:val="10"/>
                <w:color w:val="auto"/>
              </w:rPr>
              <w:t>and equipment based on the</w:t>
            </w:r>
          </w:p>
        </w:tc>
        <w:tc>
          <w:tcPr>
            <w:tcW w:w="12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10"/>
              <w:spacing w:after="0"/>
              <w:rPr>
                <w:sz w:val="20"/>
                <w:szCs w:val="20"/>
                <w:color w:val="auto"/>
              </w:rPr>
            </w:pPr>
            <w:r>
              <w:rPr>
                <w:rFonts w:ascii="Arial" w:cs="Arial" w:eastAsia="Arial" w:hAnsi="Arial"/>
                <w:sz w:val="10"/>
                <w:szCs w:val="10"/>
                <w:b w:val="1"/>
                <w:bCs w:val="1"/>
                <w:color w:val="auto"/>
              </w:rPr>
              <w:t>(828)</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ind w:left="40"/>
              <w:spacing w:after="0" w:line="106" w:lineRule="exact"/>
              <w:rPr>
                <w:sz w:val="20"/>
                <w:szCs w:val="20"/>
                <w:color w:val="auto"/>
              </w:rPr>
            </w:pPr>
            <w:r>
              <w:rPr>
                <w:rFonts w:ascii="Arial" w:cs="Arial" w:eastAsia="Arial" w:hAnsi="Arial"/>
                <w:sz w:val="10"/>
                <w:szCs w:val="10"/>
                <w:color w:val="auto"/>
              </w:rPr>
              <w:t>determination of proved reserves</w:t>
            </w:r>
          </w:p>
        </w:tc>
        <w:tc>
          <w:tcPr>
            <w:tcW w:w="12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90"/>
              <w:spacing w:after="0" w:line="106" w:lineRule="exact"/>
              <w:rPr>
                <w:sz w:val="20"/>
                <w:szCs w:val="20"/>
                <w:color w:val="auto"/>
              </w:rPr>
            </w:pPr>
            <w:r>
              <w:rPr>
                <w:rFonts w:ascii="Arial" w:cs="Arial" w:eastAsia="Arial" w:hAnsi="Arial"/>
                <w:sz w:val="10"/>
                <w:szCs w:val="10"/>
                <w:color w:val="auto"/>
              </w:rPr>
              <w:t>(129)</w:t>
            </w:r>
          </w:p>
        </w:tc>
        <w:tc>
          <w:tcPr>
            <w:tcW w:w="200" w:type="dxa"/>
            <w:vAlign w:val="bottom"/>
          </w:tcPr>
          <w:p>
            <w:pPr>
              <w:spacing w:after="0"/>
              <w:rPr>
                <w:sz w:val="9"/>
                <w:szCs w:val="9"/>
                <w:color w:val="auto"/>
              </w:rPr>
            </w:pPr>
          </w:p>
        </w:tc>
        <w:tc>
          <w:tcPr>
            <w:tcW w:w="3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(174)</w:t>
            </w:r>
          </w:p>
        </w:tc>
        <w:tc>
          <w:tcPr>
            <w:tcW w:w="0" w:type="dxa"/>
            <w:vAlign w:val="bottom"/>
          </w:tcPr>
          <w:p>
            <w:pPr>
              <w:spacing w:after="0"/>
              <w:rPr>
                <w:sz w:val="1"/>
                <w:szCs w:val="1"/>
                <w:color w:val="auto"/>
              </w:rPr>
            </w:pPr>
          </w:p>
        </w:tc>
      </w:tr>
      <w:tr>
        <w:trPr>
          <w:trHeight w:val="106"/>
        </w:trPr>
        <w:tc>
          <w:tcPr>
            <w:tcW w:w="2680" w:type="dxa"/>
            <w:vAlign w:val="bottom"/>
            <w:gridSpan w:val="3"/>
          </w:tcPr>
          <w:p>
            <w:pPr>
              <w:spacing w:after="0" w:line="106" w:lineRule="exact"/>
              <w:rPr>
                <w:sz w:val="20"/>
                <w:szCs w:val="20"/>
                <w:color w:val="auto"/>
              </w:rPr>
            </w:pPr>
            <w:r>
              <w:rPr>
                <w:rFonts w:ascii="Arial" w:cs="Arial" w:eastAsia="Arial" w:hAnsi="Arial"/>
                <w:sz w:val="10"/>
                <w:szCs w:val="10"/>
                <w:color w:val="auto"/>
              </w:rPr>
              <w:t>Capitalized exploratory well costs</w:t>
            </w:r>
          </w:p>
        </w:tc>
        <w:tc>
          <w:tcPr>
            <w:tcW w:w="128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10"/>
              <w:spacing w:after="0"/>
              <w:rPr>
                <w:sz w:val="20"/>
                <w:szCs w:val="20"/>
                <w:color w:val="auto"/>
              </w:rPr>
            </w:pPr>
            <w:r>
              <w:rPr>
                <w:rFonts w:ascii="Arial" w:cs="Arial" w:eastAsia="Arial" w:hAnsi="Arial"/>
                <w:sz w:val="10"/>
                <w:szCs w:val="10"/>
                <w:b w:val="1"/>
                <w:bCs w:val="1"/>
                <w:color w:val="auto"/>
              </w:rPr>
              <w:t>(45)</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tcPr>
          <w:p>
            <w:pPr>
              <w:ind w:left="40"/>
              <w:spacing w:after="0" w:line="104" w:lineRule="exact"/>
              <w:rPr>
                <w:sz w:val="20"/>
                <w:szCs w:val="20"/>
                <w:color w:val="auto"/>
              </w:rPr>
            </w:pPr>
            <w:r>
              <w:rPr>
                <w:rFonts w:ascii="Arial" w:cs="Arial" w:eastAsia="Arial" w:hAnsi="Arial"/>
                <w:sz w:val="10"/>
                <w:szCs w:val="10"/>
                <w:color w:val="auto"/>
              </w:rPr>
              <w:t>charged to expense</w:t>
            </w:r>
          </w:p>
        </w:tc>
        <w:tc>
          <w:tcPr>
            <w:tcW w:w="1280" w:type="dxa"/>
            <w:vAlign w:val="bottom"/>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600" w:type="dxa"/>
            <w:vAlign w:val="bottom"/>
          </w:tcPr>
          <w:p>
            <w:pPr>
              <w:jc w:val="right"/>
              <w:ind w:right="90"/>
              <w:spacing w:after="0" w:line="104" w:lineRule="exact"/>
              <w:rPr>
                <w:sz w:val="20"/>
                <w:szCs w:val="20"/>
                <w:color w:val="auto"/>
              </w:rPr>
            </w:pPr>
            <w:r>
              <w:rPr>
                <w:rFonts w:ascii="Arial" w:cs="Arial" w:eastAsia="Arial" w:hAnsi="Arial"/>
                <w:sz w:val="10"/>
                <w:szCs w:val="10"/>
                <w:color w:val="auto"/>
              </w:rPr>
              <w:t>(70)</w:t>
            </w:r>
          </w:p>
        </w:tc>
        <w:tc>
          <w:tcPr>
            <w:tcW w:w="200" w:type="dxa"/>
            <w:vAlign w:val="bottom"/>
          </w:tcPr>
          <w:p>
            <w:pPr>
              <w:spacing w:after="0"/>
              <w:rPr>
                <w:sz w:val="9"/>
                <w:szCs w:val="9"/>
                <w:color w:val="auto"/>
              </w:rPr>
            </w:pPr>
          </w:p>
        </w:tc>
        <w:tc>
          <w:tcPr>
            <w:tcW w:w="30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(172)</w:t>
            </w:r>
          </w:p>
        </w:tc>
        <w:tc>
          <w:tcPr>
            <w:tcW w:w="0" w:type="dxa"/>
            <w:vAlign w:val="bottom"/>
          </w:tcPr>
          <w:p>
            <w:pPr>
              <w:spacing w:after="0"/>
              <w:rPr>
                <w:sz w:val="1"/>
                <w:szCs w:val="1"/>
                <w:color w:val="auto"/>
              </w:rPr>
            </w:pPr>
          </w:p>
        </w:tc>
      </w:tr>
      <w:tr>
        <w:trPr>
          <w:trHeight w:val="120"/>
        </w:trPr>
        <w:tc>
          <w:tcPr>
            <w:tcW w:w="2680" w:type="dxa"/>
            <w:vAlign w:val="bottom"/>
            <w:gridSpan w:val="3"/>
          </w:tcPr>
          <w:p>
            <w:pPr>
              <w:spacing w:after="0"/>
              <w:rPr>
                <w:sz w:val="20"/>
                <w:szCs w:val="20"/>
                <w:color w:val="auto"/>
              </w:rPr>
            </w:pPr>
            <w:r>
              <w:rPr>
                <w:rFonts w:ascii="Arial" w:cs="Arial" w:eastAsia="Arial" w:hAnsi="Arial"/>
                <w:sz w:val="10"/>
                <w:szCs w:val="10"/>
                <w:color w:val="auto"/>
              </w:rPr>
              <w:t>Other reductions*</w:t>
            </w:r>
          </w:p>
        </w:tc>
        <w:tc>
          <w:tcPr>
            <w:tcW w:w="1280" w:type="dxa"/>
            <w:vAlign w:val="bottom"/>
          </w:tcPr>
          <w:p>
            <w:pPr>
              <w:spacing w:after="0"/>
              <w:rPr>
                <w:sz w:val="10"/>
                <w:szCs w:val="10"/>
                <w:color w:val="auto"/>
              </w:rPr>
            </w:pPr>
          </w:p>
        </w:tc>
        <w:tc>
          <w:tcPr>
            <w:tcW w:w="440" w:type="dxa"/>
            <w:vAlign w:val="bottom"/>
            <w:tcBorders>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(63)</w:t>
            </w:r>
          </w:p>
        </w:tc>
        <w:tc>
          <w:tcPr>
            <w:tcW w:w="60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2680" w:type="dxa"/>
            <w:vAlign w:val="bottom"/>
            <w:tcBorders>
              <w:top w:val="single" w:sz="8" w:color="0077C0"/>
              <w:bottom w:val="single" w:sz="8" w:color="0077C0"/>
            </w:tcBorders>
            <w:gridSpan w:val="3"/>
          </w:tcPr>
          <w:p>
            <w:pPr>
              <w:spacing w:after="0"/>
              <w:rPr>
                <w:sz w:val="20"/>
                <w:szCs w:val="20"/>
                <w:color w:val="auto"/>
              </w:rPr>
            </w:pPr>
            <w:r>
              <w:rPr>
                <w:rFonts w:ascii="Arial" w:cs="Arial" w:eastAsia="Arial" w:hAnsi="Arial"/>
                <w:sz w:val="10"/>
                <w:szCs w:val="10"/>
                <w:color w:val="auto"/>
              </w:rPr>
              <w:t>Ending balance at December 31</w:t>
            </w:r>
          </w:p>
        </w:tc>
        <w:tc>
          <w:tcPr>
            <w:tcW w:w="12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tcBorders>
              <w:top w:val="single" w:sz="8" w:color="0077C0"/>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w w:val="95"/>
              </w:rPr>
              <w:t>2,434</w:t>
            </w:r>
          </w:p>
        </w:tc>
        <w:tc>
          <w:tcPr>
            <w:tcW w:w="600" w:type="dxa"/>
            <w:vAlign w:val="bottom"/>
            <w:tcBorders>
              <w:top w:val="single" w:sz="8" w:color="0077C0"/>
              <w:bottom w:val="single" w:sz="8" w:color="0077C0"/>
            </w:tcBorders>
          </w:tcPr>
          <w:p>
            <w:pPr>
              <w:jc w:val="right"/>
              <w:ind w:right="130"/>
              <w:spacing w:after="0"/>
              <w:rPr>
                <w:sz w:val="20"/>
                <w:szCs w:val="20"/>
                <w:color w:val="auto"/>
              </w:rPr>
            </w:pPr>
            <w:r>
              <w:rPr>
                <w:rFonts w:ascii="Arial" w:cs="Arial" w:eastAsia="Arial" w:hAnsi="Arial"/>
                <w:sz w:val="10"/>
                <w:szCs w:val="10"/>
                <w:color w:val="auto"/>
              </w:rPr>
              <w:t>$ 2,718</w:t>
            </w:r>
          </w:p>
        </w:tc>
        <w:tc>
          <w:tcPr>
            <w:tcW w:w="20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w w:val="95"/>
              </w:rPr>
              <w:t>2,435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0" w:type="dxa"/>
            <w:vAlign w:val="bottom"/>
            <w:gridSpan w:val="2"/>
          </w:tcPr>
          <w:p>
            <w:pPr>
              <w:spacing w:after="0"/>
              <w:rPr>
                <w:sz w:val="20"/>
                <w:szCs w:val="20"/>
                <w:color w:val="auto"/>
              </w:rPr>
            </w:pPr>
            <w:r>
              <w:rPr>
                <w:rFonts w:ascii="Arial" w:cs="Arial" w:eastAsia="Arial" w:hAnsi="Arial"/>
                <w:sz w:val="9"/>
                <w:szCs w:val="9"/>
                <w:color w:val="auto"/>
              </w:rPr>
              <w:t>*</w:t>
            </w:r>
          </w:p>
        </w:tc>
        <w:tc>
          <w:tcPr>
            <w:tcW w:w="2580" w:type="dxa"/>
            <w:vAlign w:val="bottom"/>
          </w:tcPr>
          <w:p>
            <w:pPr>
              <w:ind w:left="120"/>
              <w:spacing w:after="0"/>
              <w:rPr>
                <w:sz w:val="20"/>
                <w:szCs w:val="20"/>
                <w:color w:val="auto"/>
              </w:rPr>
            </w:pPr>
            <w:r>
              <w:rPr>
                <w:rFonts w:ascii="Arial" w:cs="Arial" w:eastAsia="Arial" w:hAnsi="Arial"/>
                <w:sz w:val="9"/>
                <w:szCs w:val="9"/>
                <w:color w:val="auto"/>
              </w:rPr>
              <w:t>Represents property sales.</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80" w:firstLine="158"/>
        <w:spacing w:after="0" w:line="256" w:lineRule="auto"/>
        <w:rPr>
          <w:sz w:val="20"/>
          <w:szCs w:val="20"/>
          <w:color w:val="auto"/>
        </w:rPr>
      </w:pPr>
      <w:r>
        <w:rPr>
          <w:rFonts w:ascii="Arial" w:cs="Arial" w:eastAsia="Arial" w:hAnsi="Arial"/>
          <w:sz w:val="13"/>
          <w:szCs w:val="13"/>
          <w:color w:val="auto"/>
        </w:rPr>
        <w:t>The following table provides an aging of capitalized well costs and the number of projects for which exploratory well costs have been capitalized for a period greater than one year since the completion of drilling.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spacing w:after="0"/>
              <w:rPr>
                <w:sz w:val="9"/>
                <w:szCs w:val="9"/>
                <w:color w:val="auto"/>
              </w:rPr>
            </w:pPr>
          </w:p>
        </w:tc>
        <w:tc>
          <w:tcPr>
            <w:tcW w:w="16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620" w:type="dxa"/>
            <w:vAlign w:val="bottom"/>
            <w:tcBorders>
              <w:bottom w:val="single" w:sz="8" w:color="0077C0"/>
            </w:tcBorders>
            <w:gridSpan w:val="2"/>
          </w:tcPr>
          <w:p>
            <w:pPr>
              <w:jc w:val="center"/>
              <w:spacing w:after="0"/>
              <w:rPr>
                <w:sz w:val="20"/>
                <w:szCs w:val="20"/>
                <w:color w:val="auto"/>
              </w:rPr>
            </w:pPr>
            <w:r>
              <w:rPr>
                <w:rFonts w:ascii="Arial" w:cs="Arial" w:eastAsia="Arial" w:hAnsi="Arial"/>
                <w:sz w:val="9"/>
                <w:szCs w:val="9"/>
                <w:color w:val="auto"/>
                <w:w w:val="89"/>
              </w:rPr>
              <w:t>At December 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40" w:type="dxa"/>
            <w:vAlign w:val="bottom"/>
            <w:tcBorders>
              <w:bottom w:val="single" w:sz="8" w:color="0077C0"/>
            </w:tcBorders>
          </w:tcPr>
          <w:p>
            <w:pPr>
              <w:spacing w:after="0"/>
              <w:rPr>
                <w:sz w:val="7"/>
                <w:szCs w:val="7"/>
                <w:color w:val="auto"/>
              </w:rPr>
            </w:pPr>
          </w:p>
        </w:tc>
        <w:tc>
          <w:tcPr>
            <w:tcW w:w="1100" w:type="dxa"/>
            <w:vAlign w:val="bottom"/>
            <w:tcBorders>
              <w:bottom w:val="single" w:sz="8" w:color="0077C0"/>
            </w:tcBorders>
          </w:tcPr>
          <w:p>
            <w:pPr>
              <w:spacing w:after="0"/>
              <w:rPr>
                <w:sz w:val="7"/>
                <w:szCs w:val="7"/>
                <w:color w:val="auto"/>
              </w:rPr>
            </w:pPr>
          </w:p>
        </w:tc>
        <w:tc>
          <w:tcPr>
            <w:tcW w:w="100" w:type="dxa"/>
            <w:vAlign w:val="bottom"/>
            <w:tcBorders>
              <w:bottom w:val="single" w:sz="8" w:color="0077C0"/>
            </w:tcBorders>
          </w:tcPr>
          <w:p>
            <w:pPr>
              <w:spacing w:after="0"/>
              <w:rPr>
                <w:sz w:val="7"/>
                <w:szCs w:val="7"/>
                <w:color w:val="auto"/>
              </w:rPr>
            </w:pPr>
          </w:p>
        </w:tc>
        <w:tc>
          <w:tcPr>
            <w:tcW w:w="440" w:type="dxa"/>
            <w:vAlign w:val="bottom"/>
            <w:tcBorders>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0077C0"/>
            </w:tcBorders>
          </w:tcPr>
          <w:p>
            <w:pPr>
              <w:spacing w:after="0"/>
              <w:rPr>
                <w:sz w:val="7"/>
                <w:szCs w:val="7"/>
                <w:color w:val="auto"/>
              </w:rPr>
            </w:pPr>
          </w:p>
        </w:tc>
        <w:tc>
          <w:tcPr>
            <w:tcW w:w="28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360" w:type="dxa"/>
            <w:vAlign w:val="bottom"/>
            <w:tcBorders>
              <w:bottom w:val="single" w:sz="8" w:color="0077C0"/>
            </w:tcBorders>
          </w:tcPr>
          <w:p>
            <w:pPr>
              <w:spacing w:after="0"/>
              <w:rPr>
                <w:sz w:val="7"/>
                <w:szCs w:val="7"/>
                <w:color w:val="auto"/>
              </w:rPr>
            </w:pPr>
          </w:p>
        </w:tc>
        <w:tc>
          <w:tcPr>
            <w:tcW w:w="26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line="92" w:lineRule="exact"/>
              <w:rPr>
                <w:sz w:val="20"/>
                <w:szCs w:val="20"/>
                <w:color w:val="auto"/>
              </w:rPr>
            </w:pPr>
            <w:r>
              <w:rPr>
                <w:rFonts w:ascii="Arial" w:cs="Arial" w:eastAsia="Arial" w:hAnsi="Arial"/>
                <w:sz w:val="10"/>
                <w:szCs w:val="10"/>
                <w:color w:val="auto"/>
              </w:rPr>
              <w:t>Exploratory well costs capitalized</w:t>
            </w: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557</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for a period of one year or less</w:t>
            </w:r>
          </w:p>
        </w:tc>
        <w:tc>
          <w:tcPr>
            <w:tcW w:w="1200" w:type="dxa"/>
            <w:vAlign w:val="bottom"/>
            <w:gridSpan w:val="2"/>
            <w:vMerge w:val="continue"/>
          </w:tcPr>
          <w:p>
            <w:pPr>
              <w:spacing w:after="0"/>
              <w:rPr>
                <w:sz w:val="9"/>
                <w:szCs w:val="9"/>
                <w:color w:val="auto"/>
              </w:rPr>
            </w:pPr>
          </w:p>
        </w:tc>
        <w:tc>
          <w:tcPr>
            <w:tcW w:w="44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rPr>
              <w:t>419</w:t>
            </w:r>
          </w:p>
        </w:tc>
        <w:tc>
          <w:tcPr>
            <w:tcW w:w="360" w:type="dxa"/>
            <w:vAlign w:val="bottom"/>
          </w:tcPr>
          <w:p>
            <w:pPr>
              <w:jc w:val="center"/>
              <w:ind w:left="231"/>
              <w:spacing w:after="0" w:line="106"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564</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color w:val="auto"/>
              </w:rPr>
              <w:t>Exploratory well costs capitalized</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w w:val="95"/>
              </w:rPr>
              <w:t>1,877</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for a period greater than one year</w:t>
            </w:r>
          </w:p>
        </w:tc>
        <w:tc>
          <w:tcPr>
            <w:tcW w:w="1100" w:type="dxa"/>
            <w:vAlign w:val="bottom"/>
            <w:tcBorders>
              <w:bottom w:val="single" w:sz="8" w:color="0077C0"/>
            </w:tcBorders>
          </w:tcPr>
          <w:p>
            <w:pPr>
              <w:spacing w:after="0"/>
              <w:rPr>
                <w:sz w:val="10"/>
                <w:szCs w:val="10"/>
                <w:color w:val="auto"/>
              </w:rPr>
            </w:pPr>
          </w:p>
        </w:tc>
        <w:tc>
          <w:tcPr>
            <w:tcW w:w="10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right w:val="single" w:sz="8" w:color="0077C0"/>
            </w:tcBorders>
            <w:vMerge w:val="continue"/>
          </w:tcPr>
          <w:p>
            <w:pPr>
              <w:spacing w:after="0"/>
              <w:rPr>
                <w:sz w:val="10"/>
                <w:szCs w:val="10"/>
                <w:color w:val="auto"/>
              </w:rPr>
            </w:pPr>
          </w:p>
        </w:tc>
        <w:tc>
          <w:tcPr>
            <w:tcW w:w="16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2,299</w:t>
            </w:r>
          </w:p>
        </w:tc>
        <w:tc>
          <w:tcPr>
            <w:tcW w:w="360" w:type="dxa"/>
            <w:vAlign w:val="bottom"/>
            <w:tcBorders>
              <w:bottom w:val="single" w:sz="8" w:color="0077C0"/>
            </w:tcBorders>
          </w:tcPr>
          <w:p>
            <w:pPr>
              <w:spacing w:after="0"/>
              <w:rPr>
                <w:sz w:val="10"/>
                <w:szCs w:val="10"/>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1,871</w:t>
            </w: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27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Balance at December 31</w:t>
            </w:r>
          </w:p>
        </w:tc>
        <w:tc>
          <w:tcPr>
            <w:tcW w:w="120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right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w w:val="95"/>
              </w:rPr>
              <w:t>2,434</w:t>
            </w:r>
          </w:p>
        </w:tc>
        <w:tc>
          <w:tcPr>
            <w:tcW w:w="1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2,718</w:t>
            </w:r>
          </w:p>
        </w:tc>
        <w:tc>
          <w:tcPr>
            <w:tcW w:w="360" w:type="dxa"/>
            <w:vAlign w:val="bottom"/>
            <w:tcBorders>
              <w:bottom w:val="single" w:sz="8" w:color="0077C0"/>
            </w:tcBorders>
          </w:tcPr>
          <w:p>
            <w:pPr>
              <w:jc w:val="center"/>
              <w:ind w:left="231"/>
              <w:spacing w:after="0" w:line="105" w:lineRule="exact"/>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w w:val="95"/>
              </w:rPr>
              <w:t>2,435</w:t>
            </w:r>
          </w:p>
        </w:tc>
        <w:tc>
          <w:tcPr>
            <w:tcW w:w="0" w:type="dxa"/>
            <w:vAlign w:val="bottom"/>
          </w:tcPr>
          <w:p>
            <w:pPr>
              <w:spacing w:after="0"/>
              <w:rPr>
                <w:sz w:val="1"/>
                <w:szCs w:val="1"/>
                <w:color w:val="auto"/>
              </w:rPr>
            </w:pPr>
          </w:p>
        </w:tc>
      </w:tr>
      <w:tr>
        <w:trPr>
          <w:trHeight w:val="103"/>
        </w:trPr>
        <w:tc>
          <w:tcPr>
            <w:tcW w:w="2760" w:type="dxa"/>
            <w:vAlign w:val="bottom"/>
            <w:gridSpan w:val="2"/>
          </w:tcPr>
          <w:p>
            <w:pPr>
              <w:spacing w:after="0" w:line="103" w:lineRule="exact"/>
              <w:rPr>
                <w:sz w:val="20"/>
                <w:szCs w:val="20"/>
                <w:color w:val="auto"/>
              </w:rPr>
            </w:pPr>
            <w:r>
              <w:rPr>
                <w:rFonts w:ascii="Arial" w:cs="Arial" w:eastAsia="Arial" w:hAnsi="Arial"/>
                <w:sz w:val="10"/>
                <w:szCs w:val="10"/>
                <w:color w:val="auto"/>
              </w:rPr>
              <w:t>Number of projects with exploratory</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right w:val="single" w:sz="8" w:color="0077C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well costs that have been capitalized</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right w:val="single" w:sz="8" w:color="0077C0"/>
            </w:tcBorders>
            <w:vMerge w:val="restart"/>
          </w:tcPr>
          <w:p>
            <w:pPr>
              <w:jc w:val="right"/>
              <w:ind w:right="130"/>
              <w:spacing w:after="0"/>
              <w:rPr>
                <w:sz w:val="20"/>
                <w:szCs w:val="20"/>
                <w:color w:val="auto"/>
              </w:rPr>
            </w:pPr>
            <w:r>
              <w:rPr>
                <w:rFonts w:ascii="Arial" w:cs="Arial" w:eastAsia="Arial" w:hAnsi="Arial"/>
                <w:sz w:val="10"/>
                <w:szCs w:val="10"/>
                <w:b w:val="1"/>
                <w:bCs w:val="1"/>
                <w:color w:val="auto"/>
              </w:rPr>
              <w:t>47</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for a period greater than one year*</w:t>
            </w:r>
          </w:p>
        </w:tc>
        <w:tc>
          <w:tcPr>
            <w:tcW w:w="1100" w:type="dxa"/>
            <w:vAlign w:val="bottom"/>
            <w:tcBorders>
              <w:bottom w:val="single" w:sz="8" w:color="0077C0"/>
            </w:tcBorders>
          </w:tcPr>
          <w:p>
            <w:pPr>
              <w:spacing w:after="0"/>
              <w:rPr>
                <w:sz w:val="11"/>
                <w:szCs w:val="11"/>
                <w:color w:val="auto"/>
              </w:rPr>
            </w:pPr>
          </w:p>
        </w:tc>
        <w:tc>
          <w:tcPr>
            <w:tcW w:w="10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right w:val="single" w:sz="8" w:color="0077C0"/>
            </w:tcBorders>
            <w:vMerge w:val="continue"/>
          </w:tcPr>
          <w:p>
            <w:pPr>
              <w:spacing w:after="0"/>
              <w:rPr>
                <w:sz w:val="11"/>
                <w:szCs w:val="11"/>
                <w:color w:val="auto"/>
              </w:rPr>
            </w:pPr>
          </w:p>
        </w:tc>
        <w:tc>
          <w:tcPr>
            <w:tcW w:w="160" w:type="dxa"/>
            <w:vAlign w:val="bottom"/>
            <w:tcBorders>
              <w:bottom w:val="single" w:sz="8" w:color="0077C0"/>
            </w:tcBorders>
          </w:tcPr>
          <w:p>
            <w:pPr>
              <w:spacing w:after="0"/>
              <w:rPr>
                <w:sz w:val="11"/>
                <w:szCs w:val="11"/>
                <w:color w:val="auto"/>
              </w:rPr>
            </w:pP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53</w:t>
            </w:r>
          </w:p>
        </w:tc>
        <w:tc>
          <w:tcPr>
            <w:tcW w:w="360" w:type="dxa"/>
            <w:vAlign w:val="bottom"/>
            <w:tcBorders>
              <w:bottom w:val="single" w:sz="8" w:color="0077C0"/>
            </w:tcBorders>
          </w:tcPr>
          <w:p>
            <w:pPr>
              <w:spacing w:after="0"/>
              <w:rPr>
                <w:sz w:val="11"/>
                <w:szCs w:val="11"/>
                <w:color w:val="auto"/>
              </w:rPr>
            </w:pP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-341630</wp:posOffset>
            </wp:positionV>
            <wp:extent cx="3175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pacing w:after="0" w:line="7" w:lineRule="exact"/>
        <w:rPr>
          <w:sz w:val="20"/>
          <w:szCs w:val="20"/>
          <w:color w:val="auto"/>
        </w:rPr>
      </w:pPr>
    </w:p>
    <w:p>
      <w:pPr>
        <w:ind w:left="220" w:hanging="216"/>
        <w:spacing w:after="0"/>
        <w:tabs>
          <w:tab w:leader="none" w:pos="220" w:val="left"/>
        </w:tabs>
        <w:numPr>
          <w:ilvl w:val="0"/>
          <w:numId w:val="41"/>
        </w:numPr>
        <w:rPr>
          <w:rFonts w:ascii="Arial" w:cs="Arial" w:eastAsia="Arial" w:hAnsi="Arial"/>
          <w:sz w:val="9"/>
          <w:szCs w:val="9"/>
          <w:color w:val="auto"/>
        </w:rPr>
      </w:pPr>
      <w:r>
        <w:rPr>
          <w:rFonts w:ascii="Arial" w:cs="Arial" w:eastAsia="Arial" w:hAnsi="Arial"/>
          <w:sz w:val="9"/>
          <w:szCs w:val="9"/>
          <w:color w:val="auto"/>
        </w:rPr>
        <w:t>Certain projects have multiple wells or fields or both.</w:t>
      </w:r>
    </w:p>
    <w:p>
      <w:pPr>
        <w:spacing w:after="0" w:line="72" w:lineRule="exact"/>
        <w:rPr>
          <w:sz w:val="20"/>
          <w:szCs w:val="20"/>
          <w:color w:val="auto"/>
        </w:rPr>
      </w:pPr>
    </w:p>
    <w:p>
      <w:pPr>
        <w:ind w:right="60" w:firstLine="160"/>
        <w:spacing w:after="0" w:line="248" w:lineRule="auto"/>
        <w:rPr>
          <w:sz w:val="20"/>
          <w:szCs w:val="20"/>
          <w:color w:val="auto"/>
        </w:rPr>
      </w:pPr>
      <w:r>
        <w:rPr>
          <w:rFonts w:ascii="Arial" w:cs="Arial" w:eastAsia="Arial" w:hAnsi="Arial"/>
          <w:sz w:val="13"/>
          <w:szCs w:val="13"/>
          <w:color w:val="auto"/>
        </w:rPr>
        <w:t>Of the $1,877 of exploratory well costs capitalized for more than one year at December 31, 2011, $939 (26 projects) is related to projects that had drilling activities under way or firmly planned for the near future. The $938 balance is related to 21 projects in areas requiring a major capital expenditure before production could begin and for which additional drilling efforts were not under way or firmly planned for the near future. Additional drilling was not deemed necessary because the presence of hydrocarbons had already been established, and other activities were in process to enable a future decision on project development.</w:t>
      </w:r>
    </w:p>
    <w:p>
      <w:pPr>
        <w:spacing w:after="0" w:line="3" w:lineRule="exact"/>
        <w:rPr>
          <w:sz w:val="20"/>
          <w:szCs w:val="20"/>
          <w:color w:val="auto"/>
        </w:rPr>
      </w:pPr>
    </w:p>
    <w:p>
      <w:pPr>
        <w:ind w:right="180" w:firstLine="158"/>
        <w:spacing w:after="0" w:line="274" w:lineRule="auto"/>
        <w:rPr>
          <w:sz w:val="20"/>
          <w:szCs w:val="20"/>
          <w:color w:val="auto"/>
        </w:rPr>
      </w:pPr>
      <w:r>
        <w:rPr>
          <w:rFonts w:ascii="Arial" w:cs="Arial" w:eastAsia="Arial" w:hAnsi="Arial"/>
          <w:sz w:val="12"/>
          <w:szCs w:val="12"/>
          <w:color w:val="auto"/>
        </w:rPr>
        <w:t>The projects for the $938 referenced above had the following activities associated with assessing the reserves and the projects’ economic viability: (a) $322 (six projects) – development alternatives under review; (b) $283 (five projects) – development concept under review by government; (c) $208 (seven projects) – undergoing front-end engineering and design with final investment decision expected within three years; (d) $111 (one project) – project sanction approved and</w:t>
      </w:r>
    </w:p>
    <w:p>
      <w:pPr>
        <w:spacing w:after="0" w:line="20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960"/>
        <w:spacing w:after="0"/>
        <w:rPr>
          <w:sz w:val="20"/>
          <w:szCs w:val="20"/>
          <w:color w:val="auto"/>
        </w:rPr>
      </w:pPr>
      <w:r>
        <w:rPr>
          <w:rFonts w:ascii="Arial" w:cs="Arial" w:eastAsia="Arial" w:hAnsi="Arial"/>
          <w:sz w:val="10"/>
          <w:szCs w:val="10"/>
          <w:color w:val="0077C0"/>
        </w:rPr>
        <w:t>Notes to the Consolidated Financial Statements</w:t>
      </w:r>
    </w:p>
    <w:p>
      <w:pPr>
        <w:jc w:val="right"/>
        <w:ind w:right="594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19 </w:t>
      </w:r>
      <w:r>
        <w:rPr>
          <w:rFonts w:ascii="Arial" w:cs="Arial" w:eastAsia="Arial" w:hAnsi="Arial"/>
          <w:sz w:val="8"/>
          <w:szCs w:val="8"/>
          <w:color w:val="000000"/>
        </w:rPr>
        <w:t>Accounting for Suspended Exploratory Wells - Continued</w:t>
      </w:r>
    </w:p>
    <w:p>
      <w:pPr>
        <w:sectPr>
          <w:pgSz w:w="11900" w:h="16838" w:orient="portrait"/>
          <w:cols w:equalWidth="0" w:num="1">
            <w:col w:w="11440"/>
          </w:cols>
          <w:pgMar w:left="220" w:top="339" w:right="239" w:bottom="1440" w:gutter="0" w:footer="0" w:header="0"/>
        </w:sectPr>
      </w:pPr>
    </w:p>
    <w:p>
      <w:pPr>
        <w:spacing w:after="0" w:line="250"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construction is in progress, with initial recognition of proved reserves expected upon reaching “economic producibility” per SEC guidelines; (e) $14 – miscellaneous activities for two projects with smaller amounts suspended. While progress was being made on all 47 projects, the decision on the recognition of proved reserves under SEC rules in some cases may not occur for several years because of the complexity, scale and negotiations connected with the projects. The majority of these decisions are expected to occur in the next three years.</w:t>
      </w:r>
    </w:p>
    <w:p>
      <w:pPr>
        <w:ind w:right="60" w:firstLine="158"/>
        <w:spacing w:after="0" w:line="250" w:lineRule="auto"/>
        <w:rPr>
          <w:sz w:val="20"/>
          <w:szCs w:val="20"/>
          <w:color w:val="auto"/>
        </w:rPr>
      </w:pPr>
      <w:r>
        <w:rPr>
          <w:rFonts w:ascii="Arial" w:cs="Arial" w:eastAsia="Arial" w:hAnsi="Arial"/>
          <w:sz w:val="13"/>
          <w:szCs w:val="13"/>
          <w:color w:val="auto"/>
        </w:rPr>
        <w:t>The $1,877 of suspended well costs capitalized for a period greater than one year as of December 31, 2011, represents 161 exploratory wells in 47 projects. The tables below contain the aging of these costs on a well and project basis: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Number</w:t>
            </w:r>
          </w:p>
        </w:tc>
      </w:tr>
      <w:tr>
        <w:trPr>
          <w:trHeight w:val="107"/>
        </w:trPr>
        <w:tc>
          <w:tcPr>
            <w:tcW w:w="332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Aging based on drilling completion date of individual wells:</w:t>
            </w:r>
          </w:p>
        </w:tc>
        <w:tc>
          <w:tcPr>
            <w:tcW w:w="1640" w:type="dxa"/>
            <w:vAlign w:val="bottom"/>
            <w:tcBorders>
              <w:bottom w:val="single" w:sz="8" w:color="0077C0"/>
            </w:tcBorders>
          </w:tcPr>
          <w:p>
            <w:pPr>
              <w:ind w:left="1160"/>
              <w:spacing w:after="0"/>
              <w:rPr>
                <w:sz w:val="20"/>
                <w:szCs w:val="20"/>
                <w:color w:val="auto"/>
              </w:rPr>
            </w:pPr>
            <w:r>
              <w:rPr>
                <w:rFonts w:ascii="Arial" w:cs="Arial" w:eastAsia="Arial" w:hAnsi="Arial"/>
                <w:sz w:val="9"/>
                <w:szCs w:val="9"/>
                <w:color w:val="auto"/>
              </w:rPr>
              <w:t>Amount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of wells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060" w:type="dxa"/>
            <w:vAlign w:val="bottom"/>
          </w:tcPr>
          <w:p>
            <w:pPr>
              <w:spacing w:after="0" w:line="103" w:lineRule="exact"/>
              <w:rPr>
                <w:sz w:val="20"/>
                <w:szCs w:val="20"/>
                <w:color w:val="auto"/>
              </w:rPr>
            </w:pPr>
            <w:r>
              <w:rPr>
                <w:rFonts w:ascii="Arial" w:cs="Arial" w:eastAsia="Arial" w:hAnsi="Arial"/>
                <w:sz w:val="10"/>
                <w:szCs w:val="10"/>
                <w:color w:val="auto"/>
              </w:rPr>
              <w:t>1997–2000</w:t>
            </w:r>
          </w:p>
        </w:tc>
        <w:tc>
          <w:tcPr>
            <w:tcW w:w="14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09"/>
              <w:spacing w:after="0" w:line="103" w:lineRule="exact"/>
              <w:rPr>
                <w:sz w:val="20"/>
                <w:szCs w:val="20"/>
                <w:color w:val="auto"/>
              </w:rPr>
            </w:pPr>
            <w:r>
              <w:rPr>
                <w:rFonts w:ascii="Arial" w:cs="Arial" w:eastAsia="Arial" w:hAnsi="Arial"/>
                <w:sz w:val="10"/>
                <w:szCs w:val="10"/>
                <w:color w:val="auto"/>
              </w:rPr>
              <w:t>49</w:t>
            </w:r>
          </w:p>
        </w:tc>
        <w:tc>
          <w:tcPr>
            <w:tcW w:w="540" w:type="dxa"/>
            <w:vAlign w:val="bottom"/>
          </w:tcPr>
          <w:p>
            <w:pPr>
              <w:jc w:val="right"/>
              <w:spacing w:after="0" w:line="103" w:lineRule="exact"/>
              <w:rPr>
                <w:sz w:val="20"/>
                <w:szCs w:val="20"/>
                <w:color w:val="auto"/>
              </w:rPr>
            </w:pPr>
            <w:r>
              <w:rPr>
                <w:rFonts w:ascii="Arial" w:cs="Arial" w:eastAsia="Arial" w:hAnsi="Arial"/>
                <w:sz w:val="10"/>
                <w:szCs w:val="10"/>
                <w:color w:val="auto"/>
              </w:rPr>
              <w:t>16</w:t>
            </w:r>
          </w:p>
        </w:tc>
      </w:tr>
      <w:tr>
        <w:trPr>
          <w:trHeight w:val="106"/>
        </w:trPr>
        <w:tc>
          <w:tcPr>
            <w:tcW w:w="3060" w:type="dxa"/>
            <w:vAlign w:val="bottom"/>
          </w:tcPr>
          <w:p>
            <w:pPr>
              <w:spacing w:after="0" w:line="106" w:lineRule="exact"/>
              <w:rPr>
                <w:sz w:val="20"/>
                <w:szCs w:val="20"/>
                <w:color w:val="auto"/>
              </w:rPr>
            </w:pPr>
            <w:r>
              <w:rPr>
                <w:rFonts w:ascii="Arial" w:cs="Arial" w:eastAsia="Arial" w:hAnsi="Arial"/>
                <w:sz w:val="10"/>
                <w:szCs w:val="10"/>
                <w:color w:val="auto"/>
              </w:rPr>
              <w:t>2001–2005</w:t>
            </w:r>
          </w:p>
        </w:tc>
        <w:tc>
          <w:tcPr>
            <w:tcW w:w="1460" w:type="dxa"/>
            <w:vAlign w:val="bottom"/>
          </w:tcPr>
          <w:p>
            <w:pPr>
              <w:spacing w:after="0"/>
              <w:rPr>
                <w:sz w:val="9"/>
                <w:szCs w:val="9"/>
                <w:color w:val="auto"/>
              </w:rPr>
            </w:pPr>
          </w:p>
        </w:tc>
        <w:tc>
          <w:tcPr>
            <w:tcW w:w="4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396</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47</w:t>
            </w:r>
          </w:p>
        </w:tc>
      </w:tr>
      <w:tr>
        <w:trPr>
          <w:trHeight w:val="118"/>
        </w:trPr>
        <w:tc>
          <w:tcPr>
            <w:tcW w:w="30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2006–2010</w:t>
            </w:r>
          </w:p>
        </w:tc>
        <w:tc>
          <w:tcPr>
            <w:tcW w:w="146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87"/>
              </w:rPr>
              <w:t>1,432</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98</w:t>
            </w:r>
          </w:p>
        </w:tc>
      </w:tr>
      <w:tr>
        <w:trPr>
          <w:trHeight w:val="114"/>
        </w:trPr>
        <w:tc>
          <w:tcPr>
            <w:tcW w:w="30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1860" w:type="dxa"/>
            <w:vAlign w:val="bottom"/>
            <w:tcBorders>
              <w:bottom w:val="single" w:sz="8" w:color="0077C0"/>
            </w:tcBorders>
            <w:gridSpan w:val="2"/>
          </w:tcPr>
          <w:p>
            <w:pPr>
              <w:jc w:val="right"/>
              <w:ind w:right="109"/>
              <w:spacing w:after="0" w:line="105" w:lineRule="exact"/>
              <w:rPr>
                <w:sz w:val="20"/>
                <w:szCs w:val="20"/>
                <w:color w:val="auto"/>
              </w:rPr>
            </w:pPr>
            <w:r>
              <w:rPr>
                <w:rFonts w:ascii="Arial" w:cs="Arial" w:eastAsia="Arial" w:hAnsi="Arial"/>
                <w:sz w:val="10"/>
                <w:szCs w:val="10"/>
                <w:color w:val="auto"/>
              </w:rPr>
              <w:t>$ 1,877</w:t>
            </w:r>
          </w:p>
        </w:tc>
        <w:tc>
          <w:tcPr>
            <w:tcW w:w="5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161</w:t>
            </w:r>
          </w:p>
        </w:tc>
      </w:tr>
      <w:tr>
        <w:trPr>
          <w:trHeight w:val="248"/>
        </w:trPr>
        <w:tc>
          <w:tcPr>
            <w:tcW w:w="3060" w:type="dxa"/>
            <w:vAlign w:val="bottom"/>
          </w:tcPr>
          <w:p>
            <w:pPr>
              <w:spacing w:after="0"/>
              <w:rPr>
                <w:sz w:val="20"/>
                <w:szCs w:val="20"/>
                <w:color w:val="auto"/>
              </w:rPr>
            </w:pPr>
            <w:r>
              <w:rPr>
                <w:rFonts w:ascii="Arial" w:cs="Arial" w:eastAsia="Arial" w:hAnsi="Arial"/>
                <w:sz w:val="9"/>
                <w:szCs w:val="9"/>
                <w:i w:val="1"/>
                <w:iCs w:val="1"/>
                <w:color w:val="auto"/>
              </w:rPr>
              <w:t>Aging based on drilling completion date of last</w:t>
            </w: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Number</w:t>
            </w:r>
          </w:p>
        </w:tc>
      </w:tr>
      <w:tr>
        <w:trPr>
          <w:trHeight w:val="107"/>
        </w:trPr>
        <w:tc>
          <w:tcPr>
            <w:tcW w:w="306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suspended well in project:</w:t>
            </w:r>
          </w:p>
        </w:tc>
        <w:tc>
          <w:tcPr>
            <w:tcW w:w="1860" w:type="dxa"/>
            <w:vAlign w:val="bottom"/>
            <w:tcBorders>
              <w:bottom w:val="single" w:sz="8" w:color="0077C0"/>
            </w:tcBorders>
            <w:gridSpan w:val="2"/>
          </w:tcPr>
          <w:p>
            <w:pPr>
              <w:jc w:val="right"/>
              <w:ind w:right="109"/>
              <w:spacing w:after="0"/>
              <w:rPr>
                <w:sz w:val="20"/>
                <w:szCs w:val="20"/>
                <w:color w:val="auto"/>
              </w:rPr>
            </w:pPr>
            <w:r>
              <w:rPr>
                <w:rFonts w:ascii="Arial" w:cs="Arial" w:eastAsia="Arial" w:hAnsi="Arial"/>
                <w:sz w:val="9"/>
                <w:szCs w:val="9"/>
                <w:color w:val="auto"/>
              </w:rPr>
              <w:t>Amount</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of projects</w:t>
            </w:r>
          </w:p>
        </w:tc>
      </w:tr>
      <w:tr>
        <w:trPr>
          <w:trHeight w:val="92"/>
        </w:trPr>
        <w:tc>
          <w:tcPr>
            <w:tcW w:w="3060" w:type="dxa"/>
            <w:vAlign w:val="bottom"/>
          </w:tcPr>
          <w:p>
            <w:pPr>
              <w:spacing w:after="0" w:line="92" w:lineRule="exact"/>
              <w:rPr>
                <w:sz w:val="20"/>
                <w:szCs w:val="20"/>
                <w:color w:val="auto"/>
              </w:rPr>
            </w:pPr>
            <w:r>
              <w:rPr>
                <w:rFonts w:ascii="Arial" w:cs="Arial" w:eastAsia="Arial" w:hAnsi="Arial"/>
                <w:sz w:val="10"/>
                <w:szCs w:val="10"/>
                <w:color w:val="auto"/>
              </w:rPr>
              <w:t>1999</w:t>
            </w:r>
          </w:p>
        </w:tc>
        <w:tc>
          <w:tcPr>
            <w:tcW w:w="146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400" w:type="dxa"/>
            <w:vAlign w:val="bottom"/>
          </w:tcPr>
          <w:p>
            <w:pPr>
              <w:jc w:val="right"/>
              <w:ind w:right="109"/>
              <w:spacing w:after="0" w:line="92" w:lineRule="exact"/>
              <w:rPr>
                <w:sz w:val="20"/>
                <w:szCs w:val="20"/>
                <w:color w:val="auto"/>
              </w:rPr>
            </w:pPr>
            <w:r>
              <w:rPr>
                <w:rFonts w:ascii="Arial" w:cs="Arial" w:eastAsia="Arial" w:hAnsi="Arial"/>
                <w:sz w:val="10"/>
                <w:szCs w:val="10"/>
                <w:color w:val="auto"/>
              </w:rPr>
              <w:t>8</w:t>
            </w:r>
          </w:p>
        </w:tc>
        <w:tc>
          <w:tcPr>
            <w:tcW w:w="540" w:type="dxa"/>
            <w:vAlign w:val="bottom"/>
          </w:tcPr>
          <w:p>
            <w:pPr>
              <w:jc w:val="right"/>
              <w:spacing w:after="0" w:line="92" w:lineRule="exact"/>
              <w:rPr>
                <w:sz w:val="20"/>
                <w:szCs w:val="20"/>
                <w:color w:val="auto"/>
              </w:rPr>
            </w:pPr>
            <w:r>
              <w:rPr>
                <w:rFonts w:ascii="Arial" w:cs="Arial" w:eastAsia="Arial" w:hAnsi="Arial"/>
                <w:sz w:val="10"/>
                <w:szCs w:val="10"/>
                <w:color w:val="auto"/>
              </w:rPr>
              <w:t>1</w:t>
            </w:r>
          </w:p>
        </w:tc>
      </w:tr>
      <w:tr>
        <w:trPr>
          <w:trHeight w:val="106"/>
        </w:trPr>
        <w:tc>
          <w:tcPr>
            <w:tcW w:w="3060" w:type="dxa"/>
            <w:vAlign w:val="bottom"/>
          </w:tcPr>
          <w:p>
            <w:pPr>
              <w:spacing w:after="0" w:line="106" w:lineRule="exact"/>
              <w:rPr>
                <w:sz w:val="20"/>
                <w:szCs w:val="20"/>
                <w:color w:val="auto"/>
              </w:rPr>
            </w:pPr>
            <w:r>
              <w:rPr>
                <w:rFonts w:ascii="Arial" w:cs="Arial" w:eastAsia="Arial" w:hAnsi="Arial"/>
                <w:sz w:val="10"/>
                <w:szCs w:val="10"/>
                <w:color w:val="auto"/>
              </w:rPr>
              <w:t>2003–2006</w:t>
            </w:r>
          </w:p>
        </w:tc>
        <w:tc>
          <w:tcPr>
            <w:tcW w:w="1460" w:type="dxa"/>
            <w:vAlign w:val="bottom"/>
          </w:tcPr>
          <w:p>
            <w:pPr>
              <w:spacing w:after="0"/>
              <w:rPr>
                <w:sz w:val="9"/>
                <w:szCs w:val="9"/>
                <w:color w:val="auto"/>
              </w:rPr>
            </w:pPr>
          </w:p>
        </w:tc>
        <w:tc>
          <w:tcPr>
            <w:tcW w:w="40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345</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r>
      <w:tr>
        <w:trPr>
          <w:trHeight w:val="118"/>
        </w:trPr>
        <w:tc>
          <w:tcPr>
            <w:tcW w:w="306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2007–2011</w:t>
            </w:r>
          </w:p>
        </w:tc>
        <w:tc>
          <w:tcPr>
            <w:tcW w:w="1460" w:type="dxa"/>
            <w:vAlign w:val="bottom"/>
            <w:tcBorders>
              <w:bottom w:val="single" w:sz="8" w:color="0077C0"/>
            </w:tcBorders>
          </w:tcPr>
          <w:p>
            <w:pPr>
              <w:spacing w:after="0"/>
              <w:rPr>
                <w:sz w:val="10"/>
                <w:szCs w:val="10"/>
                <w:color w:val="auto"/>
              </w:rPr>
            </w:pPr>
          </w:p>
        </w:tc>
        <w:tc>
          <w:tcPr>
            <w:tcW w:w="40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w w:val="87"/>
              </w:rPr>
              <w:t>1,524</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36</w:t>
            </w:r>
          </w:p>
        </w:tc>
      </w:tr>
      <w:tr>
        <w:trPr>
          <w:trHeight w:val="114"/>
        </w:trPr>
        <w:tc>
          <w:tcPr>
            <w:tcW w:w="306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w:t>
            </w:r>
          </w:p>
        </w:tc>
        <w:tc>
          <w:tcPr>
            <w:tcW w:w="1860" w:type="dxa"/>
            <w:vAlign w:val="bottom"/>
            <w:tcBorders>
              <w:bottom w:val="single" w:sz="8" w:color="0077C0"/>
            </w:tcBorders>
            <w:gridSpan w:val="2"/>
          </w:tcPr>
          <w:p>
            <w:pPr>
              <w:jc w:val="right"/>
              <w:ind w:right="109"/>
              <w:spacing w:after="0" w:line="105" w:lineRule="exact"/>
              <w:rPr>
                <w:sz w:val="20"/>
                <w:szCs w:val="20"/>
                <w:color w:val="auto"/>
              </w:rPr>
            </w:pPr>
            <w:r>
              <w:rPr>
                <w:rFonts w:ascii="Arial" w:cs="Arial" w:eastAsia="Arial" w:hAnsi="Arial"/>
                <w:sz w:val="10"/>
                <w:szCs w:val="10"/>
                <w:color w:val="auto"/>
              </w:rPr>
              <w:t>$ 1,877</w:t>
            </w:r>
          </w:p>
        </w:tc>
        <w:tc>
          <w:tcPr>
            <w:tcW w:w="5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47</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20</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Stock Options and Other Share-Based Compensation</w:t>
      </w:r>
    </w:p>
    <w:p>
      <w:pPr>
        <w:ind w:right="40"/>
        <w:spacing w:after="0" w:line="266" w:lineRule="auto"/>
        <w:rPr>
          <w:sz w:val="20"/>
          <w:szCs w:val="20"/>
          <w:color w:val="auto"/>
        </w:rPr>
      </w:pPr>
      <w:r>
        <w:rPr>
          <w:rFonts w:ascii="Arial" w:cs="Arial" w:eastAsia="Arial" w:hAnsi="Arial"/>
          <w:sz w:val="12"/>
          <w:szCs w:val="12"/>
          <w:color w:val="auto"/>
        </w:rPr>
        <w:t>Compensation expense for stock options for 2011, 2010 and 2009 was $265 ($172 after tax), $229 ($149 after tax) and $182 ($119 after tax), respectively. In addition, compensation expense for stock appreciation rights, restricted stock, performance units and restricted stock units was $214 ($139 after tax), $194 ($126 after tax) and $170 ($110 after tax) for 2011, 2010 and 2009, respectively. No significant stock-based compensation cost was capitalized at December 31, 2011 and 2010.</w:t>
      </w:r>
    </w:p>
    <w:p>
      <w:pPr>
        <w:spacing w:after="0" w:line="2" w:lineRule="exact"/>
        <w:rPr>
          <w:sz w:val="20"/>
          <w:szCs w:val="20"/>
          <w:color w:val="auto"/>
        </w:rPr>
      </w:pPr>
    </w:p>
    <w:p>
      <w:pPr>
        <w:jc w:val="both"/>
        <w:ind w:right="100" w:firstLine="160"/>
        <w:spacing w:after="0" w:line="281" w:lineRule="auto"/>
        <w:rPr>
          <w:sz w:val="20"/>
          <w:szCs w:val="20"/>
          <w:color w:val="auto"/>
        </w:rPr>
      </w:pPr>
      <w:r>
        <w:rPr>
          <w:rFonts w:ascii="Arial" w:cs="Arial" w:eastAsia="Arial" w:hAnsi="Arial"/>
          <w:sz w:val="12"/>
          <w:szCs w:val="12"/>
          <w:color w:val="auto"/>
        </w:rPr>
        <w:t>Cash received in payment for option exercises under all share-based payment arrangements for 2011, 2010 and 2009 was $948, $385 and $147, respectively. Actual tax benefits realized for the tax deductions from option exercises were $121, $66 and $25 for 2011, 2010 and 2009, respectively.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360" w:right="120" w:firstLine="160"/>
        <w:spacing w:after="0" w:line="267" w:lineRule="auto"/>
        <w:rPr>
          <w:sz w:val="20"/>
          <w:szCs w:val="20"/>
          <w:color w:val="auto"/>
        </w:rPr>
      </w:pPr>
      <w:r>
        <w:rPr>
          <w:rFonts w:ascii="Arial" w:cs="Arial" w:eastAsia="Arial" w:hAnsi="Arial"/>
          <w:sz w:val="13"/>
          <w:szCs w:val="13"/>
          <w:color w:val="auto"/>
        </w:rPr>
        <w:t>Cash paid to settle performance units and stock appreciation rights was $151, $140 and $89 for 2011, 2010 and 2009, respectively.</w:t>
      </w:r>
    </w:p>
    <w:p>
      <w:pPr>
        <w:spacing w:after="0" w:line="52" w:lineRule="exact"/>
        <w:rPr>
          <w:sz w:val="20"/>
          <w:szCs w:val="20"/>
          <w:color w:val="auto"/>
        </w:rPr>
      </w:pPr>
    </w:p>
    <w:p>
      <w:pPr>
        <w:ind w:left="360" w:right="60"/>
        <w:spacing w:after="0" w:line="303" w:lineRule="auto"/>
        <w:rPr>
          <w:sz w:val="20"/>
          <w:szCs w:val="20"/>
          <w:color w:val="auto"/>
        </w:rPr>
      </w:pPr>
      <w:r>
        <w:rPr>
          <w:rFonts w:ascii="Arial" w:cs="Arial" w:eastAsia="Arial" w:hAnsi="Arial"/>
          <w:sz w:val="11"/>
          <w:szCs w:val="11"/>
          <w:i w:val="1"/>
          <w:iCs w:val="1"/>
          <w:color w:val="E51837"/>
        </w:rPr>
        <w:t xml:space="preserve">Chevron Long-Term Incentive Plan (LTIP) </w:t>
      </w:r>
      <w:r>
        <w:rPr>
          <w:rFonts w:ascii="Arial" w:cs="Arial" w:eastAsia="Arial" w:hAnsi="Arial"/>
          <w:sz w:val="11"/>
          <w:szCs w:val="11"/>
          <w:color w:val="000000"/>
        </w:rPr>
        <w:t>Awards under the LTIP may take the form of, but are not</w:t>
      </w:r>
      <w:r>
        <w:rPr>
          <w:rFonts w:ascii="Arial" w:cs="Arial" w:eastAsia="Arial" w:hAnsi="Arial"/>
          <w:sz w:val="11"/>
          <w:szCs w:val="11"/>
          <w:i w:val="1"/>
          <w:iCs w:val="1"/>
          <w:color w:val="E51837"/>
        </w:rPr>
        <w:t xml:space="preserve"> </w:t>
      </w:r>
      <w:r>
        <w:rPr>
          <w:rFonts w:ascii="Arial" w:cs="Arial" w:eastAsia="Arial" w:hAnsi="Arial"/>
          <w:sz w:val="11"/>
          <w:szCs w:val="11"/>
          <w:color w:val="000000"/>
        </w:rPr>
        <w:t>limited to, stock options, restricted stock, restricted stock units, stock appreciation rights, performance units and nonstock grants. From April 2004 through January 2014, no more than 160 million shares may be issued under the LTIP, and no more than 64 million of those shares may be in a form other than a stock option, stock appreciation right or award requiring full payment for shares by the award recipient. For the major types of awards outstanding as of December 31, 2011, the contractual terms vary between three years for the performance units and 10 years for the stock options and stock appreciation rights.</w:t>
      </w:r>
    </w:p>
    <w:p>
      <w:pPr>
        <w:spacing w:after="0" w:line="35" w:lineRule="exact"/>
        <w:rPr>
          <w:sz w:val="20"/>
          <w:szCs w:val="20"/>
          <w:color w:val="auto"/>
        </w:rPr>
      </w:pPr>
    </w:p>
    <w:p>
      <w:pPr>
        <w:ind w:left="360"/>
        <w:spacing w:after="0" w:line="272" w:lineRule="auto"/>
        <w:rPr>
          <w:sz w:val="20"/>
          <w:szCs w:val="20"/>
          <w:color w:val="auto"/>
        </w:rPr>
      </w:pPr>
      <w:r>
        <w:rPr>
          <w:rFonts w:ascii="Arial" w:cs="Arial" w:eastAsia="Arial" w:hAnsi="Arial"/>
          <w:sz w:val="12"/>
          <w:szCs w:val="12"/>
          <w:i w:val="1"/>
          <w:iCs w:val="1"/>
          <w:color w:val="E51837"/>
        </w:rPr>
        <w:t xml:space="preserve">Texaco Stock Incentive Plan (Texaco SIP) </w:t>
      </w:r>
      <w:r>
        <w:rPr>
          <w:rFonts w:ascii="Arial" w:cs="Arial" w:eastAsia="Arial" w:hAnsi="Arial"/>
          <w:sz w:val="12"/>
          <w:szCs w:val="12"/>
          <w:color w:val="000000"/>
        </w:rPr>
        <w:t>On the closing of the acquisition of Texaco in October 2001,</w:t>
      </w:r>
      <w:r>
        <w:rPr>
          <w:rFonts w:ascii="Arial" w:cs="Arial" w:eastAsia="Arial" w:hAnsi="Arial"/>
          <w:sz w:val="12"/>
          <w:szCs w:val="12"/>
          <w:i w:val="1"/>
          <w:iCs w:val="1"/>
          <w:color w:val="E51837"/>
        </w:rPr>
        <w:t xml:space="preserve"> </w:t>
      </w:r>
      <w:r>
        <w:rPr>
          <w:rFonts w:ascii="Arial" w:cs="Arial" w:eastAsia="Arial" w:hAnsi="Arial"/>
          <w:sz w:val="12"/>
          <w:szCs w:val="12"/>
          <w:color w:val="000000"/>
        </w:rPr>
        <w:t>outstanding options granted under the Texaco SIP were converted to Chevron options. These options, which had 10-year contractual lives extending into 2011, retained a provision for being restored. This provision enabled a participant who exercised a stock option to receive new options equal to the number of shares exchanged or who had shares withheld to satisfy tax withholding obligations to receive new options equal to the number of shares exchanged or withheld. The restored options were fully exercisable six months after the date of grant, and the exercise price was the market value of the common stock on the day the restored option was granted. Beginning in 2007, restored options were issued under the LTIP. No further awards may be granted under the former Texaco plans.</w:t>
      </w:r>
    </w:p>
    <w:p>
      <w:pPr>
        <w:spacing w:after="0" w:line="53" w:lineRule="exact"/>
        <w:rPr>
          <w:sz w:val="20"/>
          <w:szCs w:val="20"/>
          <w:color w:val="auto"/>
        </w:rPr>
      </w:pPr>
    </w:p>
    <w:p>
      <w:pPr>
        <w:ind w:left="360" w:right="40"/>
        <w:spacing w:after="0" w:line="251" w:lineRule="auto"/>
        <w:rPr>
          <w:sz w:val="20"/>
          <w:szCs w:val="20"/>
          <w:color w:val="auto"/>
        </w:rPr>
      </w:pPr>
      <w:r>
        <w:rPr>
          <w:rFonts w:ascii="Arial" w:cs="Arial" w:eastAsia="Arial" w:hAnsi="Arial"/>
          <w:sz w:val="13"/>
          <w:szCs w:val="13"/>
          <w:i w:val="1"/>
          <w:iCs w:val="1"/>
          <w:color w:val="E51837"/>
        </w:rPr>
        <w:t xml:space="preserve">Unocal Share-Based Plans (Unocal Plans) </w:t>
      </w:r>
      <w:r>
        <w:rPr>
          <w:rFonts w:ascii="Arial" w:cs="Arial" w:eastAsia="Arial" w:hAnsi="Arial"/>
          <w:sz w:val="13"/>
          <w:szCs w:val="13"/>
          <w:color w:val="000000"/>
        </w:rPr>
        <w:t>When Chevron acquired Unocal in August 2005, outstanding</w:t>
      </w:r>
      <w:r>
        <w:rPr>
          <w:rFonts w:ascii="Arial" w:cs="Arial" w:eastAsia="Arial" w:hAnsi="Arial"/>
          <w:sz w:val="13"/>
          <w:szCs w:val="13"/>
          <w:i w:val="1"/>
          <w:iCs w:val="1"/>
          <w:color w:val="E51837"/>
        </w:rPr>
        <w:t xml:space="preserve"> </w:t>
      </w:r>
      <w:r>
        <w:rPr>
          <w:rFonts w:ascii="Arial" w:cs="Arial" w:eastAsia="Arial" w:hAnsi="Arial"/>
          <w:sz w:val="13"/>
          <w:szCs w:val="13"/>
          <w:color w:val="000000"/>
        </w:rPr>
        <w:t>stock options and stock appreciation rights granted under various Unocal Plans were exchanged for fully vested Chevron options and appreciation rights. These awards retained the same provisions as the original Unocal Plans. Unexercised awards began expiring in early 2010 and will continue to expire through early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0"/>
          <w:szCs w:val="10"/>
          <w:color w:val="auto"/>
        </w:rPr>
        <w:t>FS-48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92075</wp:posOffset>
            </wp:positionV>
            <wp:extent cx="729297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2">
            <w:col w:w="5500" w:space="100"/>
            <w:col w:w="5840"/>
          </w:cols>
          <w:pgMar w:left="220" w:top="339" w:right="239" w:bottom="1440" w:gutter="0" w:footer="0" w:header="0"/>
          <w:type w:val="continuous"/>
        </w:sectPr>
      </w:pPr>
    </w:p>
    <w:bookmarkStart w:id="89" w:name="page90"/>
    <w:bookmarkEnd w:id="89"/>
    <w:p>
      <w:pPr>
        <w:ind w:left="3"/>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285990" cy="5003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Note 20 </w:t>
      </w:r>
      <w:r>
        <w:rPr>
          <w:rFonts w:ascii="Arial" w:cs="Arial" w:eastAsia="Arial" w:hAnsi="Arial"/>
          <w:sz w:val="8"/>
          <w:szCs w:val="8"/>
          <w:color w:val="000000"/>
        </w:rPr>
        <w:t>Stock Options and Other Share-Based Compensation - Continued</w:t>
      </w:r>
    </w:p>
    <w:p>
      <w:pPr>
        <w:spacing w:after="0" w:line="327" w:lineRule="exact"/>
        <w:rPr>
          <w:sz w:val="20"/>
          <w:szCs w:val="20"/>
          <w:color w:val="auto"/>
        </w:rPr>
      </w:pPr>
    </w:p>
    <w:p>
      <w:pPr>
        <w:ind w:left="3" w:right="180" w:firstLine="158"/>
        <w:spacing w:after="0" w:line="256" w:lineRule="auto"/>
        <w:rPr>
          <w:sz w:val="20"/>
          <w:szCs w:val="20"/>
          <w:color w:val="auto"/>
        </w:rPr>
      </w:pPr>
      <w:r>
        <w:rPr>
          <w:rFonts w:ascii="Arial" w:cs="Arial" w:eastAsia="Arial" w:hAnsi="Arial"/>
          <w:sz w:val="13"/>
          <w:szCs w:val="13"/>
          <w:color w:val="auto"/>
        </w:rPr>
        <w:t>The fair market values of stock options and stock appreciation rights granted in 2011, 2010 and 2009 were measured on the date of grant using the Black-Scholes option-pricing model, with the following weighted-average assumptions:</w:t>
      </w:r>
    </w:p>
    <w:p>
      <w:pPr>
        <w:spacing w:after="0" w:line="86"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9"/>
                <w:szCs w:val="9"/>
                <w:color w:val="auto"/>
                <w:w w:val="89"/>
              </w:rPr>
              <w:t>Year ended December 31</w:t>
            </w:r>
          </w:p>
        </w:tc>
        <w:tc>
          <w:tcPr>
            <w:tcW w:w="0" w:type="dxa"/>
            <w:vAlign w:val="bottom"/>
          </w:tcPr>
          <w:p>
            <w:pPr>
              <w:spacing w:after="0"/>
              <w:rPr>
                <w:sz w:val="1"/>
                <w:szCs w:val="1"/>
                <w:color w:val="auto"/>
              </w:rPr>
            </w:pPr>
          </w:p>
        </w:tc>
      </w:tr>
      <w:tr>
        <w:trPr>
          <w:trHeight w:val="86"/>
        </w:trPr>
        <w:tc>
          <w:tcPr>
            <w:tcW w:w="3760" w:type="dxa"/>
            <w:vAlign w:val="bottom"/>
            <w:tcBorders>
              <w:bottom w:val="single" w:sz="8" w:color="0077C0"/>
            </w:tcBorders>
          </w:tcPr>
          <w:p>
            <w:pPr>
              <w:spacing w:after="0"/>
              <w:rPr>
                <w:sz w:val="7"/>
                <w:szCs w:val="7"/>
                <w:color w:val="auto"/>
              </w:rPr>
            </w:pPr>
          </w:p>
        </w:tc>
        <w:tc>
          <w:tcPr>
            <w:tcW w:w="80" w:type="dxa"/>
            <w:vAlign w:val="bottom"/>
            <w:tcBorders>
              <w:top w:val="single" w:sz="8" w:color="0077C0"/>
              <w:bottom w:val="single" w:sz="8" w:color="0077C0"/>
            </w:tcBorders>
          </w:tcPr>
          <w:p>
            <w:pPr>
              <w:spacing w:after="0"/>
              <w:rPr>
                <w:sz w:val="7"/>
                <w:szCs w:val="7"/>
                <w:color w:val="auto"/>
              </w:rPr>
            </w:pPr>
          </w:p>
        </w:tc>
        <w:tc>
          <w:tcPr>
            <w:tcW w:w="480" w:type="dxa"/>
            <w:vAlign w:val="bottom"/>
            <w:tcBorders>
              <w:top w:val="single" w:sz="8" w:color="0077C0"/>
              <w:bottom w:val="single" w:sz="8" w:color="0077C0"/>
            </w:tcBorders>
          </w:tcPr>
          <w:p>
            <w:pPr>
              <w:jc w:val="right"/>
              <w:ind w:right="169"/>
              <w:spacing w:after="0" w:line="86" w:lineRule="exact"/>
              <w:rPr>
                <w:sz w:val="20"/>
                <w:szCs w:val="20"/>
                <w:color w:val="auto"/>
              </w:rPr>
            </w:pPr>
            <w:r>
              <w:rPr>
                <w:rFonts w:ascii="Arial" w:cs="Arial" w:eastAsia="Arial" w:hAnsi="Arial"/>
                <w:sz w:val="9"/>
                <w:szCs w:val="9"/>
                <w:b w:val="1"/>
                <w:bCs w:val="1"/>
                <w:color w:val="auto"/>
              </w:rPr>
              <w:t>2011</w:t>
            </w:r>
          </w:p>
        </w:tc>
        <w:tc>
          <w:tcPr>
            <w:tcW w:w="160" w:type="dxa"/>
            <w:vAlign w:val="bottom"/>
            <w:tcBorders>
              <w:top w:val="single" w:sz="8" w:color="0077C0"/>
              <w:bottom w:val="single" w:sz="8" w:color="0077C0"/>
            </w:tcBorders>
          </w:tcPr>
          <w:p>
            <w:pPr>
              <w:spacing w:after="0"/>
              <w:rPr>
                <w:sz w:val="7"/>
                <w:szCs w:val="7"/>
                <w:color w:val="auto"/>
              </w:rPr>
            </w:pPr>
          </w:p>
        </w:tc>
        <w:tc>
          <w:tcPr>
            <w:tcW w:w="480" w:type="dxa"/>
            <w:vAlign w:val="bottom"/>
            <w:tcBorders>
              <w:top w:val="single" w:sz="8" w:color="0077C0"/>
              <w:bottom w:val="single" w:sz="8" w:color="0077C0"/>
            </w:tcBorders>
          </w:tcPr>
          <w:p>
            <w:pPr>
              <w:jc w:val="right"/>
              <w:ind w:right="170"/>
              <w:spacing w:after="0" w:line="86" w:lineRule="exact"/>
              <w:rPr>
                <w:sz w:val="20"/>
                <w:szCs w:val="20"/>
                <w:color w:val="auto"/>
              </w:rPr>
            </w:pPr>
            <w:r>
              <w:rPr>
                <w:rFonts w:ascii="Arial" w:cs="Arial" w:eastAsia="Arial" w:hAnsi="Arial"/>
                <w:sz w:val="9"/>
                <w:szCs w:val="9"/>
                <w:color w:val="auto"/>
              </w:rPr>
              <w:t>2010</w:t>
            </w:r>
          </w:p>
        </w:tc>
        <w:tc>
          <w:tcPr>
            <w:tcW w:w="200" w:type="dxa"/>
            <w:vAlign w:val="bottom"/>
            <w:tcBorders>
              <w:top w:val="single" w:sz="8" w:color="0077C0"/>
              <w:bottom w:val="single" w:sz="8" w:color="0077C0"/>
            </w:tcBorders>
          </w:tcPr>
          <w:p>
            <w:pPr>
              <w:spacing w:after="0"/>
              <w:rPr>
                <w:sz w:val="7"/>
                <w:szCs w:val="7"/>
                <w:color w:val="auto"/>
              </w:rPr>
            </w:pPr>
          </w:p>
        </w:tc>
        <w:tc>
          <w:tcPr>
            <w:tcW w:w="2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760" w:type="dxa"/>
            <w:vAlign w:val="bottom"/>
          </w:tcPr>
          <w:p>
            <w:pPr>
              <w:spacing w:after="0" w:line="92" w:lineRule="exact"/>
              <w:rPr>
                <w:sz w:val="20"/>
                <w:szCs w:val="20"/>
                <w:color w:val="auto"/>
              </w:rPr>
            </w:pPr>
            <w:r>
              <w:rPr>
                <w:rFonts w:ascii="Arial" w:cs="Arial" w:eastAsia="Arial" w:hAnsi="Arial"/>
                <w:sz w:val="10"/>
                <w:szCs w:val="10"/>
                <w:b w:val="1"/>
                <w:bCs w:val="1"/>
                <w:color w:val="auto"/>
              </w:rPr>
              <w:t>Stock Options</w:t>
            </w:r>
          </w:p>
        </w:tc>
        <w:tc>
          <w:tcPr>
            <w:tcW w:w="80" w:type="dxa"/>
            <w:vAlign w:val="bottom"/>
          </w:tcPr>
          <w:p>
            <w:pPr>
              <w:spacing w:after="0"/>
              <w:rPr>
                <w:sz w:val="8"/>
                <w:szCs w:val="8"/>
                <w:color w:val="auto"/>
              </w:rPr>
            </w:pPr>
          </w:p>
        </w:tc>
        <w:tc>
          <w:tcPr>
            <w:tcW w:w="48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6.2</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60" w:type="dxa"/>
            <w:vAlign w:val="bottom"/>
          </w:tcPr>
          <w:p>
            <w:pPr>
              <w:ind w:left="140"/>
              <w:spacing w:after="0" w:line="104" w:lineRule="exact"/>
              <w:rPr>
                <w:sz w:val="20"/>
                <w:szCs w:val="20"/>
                <w:color w:val="auto"/>
              </w:rPr>
            </w:pPr>
            <w:r>
              <w:rPr>
                <w:rFonts w:ascii="Arial" w:cs="Arial" w:eastAsia="Arial" w:hAnsi="Arial"/>
                <w:sz w:val="10"/>
                <w:szCs w:val="10"/>
                <w:color w:val="auto"/>
              </w:rPr>
              <w:t>Expected term in years</w:t>
            </w:r>
            <w:r>
              <w:rPr>
                <w:rFonts w:ascii="Arial" w:cs="Arial" w:eastAsia="Arial" w:hAnsi="Arial"/>
                <w:sz w:val="8"/>
                <w:szCs w:val="8"/>
                <w:color w:val="auto"/>
              </w:rPr>
              <w:t>1</w:t>
            </w:r>
          </w:p>
        </w:tc>
        <w:tc>
          <w:tcPr>
            <w:tcW w:w="8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70"/>
              <w:spacing w:after="0" w:line="104" w:lineRule="exact"/>
              <w:rPr>
                <w:sz w:val="20"/>
                <w:szCs w:val="20"/>
                <w:color w:val="auto"/>
              </w:rPr>
            </w:pPr>
            <w:r>
              <w:rPr>
                <w:rFonts w:ascii="Arial" w:cs="Arial" w:eastAsia="Arial" w:hAnsi="Arial"/>
                <w:sz w:val="10"/>
                <w:szCs w:val="10"/>
                <w:color w:val="auto"/>
              </w:rPr>
              <w:t>6.1</w:t>
            </w:r>
          </w:p>
        </w:tc>
        <w:tc>
          <w:tcPr>
            <w:tcW w:w="20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6.0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60" w:type="dxa"/>
            <w:vAlign w:val="bottom"/>
          </w:tcPr>
          <w:p>
            <w:pPr>
              <w:ind w:left="140"/>
              <w:spacing w:after="0" w:line="108" w:lineRule="exact"/>
              <w:rPr>
                <w:sz w:val="20"/>
                <w:szCs w:val="20"/>
                <w:color w:val="auto"/>
              </w:rPr>
            </w:pPr>
            <w:r>
              <w:rPr>
                <w:rFonts w:ascii="Arial" w:cs="Arial" w:eastAsia="Arial" w:hAnsi="Arial"/>
                <w:sz w:val="10"/>
                <w:szCs w:val="10"/>
                <w:color w:val="auto"/>
              </w:rPr>
              <w:t>Volatility</w:t>
            </w: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480" w:type="dxa"/>
            <w:vAlign w:val="bottom"/>
            <w:tcBorders>
              <w:right w:val="single" w:sz="8" w:color="0077C0"/>
            </w:tcBorders>
          </w:tcPr>
          <w:p>
            <w:pPr>
              <w:jc w:val="right"/>
              <w:ind w:right="69"/>
              <w:spacing w:after="0" w:line="108" w:lineRule="exact"/>
              <w:rPr>
                <w:sz w:val="20"/>
                <w:szCs w:val="20"/>
                <w:color w:val="auto"/>
              </w:rPr>
            </w:pPr>
            <w:r>
              <w:rPr>
                <w:rFonts w:ascii="Arial" w:cs="Arial" w:eastAsia="Arial" w:hAnsi="Arial"/>
                <w:sz w:val="10"/>
                <w:szCs w:val="10"/>
                <w:b w:val="1"/>
                <w:bCs w:val="1"/>
                <w:color w:val="auto"/>
              </w:rPr>
              <w:t>31.0%</w:t>
            </w:r>
          </w:p>
        </w:tc>
        <w:tc>
          <w:tcPr>
            <w:tcW w:w="160" w:type="dxa"/>
            <w:vAlign w:val="bottom"/>
          </w:tcPr>
          <w:p>
            <w:pPr>
              <w:spacing w:after="0"/>
              <w:rPr>
                <w:sz w:val="9"/>
                <w:szCs w:val="9"/>
                <w:color w:val="auto"/>
              </w:rPr>
            </w:pPr>
          </w:p>
        </w:tc>
        <w:tc>
          <w:tcPr>
            <w:tcW w:w="480" w:type="dxa"/>
            <w:vAlign w:val="bottom"/>
          </w:tcPr>
          <w:p>
            <w:pPr>
              <w:jc w:val="right"/>
              <w:ind w:right="90"/>
              <w:spacing w:after="0" w:line="108" w:lineRule="exact"/>
              <w:rPr>
                <w:sz w:val="20"/>
                <w:szCs w:val="20"/>
                <w:color w:val="auto"/>
              </w:rPr>
            </w:pPr>
            <w:r>
              <w:rPr>
                <w:rFonts w:ascii="Arial" w:cs="Arial" w:eastAsia="Arial" w:hAnsi="Arial"/>
                <w:sz w:val="10"/>
                <w:szCs w:val="10"/>
                <w:color w:val="auto"/>
              </w:rPr>
              <w:t>30.8%</w:t>
            </w:r>
          </w:p>
        </w:tc>
        <w:tc>
          <w:tcPr>
            <w:tcW w:w="200" w:type="dxa"/>
            <w:vAlign w:val="bottom"/>
          </w:tcPr>
          <w:p>
            <w:pPr>
              <w:spacing w:after="0"/>
              <w:rPr>
                <w:sz w:val="9"/>
                <w:szCs w:val="9"/>
                <w:color w:val="auto"/>
              </w:rPr>
            </w:pPr>
          </w:p>
        </w:tc>
        <w:tc>
          <w:tcPr>
            <w:tcW w:w="3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30.2%</w:t>
            </w:r>
          </w:p>
        </w:tc>
        <w:tc>
          <w:tcPr>
            <w:tcW w:w="0" w:type="dxa"/>
            <w:vAlign w:val="bottom"/>
          </w:tcPr>
          <w:p>
            <w:pPr>
              <w:spacing w:after="0"/>
              <w:rPr>
                <w:sz w:val="1"/>
                <w:szCs w:val="1"/>
                <w:color w:val="auto"/>
              </w:rPr>
            </w:pPr>
          </w:p>
        </w:tc>
      </w:tr>
      <w:tr>
        <w:trPr>
          <w:trHeight w:val="106"/>
        </w:trPr>
        <w:tc>
          <w:tcPr>
            <w:tcW w:w="3760" w:type="dxa"/>
            <w:vAlign w:val="bottom"/>
          </w:tcPr>
          <w:p>
            <w:pPr>
              <w:ind w:left="140"/>
              <w:spacing w:after="0" w:line="106" w:lineRule="exact"/>
              <w:rPr>
                <w:sz w:val="20"/>
                <w:szCs w:val="20"/>
                <w:color w:val="auto"/>
              </w:rPr>
            </w:pPr>
            <w:r>
              <w:rPr>
                <w:rFonts w:ascii="Arial" w:cs="Arial" w:eastAsia="Arial" w:hAnsi="Arial"/>
                <w:sz w:val="10"/>
                <w:szCs w:val="10"/>
                <w:color w:val="auto"/>
              </w:rPr>
              <w:t>Risk-free interest rate based on</w:t>
            </w:r>
          </w:p>
        </w:tc>
        <w:tc>
          <w:tcPr>
            <w:tcW w:w="8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69"/>
              <w:spacing w:after="0"/>
              <w:rPr>
                <w:sz w:val="20"/>
                <w:szCs w:val="20"/>
                <w:color w:val="auto"/>
              </w:rPr>
            </w:pPr>
            <w:r>
              <w:rPr>
                <w:rFonts w:ascii="Arial" w:cs="Arial" w:eastAsia="Arial" w:hAnsi="Arial"/>
                <w:sz w:val="10"/>
                <w:szCs w:val="10"/>
                <w:b w:val="1"/>
                <w:bCs w:val="1"/>
                <w:color w:val="auto"/>
              </w:rPr>
              <w:t>2.6%</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60" w:type="dxa"/>
            <w:vAlign w:val="bottom"/>
          </w:tcPr>
          <w:p>
            <w:pPr>
              <w:ind w:left="280"/>
              <w:spacing w:after="0" w:line="104" w:lineRule="exact"/>
              <w:rPr>
                <w:sz w:val="20"/>
                <w:szCs w:val="20"/>
                <w:color w:val="auto"/>
              </w:rPr>
            </w:pPr>
            <w:r>
              <w:rPr>
                <w:rFonts w:ascii="Arial" w:cs="Arial" w:eastAsia="Arial" w:hAnsi="Arial"/>
                <w:sz w:val="10"/>
                <w:szCs w:val="10"/>
                <w:color w:val="auto"/>
              </w:rPr>
              <w:t>zero coupon U.S. treasury note</w:t>
            </w:r>
          </w:p>
        </w:tc>
        <w:tc>
          <w:tcPr>
            <w:tcW w:w="8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90"/>
              <w:spacing w:after="0" w:line="104" w:lineRule="exact"/>
              <w:rPr>
                <w:sz w:val="20"/>
                <w:szCs w:val="20"/>
                <w:color w:val="auto"/>
              </w:rPr>
            </w:pPr>
            <w:r>
              <w:rPr>
                <w:rFonts w:ascii="Arial" w:cs="Arial" w:eastAsia="Arial" w:hAnsi="Arial"/>
                <w:sz w:val="10"/>
                <w:szCs w:val="10"/>
                <w:color w:val="auto"/>
              </w:rPr>
              <w:t>2.9%</w:t>
            </w:r>
          </w:p>
        </w:tc>
        <w:tc>
          <w:tcPr>
            <w:tcW w:w="200" w:type="dxa"/>
            <w:vAlign w:val="bottom"/>
          </w:tcPr>
          <w:p>
            <w:pPr>
              <w:spacing w:after="0"/>
              <w:rPr>
                <w:sz w:val="9"/>
                <w:szCs w:val="9"/>
                <w:color w:val="auto"/>
              </w:rPr>
            </w:pPr>
          </w:p>
        </w:tc>
        <w:tc>
          <w:tcPr>
            <w:tcW w:w="34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08"/>
        </w:trPr>
        <w:tc>
          <w:tcPr>
            <w:tcW w:w="3760" w:type="dxa"/>
            <w:vAlign w:val="bottom"/>
          </w:tcPr>
          <w:p>
            <w:pPr>
              <w:ind w:left="140"/>
              <w:spacing w:after="0" w:line="108" w:lineRule="exact"/>
              <w:rPr>
                <w:sz w:val="20"/>
                <w:szCs w:val="20"/>
                <w:color w:val="auto"/>
              </w:rPr>
            </w:pPr>
            <w:r>
              <w:rPr>
                <w:rFonts w:ascii="Arial" w:cs="Arial" w:eastAsia="Arial" w:hAnsi="Arial"/>
                <w:sz w:val="10"/>
                <w:szCs w:val="10"/>
                <w:color w:val="auto"/>
              </w:rPr>
              <w:t>Dividend yield</w:t>
            </w:r>
          </w:p>
        </w:tc>
        <w:tc>
          <w:tcPr>
            <w:tcW w:w="80" w:type="dxa"/>
            <w:vAlign w:val="bottom"/>
          </w:tcPr>
          <w:p>
            <w:pPr>
              <w:spacing w:after="0"/>
              <w:rPr>
                <w:sz w:val="9"/>
                <w:szCs w:val="9"/>
                <w:color w:val="auto"/>
              </w:rPr>
            </w:pPr>
          </w:p>
        </w:tc>
        <w:tc>
          <w:tcPr>
            <w:tcW w:w="480" w:type="dxa"/>
            <w:vAlign w:val="bottom"/>
            <w:tcBorders>
              <w:right w:val="single" w:sz="8" w:color="0077C0"/>
            </w:tcBorders>
          </w:tcPr>
          <w:p>
            <w:pPr>
              <w:jc w:val="right"/>
              <w:ind w:right="69"/>
              <w:spacing w:after="0" w:line="108" w:lineRule="exact"/>
              <w:rPr>
                <w:sz w:val="20"/>
                <w:szCs w:val="20"/>
                <w:color w:val="auto"/>
              </w:rPr>
            </w:pPr>
            <w:r>
              <w:rPr>
                <w:rFonts w:ascii="Arial" w:cs="Arial" w:eastAsia="Arial" w:hAnsi="Arial"/>
                <w:sz w:val="10"/>
                <w:szCs w:val="10"/>
                <w:b w:val="1"/>
                <w:bCs w:val="1"/>
                <w:color w:val="auto"/>
              </w:rPr>
              <w:t>3.6%</w:t>
            </w:r>
          </w:p>
        </w:tc>
        <w:tc>
          <w:tcPr>
            <w:tcW w:w="160" w:type="dxa"/>
            <w:vAlign w:val="bottom"/>
          </w:tcPr>
          <w:p>
            <w:pPr>
              <w:spacing w:after="0"/>
              <w:rPr>
                <w:sz w:val="9"/>
                <w:szCs w:val="9"/>
                <w:color w:val="auto"/>
              </w:rPr>
            </w:pPr>
          </w:p>
        </w:tc>
        <w:tc>
          <w:tcPr>
            <w:tcW w:w="480" w:type="dxa"/>
            <w:vAlign w:val="bottom"/>
          </w:tcPr>
          <w:p>
            <w:pPr>
              <w:jc w:val="right"/>
              <w:ind w:right="90"/>
              <w:spacing w:after="0" w:line="108" w:lineRule="exact"/>
              <w:rPr>
                <w:sz w:val="20"/>
                <w:szCs w:val="20"/>
                <w:color w:val="auto"/>
              </w:rPr>
            </w:pPr>
            <w:r>
              <w:rPr>
                <w:rFonts w:ascii="Arial" w:cs="Arial" w:eastAsia="Arial" w:hAnsi="Arial"/>
                <w:sz w:val="10"/>
                <w:szCs w:val="10"/>
                <w:color w:val="auto"/>
              </w:rPr>
              <w:t>3.9%</w:t>
            </w:r>
          </w:p>
        </w:tc>
        <w:tc>
          <w:tcPr>
            <w:tcW w:w="200" w:type="dxa"/>
            <w:vAlign w:val="bottom"/>
          </w:tcPr>
          <w:p>
            <w:pPr>
              <w:spacing w:after="0"/>
              <w:rPr>
                <w:sz w:val="9"/>
                <w:szCs w:val="9"/>
                <w:color w:val="auto"/>
              </w:rPr>
            </w:pPr>
          </w:p>
        </w:tc>
        <w:tc>
          <w:tcPr>
            <w:tcW w:w="3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06"/>
        </w:trPr>
        <w:tc>
          <w:tcPr>
            <w:tcW w:w="3760" w:type="dxa"/>
            <w:vAlign w:val="bottom"/>
          </w:tcPr>
          <w:p>
            <w:pPr>
              <w:ind w:left="140"/>
              <w:spacing w:after="0" w:line="106" w:lineRule="exact"/>
              <w:rPr>
                <w:sz w:val="20"/>
                <w:szCs w:val="20"/>
                <w:color w:val="auto"/>
              </w:rPr>
            </w:pPr>
            <w:r>
              <w:rPr>
                <w:rFonts w:ascii="Arial" w:cs="Arial" w:eastAsia="Arial" w:hAnsi="Arial"/>
                <w:sz w:val="10"/>
                <w:szCs w:val="10"/>
                <w:color w:val="auto"/>
              </w:rPr>
              <w:t>Weighted-average fair value per</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w w:val="95"/>
              </w:rPr>
              <w:t>21.24</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60" w:type="dxa"/>
            <w:vAlign w:val="bottom"/>
          </w:tcPr>
          <w:p>
            <w:pPr>
              <w:ind w:left="280"/>
              <w:spacing w:after="0" w:line="104" w:lineRule="exact"/>
              <w:rPr>
                <w:sz w:val="20"/>
                <w:szCs w:val="20"/>
                <w:color w:val="auto"/>
              </w:rPr>
            </w:pPr>
            <w:r>
              <w:rPr>
                <w:rFonts w:ascii="Arial" w:cs="Arial" w:eastAsia="Arial" w:hAnsi="Arial"/>
                <w:sz w:val="10"/>
                <w:szCs w:val="10"/>
                <w:color w:val="auto"/>
              </w:rPr>
              <w:t>option granted</w:t>
            </w:r>
          </w:p>
        </w:tc>
        <w:tc>
          <w:tcPr>
            <w:tcW w:w="80" w:type="dxa"/>
            <w:vAlign w:val="bottom"/>
            <w:vMerge w:val="continue"/>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170"/>
              <w:spacing w:after="0" w:line="104" w:lineRule="exact"/>
              <w:rPr>
                <w:sz w:val="20"/>
                <w:szCs w:val="20"/>
                <w:color w:val="auto"/>
              </w:rPr>
            </w:pPr>
            <w:r>
              <w:rPr>
                <w:rFonts w:ascii="Arial" w:cs="Arial" w:eastAsia="Arial" w:hAnsi="Arial"/>
                <w:sz w:val="10"/>
                <w:szCs w:val="10"/>
                <w:color w:val="auto"/>
                <w:w w:val="95"/>
              </w:rPr>
              <w:t>16.28</w:t>
            </w:r>
          </w:p>
        </w:tc>
        <w:tc>
          <w:tcPr>
            <w:tcW w:w="2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w w:val="95"/>
              </w:rPr>
              <w:t>15.36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line="108" w:lineRule="exact"/>
              <w:rPr>
                <w:sz w:val="20"/>
                <w:szCs w:val="20"/>
                <w:color w:val="auto"/>
              </w:rPr>
            </w:pPr>
            <w:r>
              <w:rPr>
                <w:rFonts w:ascii="Arial" w:cs="Arial" w:eastAsia="Arial" w:hAnsi="Arial"/>
                <w:sz w:val="10"/>
                <w:szCs w:val="10"/>
                <w:b w:val="1"/>
                <w:bCs w:val="1"/>
                <w:color w:val="auto"/>
              </w:rPr>
              <w:t>Restored Options</w:t>
            </w:r>
          </w:p>
        </w:tc>
        <w:tc>
          <w:tcPr>
            <w:tcW w:w="8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1.2</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60" w:type="dxa"/>
            <w:vAlign w:val="bottom"/>
          </w:tcPr>
          <w:p>
            <w:pPr>
              <w:ind w:left="140"/>
              <w:spacing w:after="0" w:line="104" w:lineRule="exact"/>
              <w:rPr>
                <w:sz w:val="20"/>
                <w:szCs w:val="20"/>
                <w:color w:val="auto"/>
              </w:rPr>
            </w:pPr>
            <w:r>
              <w:rPr>
                <w:rFonts w:ascii="Arial" w:cs="Arial" w:eastAsia="Arial" w:hAnsi="Arial"/>
                <w:sz w:val="10"/>
                <w:szCs w:val="10"/>
                <w:color w:val="auto"/>
              </w:rPr>
              <w:t>Expected term in years</w:t>
            </w:r>
            <w:r>
              <w:rPr>
                <w:rFonts w:ascii="Arial" w:cs="Arial" w:eastAsia="Arial" w:hAnsi="Arial"/>
                <w:sz w:val="8"/>
                <w:szCs w:val="8"/>
                <w:color w:val="auto"/>
              </w:rPr>
              <w:t>1</w:t>
            </w:r>
          </w:p>
        </w:tc>
        <w:tc>
          <w:tcPr>
            <w:tcW w:w="8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170"/>
              <w:spacing w:after="0" w:line="104" w:lineRule="exact"/>
              <w:rPr>
                <w:sz w:val="20"/>
                <w:szCs w:val="20"/>
                <w:color w:val="auto"/>
              </w:rPr>
            </w:pPr>
            <w:r>
              <w:rPr>
                <w:rFonts w:ascii="Arial" w:cs="Arial" w:eastAsia="Arial" w:hAnsi="Arial"/>
                <w:sz w:val="10"/>
                <w:szCs w:val="10"/>
                <w:color w:val="auto"/>
              </w:rPr>
              <w:t>1.2</w:t>
            </w:r>
          </w:p>
        </w:tc>
        <w:tc>
          <w:tcPr>
            <w:tcW w:w="20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60" w:type="dxa"/>
            <w:vAlign w:val="bottom"/>
          </w:tcPr>
          <w:p>
            <w:pPr>
              <w:ind w:left="140"/>
              <w:spacing w:after="0" w:line="108" w:lineRule="exact"/>
              <w:rPr>
                <w:sz w:val="20"/>
                <w:szCs w:val="20"/>
                <w:color w:val="auto"/>
              </w:rPr>
            </w:pPr>
            <w:r>
              <w:rPr>
                <w:rFonts w:ascii="Arial" w:cs="Arial" w:eastAsia="Arial" w:hAnsi="Arial"/>
                <w:sz w:val="10"/>
                <w:szCs w:val="10"/>
                <w:color w:val="auto"/>
              </w:rPr>
              <w:t>Volatility</w:t>
            </w:r>
            <w:r>
              <w:rPr>
                <w:rFonts w:ascii="Arial" w:cs="Arial" w:eastAsia="Arial" w:hAnsi="Arial"/>
                <w:sz w:val="8"/>
                <w:szCs w:val="8"/>
                <w:color w:val="auto"/>
              </w:rPr>
              <w:t>2</w:t>
            </w:r>
          </w:p>
        </w:tc>
        <w:tc>
          <w:tcPr>
            <w:tcW w:w="80" w:type="dxa"/>
            <w:vAlign w:val="bottom"/>
          </w:tcPr>
          <w:p>
            <w:pPr>
              <w:spacing w:after="0"/>
              <w:rPr>
                <w:sz w:val="9"/>
                <w:szCs w:val="9"/>
                <w:color w:val="auto"/>
              </w:rPr>
            </w:pPr>
          </w:p>
        </w:tc>
        <w:tc>
          <w:tcPr>
            <w:tcW w:w="480" w:type="dxa"/>
            <w:vAlign w:val="bottom"/>
            <w:tcBorders>
              <w:right w:val="single" w:sz="8" w:color="0077C0"/>
            </w:tcBorders>
          </w:tcPr>
          <w:p>
            <w:pPr>
              <w:jc w:val="right"/>
              <w:ind w:right="69"/>
              <w:spacing w:after="0" w:line="108" w:lineRule="exact"/>
              <w:rPr>
                <w:sz w:val="20"/>
                <w:szCs w:val="20"/>
                <w:color w:val="auto"/>
              </w:rPr>
            </w:pPr>
            <w:r>
              <w:rPr>
                <w:rFonts w:ascii="Arial" w:cs="Arial" w:eastAsia="Arial" w:hAnsi="Arial"/>
                <w:sz w:val="10"/>
                <w:szCs w:val="10"/>
                <w:b w:val="1"/>
                <w:bCs w:val="1"/>
                <w:color w:val="auto"/>
              </w:rPr>
              <w:t>20.6%</w:t>
            </w:r>
          </w:p>
        </w:tc>
        <w:tc>
          <w:tcPr>
            <w:tcW w:w="160" w:type="dxa"/>
            <w:vAlign w:val="bottom"/>
          </w:tcPr>
          <w:p>
            <w:pPr>
              <w:spacing w:after="0"/>
              <w:rPr>
                <w:sz w:val="9"/>
                <w:szCs w:val="9"/>
                <w:color w:val="auto"/>
              </w:rPr>
            </w:pPr>
          </w:p>
        </w:tc>
        <w:tc>
          <w:tcPr>
            <w:tcW w:w="480" w:type="dxa"/>
            <w:vAlign w:val="bottom"/>
          </w:tcPr>
          <w:p>
            <w:pPr>
              <w:jc w:val="right"/>
              <w:ind w:right="90"/>
              <w:spacing w:after="0" w:line="108" w:lineRule="exact"/>
              <w:rPr>
                <w:sz w:val="20"/>
                <w:szCs w:val="20"/>
                <w:color w:val="auto"/>
              </w:rPr>
            </w:pPr>
            <w:r>
              <w:rPr>
                <w:rFonts w:ascii="Arial" w:cs="Arial" w:eastAsia="Arial" w:hAnsi="Arial"/>
                <w:sz w:val="10"/>
                <w:szCs w:val="10"/>
                <w:color w:val="auto"/>
              </w:rPr>
              <w:t>38.9%</w:t>
            </w:r>
          </w:p>
        </w:tc>
        <w:tc>
          <w:tcPr>
            <w:tcW w:w="200" w:type="dxa"/>
            <w:vAlign w:val="bottom"/>
          </w:tcPr>
          <w:p>
            <w:pPr>
              <w:spacing w:after="0"/>
              <w:rPr>
                <w:sz w:val="9"/>
                <w:szCs w:val="9"/>
                <w:color w:val="auto"/>
              </w:rPr>
            </w:pPr>
          </w:p>
        </w:tc>
        <w:tc>
          <w:tcPr>
            <w:tcW w:w="3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45.0%</w:t>
            </w:r>
          </w:p>
        </w:tc>
        <w:tc>
          <w:tcPr>
            <w:tcW w:w="0" w:type="dxa"/>
            <w:vAlign w:val="bottom"/>
          </w:tcPr>
          <w:p>
            <w:pPr>
              <w:spacing w:after="0"/>
              <w:rPr>
                <w:sz w:val="1"/>
                <w:szCs w:val="1"/>
                <w:color w:val="auto"/>
              </w:rPr>
            </w:pPr>
          </w:p>
        </w:tc>
      </w:tr>
      <w:tr>
        <w:trPr>
          <w:trHeight w:val="106"/>
        </w:trPr>
        <w:tc>
          <w:tcPr>
            <w:tcW w:w="3760" w:type="dxa"/>
            <w:vAlign w:val="bottom"/>
          </w:tcPr>
          <w:p>
            <w:pPr>
              <w:ind w:left="140"/>
              <w:spacing w:after="0" w:line="106" w:lineRule="exact"/>
              <w:rPr>
                <w:sz w:val="20"/>
                <w:szCs w:val="20"/>
                <w:color w:val="auto"/>
              </w:rPr>
            </w:pPr>
            <w:r>
              <w:rPr>
                <w:rFonts w:ascii="Arial" w:cs="Arial" w:eastAsia="Arial" w:hAnsi="Arial"/>
                <w:sz w:val="10"/>
                <w:szCs w:val="10"/>
                <w:color w:val="auto"/>
              </w:rPr>
              <w:t>Risk-free interest rate based on</w:t>
            </w:r>
          </w:p>
        </w:tc>
        <w:tc>
          <w:tcPr>
            <w:tcW w:w="80" w:type="dxa"/>
            <w:vAlign w:val="bottom"/>
          </w:tcPr>
          <w:p>
            <w:pPr>
              <w:spacing w:after="0"/>
              <w:rPr>
                <w:sz w:val="9"/>
                <w:szCs w:val="9"/>
                <w:color w:val="auto"/>
              </w:rPr>
            </w:pPr>
          </w:p>
        </w:tc>
        <w:tc>
          <w:tcPr>
            <w:tcW w:w="480" w:type="dxa"/>
            <w:vAlign w:val="bottom"/>
            <w:tcBorders>
              <w:right w:val="single" w:sz="8" w:color="0077C0"/>
            </w:tcBorders>
            <w:vMerge w:val="restart"/>
          </w:tcPr>
          <w:p>
            <w:pPr>
              <w:jc w:val="right"/>
              <w:ind w:right="69"/>
              <w:spacing w:after="0"/>
              <w:rPr>
                <w:sz w:val="20"/>
                <w:szCs w:val="20"/>
                <w:color w:val="auto"/>
              </w:rPr>
            </w:pPr>
            <w:r>
              <w:rPr>
                <w:rFonts w:ascii="Arial" w:cs="Arial" w:eastAsia="Arial" w:hAnsi="Arial"/>
                <w:sz w:val="10"/>
                <w:szCs w:val="10"/>
                <w:b w:val="1"/>
                <w:bCs w:val="1"/>
                <w:color w:val="auto"/>
              </w:rPr>
              <w:t>0.7%</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760" w:type="dxa"/>
            <w:vAlign w:val="bottom"/>
          </w:tcPr>
          <w:p>
            <w:pPr>
              <w:ind w:left="280"/>
              <w:spacing w:after="0" w:line="104" w:lineRule="exact"/>
              <w:rPr>
                <w:sz w:val="20"/>
                <w:szCs w:val="20"/>
                <w:color w:val="auto"/>
              </w:rPr>
            </w:pPr>
            <w:r>
              <w:rPr>
                <w:rFonts w:ascii="Arial" w:cs="Arial" w:eastAsia="Arial" w:hAnsi="Arial"/>
                <w:sz w:val="10"/>
                <w:szCs w:val="10"/>
                <w:color w:val="auto"/>
              </w:rPr>
              <w:t>zero coupon U.S. treasury note</w:t>
            </w:r>
          </w:p>
        </w:tc>
        <w:tc>
          <w:tcPr>
            <w:tcW w:w="80" w:type="dxa"/>
            <w:vAlign w:val="bottom"/>
          </w:tcPr>
          <w:p>
            <w:pPr>
              <w:spacing w:after="0"/>
              <w:rPr>
                <w:sz w:val="9"/>
                <w:szCs w:val="9"/>
                <w:color w:val="auto"/>
              </w:rPr>
            </w:pPr>
          </w:p>
        </w:tc>
        <w:tc>
          <w:tcPr>
            <w:tcW w:w="480" w:type="dxa"/>
            <w:vAlign w:val="bottom"/>
            <w:tcBorders>
              <w:right w:val="single" w:sz="8" w:color="0077C0"/>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jc w:val="right"/>
              <w:ind w:right="90"/>
              <w:spacing w:after="0" w:line="104" w:lineRule="exact"/>
              <w:rPr>
                <w:sz w:val="20"/>
                <w:szCs w:val="20"/>
                <w:color w:val="auto"/>
              </w:rPr>
            </w:pPr>
            <w:r>
              <w:rPr>
                <w:rFonts w:ascii="Arial" w:cs="Arial" w:eastAsia="Arial" w:hAnsi="Arial"/>
                <w:sz w:val="10"/>
                <w:szCs w:val="10"/>
                <w:color w:val="auto"/>
              </w:rPr>
              <w:t>0.6%</w:t>
            </w:r>
          </w:p>
        </w:tc>
        <w:tc>
          <w:tcPr>
            <w:tcW w:w="200" w:type="dxa"/>
            <w:vAlign w:val="bottom"/>
          </w:tcPr>
          <w:p>
            <w:pPr>
              <w:spacing w:after="0"/>
              <w:rPr>
                <w:sz w:val="9"/>
                <w:szCs w:val="9"/>
                <w:color w:val="auto"/>
              </w:rPr>
            </w:pPr>
          </w:p>
        </w:tc>
        <w:tc>
          <w:tcPr>
            <w:tcW w:w="34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6"/>
        </w:trPr>
        <w:tc>
          <w:tcPr>
            <w:tcW w:w="3760" w:type="dxa"/>
            <w:vAlign w:val="bottom"/>
          </w:tcPr>
          <w:p>
            <w:pPr>
              <w:ind w:left="140"/>
              <w:spacing w:after="0" w:line="106" w:lineRule="exact"/>
              <w:rPr>
                <w:sz w:val="20"/>
                <w:szCs w:val="20"/>
                <w:color w:val="auto"/>
              </w:rPr>
            </w:pPr>
            <w:r>
              <w:rPr>
                <w:rFonts w:ascii="Arial" w:cs="Arial" w:eastAsia="Arial" w:hAnsi="Arial"/>
                <w:sz w:val="10"/>
                <w:szCs w:val="10"/>
                <w:color w:val="auto"/>
              </w:rPr>
              <w:t>Dividend yield</w:t>
            </w:r>
          </w:p>
        </w:tc>
        <w:tc>
          <w:tcPr>
            <w:tcW w:w="80" w:type="dxa"/>
            <w:vAlign w:val="bottom"/>
          </w:tcPr>
          <w:p>
            <w:pPr>
              <w:spacing w:after="0"/>
              <w:rPr>
                <w:sz w:val="9"/>
                <w:szCs w:val="9"/>
                <w:color w:val="auto"/>
              </w:rPr>
            </w:pPr>
          </w:p>
        </w:tc>
        <w:tc>
          <w:tcPr>
            <w:tcW w:w="480" w:type="dxa"/>
            <w:vAlign w:val="bottom"/>
            <w:tcBorders>
              <w:right w:val="single" w:sz="8" w:color="0077C0"/>
            </w:tcBorders>
          </w:tcPr>
          <w:p>
            <w:pPr>
              <w:jc w:val="right"/>
              <w:ind w:right="69"/>
              <w:spacing w:after="0" w:line="106" w:lineRule="exact"/>
              <w:rPr>
                <w:sz w:val="20"/>
                <w:szCs w:val="20"/>
                <w:color w:val="auto"/>
              </w:rPr>
            </w:pPr>
            <w:r>
              <w:rPr>
                <w:rFonts w:ascii="Arial" w:cs="Arial" w:eastAsia="Arial" w:hAnsi="Arial"/>
                <w:sz w:val="10"/>
                <w:szCs w:val="10"/>
                <w:b w:val="1"/>
                <w:bCs w:val="1"/>
                <w:color w:val="auto"/>
              </w:rPr>
              <w:t>3.4%</w:t>
            </w:r>
          </w:p>
        </w:tc>
        <w:tc>
          <w:tcPr>
            <w:tcW w:w="160" w:type="dxa"/>
            <w:vAlign w:val="bottom"/>
          </w:tcPr>
          <w:p>
            <w:pPr>
              <w:spacing w:after="0"/>
              <w:rPr>
                <w:sz w:val="9"/>
                <w:szCs w:val="9"/>
                <w:color w:val="auto"/>
              </w:rPr>
            </w:pPr>
          </w:p>
        </w:tc>
        <w:tc>
          <w:tcPr>
            <w:tcW w:w="480" w:type="dxa"/>
            <w:vAlign w:val="bottom"/>
          </w:tcPr>
          <w:p>
            <w:pPr>
              <w:jc w:val="right"/>
              <w:ind w:right="90"/>
              <w:spacing w:after="0" w:line="106" w:lineRule="exact"/>
              <w:rPr>
                <w:sz w:val="20"/>
                <w:szCs w:val="20"/>
                <w:color w:val="auto"/>
              </w:rPr>
            </w:pPr>
            <w:r>
              <w:rPr>
                <w:rFonts w:ascii="Arial" w:cs="Arial" w:eastAsia="Arial" w:hAnsi="Arial"/>
                <w:sz w:val="10"/>
                <w:szCs w:val="10"/>
                <w:color w:val="auto"/>
              </w:rPr>
              <w:t>3.8%</w:t>
            </w:r>
          </w:p>
        </w:tc>
        <w:tc>
          <w:tcPr>
            <w:tcW w:w="200" w:type="dxa"/>
            <w:vAlign w:val="bottom"/>
          </w:tcPr>
          <w:p>
            <w:pPr>
              <w:spacing w:after="0"/>
              <w:rPr>
                <w:sz w:val="9"/>
                <w:szCs w:val="9"/>
                <w:color w:val="auto"/>
              </w:rPr>
            </w:pPr>
          </w:p>
        </w:tc>
        <w:tc>
          <w:tcPr>
            <w:tcW w:w="3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29"/>
        </w:trPr>
        <w:tc>
          <w:tcPr>
            <w:tcW w:w="376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rPr>
              <w:t>Weighted-average fair value per option granted</w:t>
            </w:r>
          </w:p>
        </w:tc>
        <w:tc>
          <w:tcPr>
            <w:tcW w:w="8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7.55</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w w:val="95"/>
              </w:rPr>
              <w:t>12.91</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12.38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23" w:hanging="223"/>
        <w:spacing w:after="0"/>
        <w:tabs>
          <w:tab w:leader="none" w:pos="223" w:val="left"/>
        </w:tabs>
        <w:numPr>
          <w:ilvl w:val="0"/>
          <w:numId w:val="42"/>
        </w:numPr>
        <w:rPr>
          <w:rFonts w:ascii="Arial" w:cs="Arial" w:eastAsia="Arial" w:hAnsi="Arial"/>
          <w:sz w:val="8"/>
          <w:szCs w:val="8"/>
          <w:color w:val="auto"/>
        </w:rPr>
      </w:pPr>
      <w:r>
        <w:rPr>
          <w:rFonts w:ascii="Arial" w:cs="Arial" w:eastAsia="Arial" w:hAnsi="Arial"/>
          <w:sz w:val="9"/>
          <w:szCs w:val="9"/>
          <w:color w:val="auto"/>
        </w:rPr>
        <w:t>Expected term is based on historical exercise and postvesting cancellation data.</w:t>
      </w:r>
    </w:p>
    <w:p>
      <w:pPr>
        <w:spacing w:after="0" w:line="10" w:lineRule="exact"/>
        <w:rPr>
          <w:sz w:val="20"/>
          <w:szCs w:val="20"/>
          <w:color w:val="auto"/>
        </w:rPr>
      </w:pPr>
    </w:p>
    <w:p>
      <w:pPr>
        <w:ind w:left="223" w:hanging="223"/>
        <w:spacing w:after="0"/>
        <w:tabs>
          <w:tab w:leader="none" w:pos="223" w:val="left"/>
        </w:tabs>
        <w:numPr>
          <w:ilvl w:val="0"/>
          <w:numId w:val="43"/>
        </w:numPr>
        <w:rPr>
          <w:rFonts w:ascii="Arial" w:cs="Arial" w:eastAsia="Arial" w:hAnsi="Arial"/>
          <w:sz w:val="8"/>
          <w:szCs w:val="8"/>
          <w:color w:val="auto"/>
        </w:rPr>
      </w:pPr>
      <w:r>
        <w:rPr>
          <w:rFonts w:ascii="Arial" w:cs="Arial" w:eastAsia="Arial" w:hAnsi="Arial"/>
          <w:sz w:val="9"/>
          <w:szCs w:val="9"/>
          <w:color w:val="auto"/>
        </w:rPr>
        <w:t>Volatility rate is based on historical stock prices over an appropriate period, generally equal to the expected term.</w:t>
      </w:r>
    </w:p>
    <w:p>
      <w:pPr>
        <w:spacing w:after="0" w:line="64" w:lineRule="exact"/>
        <w:rPr>
          <w:sz w:val="20"/>
          <w:szCs w:val="20"/>
          <w:color w:val="auto"/>
        </w:rPr>
      </w:pPr>
    </w:p>
    <w:p>
      <w:pPr>
        <w:ind w:left="163"/>
        <w:spacing w:after="0"/>
        <w:rPr>
          <w:sz w:val="20"/>
          <w:szCs w:val="20"/>
          <w:color w:val="auto"/>
        </w:rPr>
      </w:pPr>
      <w:r>
        <w:rPr>
          <w:rFonts w:ascii="Arial" w:cs="Arial" w:eastAsia="Arial" w:hAnsi="Arial"/>
          <w:sz w:val="13"/>
          <w:szCs w:val="13"/>
          <w:color w:val="auto"/>
        </w:rPr>
        <w:t>A summary of option activity during 2011 is presented below:</w:t>
      </w:r>
    </w:p>
    <w:p>
      <w:pPr>
        <w:spacing w:after="0" w:line="100" w:lineRule="exact"/>
        <w:rPr>
          <w:sz w:val="20"/>
          <w:szCs w:val="20"/>
          <w:color w:val="auto"/>
        </w:rPr>
      </w:pPr>
    </w:p>
    <w:tbl>
      <w:tblPr>
        <w:tblLayout w:type="fixed"/>
        <w:tblInd w:w="3" w:type="dxa"/>
        <w:tblCellMar>
          <w:top w:w="0" w:type="dxa"/>
          <w:left w:w="0" w:type="dxa"/>
          <w:bottom w:w="0" w:type="dxa"/>
          <w:right w:w="0" w:type="dxa"/>
        </w:tblCellMar>
      </w:tblPr>
      <w:tr>
        <w:trPr>
          <w:trHeight w:val="103"/>
        </w:trPr>
        <w:tc>
          <w:tcPr>
            <w:tcW w:w="1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jc w:val="right"/>
              <w:ind w:right="113"/>
              <w:spacing w:after="0"/>
              <w:rPr>
                <w:sz w:val="20"/>
                <w:szCs w:val="20"/>
                <w:color w:val="auto"/>
              </w:rPr>
            </w:pPr>
            <w:r>
              <w:rPr>
                <w:rFonts w:ascii="Arial" w:cs="Arial" w:eastAsia="Arial" w:hAnsi="Arial"/>
                <w:sz w:val="9"/>
                <w:szCs w:val="9"/>
                <w:color w:val="auto"/>
              </w:rPr>
              <w:t>Weighted-</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96"/>
        </w:trPr>
        <w:tc>
          <w:tcPr>
            <w:tcW w:w="1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60" w:type="dxa"/>
            <w:vAlign w:val="bottom"/>
            <w:gridSpan w:val="2"/>
          </w:tcPr>
          <w:p>
            <w:pPr>
              <w:ind w:left="140"/>
              <w:spacing w:after="0" w:line="96" w:lineRule="exact"/>
              <w:rPr>
                <w:sz w:val="20"/>
                <w:szCs w:val="20"/>
                <w:color w:val="auto"/>
              </w:rPr>
            </w:pPr>
            <w:r>
              <w:rPr>
                <w:rFonts w:ascii="Arial" w:cs="Arial" w:eastAsia="Arial" w:hAnsi="Arial"/>
                <w:sz w:val="9"/>
                <w:szCs w:val="9"/>
                <w:color w:val="auto"/>
              </w:rPr>
              <w:t>Weighted-</w:t>
            </w:r>
          </w:p>
        </w:tc>
        <w:tc>
          <w:tcPr>
            <w:tcW w:w="720" w:type="dxa"/>
            <w:vAlign w:val="bottom"/>
          </w:tcPr>
          <w:p>
            <w:pPr>
              <w:jc w:val="right"/>
              <w:ind w:right="113"/>
              <w:spacing w:after="0" w:line="96" w:lineRule="exact"/>
              <w:rPr>
                <w:sz w:val="20"/>
                <w:szCs w:val="20"/>
                <w:color w:val="auto"/>
              </w:rPr>
            </w:pPr>
            <w:r>
              <w:rPr>
                <w:rFonts w:ascii="Arial" w:cs="Arial" w:eastAsia="Arial" w:hAnsi="Arial"/>
                <w:sz w:val="9"/>
                <w:szCs w:val="9"/>
                <w:color w:val="auto"/>
              </w:rPr>
              <w:t>Average</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96"/>
        </w:trPr>
        <w:tc>
          <w:tcPr>
            <w:tcW w:w="1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ind w:right="111"/>
              <w:spacing w:after="0" w:line="96" w:lineRule="exact"/>
              <w:rPr>
                <w:sz w:val="20"/>
                <w:szCs w:val="20"/>
                <w:color w:val="auto"/>
              </w:rPr>
            </w:pPr>
            <w:r>
              <w:rPr>
                <w:rFonts w:ascii="Arial" w:cs="Arial" w:eastAsia="Arial" w:hAnsi="Arial"/>
                <w:sz w:val="9"/>
                <w:szCs w:val="9"/>
                <w:color w:val="auto"/>
                <w:w w:val="83"/>
              </w:rPr>
              <w:t>Average</w:t>
            </w:r>
          </w:p>
        </w:tc>
        <w:tc>
          <w:tcPr>
            <w:tcW w:w="720" w:type="dxa"/>
            <w:vAlign w:val="bottom"/>
          </w:tcPr>
          <w:p>
            <w:pPr>
              <w:jc w:val="right"/>
              <w:ind w:right="113"/>
              <w:spacing w:after="0" w:line="96" w:lineRule="exact"/>
              <w:rPr>
                <w:sz w:val="20"/>
                <w:szCs w:val="20"/>
                <w:color w:val="auto"/>
              </w:rPr>
            </w:pPr>
            <w:r>
              <w:rPr>
                <w:rFonts w:ascii="Arial" w:cs="Arial" w:eastAsia="Arial" w:hAnsi="Arial"/>
                <w:sz w:val="9"/>
                <w:szCs w:val="9"/>
                <w:color w:val="auto"/>
              </w:rPr>
              <w:t>Remaining</w:t>
            </w:r>
          </w:p>
        </w:tc>
        <w:tc>
          <w:tcPr>
            <w:tcW w:w="520" w:type="dxa"/>
            <w:vAlign w:val="bottom"/>
            <w:gridSpan w:val="2"/>
          </w:tcPr>
          <w:p>
            <w:pPr>
              <w:jc w:val="right"/>
              <w:spacing w:after="0" w:line="96" w:lineRule="exact"/>
              <w:rPr>
                <w:sz w:val="20"/>
                <w:szCs w:val="20"/>
                <w:color w:val="auto"/>
              </w:rPr>
            </w:pPr>
            <w:r>
              <w:rPr>
                <w:rFonts w:ascii="Arial" w:cs="Arial" w:eastAsia="Arial" w:hAnsi="Arial"/>
                <w:sz w:val="9"/>
                <w:szCs w:val="9"/>
                <w:color w:val="auto"/>
              </w:rPr>
              <w:t>Aggregate</w:t>
            </w:r>
          </w:p>
        </w:tc>
      </w:tr>
      <w:tr>
        <w:trPr>
          <w:trHeight w:val="96"/>
        </w:trPr>
        <w:tc>
          <w:tcPr>
            <w:tcW w:w="1920" w:type="dxa"/>
            <w:vAlign w:val="bottom"/>
          </w:tcPr>
          <w:p>
            <w:pPr>
              <w:spacing w:after="0"/>
              <w:rPr>
                <w:sz w:val="8"/>
                <w:szCs w:val="8"/>
                <w:color w:val="auto"/>
              </w:rPr>
            </w:pPr>
          </w:p>
        </w:tc>
        <w:tc>
          <w:tcPr>
            <w:tcW w:w="1640" w:type="dxa"/>
            <w:vAlign w:val="bottom"/>
          </w:tcPr>
          <w:p>
            <w:pPr>
              <w:jc w:val="right"/>
              <w:ind w:right="130"/>
              <w:spacing w:after="0" w:line="96" w:lineRule="exact"/>
              <w:rPr>
                <w:sz w:val="20"/>
                <w:szCs w:val="20"/>
                <w:color w:val="auto"/>
              </w:rPr>
            </w:pPr>
            <w:r>
              <w:rPr>
                <w:rFonts w:ascii="Arial" w:cs="Arial" w:eastAsia="Arial" w:hAnsi="Arial"/>
                <w:sz w:val="9"/>
                <w:szCs w:val="9"/>
                <w:color w:val="auto"/>
              </w:rPr>
              <w:t>Shares</w:t>
            </w:r>
          </w:p>
        </w:tc>
        <w:tc>
          <w:tcPr>
            <w:tcW w:w="200" w:type="dxa"/>
            <w:vAlign w:val="bottom"/>
          </w:tcPr>
          <w:p>
            <w:pPr>
              <w:spacing w:after="0"/>
              <w:rPr>
                <w:sz w:val="8"/>
                <w:szCs w:val="8"/>
                <w:color w:val="auto"/>
              </w:rPr>
            </w:pPr>
          </w:p>
        </w:tc>
        <w:tc>
          <w:tcPr>
            <w:tcW w:w="460" w:type="dxa"/>
            <w:vAlign w:val="bottom"/>
          </w:tcPr>
          <w:p>
            <w:pPr>
              <w:jc w:val="right"/>
              <w:ind w:right="111"/>
              <w:spacing w:after="0" w:line="96" w:lineRule="exact"/>
              <w:rPr>
                <w:sz w:val="20"/>
                <w:szCs w:val="20"/>
                <w:color w:val="auto"/>
              </w:rPr>
            </w:pPr>
            <w:r>
              <w:rPr>
                <w:rFonts w:ascii="Arial" w:cs="Arial" w:eastAsia="Arial" w:hAnsi="Arial"/>
                <w:sz w:val="9"/>
                <w:szCs w:val="9"/>
                <w:color w:val="auto"/>
                <w:w w:val="81"/>
              </w:rPr>
              <w:t>Exercise</w:t>
            </w:r>
          </w:p>
        </w:tc>
        <w:tc>
          <w:tcPr>
            <w:tcW w:w="720" w:type="dxa"/>
            <w:vAlign w:val="bottom"/>
          </w:tcPr>
          <w:p>
            <w:pPr>
              <w:jc w:val="right"/>
              <w:ind w:right="113"/>
              <w:spacing w:after="0" w:line="96" w:lineRule="exact"/>
              <w:rPr>
                <w:sz w:val="20"/>
                <w:szCs w:val="20"/>
                <w:color w:val="auto"/>
              </w:rPr>
            </w:pPr>
            <w:r>
              <w:rPr>
                <w:rFonts w:ascii="Arial" w:cs="Arial" w:eastAsia="Arial" w:hAnsi="Arial"/>
                <w:sz w:val="9"/>
                <w:szCs w:val="9"/>
                <w:color w:val="auto"/>
              </w:rPr>
              <w:t>Contractual</w:t>
            </w:r>
          </w:p>
        </w:tc>
        <w:tc>
          <w:tcPr>
            <w:tcW w:w="20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w w:val="96"/>
              </w:rPr>
              <w:t>Intrinsic</w:t>
            </w:r>
          </w:p>
        </w:tc>
      </w:tr>
      <w:tr>
        <w:trPr>
          <w:trHeight w:val="107"/>
        </w:trPr>
        <w:tc>
          <w:tcPr>
            <w:tcW w:w="1920" w:type="dxa"/>
            <w:vAlign w:val="bottom"/>
            <w:tcBorders>
              <w:bottom w:val="single" w:sz="8" w:color="0077C0"/>
            </w:tcBorders>
          </w:tcPr>
          <w:p>
            <w:pPr>
              <w:spacing w:after="0"/>
              <w:rPr>
                <w:sz w:val="9"/>
                <w:szCs w:val="9"/>
                <w:color w:val="auto"/>
              </w:rPr>
            </w:pPr>
          </w:p>
        </w:tc>
        <w:tc>
          <w:tcPr>
            <w:tcW w:w="164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color w:val="auto"/>
              </w:rPr>
              <w:t>(Thousands)</w:t>
            </w:r>
          </w:p>
        </w:tc>
        <w:tc>
          <w:tcPr>
            <w:tcW w:w="20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111"/>
              <w:spacing w:after="0"/>
              <w:rPr>
                <w:sz w:val="20"/>
                <w:szCs w:val="20"/>
                <w:color w:val="auto"/>
              </w:rPr>
            </w:pPr>
            <w:r>
              <w:rPr>
                <w:rFonts w:ascii="Arial" w:cs="Arial" w:eastAsia="Arial" w:hAnsi="Arial"/>
                <w:sz w:val="9"/>
                <w:szCs w:val="9"/>
                <w:color w:val="auto"/>
              </w:rPr>
              <w:t>Price</w:t>
            </w:r>
          </w:p>
        </w:tc>
        <w:tc>
          <w:tcPr>
            <w:tcW w:w="720" w:type="dxa"/>
            <w:vAlign w:val="bottom"/>
            <w:tcBorders>
              <w:bottom w:val="single" w:sz="8" w:color="0077C0"/>
            </w:tcBorders>
          </w:tcPr>
          <w:p>
            <w:pPr>
              <w:jc w:val="right"/>
              <w:ind w:right="113"/>
              <w:spacing w:after="0"/>
              <w:rPr>
                <w:sz w:val="20"/>
                <w:szCs w:val="20"/>
                <w:color w:val="auto"/>
              </w:rPr>
            </w:pPr>
            <w:r>
              <w:rPr>
                <w:rFonts w:ascii="Arial" w:cs="Arial" w:eastAsia="Arial" w:hAnsi="Arial"/>
                <w:sz w:val="9"/>
                <w:szCs w:val="9"/>
                <w:color w:val="auto"/>
              </w:rPr>
              <w:t>Term</w:t>
            </w:r>
          </w:p>
        </w:tc>
        <w:tc>
          <w:tcPr>
            <w:tcW w:w="200" w:type="dxa"/>
            <w:vAlign w:val="bottom"/>
            <w:tcBorders>
              <w:bottom w:val="single" w:sz="8" w:color="0077C0"/>
            </w:tcBorders>
          </w:tcPr>
          <w:p>
            <w:pPr>
              <w:spacing w:after="0"/>
              <w:rPr>
                <w:sz w:val="9"/>
                <w:szCs w:val="9"/>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Value</w:t>
            </w:r>
          </w:p>
        </w:tc>
      </w:tr>
      <w:tr>
        <w:trPr>
          <w:trHeight w:val="90"/>
        </w:trPr>
        <w:tc>
          <w:tcPr>
            <w:tcW w:w="1920" w:type="dxa"/>
            <w:vAlign w:val="bottom"/>
          </w:tcPr>
          <w:p>
            <w:pPr>
              <w:spacing w:after="0" w:line="91" w:lineRule="exact"/>
              <w:rPr>
                <w:sz w:val="20"/>
                <w:szCs w:val="20"/>
                <w:color w:val="auto"/>
              </w:rPr>
            </w:pPr>
            <w:r>
              <w:rPr>
                <w:rFonts w:ascii="Arial" w:cs="Arial" w:eastAsia="Arial" w:hAnsi="Arial"/>
                <w:sz w:val="10"/>
                <w:szCs w:val="10"/>
                <w:b w:val="1"/>
                <w:bCs w:val="1"/>
                <w:color w:val="auto"/>
              </w:rPr>
              <w:t>Outstanding at</w:t>
            </w:r>
          </w:p>
        </w:tc>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08"/>
        </w:trPr>
        <w:tc>
          <w:tcPr>
            <w:tcW w:w="1920" w:type="dxa"/>
            <w:vAlign w:val="bottom"/>
          </w:tcPr>
          <w:p>
            <w:pPr>
              <w:ind w:left="80"/>
              <w:spacing w:after="0" w:line="108" w:lineRule="exact"/>
              <w:rPr>
                <w:sz w:val="20"/>
                <w:szCs w:val="20"/>
                <w:color w:val="auto"/>
              </w:rPr>
            </w:pPr>
            <w:r>
              <w:rPr>
                <w:rFonts w:ascii="Arial" w:cs="Arial" w:eastAsia="Arial" w:hAnsi="Arial"/>
                <w:sz w:val="10"/>
                <w:szCs w:val="10"/>
                <w:b w:val="1"/>
                <w:bCs w:val="1"/>
                <w:color w:val="auto"/>
              </w:rPr>
              <w:t>January 1, 2011</w:t>
            </w:r>
          </w:p>
        </w:tc>
        <w:tc>
          <w:tcPr>
            <w:tcW w:w="1640" w:type="dxa"/>
            <w:vAlign w:val="bottom"/>
          </w:tcPr>
          <w:p>
            <w:pPr>
              <w:jc w:val="right"/>
              <w:ind w:right="130"/>
              <w:spacing w:after="0" w:line="108" w:lineRule="exact"/>
              <w:rPr>
                <w:sz w:val="20"/>
                <w:szCs w:val="20"/>
                <w:color w:val="auto"/>
              </w:rPr>
            </w:pPr>
            <w:r>
              <w:rPr>
                <w:rFonts w:ascii="Arial" w:cs="Arial" w:eastAsia="Arial" w:hAnsi="Arial"/>
                <w:sz w:val="10"/>
                <w:szCs w:val="10"/>
                <w:color w:val="auto"/>
              </w:rPr>
              <w:t>74,852</w:t>
            </w:r>
          </w:p>
        </w:tc>
        <w:tc>
          <w:tcPr>
            <w:tcW w:w="200" w:type="dxa"/>
            <w:vAlign w:val="bottom"/>
          </w:tcPr>
          <w:p>
            <w:pPr>
              <w:ind w:left="140"/>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111"/>
              <w:spacing w:after="0" w:line="108" w:lineRule="exact"/>
              <w:rPr>
                <w:sz w:val="20"/>
                <w:szCs w:val="20"/>
                <w:color w:val="auto"/>
              </w:rPr>
            </w:pPr>
            <w:r>
              <w:rPr>
                <w:rFonts w:ascii="Arial" w:cs="Arial" w:eastAsia="Arial" w:hAnsi="Arial"/>
                <w:sz w:val="10"/>
                <w:szCs w:val="10"/>
                <w:color w:val="auto"/>
              </w:rPr>
              <w:t>67.04</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06"/>
        </w:trPr>
        <w:tc>
          <w:tcPr>
            <w:tcW w:w="1920" w:type="dxa"/>
            <w:vAlign w:val="bottom"/>
          </w:tcPr>
          <w:p>
            <w:pPr>
              <w:ind w:left="140"/>
              <w:spacing w:after="0" w:line="106" w:lineRule="exact"/>
              <w:rPr>
                <w:sz w:val="20"/>
                <w:szCs w:val="20"/>
                <w:color w:val="auto"/>
              </w:rPr>
            </w:pPr>
            <w:r>
              <w:rPr>
                <w:rFonts w:ascii="Arial" w:cs="Arial" w:eastAsia="Arial" w:hAnsi="Arial"/>
                <w:sz w:val="10"/>
                <w:szCs w:val="10"/>
                <w:color w:val="auto"/>
              </w:rPr>
              <w:t>Granted</w:t>
            </w:r>
          </w:p>
        </w:tc>
        <w:tc>
          <w:tcPr>
            <w:tcW w:w="16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14,260</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94.46</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06"/>
        </w:trPr>
        <w:tc>
          <w:tcPr>
            <w:tcW w:w="1920" w:type="dxa"/>
            <w:vAlign w:val="bottom"/>
          </w:tcPr>
          <w:p>
            <w:pPr>
              <w:ind w:left="140"/>
              <w:spacing w:after="0" w:line="106" w:lineRule="exact"/>
              <w:rPr>
                <w:sz w:val="20"/>
                <w:szCs w:val="20"/>
                <w:color w:val="auto"/>
              </w:rPr>
            </w:pPr>
            <w:r>
              <w:rPr>
                <w:rFonts w:ascii="Arial" w:cs="Arial" w:eastAsia="Arial" w:hAnsi="Arial"/>
                <w:sz w:val="10"/>
                <w:szCs w:val="10"/>
                <w:color w:val="auto"/>
              </w:rPr>
              <w:t>Exercised</w:t>
            </w:r>
          </w:p>
        </w:tc>
        <w:tc>
          <w:tcPr>
            <w:tcW w:w="1640" w:type="dxa"/>
            <w:vAlign w:val="bottom"/>
          </w:tcPr>
          <w:p>
            <w:pPr>
              <w:jc w:val="right"/>
              <w:ind w:right="90"/>
              <w:spacing w:after="0" w:line="106" w:lineRule="exact"/>
              <w:rPr>
                <w:sz w:val="20"/>
                <w:szCs w:val="20"/>
                <w:color w:val="auto"/>
              </w:rPr>
            </w:pPr>
            <w:r>
              <w:rPr>
                <w:rFonts w:ascii="Arial" w:cs="Arial" w:eastAsia="Arial" w:hAnsi="Arial"/>
                <w:sz w:val="10"/>
                <w:szCs w:val="10"/>
                <w:color w:val="auto"/>
              </w:rPr>
              <w:t>(15,844)</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60.20</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06"/>
        </w:trPr>
        <w:tc>
          <w:tcPr>
            <w:tcW w:w="1920" w:type="dxa"/>
            <w:vAlign w:val="bottom"/>
          </w:tcPr>
          <w:p>
            <w:pPr>
              <w:ind w:left="140"/>
              <w:spacing w:after="0" w:line="106" w:lineRule="exact"/>
              <w:rPr>
                <w:sz w:val="20"/>
                <w:szCs w:val="20"/>
                <w:color w:val="auto"/>
              </w:rPr>
            </w:pPr>
            <w:r>
              <w:rPr>
                <w:rFonts w:ascii="Arial" w:cs="Arial" w:eastAsia="Arial" w:hAnsi="Arial"/>
                <w:sz w:val="10"/>
                <w:szCs w:val="10"/>
                <w:color w:val="auto"/>
              </w:rPr>
              <w:t>Restored</w:t>
            </w:r>
          </w:p>
        </w:tc>
        <w:tc>
          <w:tcPr>
            <w:tcW w:w="1640" w:type="dxa"/>
            <w:vAlign w:val="bottom"/>
          </w:tcPr>
          <w:p>
            <w:pPr>
              <w:jc w:val="right"/>
              <w:ind w:right="130"/>
              <w:spacing w:after="0" w:line="106" w:lineRule="exact"/>
              <w:rPr>
                <w:sz w:val="20"/>
                <w:szCs w:val="20"/>
                <w:color w:val="auto"/>
              </w:rPr>
            </w:pPr>
            <w:r>
              <w:rPr>
                <w:rFonts w:ascii="Arial" w:cs="Arial" w:eastAsia="Arial" w:hAnsi="Arial"/>
                <w:sz w:val="10"/>
                <w:szCs w:val="10"/>
                <w:color w:val="auto"/>
              </w:rPr>
              <w:t>33</w:t>
            </w:r>
          </w:p>
        </w:tc>
        <w:tc>
          <w:tcPr>
            <w:tcW w:w="200" w:type="dxa"/>
            <w:vAlign w:val="bottom"/>
          </w:tcPr>
          <w:p>
            <w:pPr>
              <w:ind w:left="140"/>
              <w:spacing w:after="0" w:line="106"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111"/>
              <w:spacing w:after="0" w:line="106" w:lineRule="exact"/>
              <w:rPr>
                <w:sz w:val="20"/>
                <w:szCs w:val="20"/>
                <w:color w:val="auto"/>
              </w:rPr>
            </w:pPr>
            <w:r>
              <w:rPr>
                <w:rFonts w:ascii="Arial" w:cs="Arial" w:eastAsia="Arial" w:hAnsi="Arial"/>
                <w:sz w:val="10"/>
                <w:szCs w:val="10"/>
                <w:color w:val="auto"/>
                <w:w w:val="91"/>
              </w:rPr>
              <w:t>103.96</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04"/>
        </w:trPr>
        <w:tc>
          <w:tcPr>
            <w:tcW w:w="1920" w:type="dxa"/>
            <w:vAlign w:val="bottom"/>
          </w:tcPr>
          <w:p>
            <w:pPr>
              <w:ind w:left="140"/>
              <w:spacing w:after="0" w:line="104" w:lineRule="exact"/>
              <w:rPr>
                <w:sz w:val="20"/>
                <w:szCs w:val="20"/>
                <w:color w:val="auto"/>
              </w:rPr>
            </w:pPr>
            <w:r>
              <w:rPr>
                <w:rFonts w:ascii="Arial" w:cs="Arial" w:eastAsia="Arial" w:hAnsi="Arial"/>
                <w:sz w:val="10"/>
                <w:szCs w:val="10"/>
                <w:color w:val="auto"/>
              </w:rPr>
              <w:t>Forfeited</w:t>
            </w:r>
          </w:p>
        </w:tc>
        <w:tc>
          <w:tcPr>
            <w:tcW w:w="1640" w:type="dxa"/>
            <w:vAlign w:val="bottom"/>
          </w:tcPr>
          <w:p>
            <w:pPr>
              <w:jc w:val="right"/>
              <w:ind w:right="90"/>
              <w:spacing w:after="0" w:line="104" w:lineRule="exact"/>
              <w:rPr>
                <w:sz w:val="20"/>
                <w:szCs w:val="20"/>
                <w:color w:val="auto"/>
              </w:rPr>
            </w:pPr>
            <w:r>
              <w:rPr>
                <w:rFonts w:ascii="Arial" w:cs="Arial" w:eastAsia="Arial" w:hAnsi="Arial"/>
                <w:sz w:val="10"/>
                <w:szCs w:val="10"/>
                <w:color w:val="auto"/>
              </w:rPr>
              <w:t>(953)</w:t>
            </w:r>
          </w:p>
        </w:tc>
        <w:tc>
          <w:tcPr>
            <w:tcW w:w="200" w:type="dxa"/>
            <w:vAlign w:val="bottom"/>
          </w:tcPr>
          <w:p>
            <w:pPr>
              <w:ind w:left="140"/>
              <w:spacing w:after="0" w:line="104"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85.79</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06"/>
        </w:trPr>
        <w:tc>
          <w:tcPr>
            <w:tcW w:w="1920" w:type="dxa"/>
            <w:vAlign w:val="bottom"/>
          </w:tcPr>
          <w:p>
            <w:pPr>
              <w:spacing w:after="0" w:line="106" w:lineRule="exact"/>
              <w:rPr>
                <w:sz w:val="20"/>
                <w:szCs w:val="20"/>
                <w:color w:val="auto"/>
              </w:rPr>
            </w:pPr>
            <w:r>
              <w:rPr>
                <w:rFonts w:ascii="Arial" w:cs="Arial" w:eastAsia="Arial" w:hAnsi="Arial"/>
                <w:sz w:val="10"/>
                <w:szCs w:val="10"/>
                <w:b w:val="1"/>
                <w:bCs w:val="1"/>
                <w:color w:val="auto"/>
              </w:rPr>
              <w:t>Outstanding at</w:t>
            </w: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29"/>
        </w:trPr>
        <w:tc>
          <w:tcPr>
            <w:tcW w:w="192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December 31, 2011</w:t>
            </w:r>
          </w:p>
        </w:tc>
        <w:tc>
          <w:tcPr>
            <w:tcW w:w="1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72,348</w:t>
            </w:r>
          </w:p>
        </w:tc>
        <w:tc>
          <w:tcPr>
            <w:tcW w:w="2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73.71</w:t>
            </w:r>
          </w:p>
        </w:tc>
        <w:tc>
          <w:tcPr>
            <w:tcW w:w="720" w:type="dxa"/>
            <w:vAlign w:val="bottom"/>
            <w:tcBorders>
              <w:bottom w:val="single" w:sz="8" w:color="0077C0"/>
            </w:tcBorders>
          </w:tcPr>
          <w:p>
            <w:pPr>
              <w:jc w:val="right"/>
              <w:ind w:right="153"/>
              <w:spacing w:after="0"/>
              <w:rPr>
                <w:sz w:val="20"/>
                <w:szCs w:val="20"/>
                <w:color w:val="auto"/>
              </w:rPr>
            </w:pPr>
            <w:r>
              <w:rPr>
                <w:rFonts w:ascii="Arial" w:cs="Arial" w:eastAsia="Arial" w:hAnsi="Arial"/>
                <w:sz w:val="10"/>
                <w:szCs w:val="10"/>
                <w:color w:val="auto"/>
              </w:rPr>
              <w:t>6.4 yrs</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2,365</w:t>
            </w:r>
          </w:p>
        </w:tc>
      </w:tr>
      <w:tr>
        <w:trPr>
          <w:trHeight w:val="101"/>
        </w:trPr>
        <w:tc>
          <w:tcPr>
            <w:tcW w:w="1920" w:type="dxa"/>
            <w:vAlign w:val="bottom"/>
          </w:tcPr>
          <w:p>
            <w:pPr>
              <w:spacing w:after="0" w:line="101" w:lineRule="exact"/>
              <w:rPr>
                <w:sz w:val="20"/>
                <w:szCs w:val="20"/>
                <w:color w:val="auto"/>
              </w:rPr>
            </w:pPr>
            <w:r>
              <w:rPr>
                <w:rFonts w:ascii="Arial" w:cs="Arial" w:eastAsia="Arial" w:hAnsi="Arial"/>
                <w:sz w:val="10"/>
                <w:szCs w:val="10"/>
                <w:b w:val="1"/>
                <w:bCs w:val="1"/>
                <w:color w:val="auto"/>
              </w:rPr>
              <w:t>Exercisable at</w:t>
            </w:r>
          </w:p>
        </w:tc>
        <w:tc>
          <w:tcPr>
            <w:tcW w:w="1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129"/>
        </w:trPr>
        <w:tc>
          <w:tcPr>
            <w:tcW w:w="1920" w:type="dxa"/>
            <w:vAlign w:val="bottom"/>
            <w:tcBorders>
              <w:bottom w:val="single" w:sz="8" w:color="0077C0"/>
            </w:tcBorders>
          </w:tcPr>
          <w:p>
            <w:pPr>
              <w:ind w:left="80"/>
              <w:spacing w:after="0"/>
              <w:rPr>
                <w:sz w:val="20"/>
                <w:szCs w:val="20"/>
                <w:color w:val="auto"/>
              </w:rPr>
            </w:pPr>
            <w:r>
              <w:rPr>
                <w:rFonts w:ascii="Arial" w:cs="Arial" w:eastAsia="Arial" w:hAnsi="Arial"/>
                <w:sz w:val="10"/>
                <w:szCs w:val="10"/>
                <w:b w:val="1"/>
                <w:bCs w:val="1"/>
                <w:color w:val="auto"/>
              </w:rPr>
              <w:t>December 31, 2011</w:t>
            </w:r>
          </w:p>
        </w:tc>
        <w:tc>
          <w:tcPr>
            <w:tcW w:w="1640" w:type="dxa"/>
            <w:vAlign w:val="bottom"/>
            <w:tcBorders>
              <w:bottom w:val="single" w:sz="8" w:color="0077C0"/>
            </w:tcBorders>
          </w:tcPr>
          <w:p>
            <w:pPr>
              <w:jc w:val="right"/>
              <w:ind w:right="130"/>
              <w:spacing w:after="0"/>
              <w:rPr>
                <w:sz w:val="20"/>
                <w:szCs w:val="20"/>
                <w:color w:val="auto"/>
              </w:rPr>
            </w:pPr>
            <w:r>
              <w:rPr>
                <w:rFonts w:ascii="Arial" w:cs="Arial" w:eastAsia="Arial" w:hAnsi="Arial"/>
                <w:sz w:val="10"/>
                <w:szCs w:val="10"/>
                <w:color w:val="auto"/>
              </w:rPr>
              <w:t>45,494</w:t>
            </w:r>
          </w:p>
        </w:tc>
        <w:tc>
          <w:tcPr>
            <w:tcW w:w="200" w:type="dxa"/>
            <w:vAlign w:val="bottom"/>
            <w:tcBorders>
              <w:bottom w:val="single" w:sz="8" w:color="0077C0"/>
            </w:tcBorders>
          </w:tcPr>
          <w:p>
            <w:pPr>
              <w:ind w:left="14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67.84</w:t>
            </w:r>
          </w:p>
        </w:tc>
        <w:tc>
          <w:tcPr>
            <w:tcW w:w="720" w:type="dxa"/>
            <w:vAlign w:val="bottom"/>
            <w:tcBorders>
              <w:bottom w:val="single" w:sz="8" w:color="0077C0"/>
            </w:tcBorders>
          </w:tcPr>
          <w:p>
            <w:pPr>
              <w:jc w:val="right"/>
              <w:ind w:right="153"/>
              <w:spacing w:after="0"/>
              <w:rPr>
                <w:sz w:val="20"/>
                <w:szCs w:val="20"/>
                <w:color w:val="auto"/>
              </w:rPr>
            </w:pPr>
            <w:r>
              <w:rPr>
                <w:rFonts w:ascii="Arial" w:cs="Arial" w:eastAsia="Arial" w:hAnsi="Arial"/>
                <w:sz w:val="10"/>
                <w:szCs w:val="10"/>
                <w:color w:val="auto"/>
              </w:rPr>
              <w:t>5.3 yrs</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1,755</w:t>
            </w:r>
          </w:p>
        </w:tc>
      </w:tr>
    </w:tbl>
    <w:p>
      <w:pPr>
        <w:spacing w:after="0" w:line="78" w:lineRule="exact"/>
        <w:rPr>
          <w:sz w:val="20"/>
          <w:szCs w:val="20"/>
          <w:color w:val="auto"/>
        </w:rPr>
      </w:pPr>
    </w:p>
    <w:p>
      <w:pPr>
        <w:ind w:left="3" w:right="60" w:firstLine="158"/>
        <w:spacing w:after="0" w:line="288" w:lineRule="auto"/>
        <w:rPr>
          <w:sz w:val="20"/>
          <w:szCs w:val="20"/>
          <w:color w:val="auto"/>
        </w:rPr>
      </w:pPr>
      <w:r>
        <w:rPr>
          <w:rFonts w:ascii="Arial" w:cs="Arial" w:eastAsia="Arial" w:hAnsi="Arial"/>
          <w:sz w:val="12"/>
          <w:szCs w:val="12"/>
          <w:color w:val="auto"/>
        </w:rPr>
        <w:t>The total intrinsic value (i.e., the difference between the exercise price and the market price) of options exercised during 2011, 2010 and 2009 was $668, $259 and $91, respectively. During this period, the company continued its practice of issuing treasury shares upon exercise of these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firstLine="153"/>
        <w:spacing w:after="0" w:line="251" w:lineRule="auto"/>
        <w:rPr>
          <w:sz w:val="20"/>
          <w:szCs w:val="20"/>
          <w:color w:val="auto"/>
        </w:rPr>
      </w:pPr>
      <w:r>
        <w:rPr>
          <w:rFonts w:ascii="Arial" w:cs="Arial" w:eastAsia="Arial" w:hAnsi="Arial"/>
          <w:sz w:val="13"/>
          <w:szCs w:val="13"/>
          <w:color w:val="auto"/>
        </w:rPr>
        <w:t>As of December 31, 2011, there was $265 of total unrecognized before-tax compensation cost related to non-vested share-based compensation arrangements granted or restored under the plans. That cost is expected to be recognized over a weighted-average period of 1.7 years.</w:t>
      </w:r>
    </w:p>
    <w:p>
      <w:pPr>
        <w:spacing w:after="0" w:line="1" w:lineRule="exact"/>
        <w:rPr>
          <w:sz w:val="20"/>
          <w:szCs w:val="20"/>
          <w:color w:val="auto"/>
        </w:rPr>
      </w:pPr>
    </w:p>
    <w:p>
      <w:pPr>
        <w:ind w:right="100" w:firstLine="153"/>
        <w:spacing w:after="0" w:line="271" w:lineRule="auto"/>
        <w:rPr>
          <w:sz w:val="20"/>
          <w:szCs w:val="20"/>
          <w:color w:val="auto"/>
        </w:rPr>
      </w:pPr>
      <w:r>
        <w:rPr>
          <w:rFonts w:ascii="Arial" w:cs="Arial" w:eastAsia="Arial" w:hAnsi="Arial"/>
          <w:sz w:val="12"/>
          <w:szCs w:val="12"/>
          <w:color w:val="auto"/>
        </w:rPr>
        <w:t>At January 1, 2011, the number of LTIP performance units outstanding was equivalent to 2,727,874 shares. During 2011, 1,011,200 units were granted, 810,071 units vested with cash proceeds distributed to recipients and 47,167 units were forfeited. At December 31, 2011, units outstanding were 2,881,836, and the fair value of the liability recorded for these instruments was $294. In addition, outstanding stock appreciation rights and other awards that were granted under various LTIP and former Texaco and Unocal programs totaled approximately 2.2 million equivalent shares as of December 31, 2011. A liability of $62 was recorded for these awards.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21</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Employee Benefit Plans</w:t>
      </w:r>
    </w:p>
    <w:p>
      <w:pPr>
        <w:ind w:right="20"/>
        <w:spacing w:after="0" w:line="267" w:lineRule="auto"/>
        <w:rPr>
          <w:sz w:val="20"/>
          <w:szCs w:val="20"/>
          <w:color w:val="auto"/>
        </w:rPr>
      </w:pPr>
      <w:r>
        <w:rPr>
          <w:rFonts w:ascii="Arial" w:cs="Arial" w:eastAsia="Arial" w:hAnsi="Arial"/>
          <w:sz w:val="12"/>
          <w:szCs w:val="12"/>
          <w:color w:val="auto"/>
        </w:rPr>
        <w:t>The company has defined benefit pension plans for many employees. The company typically prefunds defined benefit plans as required by local regulations or in certain situations where prefunding provides economic advantages. In the United States, all qualified plans are subject to the Employee Retirement Income Security Act (ERISA)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ind w:firstLine="158"/>
        <w:spacing w:after="0" w:line="267" w:lineRule="auto"/>
        <w:rPr>
          <w:sz w:val="20"/>
          <w:szCs w:val="20"/>
          <w:color w:val="auto"/>
        </w:rPr>
      </w:pPr>
      <w:r>
        <w:rPr>
          <w:rFonts w:ascii="Arial" w:cs="Arial" w:eastAsia="Arial" w:hAnsi="Arial"/>
          <w:sz w:val="12"/>
          <w:szCs w:val="12"/>
          <w:color w:val="auto"/>
        </w:rPr>
        <w:t>The company also sponsors other postretirement (OPEB) plans that provide medical and dental benefits, as well as life insurance for some active and qualifying retired employees. The plans are unfunded, and the company and retirees share the costs. Medical coverage for Medicare-eligible retirees in the company’s main U.S. medical plan is secondary to Medicare (including Part D) and the increase to the company contribution for retiree medical coverage is limited to no more than 4 percent each year. Certain life insurance benefits are paid by the company.</w:t>
      </w:r>
    </w:p>
    <w:p>
      <w:pPr>
        <w:spacing w:after="0" w:line="1" w:lineRule="exact"/>
        <w:rPr>
          <w:sz w:val="20"/>
          <w:szCs w:val="20"/>
          <w:color w:val="auto"/>
        </w:rPr>
      </w:pPr>
    </w:p>
    <w:p>
      <w:pPr>
        <w:ind w:right="260" w:firstLine="160"/>
        <w:spacing w:after="0" w:line="250" w:lineRule="auto"/>
        <w:rPr>
          <w:sz w:val="20"/>
          <w:szCs w:val="20"/>
          <w:color w:val="auto"/>
        </w:rPr>
      </w:pPr>
      <w:r>
        <w:rPr>
          <w:rFonts w:ascii="Arial" w:cs="Arial" w:eastAsia="Arial" w:hAnsi="Arial"/>
          <w:sz w:val="13"/>
          <w:szCs w:val="13"/>
          <w:color w:val="auto"/>
        </w:rPr>
        <w:t>Under accounting standards for postretirement benefits (ASC 715), the company recognizes the overfunded or underfunded status of each of its defined benefit pension and OPEB plans as an asset or liability on the Consolidated Balance Sheet.</w:t>
      </w:r>
    </w:p>
    <w:p>
      <w:pPr>
        <w:spacing w:after="0" w:line="1038" w:lineRule="exact"/>
        <w:rPr>
          <w:sz w:val="20"/>
          <w:szCs w:val="20"/>
          <w:color w:val="auto"/>
        </w:rPr>
      </w:pPr>
    </w:p>
    <w:p>
      <w:pPr>
        <w:sectPr>
          <w:pgSz w:w="11900" w:h="16838" w:orient="portrait"/>
          <w:cols w:equalWidth="0" w:num="2">
            <w:col w:w="5503" w:space="460"/>
            <w:col w:w="5520"/>
          </w:cols>
          <w:pgMar w:left="217" w:top="338" w:right="199" w:bottom="1440" w:gutter="0" w:footer="0" w:header="0"/>
          <w:type w:val="continuous"/>
        </w:sectPr>
      </w:pPr>
    </w:p>
    <w:p>
      <w:pPr>
        <w:spacing w:after="0" w:line="55" w:lineRule="exact"/>
        <w:rPr>
          <w:sz w:val="20"/>
          <w:szCs w:val="20"/>
          <w:color w:val="auto"/>
        </w:rPr>
      </w:pPr>
    </w:p>
    <w:p>
      <w:pPr>
        <w:jc w:val="center"/>
        <w:ind w:right="-2"/>
        <w:spacing w:after="0"/>
        <w:rPr>
          <w:sz w:val="20"/>
          <w:szCs w:val="20"/>
          <w:color w:val="auto"/>
        </w:rPr>
      </w:pPr>
      <w:r>
        <w:rPr>
          <w:rFonts w:ascii="Arial" w:cs="Arial" w:eastAsia="Arial" w:hAnsi="Arial"/>
          <w:sz w:val="10"/>
          <w:szCs w:val="10"/>
          <w:color w:val="auto"/>
        </w:rPr>
        <w:t>FS-49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type w:val="continuous"/>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ind w:left="3320"/>
        <w:spacing w:after="0"/>
        <w:rPr>
          <w:sz w:val="20"/>
          <w:szCs w:val="20"/>
          <w:color w:val="auto"/>
        </w:rPr>
      </w:pPr>
      <w:r>
        <w:rPr>
          <w:rFonts w:ascii="Arial" w:cs="Arial" w:eastAsia="Arial" w:hAnsi="Arial"/>
          <w:sz w:val="10"/>
          <w:szCs w:val="10"/>
          <w:color w:val="0077C0"/>
        </w:rPr>
        <w:t>Notes to the Consolidated Financial Statements</w:t>
      </w:r>
    </w:p>
    <w:p>
      <w:pPr>
        <w:ind w:left="372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funded status of the company’s pension and other postretirement benefit plans for 2011 and 2010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9"/>
                <w:szCs w:val="9"/>
                <w:color w:val="auto"/>
                <w:w w:val="91"/>
              </w:rPr>
              <w:t>Pension Benefits</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w w:val="93"/>
              </w:rPr>
              <w:t>Other Benefits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jc w:val="right"/>
              <w:ind w:right="309"/>
              <w:spacing w:after="0" w:line="86" w:lineRule="exact"/>
              <w:rPr>
                <w:sz w:val="20"/>
                <w:szCs w:val="20"/>
                <w:color w:val="auto"/>
              </w:rPr>
            </w:pPr>
            <w:r>
              <w:rPr>
                <w:rFonts w:ascii="Arial" w:cs="Arial" w:eastAsia="Arial" w:hAnsi="Arial"/>
                <w:sz w:val="9"/>
                <w:szCs w:val="9"/>
                <w:b w:val="1"/>
                <w:bCs w:val="1"/>
                <w:color w:val="auto"/>
              </w:rPr>
              <w:t>2011</w:t>
            </w:r>
          </w:p>
        </w:tc>
        <w:tc>
          <w:tcPr>
            <w:tcW w:w="440" w:type="dxa"/>
            <w:vAlign w:val="bottom"/>
            <w:tcBorders>
              <w:top w:val="single" w:sz="8" w:color="0077C0"/>
            </w:tcBorders>
          </w:tcPr>
          <w:p>
            <w:pPr>
              <w:spacing w:after="0"/>
              <w:rPr>
                <w:sz w:val="7"/>
                <w:szCs w:val="7"/>
                <w:color w:val="auto"/>
              </w:rPr>
            </w:pPr>
          </w:p>
        </w:tc>
        <w:tc>
          <w:tcPr>
            <w:tcW w:w="84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880" w:type="dxa"/>
            <w:vAlign w:val="bottom"/>
            <w:tcBorders>
              <w:bottom w:val="single" w:sz="8" w:color="0077C0"/>
            </w:tcBorders>
          </w:tcPr>
          <w:p>
            <w:pPr>
              <w:spacing w:after="0"/>
              <w:rPr>
                <w:sz w:val="7"/>
                <w:szCs w:val="7"/>
                <w:color w:val="auto"/>
              </w:rPr>
            </w:pPr>
          </w:p>
        </w:tc>
        <w:tc>
          <w:tcPr>
            <w:tcW w:w="1120" w:type="dxa"/>
            <w:vAlign w:val="bottom"/>
            <w:tcBorders>
              <w:bottom w:val="single" w:sz="8" w:color="0077C0"/>
            </w:tcBorders>
          </w:tcPr>
          <w:p>
            <w:pPr>
              <w:spacing w:after="0"/>
              <w:rPr>
                <w:sz w:val="7"/>
                <w:szCs w:val="7"/>
                <w:color w:val="auto"/>
              </w:rPr>
            </w:pPr>
          </w:p>
        </w:tc>
        <w:tc>
          <w:tcPr>
            <w:tcW w:w="24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09"/>
              <w:spacing w:after="0" w:line="86" w:lineRule="exact"/>
              <w:rPr>
                <w:sz w:val="20"/>
                <w:szCs w:val="20"/>
                <w:color w:val="auto"/>
              </w:rPr>
            </w:pPr>
            <w:r>
              <w:rPr>
                <w:rFonts w:ascii="Arial" w:cs="Arial" w:eastAsia="Arial" w:hAnsi="Arial"/>
                <w:sz w:val="9"/>
                <w:szCs w:val="9"/>
                <w:color w:val="auto"/>
              </w:rPr>
              <w:t>U.S.</w:t>
            </w:r>
          </w:p>
        </w:tc>
        <w:tc>
          <w:tcPr>
            <w:tcW w:w="56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09"/>
              <w:spacing w:after="0" w:line="86" w:lineRule="exact"/>
              <w:rPr>
                <w:sz w:val="20"/>
                <w:szCs w:val="20"/>
                <w:color w:val="auto"/>
              </w:rPr>
            </w:pPr>
            <w:r>
              <w:rPr>
                <w:rFonts w:ascii="Arial" w:cs="Arial" w:eastAsia="Arial" w:hAnsi="Arial"/>
                <w:sz w:val="9"/>
                <w:szCs w:val="9"/>
                <w:color w:val="auto"/>
              </w:rPr>
              <w:t>Int’l.</w:t>
            </w:r>
          </w:p>
        </w:tc>
        <w:tc>
          <w:tcPr>
            <w:tcW w:w="440" w:type="dxa"/>
            <w:vAlign w:val="bottom"/>
            <w:tcBorders>
              <w:top w:val="single" w:sz="8" w:color="0077C0"/>
              <w:bottom w:val="single" w:sz="8" w:color="0077C0"/>
            </w:tcBorders>
          </w:tcPr>
          <w:p>
            <w:pPr>
              <w:spacing w:after="0"/>
              <w:rPr>
                <w:sz w:val="7"/>
                <w:szCs w:val="7"/>
                <w:color w:val="auto"/>
              </w:rPr>
            </w:pPr>
          </w:p>
        </w:tc>
        <w:tc>
          <w:tcPr>
            <w:tcW w:w="840" w:type="dxa"/>
            <w:vAlign w:val="bottom"/>
            <w:tcBorders>
              <w:top w:val="single" w:sz="8" w:color="0077C0"/>
              <w:bottom w:val="single" w:sz="8" w:color="0077C0"/>
            </w:tcBorders>
          </w:tcPr>
          <w:p>
            <w:pPr>
              <w:jc w:val="right"/>
              <w:ind w:right="329"/>
              <w:spacing w:after="0" w:line="86" w:lineRule="exact"/>
              <w:rPr>
                <w:sz w:val="20"/>
                <w:szCs w:val="20"/>
                <w:color w:val="auto"/>
              </w:rPr>
            </w:pPr>
            <w:r>
              <w:rPr>
                <w:rFonts w:ascii="Arial" w:cs="Arial" w:eastAsia="Arial" w:hAnsi="Arial"/>
                <w:sz w:val="9"/>
                <w:szCs w:val="9"/>
                <w:color w:val="auto"/>
              </w:rPr>
              <w:t>U.S.</w:t>
            </w:r>
          </w:p>
        </w:tc>
        <w:tc>
          <w:tcPr>
            <w:tcW w:w="380" w:type="dxa"/>
            <w:vAlign w:val="bottom"/>
            <w:tcBorders>
              <w:top w:val="single" w:sz="8" w:color="0077C0"/>
              <w:bottom w:val="single" w:sz="8" w:color="0077C0"/>
            </w:tcBorders>
          </w:tcPr>
          <w:p>
            <w:pPr>
              <w:spacing w:after="0"/>
              <w:rPr>
                <w:sz w:val="7"/>
                <w:szCs w:val="7"/>
                <w:color w:val="auto"/>
              </w:rPr>
            </w:pPr>
          </w:p>
        </w:tc>
        <w:tc>
          <w:tcPr>
            <w:tcW w:w="6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top w:val="single" w:sz="8" w:color="0077C0"/>
              <w:bottom w:val="single" w:sz="8" w:color="0077C0"/>
            </w:tcBorders>
          </w:tcPr>
          <w:p>
            <w:pPr>
              <w:spacing w:after="0"/>
              <w:rPr>
                <w:sz w:val="7"/>
                <w:szCs w:val="7"/>
                <w:color w:val="auto"/>
              </w:rPr>
            </w:pPr>
          </w:p>
        </w:tc>
        <w:tc>
          <w:tcPr>
            <w:tcW w:w="800" w:type="dxa"/>
            <w:vAlign w:val="bottom"/>
            <w:tcBorders>
              <w:top w:val="single" w:sz="8" w:color="0077C0"/>
              <w:bottom w:val="single" w:sz="8" w:color="0077C0"/>
            </w:tcBorders>
          </w:tcPr>
          <w:p>
            <w:pPr>
              <w:jc w:val="right"/>
              <w:ind w:right="289"/>
              <w:spacing w:after="0" w:line="86" w:lineRule="exact"/>
              <w:rPr>
                <w:sz w:val="20"/>
                <w:szCs w:val="20"/>
                <w:color w:val="auto"/>
              </w:rPr>
            </w:pPr>
            <w:r>
              <w:rPr>
                <w:rFonts w:ascii="Arial" w:cs="Arial" w:eastAsia="Arial" w:hAnsi="Arial"/>
                <w:sz w:val="9"/>
                <w:szCs w:val="9"/>
                <w:b w:val="1"/>
                <w:bCs w:val="1"/>
                <w:color w:val="auto"/>
              </w:rPr>
              <w:t>2011</w:t>
            </w:r>
          </w:p>
        </w:tc>
        <w:tc>
          <w:tcPr>
            <w:tcW w:w="320" w:type="dxa"/>
            <w:vAlign w:val="bottom"/>
            <w:tcBorders>
              <w:top w:val="single" w:sz="8" w:color="0077C0"/>
              <w:bottom w:val="single" w:sz="8" w:color="0077C0"/>
            </w:tcBorders>
          </w:tcPr>
          <w:p>
            <w:pPr>
              <w:spacing w:after="0"/>
              <w:rPr>
                <w:sz w:val="7"/>
                <w:szCs w:val="7"/>
                <w:color w:val="auto"/>
              </w:rPr>
            </w:pPr>
          </w:p>
        </w:tc>
        <w:tc>
          <w:tcPr>
            <w:tcW w:w="5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880" w:type="dxa"/>
            <w:vAlign w:val="bottom"/>
          </w:tcPr>
          <w:p>
            <w:pPr>
              <w:spacing w:after="0" w:line="92" w:lineRule="exact"/>
              <w:rPr>
                <w:sz w:val="20"/>
                <w:szCs w:val="20"/>
                <w:color w:val="auto"/>
              </w:rPr>
            </w:pPr>
            <w:r>
              <w:rPr>
                <w:rFonts w:ascii="Arial" w:cs="Arial" w:eastAsia="Arial" w:hAnsi="Arial"/>
                <w:sz w:val="10"/>
                <w:szCs w:val="10"/>
                <w:b w:val="1"/>
                <w:bCs w:val="1"/>
                <w:color w:val="auto"/>
              </w:rPr>
              <w:t>Change in Benefit Obligation</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w:t>
            </w:r>
          </w:p>
        </w:tc>
        <w:tc>
          <w:tcPr>
            <w:tcW w:w="82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10,271</w:t>
            </w:r>
          </w:p>
        </w:tc>
        <w:tc>
          <w:tcPr>
            <w:tcW w:w="5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5,070</w:t>
            </w: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gridSpan w:val="2"/>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3,605</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80" w:type="dxa"/>
            <w:vAlign w:val="bottom"/>
          </w:tcPr>
          <w:p>
            <w:pPr>
              <w:ind w:left="120"/>
              <w:spacing w:after="0" w:line="104" w:lineRule="exact"/>
              <w:rPr>
                <w:sz w:val="20"/>
                <w:szCs w:val="20"/>
                <w:color w:val="auto"/>
              </w:rPr>
            </w:pPr>
            <w:r>
              <w:rPr>
                <w:rFonts w:ascii="Arial" w:cs="Arial" w:eastAsia="Arial" w:hAnsi="Arial"/>
                <w:sz w:val="10"/>
                <w:szCs w:val="10"/>
                <w:color w:val="auto"/>
              </w:rPr>
              <w:t>Benefit obligation at January 1</w:t>
            </w:r>
          </w:p>
        </w:tc>
        <w:tc>
          <w:tcPr>
            <w:tcW w:w="136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9,664</w:t>
            </w:r>
          </w:p>
        </w:tc>
        <w:tc>
          <w:tcPr>
            <w:tcW w:w="3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4,715</w:t>
            </w:r>
          </w:p>
        </w:tc>
        <w:tc>
          <w:tcPr>
            <w:tcW w:w="3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320" w:type="dxa"/>
            <w:vAlign w:val="bottom"/>
          </w:tcPr>
          <w:p>
            <w:pPr>
              <w:jc w:val="right"/>
              <w:ind w:right="9"/>
              <w:spacing w:after="0" w:line="104"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3,065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Service cost</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374</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174</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337</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153</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58</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Interest cost</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463</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325</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486</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307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180</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Plan participants’ contributions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6</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148</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Plan amendments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27</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9"/>
                <w:szCs w:val="9"/>
                <w:color w:val="auto"/>
              </w:rPr>
            </w:pPr>
          </w:p>
        </w:tc>
        <w:tc>
          <w:tcPr>
            <w:tcW w:w="1000" w:type="dxa"/>
            <w:vAlign w:val="bottom"/>
            <w:gridSpan w:val="2"/>
          </w:tcPr>
          <w:p>
            <w:pPr>
              <w:jc w:val="right"/>
              <w:ind w:right="360"/>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Actuarial loss (gain)</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1,920</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318</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568</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200</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149</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486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Foreign currency exchange rate changes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(98)</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10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(17)</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(19)</w:t>
            </w:r>
          </w:p>
        </w:tc>
        <w:tc>
          <w:tcPr>
            <w:tcW w:w="320" w:type="dxa"/>
            <w:vAlign w:val="bottom"/>
          </w:tcPr>
          <w:p>
            <w:pPr>
              <w:spacing w:after="0"/>
              <w:rPr>
                <w:sz w:val="9"/>
                <w:szCs w:val="9"/>
                <w:color w:val="auto"/>
              </w:rPr>
            </w:pPr>
          </w:p>
        </w:tc>
        <w:tc>
          <w:tcPr>
            <w:tcW w:w="6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Benefits paid</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(863)</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(303)</w:t>
            </w:r>
          </w:p>
        </w:tc>
        <w:tc>
          <w:tcPr>
            <w:tcW w:w="440" w:type="dxa"/>
            <w:vAlign w:val="bottom"/>
          </w:tcPr>
          <w:p>
            <w:pPr>
              <w:spacing w:after="0"/>
              <w:rPr>
                <w:sz w:val="9"/>
                <w:szCs w:val="9"/>
                <w:color w:val="auto"/>
              </w:rPr>
            </w:pPr>
          </w:p>
        </w:tc>
        <w:tc>
          <w:tcPr>
            <w:tcW w:w="8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(784)</w:t>
            </w:r>
          </w:p>
        </w:tc>
        <w:tc>
          <w:tcPr>
            <w:tcW w:w="380" w:type="dxa"/>
            <w:vAlign w:val="bottom"/>
          </w:tcPr>
          <w:p>
            <w:pPr>
              <w:spacing w:after="0"/>
              <w:rPr>
                <w:sz w:val="9"/>
                <w:szCs w:val="9"/>
                <w:color w:val="auto"/>
              </w:rPr>
            </w:pPr>
          </w:p>
        </w:tc>
        <w:tc>
          <w:tcPr>
            <w:tcW w:w="10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(295)</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(346)</w:t>
            </w:r>
          </w:p>
        </w:tc>
        <w:tc>
          <w:tcPr>
            <w:tcW w:w="320" w:type="dxa"/>
            <w:vAlign w:val="bottom"/>
          </w:tcPr>
          <w:p>
            <w:pPr>
              <w:spacing w:after="0"/>
              <w:rPr>
                <w:sz w:val="9"/>
                <w:szCs w:val="9"/>
                <w:color w:val="auto"/>
              </w:rPr>
            </w:pP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(330)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tcPr>
          <w:p>
            <w:pPr>
              <w:ind w:left="120"/>
              <w:spacing w:after="0"/>
              <w:rPr>
                <w:sz w:val="20"/>
                <w:szCs w:val="20"/>
                <w:color w:val="auto"/>
              </w:rPr>
            </w:pPr>
            <w:r>
              <w:rPr>
                <w:rFonts w:ascii="Arial" w:cs="Arial" w:eastAsia="Arial" w:hAnsi="Arial"/>
                <w:sz w:val="10"/>
                <w:szCs w:val="10"/>
                <w:color w:val="auto"/>
              </w:rPr>
              <w:t>Curtailment</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09"/>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30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840" w:type="dxa"/>
            <w:vAlign w:val="bottom"/>
          </w:tcPr>
          <w:p>
            <w:pPr>
              <w:jc w:val="right"/>
              <w:ind w:right="329"/>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(10)</w:t>
            </w:r>
          </w:p>
        </w:tc>
        <w:tc>
          <w:tcPr>
            <w:tcW w:w="32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8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Benefit obligation at December 31</w:t>
            </w:r>
          </w:p>
        </w:tc>
        <w:tc>
          <w:tcPr>
            <w:tcW w:w="112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12,165</w:t>
            </w:r>
          </w:p>
        </w:tc>
        <w:tc>
          <w:tcPr>
            <w:tcW w:w="56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5,519</w:t>
            </w:r>
          </w:p>
        </w:tc>
        <w:tc>
          <w:tcPr>
            <w:tcW w:w="440" w:type="dxa"/>
            <w:vAlign w:val="bottom"/>
            <w:tcBorders>
              <w:top w:val="single" w:sz="8" w:color="0077C0"/>
              <w:bottom w:val="single" w:sz="8" w:color="0077C0"/>
            </w:tcBorders>
          </w:tcPr>
          <w:p>
            <w:pPr>
              <w:spacing w:after="0"/>
              <w:rPr>
                <w:sz w:val="9"/>
                <w:szCs w:val="9"/>
                <w:color w:val="auto"/>
              </w:rPr>
            </w:pPr>
          </w:p>
        </w:tc>
        <w:tc>
          <w:tcPr>
            <w:tcW w:w="84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10,271</w:t>
            </w:r>
          </w:p>
        </w:tc>
        <w:tc>
          <w:tcPr>
            <w:tcW w:w="3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5,070</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3,765</w:t>
            </w:r>
          </w:p>
        </w:tc>
        <w:tc>
          <w:tcPr>
            <w:tcW w:w="320" w:type="dxa"/>
            <w:vAlign w:val="bottom"/>
            <w:tcBorders>
              <w:top w:val="single" w:sz="8" w:color="0077C0"/>
              <w:bottom w:val="single" w:sz="8" w:color="0077C0"/>
            </w:tcBorders>
          </w:tcPr>
          <w:p>
            <w:pPr>
              <w:spacing w:after="0"/>
              <w:rPr>
                <w:sz w:val="9"/>
                <w:szCs w:val="9"/>
                <w:color w:val="auto"/>
              </w:rPr>
            </w:pPr>
          </w:p>
        </w:tc>
        <w:tc>
          <w:tcPr>
            <w:tcW w:w="5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3,605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90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rPr>
              <w:t>Change in Plan Assets</w:t>
            </w: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8,579</w:t>
            </w:r>
          </w:p>
        </w:tc>
        <w:tc>
          <w:tcPr>
            <w:tcW w:w="560" w:type="dxa"/>
            <w:vAlign w:val="bottom"/>
          </w:tcPr>
          <w:p>
            <w:pPr>
              <w:spacing w:after="0"/>
              <w:rPr>
                <w:sz w:val="8"/>
                <w:szCs w:val="8"/>
                <w:color w:val="auto"/>
              </w:rPr>
            </w:pPr>
          </w:p>
        </w:tc>
        <w:tc>
          <w:tcPr>
            <w:tcW w:w="820" w:type="dxa"/>
            <w:vAlign w:val="bottom"/>
            <w:tcBorders>
              <w:right w:val="single" w:sz="8" w:color="0077C0"/>
            </w:tcBorders>
            <w:vMerge w:val="restart"/>
          </w:tcPr>
          <w:p>
            <w:pPr>
              <w:jc w:val="right"/>
              <w:ind w:right="309"/>
              <w:spacing w:after="0"/>
              <w:rPr>
                <w:sz w:val="20"/>
                <w:szCs w:val="20"/>
                <w:color w:val="auto"/>
              </w:rPr>
            </w:pPr>
            <w:r>
              <w:rPr>
                <w:rFonts w:ascii="Arial" w:cs="Arial" w:eastAsia="Arial" w:hAnsi="Arial"/>
                <w:sz w:val="10"/>
                <w:szCs w:val="10"/>
                <w:b w:val="1"/>
                <w:bCs w:val="1"/>
                <w:color w:val="auto"/>
              </w:rPr>
              <w:t>3,503</w:t>
            </w: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right w:val="single" w:sz="8" w:color="0077C0"/>
            </w:tcBorders>
            <w:vMerge w:val="restart"/>
          </w:tcPr>
          <w:p>
            <w:pPr>
              <w:jc w:val="right"/>
              <w:ind w:right="289"/>
              <w:spacing w:after="0"/>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80" w:type="dxa"/>
            <w:vAlign w:val="bottom"/>
          </w:tcPr>
          <w:p>
            <w:pPr>
              <w:ind w:left="120"/>
              <w:spacing w:after="0" w:line="104" w:lineRule="exact"/>
              <w:rPr>
                <w:sz w:val="20"/>
                <w:szCs w:val="20"/>
                <w:color w:val="auto"/>
              </w:rPr>
            </w:pPr>
            <w:r>
              <w:rPr>
                <w:rFonts w:ascii="Arial" w:cs="Arial" w:eastAsia="Arial" w:hAnsi="Arial"/>
                <w:sz w:val="10"/>
                <w:szCs w:val="10"/>
                <w:color w:val="auto"/>
              </w:rPr>
              <w:t>Fair value of plan assets at January 1</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Borders>
              <w:right w:val="single" w:sz="8" w:color="0077C0"/>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7,304</w:t>
            </w:r>
          </w:p>
        </w:tc>
        <w:tc>
          <w:tcPr>
            <w:tcW w:w="38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3,235</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jc w:val="right"/>
              <w:ind w:right="4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Actual return on plan assets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(143)</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118</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867</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361</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Foreign currency exchange rate changes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69"/>
              <w:spacing w:after="0" w:line="106" w:lineRule="exact"/>
              <w:rPr>
                <w:sz w:val="20"/>
                <w:szCs w:val="20"/>
                <w:color w:val="auto"/>
              </w:rPr>
            </w:pPr>
            <w:r>
              <w:rPr>
                <w:rFonts w:ascii="Arial" w:cs="Arial" w:eastAsia="Arial" w:hAnsi="Arial"/>
                <w:sz w:val="10"/>
                <w:szCs w:val="10"/>
                <w:b w:val="1"/>
                <w:bCs w:val="1"/>
                <w:color w:val="auto"/>
              </w:rPr>
              <w:t>(66)</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1000" w:type="dxa"/>
            <w:vAlign w:val="bottom"/>
            <w:gridSpan w:val="2"/>
          </w:tcPr>
          <w:p>
            <w:pPr>
              <w:jc w:val="right"/>
              <w:ind w:right="340"/>
              <w:spacing w:after="0" w:line="106" w:lineRule="exact"/>
              <w:rPr>
                <w:sz w:val="20"/>
                <w:szCs w:val="20"/>
                <w:color w:val="auto"/>
              </w:rPr>
            </w:pPr>
            <w:r>
              <w:rPr>
                <w:rFonts w:ascii="Arial" w:cs="Arial" w:eastAsia="Arial" w:hAnsi="Arial"/>
                <w:sz w:val="10"/>
                <w:szCs w:val="10"/>
                <w:color w:val="auto"/>
              </w:rPr>
              <w:t>(63)</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9"/>
                <w:szCs w:val="9"/>
                <w:color w:val="auto"/>
              </w:rPr>
            </w:pPr>
          </w:p>
        </w:tc>
        <w:tc>
          <w:tcPr>
            <w:tcW w:w="6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Employer contributions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1,147</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319</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1,192</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258</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198</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ind w:left="120"/>
              <w:spacing w:after="0" w:line="106" w:lineRule="exact"/>
              <w:rPr>
                <w:sz w:val="20"/>
                <w:szCs w:val="20"/>
                <w:color w:val="auto"/>
              </w:rPr>
            </w:pPr>
            <w:r>
              <w:rPr>
                <w:rFonts w:ascii="Arial" w:cs="Arial" w:eastAsia="Arial" w:hAnsi="Arial"/>
                <w:sz w:val="10"/>
                <w:szCs w:val="10"/>
                <w:color w:val="auto"/>
              </w:rPr>
              <w:t>Plan participants’ contributions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309"/>
              <w:spacing w:after="0" w:line="106" w:lineRule="exact"/>
              <w:rPr>
                <w:sz w:val="20"/>
                <w:szCs w:val="20"/>
                <w:color w:val="auto"/>
              </w:rPr>
            </w:pPr>
            <w:r>
              <w:rPr>
                <w:rFonts w:ascii="Arial" w:cs="Arial" w:eastAsia="Arial" w:hAnsi="Arial"/>
                <w:sz w:val="10"/>
                <w:szCs w:val="10"/>
                <w:b w:val="1"/>
                <w:bCs w:val="1"/>
                <w:color w:val="auto"/>
              </w:rPr>
              <w:t>6</w:t>
            </w:r>
          </w:p>
        </w:tc>
        <w:tc>
          <w:tcPr>
            <w:tcW w:w="440" w:type="dxa"/>
            <w:vAlign w:val="bottom"/>
          </w:tcPr>
          <w:p>
            <w:pPr>
              <w:spacing w:after="0"/>
              <w:rPr>
                <w:sz w:val="9"/>
                <w:szCs w:val="9"/>
                <w:color w:val="auto"/>
              </w:rPr>
            </w:pPr>
          </w:p>
        </w:tc>
        <w:tc>
          <w:tcPr>
            <w:tcW w:w="84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148</w:t>
            </w:r>
          </w:p>
        </w:tc>
        <w:tc>
          <w:tcPr>
            <w:tcW w:w="3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auto"/>
              </w:rPr>
              <w:t>147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tcPr>
          <w:p>
            <w:pPr>
              <w:ind w:left="120"/>
              <w:spacing w:after="0"/>
              <w:rPr>
                <w:sz w:val="20"/>
                <w:szCs w:val="20"/>
                <w:color w:val="auto"/>
              </w:rPr>
            </w:pPr>
            <w:r>
              <w:rPr>
                <w:rFonts w:ascii="Arial" w:cs="Arial" w:eastAsia="Arial" w:hAnsi="Arial"/>
                <w:sz w:val="10"/>
                <w:szCs w:val="10"/>
                <w:color w:val="auto"/>
              </w:rPr>
              <w:t>Benefits paid</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89"/>
              <w:spacing w:after="0"/>
              <w:rPr>
                <w:sz w:val="20"/>
                <w:szCs w:val="20"/>
                <w:color w:val="auto"/>
              </w:rPr>
            </w:pPr>
            <w:r>
              <w:rPr>
                <w:rFonts w:ascii="Arial" w:cs="Arial" w:eastAsia="Arial" w:hAnsi="Arial"/>
                <w:sz w:val="10"/>
                <w:szCs w:val="10"/>
                <w:b w:val="1"/>
                <w:bCs w:val="1"/>
                <w:color w:val="auto"/>
              </w:rPr>
              <w:t>(863)</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(303)</w:t>
            </w:r>
          </w:p>
        </w:tc>
        <w:tc>
          <w:tcPr>
            <w:tcW w:w="440" w:type="dxa"/>
            <w:vAlign w:val="bottom"/>
          </w:tcPr>
          <w:p>
            <w:pPr>
              <w:spacing w:after="0"/>
              <w:rPr>
                <w:sz w:val="10"/>
                <w:szCs w:val="10"/>
                <w:color w:val="auto"/>
              </w:rPr>
            </w:pPr>
          </w:p>
        </w:tc>
        <w:tc>
          <w:tcPr>
            <w:tcW w:w="840" w:type="dxa"/>
            <w:vAlign w:val="bottom"/>
          </w:tcPr>
          <w:p>
            <w:pPr>
              <w:jc w:val="right"/>
              <w:ind w:right="289"/>
              <w:spacing w:after="0"/>
              <w:rPr>
                <w:sz w:val="20"/>
                <w:szCs w:val="20"/>
                <w:color w:val="auto"/>
              </w:rPr>
            </w:pPr>
            <w:r>
              <w:rPr>
                <w:rFonts w:ascii="Arial" w:cs="Arial" w:eastAsia="Arial" w:hAnsi="Arial"/>
                <w:sz w:val="10"/>
                <w:szCs w:val="10"/>
                <w:color w:val="auto"/>
              </w:rPr>
              <w:t>(784)</w:t>
            </w:r>
          </w:p>
        </w:tc>
        <w:tc>
          <w:tcPr>
            <w:tcW w:w="380" w:type="dxa"/>
            <w:vAlign w:val="bottom"/>
          </w:tcPr>
          <w:p>
            <w:pPr>
              <w:spacing w:after="0"/>
              <w:rPr>
                <w:sz w:val="10"/>
                <w:szCs w:val="1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0"/>
                <w:szCs w:val="10"/>
                <w:color w:val="auto"/>
              </w:rPr>
              <w:t>(295)</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69"/>
              <w:spacing w:after="0"/>
              <w:rPr>
                <w:sz w:val="20"/>
                <w:szCs w:val="20"/>
                <w:color w:val="auto"/>
              </w:rPr>
            </w:pPr>
            <w:r>
              <w:rPr>
                <w:rFonts w:ascii="Arial" w:cs="Arial" w:eastAsia="Arial" w:hAnsi="Arial"/>
                <w:sz w:val="10"/>
                <w:szCs w:val="10"/>
                <w:b w:val="1"/>
                <w:bCs w:val="1"/>
                <w:color w:val="auto"/>
              </w:rPr>
              <w:t>(346)</w:t>
            </w:r>
          </w:p>
        </w:tc>
        <w:tc>
          <w:tcPr>
            <w:tcW w:w="32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(330)</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8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Fair value of plan assets at December 31</w:t>
            </w:r>
          </w:p>
        </w:tc>
        <w:tc>
          <w:tcPr>
            <w:tcW w:w="1120" w:type="dxa"/>
            <w:vAlign w:val="bottom"/>
            <w:tcBorders>
              <w:top w:val="single" w:sz="8" w:color="0077C0"/>
              <w:bottom w:val="single" w:sz="8" w:color="0077C0"/>
            </w:tcBorders>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8,720</w:t>
            </w:r>
          </w:p>
        </w:tc>
        <w:tc>
          <w:tcPr>
            <w:tcW w:w="560" w:type="dxa"/>
            <w:vAlign w:val="bottom"/>
            <w:tcBorders>
              <w:top w:val="single" w:sz="8" w:color="0077C0"/>
              <w:bottom w:val="single" w:sz="8" w:color="0077C0"/>
            </w:tcBorders>
          </w:tcPr>
          <w:p>
            <w:pPr>
              <w:spacing w:after="0"/>
              <w:rPr>
                <w:sz w:val="9"/>
                <w:szCs w:val="9"/>
                <w:color w:val="auto"/>
              </w:rPr>
            </w:pPr>
          </w:p>
        </w:tc>
        <w:tc>
          <w:tcPr>
            <w:tcW w:w="820" w:type="dxa"/>
            <w:vAlign w:val="bottom"/>
            <w:tcBorders>
              <w:top w:val="single" w:sz="8" w:color="0077C0"/>
              <w:bottom w:val="single" w:sz="8" w:color="0077C0"/>
              <w:right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3,577</w:t>
            </w:r>
          </w:p>
        </w:tc>
        <w:tc>
          <w:tcPr>
            <w:tcW w:w="440" w:type="dxa"/>
            <w:vAlign w:val="bottom"/>
            <w:tcBorders>
              <w:top w:val="single" w:sz="8" w:color="0077C0"/>
              <w:bottom w:val="single" w:sz="8" w:color="0077C0"/>
            </w:tcBorders>
          </w:tcPr>
          <w:p>
            <w:pPr>
              <w:spacing w:after="0"/>
              <w:rPr>
                <w:sz w:val="9"/>
                <w:szCs w:val="9"/>
                <w:color w:val="auto"/>
              </w:rPr>
            </w:pPr>
          </w:p>
        </w:tc>
        <w:tc>
          <w:tcPr>
            <w:tcW w:w="84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8,579</w:t>
            </w:r>
          </w:p>
        </w:tc>
        <w:tc>
          <w:tcPr>
            <w:tcW w:w="3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3,503</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w:t>
            </w:r>
          </w:p>
        </w:tc>
        <w:tc>
          <w:tcPr>
            <w:tcW w:w="320" w:type="dxa"/>
            <w:vAlign w:val="bottom"/>
            <w:tcBorders>
              <w:top w:val="single" w:sz="8" w:color="0077C0"/>
              <w:bottom w:val="single" w:sz="8" w:color="0077C0"/>
            </w:tcBorders>
          </w:tcPr>
          <w:p>
            <w:pPr>
              <w:spacing w:after="0"/>
              <w:rPr>
                <w:sz w:val="9"/>
                <w:szCs w:val="9"/>
                <w:color w:val="auto"/>
              </w:rPr>
            </w:pPr>
          </w:p>
        </w:tc>
        <w:tc>
          <w:tcPr>
            <w:tcW w:w="5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Funded Status at December 31</w:t>
            </w:r>
          </w:p>
        </w:tc>
        <w:tc>
          <w:tcPr>
            <w:tcW w:w="136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Pr>
          <w:p>
            <w:pPr>
              <w:jc w:val="right"/>
              <w:ind w:right="289"/>
              <w:spacing w:after="0" w:line="105" w:lineRule="exact"/>
              <w:rPr>
                <w:sz w:val="20"/>
                <w:szCs w:val="20"/>
                <w:color w:val="auto"/>
              </w:rPr>
            </w:pPr>
            <w:r>
              <w:rPr>
                <w:rFonts w:ascii="Arial" w:cs="Arial" w:eastAsia="Arial" w:hAnsi="Arial"/>
                <w:sz w:val="10"/>
                <w:szCs w:val="10"/>
                <w:b w:val="1"/>
                <w:bCs w:val="1"/>
                <w:color w:val="auto"/>
              </w:rPr>
              <w:t>(3,445)</w:t>
            </w:r>
          </w:p>
        </w:tc>
        <w:tc>
          <w:tcPr>
            <w:tcW w:w="56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(1,942)</w:t>
            </w:r>
          </w:p>
        </w:tc>
        <w:tc>
          <w:tcPr>
            <w:tcW w:w="440" w:type="dxa"/>
            <w:vAlign w:val="bottom"/>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289"/>
              <w:spacing w:after="0" w:line="105" w:lineRule="exact"/>
              <w:rPr>
                <w:sz w:val="20"/>
                <w:szCs w:val="20"/>
                <w:color w:val="auto"/>
              </w:rPr>
            </w:pPr>
            <w:r>
              <w:rPr>
                <w:rFonts w:ascii="Arial" w:cs="Arial" w:eastAsia="Arial" w:hAnsi="Arial"/>
                <w:sz w:val="10"/>
                <w:szCs w:val="10"/>
                <w:color w:val="auto"/>
              </w:rPr>
              <w:t>(1,692)</w:t>
            </w:r>
          </w:p>
        </w:tc>
        <w:tc>
          <w:tcPr>
            <w:tcW w:w="3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5" w:lineRule="exact"/>
              <w:rPr>
                <w:sz w:val="20"/>
                <w:szCs w:val="20"/>
                <w:color w:val="auto"/>
              </w:rPr>
            </w:pPr>
            <w:r>
              <w:rPr>
                <w:rFonts w:ascii="Arial" w:cs="Arial" w:eastAsia="Arial" w:hAnsi="Arial"/>
                <w:sz w:val="10"/>
                <w:szCs w:val="10"/>
                <w:color w:val="auto"/>
              </w:rPr>
              <w:t>(1,567)</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right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(3,765)</w:t>
            </w: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5" w:lineRule="exact"/>
              <w:rPr>
                <w:sz w:val="20"/>
                <w:szCs w:val="20"/>
                <w:color w:val="auto"/>
              </w:rPr>
            </w:pPr>
            <w:r>
              <w:rPr>
                <w:rFonts w:ascii="Arial" w:cs="Arial" w:eastAsia="Arial" w:hAnsi="Arial"/>
                <w:sz w:val="10"/>
                <w:szCs w:val="10"/>
                <w:color w:val="auto"/>
              </w:rPr>
              <w:t>(3,605)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80" w:type="dxa"/>
            <w:vAlign w:val="bottom"/>
            <w:shd w:val="clear" w:color="auto" w:fill="0077C0"/>
          </w:tcPr>
          <w:p>
            <w:pPr>
              <w:spacing w:after="0"/>
              <w:rPr>
                <w:sz w:val="2"/>
                <w:szCs w:val="2"/>
                <w:color w:val="auto"/>
              </w:rPr>
            </w:pPr>
          </w:p>
        </w:tc>
        <w:tc>
          <w:tcPr>
            <w:tcW w:w="112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440" w:type="dxa"/>
            <w:vAlign w:val="bottom"/>
            <w:shd w:val="clear" w:color="auto" w:fill="0077C0"/>
          </w:tcPr>
          <w:p>
            <w:pPr>
              <w:spacing w:after="0"/>
              <w:rPr>
                <w:sz w:val="2"/>
                <w:szCs w:val="2"/>
                <w:color w:val="auto"/>
              </w:rPr>
            </w:pPr>
          </w:p>
        </w:tc>
        <w:tc>
          <w:tcPr>
            <w:tcW w:w="84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640" w:type="dxa"/>
            <w:vAlign w:val="bottom"/>
            <w:shd w:val="clear" w:color="auto" w:fill="0077C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0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Amounts recognized on the Consolidated Balance Sheet for the company’s pension and other postretirement benefit plans at December 31, 2011 and 2010, include: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9"/>
                <w:szCs w:val="9"/>
                <w:color w:val="auto"/>
                <w:w w:val="91"/>
              </w:rPr>
              <w:t>Pension Benefits</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w w:val="93"/>
              </w:rPr>
              <w:t>Other Benefits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spacing w:after="0"/>
              <w:rPr>
                <w:sz w:val="7"/>
                <w:szCs w:val="7"/>
                <w:color w:val="auto"/>
              </w:rPr>
            </w:pPr>
          </w:p>
        </w:tc>
        <w:tc>
          <w:tcPr>
            <w:tcW w:w="56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jc w:val="right"/>
              <w:ind w:right="311"/>
              <w:spacing w:after="0" w:line="86" w:lineRule="exact"/>
              <w:rPr>
                <w:sz w:val="20"/>
                <w:szCs w:val="20"/>
                <w:color w:val="auto"/>
              </w:rPr>
            </w:pPr>
            <w:r>
              <w:rPr>
                <w:rFonts w:ascii="Arial" w:cs="Arial" w:eastAsia="Arial" w:hAnsi="Arial"/>
                <w:sz w:val="9"/>
                <w:szCs w:val="9"/>
                <w:b w:val="1"/>
                <w:bCs w:val="1"/>
                <w:color w:val="auto"/>
              </w:rPr>
              <w:t>2011</w:t>
            </w:r>
          </w:p>
        </w:tc>
        <w:tc>
          <w:tcPr>
            <w:tcW w:w="460" w:type="dxa"/>
            <w:vAlign w:val="bottom"/>
            <w:tcBorders>
              <w:top w:val="single" w:sz="8" w:color="0077C0"/>
            </w:tcBorders>
          </w:tcPr>
          <w:p>
            <w:pPr>
              <w:spacing w:after="0"/>
              <w:rPr>
                <w:sz w:val="7"/>
                <w:szCs w:val="7"/>
                <w:color w:val="auto"/>
              </w:rPr>
            </w:pPr>
          </w:p>
        </w:tc>
        <w:tc>
          <w:tcPr>
            <w:tcW w:w="82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spacing w:after="0"/>
              <w:rPr>
                <w:sz w:val="7"/>
                <w:szCs w:val="7"/>
                <w:color w:val="auto"/>
              </w:rPr>
            </w:pPr>
          </w:p>
        </w:tc>
        <w:tc>
          <w:tcPr>
            <w:tcW w:w="660" w:type="dxa"/>
            <w:vAlign w:val="bottom"/>
            <w:tcBorders>
              <w:top w:val="single" w:sz="8" w:color="0077C0"/>
            </w:tcBorders>
            <w:gridSpan w:val="2"/>
          </w:tcPr>
          <w:p>
            <w:pPr>
              <w:jc w:val="right"/>
              <w:ind w:right="20"/>
              <w:spacing w:after="0" w:line="86" w:lineRule="exact"/>
              <w:rPr>
                <w:sz w:val="20"/>
                <w:szCs w:val="20"/>
                <w:color w:val="auto"/>
              </w:rPr>
            </w:pPr>
            <w:r>
              <w:rPr>
                <w:rFonts w:ascii="Arial" w:cs="Arial" w:eastAsia="Arial" w:hAnsi="Arial"/>
                <w:sz w:val="9"/>
                <w:szCs w:val="9"/>
                <w:color w:val="auto"/>
              </w:rPr>
              <w:t>2010</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840" w:type="dxa"/>
            <w:vAlign w:val="bottom"/>
            <w:tcBorders>
              <w:bottom w:val="single" w:sz="8" w:color="0077C0"/>
            </w:tcBorders>
          </w:tcPr>
          <w:p>
            <w:pPr>
              <w:spacing w:after="0"/>
              <w:rPr>
                <w:sz w:val="7"/>
                <w:szCs w:val="7"/>
                <w:color w:val="auto"/>
              </w:rPr>
            </w:pPr>
          </w:p>
        </w:tc>
        <w:tc>
          <w:tcPr>
            <w:tcW w:w="1160" w:type="dxa"/>
            <w:vAlign w:val="bottom"/>
            <w:tcBorders>
              <w:bottom w:val="single" w:sz="8" w:color="0077C0"/>
            </w:tcBorders>
          </w:tcPr>
          <w:p>
            <w:pPr>
              <w:spacing w:after="0"/>
              <w:rPr>
                <w:sz w:val="7"/>
                <w:szCs w:val="7"/>
                <w:color w:val="auto"/>
              </w:rPr>
            </w:pPr>
          </w:p>
        </w:tc>
        <w:tc>
          <w:tcPr>
            <w:tcW w:w="24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10"/>
              <w:spacing w:after="0" w:line="86" w:lineRule="exact"/>
              <w:rPr>
                <w:sz w:val="20"/>
                <w:szCs w:val="20"/>
                <w:color w:val="auto"/>
              </w:rPr>
            </w:pPr>
            <w:r>
              <w:rPr>
                <w:rFonts w:ascii="Arial" w:cs="Arial" w:eastAsia="Arial" w:hAnsi="Arial"/>
                <w:sz w:val="9"/>
                <w:szCs w:val="9"/>
                <w:color w:val="auto"/>
              </w:rPr>
              <w:t>U.S.</w:t>
            </w:r>
          </w:p>
        </w:tc>
        <w:tc>
          <w:tcPr>
            <w:tcW w:w="56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11"/>
              <w:spacing w:after="0" w:line="86" w:lineRule="exact"/>
              <w:rPr>
                <w:sz w:val="20"/>
                <w:szCs w:val="20"/>
                <w:color w:val="auto"/>
              </w:rPr>
            </w:pPr>
            <w:r>
              <w:rPr>
                <w:rFonts w:ascii="Arial" w:cs="Arial" w:eastAsia="Arial" w:hAnsi="Arial"/>
                <w:sz w:val="9"/>
                <w:szCs w:val="9"/>
                <w:color w:val="auto"/>
              </w:rPr>
              <w:t>Int’l.</w:t>
            </w:r>
          </w:p>
        </w:tc>
        <w:tc>
          <w:tcPr>
            <w:tcW w:w="460" w:type="dxa"/>
            <w:vAlign w:val="bottom"/>
            <w:tcBorders>
              <w:top w:val="single" w:sz="8" w:color="0077C0"/>
              <w:bottom w:val="single" w:sz="8" w:color="0077C0"/>
            </w:tcBorders>
          </w:tcPr>
          <w:p>
            <w:pPr>
              <w:spacing w:after="0"/>
              <w:rPr>
                <w:sz w:val="7"/>
                <w:szCs w:val="7"/>
                <w:color w:val="auto"/>
              </w:rPr>
            </w:pPr>
          </w:p>
        </w:tc>
        <w:tc>
          <w:tcPr>
            <w:tcW w:w="820" w:type="dxa"/>
            <w:vAlign w:val="bottom"/>
            <w:tcBorders>
              <w:top w:val="single" w:sz="8" w:color="0077C0"/>
              <w:bottom w:val="single" w:sz="8" w:color="0077C0"/>
            </w:tcBorders>
          </w:tcPr>
          <w:p>
            <w:pPr>
              <w:jc w:val="right"/>
              <w:ind w:right="330"/>
              <w:spacing w:after="0" w:line="86" w:lineRule="exact"/>
              <w:rPr>
                <w:sz w:val="20"/>
                <w:szCs w:val="20"/>
                <w:color w:val="auto"/>
              </w:rPr>
            </w:pPr>
            <w:r>
              <w:rPr>
                <w:rFonts w:ascii="Arial" w:cs="Arial" w:eastAsia="Arial" w:hAnsi="Arial"/>
                <w:sz w:val="9"/>
                <w:szCs w:val="9"/>
                <w:color w:val="auto"/>
              </w:rPr>
              <w:t>U.S.</w:t>
            </w:r>
          </w:p>
        </w:tc>
        <w:tc>
          <w:tcPr>
            <w:tcW w:w="380" w:type="dxa"/>
            <w:vAlign w:val="bottom"/>
            <w:tcBorders>
              <w:top w:val="single" w:sz="8" w:color="0077C0"/>
              <w:bottom w:val="single" w:sz="8" w:color="0077C0"/>
            </w:tcBorders>
          </w:tcPr>
          <w:p>
            <w:pPr>
              <w:spacing w:after="0"/>
              <w:rPr>
                <w:sz w:val="7"/>
                <w:szCs w:val="7"/>
                <w:color w:val="auto"/>
              </w:rPr>
            </w:pPr>
          </w:p>
        </w:tc>
        <w:tc>
          <w:tcPr>
            <w:tcW w:w="660" w:type="dxa"/>
            <w:vAlign w:val="bottom"/>
            <w:tcBorders>
              <w:top w:val="single" w:sz="8" w:color="0077C0"/>
              <w:bottom w:val="single" w:sz="8" w:color="0077C0"/>
            </w:tcBorders>
            <w:gridSpan w:val="2"/>
          </w:tcPr>
          <w:p>
            <w:pPr>
              <w:jc w:val="right"/>
              <w:ind w:right="20"/>
              <w:spacing w:after="0" w:line="86" w:lineRule="exact"/>
              <w:rPr>
                <w:sz w:val="20"/>
                <w:szCs w:val="20"/>
                <w:color w:val="auto"/>
              </w:rPr>
            </w:pPr>
            <w:r>
              <w:rPr>
                <w:rFonts w:ascii="Arial" w:cs="Arial" w:eastAsia="Arial" w:hAnsi="Arial"/>
                <w:sz w:val="9"/>
                <w:szCs w:val="9"/>
                <w:color w:val="auto"/>
              </w:rPr>
              <w:t>Int’l.</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top w:val="single" w:sz="8" w:color="0077C0"/>
              <w:bottom w:val="single" w:sz="8" w:color="0077C0"/>
            </w:tcBorders>
          </w:tcPr>
          <w:p>
            <w:pPr>
              <w:spacing w:after="0"/>
              <w:rPr>
                <w:sz w:val="7"/>
                <w:szCs w:val="7"/>
                <w:color w:val="auto"/>
              </w:rPr>
            </w:pPr>
          </w:p>
        </w:tc>
        <w:tc>
          <w:tcPr>
            <w:tcW w:w="800" w:type="dxa"/>
            <w:vAlign w:val="bottom"/>
            <w:tcBorders>
              <w:top w:val="single" w:sz="8" w:color="0077C0"/>
              <w:bottom w:val="single" w:sz="8" w:color="0077C0"/>
            </w:tcBorders>
          </w:tcPr>
          <w:p>
            <w:pPr>
              <w:jc w:val="right"/>
              <w:ind w:right="290"/>
              <w:spacing w:after="0" w:line="86" w:lineRule="exact"/>
              <w:rPr>
                <w:sz w:val="20"/>
                <w:szCs w:val="20"/>
                <w:color w:val="auto"/>
              </w:rPr>
            </w:pPr>
            <w:r>
              <w:rPr>
                <w:rFonts w:ascii="Arial" w:cs="Arial" w:eastAsia="Arial" w:hAnsi="Arial"/>
                <w:sz w:val="9"/>
                <w:szCs w:val="9"/>
                <w:b w:val="1"/>
                <w:bCs w:val="1"/>
                <w:color w:val="auto"/>
              </w:rPr>
              <w:t>2011</w:t>
            </w:r>
          </w:p>
        </w:tc>
        <w:tc>
          <w:tcPr>
            <w:tcW w:w="320" w:type="dxa"/>
            <w:vAlign w:val="bottom"/>
            <w:tcBorders>
              <w:top w:val="single" w:sz="8" w:color="0077C0"/>
              <w:bottom w:val="single" w:sz="8" w:color="0077C0"/>
            </w:tcBorders>
          </w:tcPr>
          <w:p>
            <w:pPr>
              <w:spacing w:after="0"/>
              <w:rPr>
                <w:sz w:val="7"/>
                <w:szCs w:val="7"/>
                <w:color w:val="auto"/>
              </w:rPr>
            </w:pPr>
          </w:p>
        </w:tc>
        <w:tc>
          <w:tcPr>
            <w:tcW w:w="5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840" w:type="dxa"/>
            <w:vAlign w:val="bottom"/>
          </w:tcPr>
          <w:p>
            <w:pPr>
              <w:spacing w:after="0" w:line="91" w:lineRule="exact"/>
              <w:rPr>
                <w:sz w:val="20"/>
                <w:szCs w:val="20"/>
                <w:color w:val="auto"/>
              </w:rPr>
            </w:pPr>
            <w:r>
              <w:rPr>
                <w:rFonts w:ascii="Arial" w:cs="Arial" w:eastAsia="Arial" w:hAnsi="Arial"/>
                <w:sz w:val="10"/>
                <w:szCs w:val="10"/>
                <w:color w:val="auto"/>
              </w:rPr>
              <w:t>Deferred charges and other assets</w:t>
            </w:r>
          </w:p>
        </w:tc>
        <w:tc>
          <w:tcPr>
            <w:tcW w:w="1400" w:type="dxa"/>
            <w:vAlign w:val="bottom"/>
            <w:gridSpan w:val="2"/>
          </w:tcPr>
          <w:p>
            <w:pPr>
              <w:jc w:val="right"/>
              <w:ind w:right="180"/>
              <w:spacing w:after="0" w:line="91" w:lineRule="exact"/>
              <w:rPr>
                <w:sz w:val="20"/>
                <w:szCs w:val="20"/>
                <w:color w:val="auto"/>
              </w:rPr>
            </w:pPr>
            <w:r>
              <w:rPr>
                <w:rFonts w:ascii="Arial" w:cs="Arial" w:eastAsia="Arial" w:hAnsi="Arial"/>
                <w:sz w:val="10"/>
                <w:szCs w:val="10"/>
                <w:b w:val="1"/>
                <w:bCs w:val="1"/>
                <w:color w:val="auto"/>
              </w:rPr>
              <w:t>$</w:t>
            </w:r>
          </w:p>
        </w:tc>
        <w:tc>
          <w:tcPr>
            <w:tcW w:w="820" w:type="dxa"/>
            <w:vAlign w:val="bottom"/>
          </w:tcPr>
          <w:p>
            <w:pPr>
              <w:jc w:val="right"/>
              <w:ind w:right="310"/>
              <w:spacing w:after="0" w:line="91" w:lineRule="exact"/>
              <w:rPr>
                <w:sz w:val="20"/>
                <w:szCs w:val="20"/>
                <w:color w:val="auto"/>
              </w:rPr>
            </w:pPr>
            <w:r>
              <w:rPr>
                <w:rFonts w:ascii="Arial" w:cs="Arial" w:eastAsia="Arial" w:hAnsi="Arial"/>
                <w:sz w:val="10"/>
                <w:szCs w:val="10"/>
                <w:b w:val="1"/>
                <w:bCs w:val="1"/>
                <w:color w:val="auto"/>
              </w:rPr>
              <w:t>5</w:t>
            </w:r>
          </w:p>
        </w:tc>
        <w:tc>
          <w:tcPr>
            <w:tcW w:w="56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rPr>
              <w:t>$</w:t>
            </w:r>
          </w:p>
        </w:tc>
        <w:tc>
          <w:tcPr>
            <w:tcW w:w="820" w:type="dxa"/>
            <w:vAlign w:val="bottom"/>
            <w:tcBorders>
              <w:right w:val="single" w:sz="8" w:color="0077C0"/>
            </w:tcBorders>
          </w:tcPr>
          <w:p>
            <w:pPr>
              <w:jc w:val="right"/>
              <w:ind w:right="311"/>
              <w:spacing w:after="0" w:line="91" w:lineRule="exact"/>
              <w:rPr>
                <w:sz w:val="20"/>
                <w:szCs w:val="20"/>
                <w:color w:val="auto"/>
              </w:rPr>
            </w:pPr>
            <w:r>
              <w:rPr>
                <w:rFonts w:ascii="Arial" w:cs="Arial" w:eastAsia="Arial" w:hAnsi="Arial"/>
                <w:sz w:val="10"/>
                <w:szCs w:val="10"/>
                <w:b w:val="1"/>
                <w:bCs w:val="1"/>
                <w:color w:val="auto"/>
              </w:rPr>
              <w:t>116</w:t>
            </w:r>
          </w:p>
        </w:tc>
        <w:tc>
          <w:tcPr>
            <w:tcW w:w="460" w:type="dxa"/>
            <w:vAlign w:val="bottom"/>
          </w:tcPr>
          <w:p>
            <w:pPr>
              <w:jc w:val="right"/>
              <w:ind w:right="149"/>
              <w:spacing w:after="0" w:line="91" w:lineRule="exact"/>
              <w:rPr>
                <w:sz w:val="20"/>
                <w:szCs w:val="20"/>
                <w:color w:val="auto"/>
              </w:rPr>
            </w:pPr>
            <w:r>
              <w:rPr>
                <w:rFonts w:ascii="Arial" w:cs="Arial" w:eastAsia="Arial" w:hAnsi="Arial"/>
                <w:sz w:val="10"/>
                <w:szCs w:val="10"/>
                <w:color w:val="auto"/>
              </w:rPr>
              <w:t>$</w:t>
            </w:r>
          </w:p>
        </w:tc>
        <w:tc>
          <w:tcPr>
            <w:tcW w:w="820" w:type="dxa"/>
            <w:vAlign w:val="bottom"/>
          </w:tcPr>
          <w:p>
            <w:pPr>
              <w:jc w:val="right"/>
              <w:ind w:right="330"/>
              <w:spacing w:after="0" w:line="91" w:lineRule="exact"/>
              <w:rPr>
                <w:sz w:val="20"/>
                <w:szCs w:val="20"/>
                <w:color w:val="auto"/>
              </w:rPr>
            </w:pPr>
            <w:r>
              <w:rPr>
                <w:rFonts w:ascii="Arial" w:cs="Arial" w:eastAsia="Arial" w:hAnsi="Arial"/>
                <w:sz w:val="10"/>
                <w:szCs w:val="10"/>
                <w:color w:val="auto"/>
              </w:rPr>
              <w:t>7</w:t>
            </w:r>
          </w:p>
        </w:tc>
        <w:tc>
          <w:tcPr>
            <w:tcW w:w="3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77</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jc w:val="right"/>
              <w:ind w:right="129"/>
              <w:spacing w:after="0" w:line="91"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right w:val="single" w:sz="8" w:color="0077C0"/>
            </w:tcBorders>
          </w:tcPr>
          <w:p>
            <w:pPr>
              <w:jc w:val="right"/>
              <w:ind w:right="290"/>
              <w:spacing w:after="0" w:line="91" w:lineRule="exact"/>
              <w:rPr>
                <w:sz w:val="20"/>
                <w:szCs w:val="20"/>
                <w:color w:val="auto"/>
              </w:rPr>
            </w:pPr>
            <w:r>
              <w:rPr>
                <w:rFonts w:ascii="Arial" w:cs="Arial" w:eastAsia="Arial" w:hAnsi="Arial"/>
                <w:sz w:val="10"/>
                <w:szCs w:val="10"/>
                <w:b w:val="1"/>
                <w:bCs w:val="1"/>
                <w:color w:val="auto"/>
              </w:rPr>
              <w:t>–</w:t>
            </w:r>
          </w:p>
        </w:tc>
        <w:tc>
          <w:tcPr>
            <w:tcW w:w="320" w:type="dxa"/>
            <w:vAlign w:val="bottom"/>
          </w:tcPr>
          <w:p>
            <w:pPr>
              <w:jc w:val="right"/>
              <w:ind w:right="9"/>
              <w:spacing w:after="0" w:line="9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860" w:type="dxa"/>
            <w:vAlign w:val="bottom"/>
            <w:gridSpan w:val="2"/>
          </w:tcPr>
          <w:p>
            <w:pPr>
              <w:spacing w:after="0" w:line="106" w:lineRule="exact"/>
              <w:rPr>
                <w:sz w:val="20"/>
                <w:szCs w:val="20"/>
                <w:color w:val="auto"/>
              </w:rPr>
            </w:pPr>
            <w:r>
              <w:rPr>
                <w:rFonts w:ascii="Arial" w:cs="Arial" w:eastAsia="Arial" w:hAnsi="Arial"/>
                <w:sz w:val="10"/>
                <w:szCs w:val="10"/>
                <w:color w:val="auto"/>
              </w:rPr>
              <w:t>Accrued liabilities</w:t>
            </w: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(72)</w:t>
            </w:r>
          </w:p>
        </w:tc>
        <w:tc>
          <w:tcPr>
            <w:tcW w:w="560" w:type="dxa"/>
            <w:vAlign w:val="bottom"/>
          </w:tcPr>
          <w:p>
            <w:pPr>
              <w:spacing w:after="0"/>
              <w:rPr>
                <w:sz w:val="9"/>
                <w:szCs w:val="9"/>
                <w:color w:val="auto"/>
              </w:rPr>
            </w:pPr>
          </w:p>
        </w:tc>
        <w:tc>
          <w:tcPr>
            <w:tcW w:w="820" w:type="dxa"/>
            <w:vAlign w:val="bottom"/>
            <w:tcBorders>
              <w:right w:val="single" w:sz="8" w:color="0077C0"/>
            </w:tcBorders>
          </w:tcPr>
          <w:p>
            <w:pPr>
              <w:jc w:val="right"/>
              <w:ind w:right="271"/>
              <w:spacing w:after="0" w:line="106" w:lineRule="exact"/>
              <w:rPr>
                <w:sz w:val="20"/>
                <w:szCs w:val="20"/>
                <w:color w:val="auto"/>
              </w:rPr>
            </w:pPr>
            <w:r>
              <w:rPr>
                <w:rFonts w:ascii="Arial" w:cs="Arial" w:eastAsia="Arial" w:hAnsi="Arial"/>
                <w:sz w:val="10"/>
                <w:szCs w:val="10"/>
                <w:b w:val="1"/>
                <w:bCs w:val="1"/>
                <w:color w:val="auto"/>
              </w:rPr>
              <w:t>(84)</w:t>
            </w:r>
          </w:p>
        </w:tc>
        <w:tc>
          <w:tcPr>
            <w:tcW w:w="460" w:type="dxa"/>
            <w:vAlign w:val="bottom"/>
          </w:tcPr>
          <w:p>
            <w:pPr>
              <w:spacing w:after="0"/>
              <w:rPr>
                <w:sz w:val="9"/>
                <w:szCs w:val="9"/>
                <w:color w:val="auto"/>
              </w:rPr>
            </w:pPr>
          </w:p>
        </w:tc>
        <w:tc>
          <w:tcPr>
            <w:tcW w:w="8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(134)</w:t>
            </w:r>
          </w:p>
        </w:tc>
        <w:tc>
          <w:tcPr>
            <w:tcW w:w="380" w:type="dxa"/>
            <w:vAlign w:val="bottom"/>
          </w:tcPr>
          <w:p>
            <w:pPr>
              <w:spacing w:after="0"/>
              <w:rPr>
                <w:sz w:val="9"/>
                <w:szCs w:val="9"/>
                <w:color w:val="auto"/>
              </w:rPr>
            </w:pPr>
          </w:p>
        </w:tc>
        <w:tc>
          <w:tcPr>
            <w:tcW w:w="1000" w:type="dxa"/>
            <w:vAlign w:val="bottom"/>
            <w:gridSpan w:val="3"/>
          </w:tcPr>
          <w:p>
            <w:pPr>
              <w:jc w:val="right"/>
              <w:ind w:right="340"/>
              <w:spacing w:after="0" w:line="106" w:lineRule="exact"/>
              <w:rPr>
                <w:sz w:val="20"/>
                <w:szCs w:val="20"/>
                <w:color w:val="auto"/>
              </w:rPr>
            </w:pPr>
            <w:r>
              <w:rPr>
                <w:rFonts w:ascii="Arial" w:cs="Arial" w:eastAsia="Arial" w:hAnsi="Arial"/>
                <w:sz w:val="10"/>
                <w:szCs w:val="10"/>
                <w:color w:val="auto"/>
              </w:rPr>
              <w:t>(71)</w:t>
            </w: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right w:val="single" w:sz="8" w:color="0077C0"/>
            </w:tcBorders>
          </w:tcPr>
          <w:p>
            <w:pPr>
              <w:jc w:val="right"/>
              <w:ind w:right="270"/>
              <w:spacing w:after="0" w:line="106" w:lineRule="exact"/>
              <w:rPr>
                <w:sz w:val="20"/>
                <w:szCs w:val="20"/>
                <w:color w:val="auto"/>
              </w:rPr>
            </w:pPr>
            <w:r>
              <w:rPr>
                <w:rFonts w:ascii="Arial" w:cs="Arial" w:eastAsia="Arial" w:hAnsi="Arial"/>
                <w:sz w:val="10"/>
                <w:szCs w:val="10"/>
                <w:b w:val="1"/>
                <w:bCs w:val="1"/>
                <w:color w:val="auto"/>
              </w:rPr>
              <w:t>(222)</w:t>
            </w:r>
          </w:p>
        </w:tc>
        <w:tc>
          <w:tcPr>
            <w:tcW w:w="320" w:type="dxa"/>
            <w:vAlign w:val="bottom"/>
          </w:tcPr>
          <w:p>
            <w:pPr>
              <w:spacing w:after="0"/>
              <w:rPr>
                <w:sz w:val="9"/>
                <w:szCs w:val="9"/>
                <w:color w:val="auto"/>
              </w:rPr>
            </w:pP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20"/>
        </w:trPr>
        <w:tc>
          <w:tcPr>
            <w:tcW w:w="2860" w:type="dxa"/>
            <w:vAlign w:val="bottom"/>
            <w:gridSpan w:val="2"/>
          </w:tcPr>
          <w:p>
            <w:pPr>
              <w:spacing w:after="0"/>
              <w:rPr>
                <w:sz w:val="20"/>
                <w:szCs w:val="20"/>
                <w:color w:val="auto"/>
              </w:rPr>
            </w:pPr>
            <w:r>
              <w:rPr>
                <w:rFonts w:ascii="Arial" w:cs="Arial" w:eastAsia="Arial" w:hAnsi="Arial"/>
                <w:sz w:val="10"/>
                <w:szCs w:val="10"/>
                <w:color w:val="auto"/>
              </w:rPr>
              <w:t>Reserves for employee benefit plans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290"/>
              <w:spacing w:after="0"/>
              <w:rPr>
                <w:sz w:val="20"/>
                <w:szCs w:val="20"/>
                <w:color w:val="auto"/>
              </w:rPr>
            </w:pPr>
            <w:r>
              <w:rPr>
                <w:rFonts w:ascii="Arial" w:cs="Arial" w:eastAsia="Arial" w:hAnsi="Arial"/>
                <w:sz w:val="10"/>
                <w:szCs w:val="10"/>
                <w:b w:val="1"/>
                <w:bCs w:val="1"/>
                <w:color w:val="auto"/>
              </w:rPr>
              <w:t>(3,378)</w:t>
            </w:r>
          </w:p>
        </w:tc>
        <w:tc>
          <w:tcPr>
            <w:tcW w:w="560" w:type="dxa"/>
            <w:vAlign w:val="bottom"/>
          </w:tcPr>
          <w:p>
            <w:pPr>
              <w:spacing w:after="0"/>
              <w:rPr>
                <w:sz w:val="10"/>
                <w:szCs w:val="10"/>
                <w:color w:val="auto"/>
              </w:rPr>
            </w:pPr>
          </w:p>
        </w:tc>
        <w:tc>
          <w:tcPr>
            <w:tcW w:w="820" w:type="dxa"/>
            <w:vAlign w:val="bottom"/>
            <w:tcBorders>
              <w:right w:val="single" w:sz="8" w:color="0077C0"/>
            </w:tcBorders>
          </w:tcPr>
          <w:p>
            <w:pPr>
              <w:jc w:val="right"/>
              <w:ind w:right="271"/>
              <w:spacing w:after="0"/>
              <w:rPr>
                <w:sz w:val="20"/>
                <w:szCs w:val="20"/>
                <w:color w:val="auto"/>
              </w:rPr>
            </w:pPr>
            <w:r>
              <w:rPr>
                <w:rFonts w:ascii="Arial" w:cs="Arial" w:eastAsia="Arial" w:hAnsi="Arial"/>
                <w:sz w:val="10"/>
                <w:szCs w:val="10"/>
                <w:b w:val="1"/>
                <w:bCs w:val="1"/>
                <w:color w:val="auto"/>
              </w:rPr>
              <w:t>(1,974)</w:t>
            </w:r>
          </w:p>
        </w:tc>
        <w:tc>
          <w:tcPr>
            <w:tcW w:w="460" w:type="dxa"/>
            <w:vAlign w:val="bottom"/>
          </w:tcPr>
          <w:p>
            <w:pPr>
              <w:spacing w:after="0"/>
              <w:rPr>
                <w:sz w:val="10"/>
                <w:szCs w:val="10"/>
                <w:color w:val="auto"/>
              </w:rPr>
            </w:pPr>
          </w:p>
        </w:tc>
        <w:tc>
          <w:tcPr>
            <w:tcW w:w="820" w:type="dxa"/>
            <w:vAlign w:val="bottom"/>
          </w:tcPr>
          <w:p>
            <w:pPr>
              <w:jc w:val="right"/>
              <w:ind w:right="290"/>
              <w:spacing w:after="0"/>
              <w:rPr>
                <w:sz w:val="20"/>
                <w:szCs w:val="20"/>
                <w:color w:val="auto"/>
              </w:rPr>
            </w:pPr>
            <w:r>
              <w:rPr>
                <w:rFonts w:ascii="Arial" w:cs="Arial" w:eastAsia="Arial" w:hAnsi="Arial"/>
                <w:sz w:val="10"/>
                <w:szCs w:val="10"/>
                <w:color w:val="auto"/>
              </w:rPr>
              <w:t>(1,565)</w:t>
            </w:r>
          </w:p>
        </w:tc>
        <w:tc>
          <w:tcPr>
            <w:tcW w:w="380" w:type="dxa"/>
            <w:vAlign w:val="bottom"/>
          </w:tcPr>
          <w:p>
            <w:pPr>
              <w:spacing w:after="0"/>
              <w:rPr>
                <w:sz w:val="10"/>
                <w:szCs w:val="1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0"/>
                <w:szCs w:val="10"/>
                <w:color w:val="auto"/>
              </w:rPr>
              <w:t>(1,573)</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0077C0"/>
            </w:tcBorders>
          </w:tcPr>
          <w:p>
            <w:pPr>
              <w:jc w:val="right"/>
              <w:ind w:right="270"/>
              <w:spacing w:after="0"/>
              <w:rPr>
                <w:sz w:val="20"/>
                <w:szCs w:val="20"/>
                <w:color w:val="auto"/>
              </w:rPr>
            </w:pPr>
            <w:r>
              <w:rPr>
                <w:rFonts w:ascii="Arial" w:cs="Arial" w:eastAsia="Arial" w:hAnsi="Arial"/>
                <w:sz w:val="10"/>
                <w:szCs w:val="10"/>
                <w:b w:val="1"/>
                <w:bCs w:val="1"/>
                <w:color w:val="auto"/>
              </w:rPr>
              <w:t>(3,543)</w:t>
            </w:r>
          </w:p>
        </w:tc>
        <w:tc>
          <w:tcPr>
            <w:tcW w:w="32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(3,380)</w:t>
            </w:r>
          </w:p>
        </w:tc>
        <w:tc>
          <w:tcPr>
            <w:tcW w:w="0" w:type="dxa"/>
            <w:vAlign w:val="bottom"/>
          </w:tcPr>
          <w:p>
            <w:pPr>
              <w:spacing w:after="0"/>
              <w:rPr>
                <w:sz w:val="1"/>
                <w:szCs w:val="1"/>
                <w:color w:val="auto"/>
              </w:rPr>
            </w:pPr>
          </w:p>
        </w:tc>
      </w:tr>
      <w:tr>
        <w:trPr>
          <w:trHeight w:val="105"/>
        </w:trPr>
        <w:tc>
          <w:tcPr>
            <w:tcW w:w="2860" w:type="dxa"/>
            <w:vAlign w:val="bottom"/>
            <w:tcBorders>
              <w:top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Net amount recognized at December 31</w:t>
            </w:r>
          </w:p>
        </w:tc>
        <w:tc>
          <w:tcPr>
            <w:tcW w:w="1400" w:type="dxa"/>
            <w:vAlign w:val="bottom"/>
            <w:tcBorders>
              <w:top w:val="single" w:sz="8" w:color="0077C0"/>
            </w:tcBorders>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(3,445)</w:t>
            </w:r>
          </w:p>
        </w:tc>
        <w:tc>
          <w:tcPr>
            <w:tcW w:w="560" w:type="dxa"/>
            <w:vAlign w:val="bottom"/>
            <w:tcBorders>
              <w:top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20" w:type="dxa"/>
            <w:vAlign w:val="bottom"/>
            <w:tcBorders>
              <w:top w:val="single" w:sz="8" w:color="0077C0"/>
              <w:right w:val="single" w:sz="8" w:color="0077C0"/>
            </w:tcBorders>
          </w:tcPr>
          <w:p>
            <w:pPr>
              <w:jc w:val="right"/>
              <w:ind w:right="271"/>
              <w:spacing w:after="0" w:line="105" w:lineRule="exact"/>
              <w:rPr>
                <w:sz w:val="20"/>
                <w:szCs w:val="20"/>
                <w:color w:val="auto"/>
              </w:rPr>
            </w:pPr>
            <w:r>
              <w:rPr>
                <w:rFonts w:ascii="Arial" w:cs="Arial" w:eastAsia="Arial" w:hAnsi="Arial"/>
                <w:sz w:val="10"/>
                <w:szCs w:val="10"/>
                <w:b w:val="1"/>
                <w:bCs w:val="1"/>
                <w:color w:val="auto"/>
              </w:rPr>
              <w:t>(1,942)</w:t>
            </w:r>
          </w:p>
        </w:tc>
        <w:tc>
          <w:tcPr>
            <w:tcW w:w="46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w:t>
            </w:r>
          </w:p>
        </w:tc>
        <w:tc>
          <w:tcPr>
            <w:tcW w:w="820" w:type="dxa"/>
            <w:vAlign w:val="bottom"/>
            <w:tcBorders>
              <w:top w:val="single" w:sz="8" w:color="0077C0"/>
            </w:tcBorders>
          </w:tcPr>
          <w:p>
            <w:pPr>
              <w:jc w:val="right"/>
              <w:ind w:right="290"/>
              <w:spacing w:after="0" w:line="105" w:lineRule="exact"/>
              <w:rPr>
                <w:sz w:val="20"/>
                <w:szCs w:val="20"/>
                <w:color w:val="auto"/>
              </w:rPr>
            </w:pPr>
            <w:r>
              <w:rPr>
                <w:rFonts w:ascii="Arial" w:cs="Arial" w:eastAsia="Arial" w:hAnsi="Arial"/>
                <w:sz w:val="10"/>
                <w:szCs w:val="10"/>
                <w:color w:val="auto"/>
              </w:rPr>
              <w:t>(1,692)</w:t>
            </w:r>
          </w:p>
        </w:tc>
        <w:tc>
          <w:tcPr>
            <w:tcW w:w="38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(1,567)</w:t>
            </w:r>
          </w:p>
        </w:tc>
        <w:tc>
          <w:tcPr>
            <w:tcW w:w="3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top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77C0"/>
              <w:right w:val="single" w:sz="8" w:color="0077C0"/>
            </w:tcBorders>
          </w:tcPr>
          <w:p>
            <w:pPr>
              <w:jc w:val="right"/>
              <w:ind w:right="270"/>
              <w:spacing w:after="0" w:line="105" w:lineRule="exact"/>
              <w:rPr>
                <w:sz w:val="20"/>
                <w:szCs w:val="20"/>
                <w:color w:val="auto"/>
              </w:rPr>
            </w:pPr>
            <w:r>
              <w:rPr>
                <w:rFonts w:ascii="Arial" w:cs="Arial" w:eastAsia="Arial" w:hAnsi="Arial"/>
                <w:sz w:val="10"/>
                <w:szCs w:val="10"/>
                <w:b w:val="1"/>
                <w:bCs w:val="1"/>
                <w:color w:val="auto"/>
              </w:rPr>
              <w:t>(3,765)</w:t>
            </w:r>
          </w:p>
        </w:tc>
        <w:tc>
          <w:tcPr>
            <w:tcW w:w="320" w:type="dxa"/>
            <w:vAlign w:val="bottom"/>
            <w:tcBorders>
              <w:top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(3,605)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40" w:type="dxa"/>
            <w:vAlign w:val="bottom"/>
            <w:shd w:val="clear" w:color="auto" w:fill="0077C0"/>
          </w:tcPr>
          <w:p>
            <w:pPr>
              <w:spacing w:after="0"/>
              <w:rPr>
                <w:sz w:val="2"/>
                <w:szCs w:val="2"/>
                <w:color w:val="auto"/>
              </w:rPr>
            </w:pPr>
          </w:p>
        </w:tc>
        <w:tc>
          <w:tcPr>
            <w:tcW w:w="116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82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640" w:type="dxa"/>
            <w:vAlign w:val="bottom"/>
            <w:shd w:val="clear" w:color="auto" w:fill="0077C0"/>
          </w:tcPr>
          <w:p>
            <w:pPr>
              <w:spacing w:after="0"/>
              <w:rPr>
                <w:sz w:val="2"/>
                <w:szCs w:val="2"/>
                <w:color w:val="auto"/>
              </w:rPr>
            </w:pPr>
          </w:p>
        </w:tc>
        <w:tc>
          <w:tcPr>
            <w:tcW w:w="20" w:type="dxa"/>
            <w:vAlign w:val="bottom"/>
            <w:shd w:val="clear" w:color="auto" w:fill="0077C0"/>
          </w:tcPr>
          <w:p>
            <w:pPr>
              <w:spacing w:after="0"/>
              <w:rPr>
                <w:sz w:val="2"/>
                <w:szCs w:val="2"/>
                <w:color w:val="auto"/>
              </w:rPr>
            </w:pPr>
          </w:p>
        </w:tc>
        <w:tc>
          <w:tcPr>
            <w:tcW w:w="340" w:type="dxa"/>
            <w:vAlign w:val="bottom"/>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80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right="300" w:firstLine="153"/>
        <w:spacing w:after="0" w:line="267" w:lineRule="auto"/>
        <w:rPr>
          <w:sz w:val="20"/>
          <w:szCs w:val="20"/>
          <w:color w:val="auto"/>
        </w:rPr>
      </w:pPr>
      <w:r>
        <w:rPr>
          <w:rFonts w:ascii="Arial" w:cs="Arial" w:eastAsia="Arial" w:hAnsi="Arial"/>
          <w:sz w:val="13"/>
          <w:szCs w:val="13"/>
          <w:color w:val="auto"/>
        </w:rPr>
        <w:t>Amounts recognized on a before-tax basis in “Accumulated other comprehensive loss” for the company’s pension and OPEB plans were $9,279 and $6,749 at the end of 2011 and 2010, respectively. These amounts consisted of:</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Borders>
              <w:bottom w:val="single" w:sz="8" w:color="0077C0"/>
            </w:tcBorders>
          </w:tcPr>
          <w:p>
            <w:pPr>
              <w:spacing w:after="0"/>
              <w:rPr>
                <w:sz w:val="9"/>
                <w:szCs w:val="9"/>
                <w:color w:val="auto"/>
              </w:rPr>
            </w:pPr>
          </w:p>
        </w:tc>
        <w:tc>
          <w:tcPr>
            <w:tcW w:w="800" w:type="dxa"/>
            <w:vAlign w:val="bottom"/>
            <w:tcBorders>
              <w:bottom w:val="single" w:sz="8" w:color="0077C0"/>
            </w:tcBorders>
          </w:tcPr>
          <w:p>
            <w:pPr>
              <w:spacing w:after="0"/>
              <w:rPr>
                <w:sz w:val="9"/>
                <w:szCs w:val="9"/>
                <w:color w:val="auto"/>
              </w:rPr>
            </w:pPr>
          </w:p>
        </w:tc>
        <w:tc>
          <w:tcPr>
            <w:tcW w:w="580" w:type="dxa"/>
            <w:vAlign w:val="bottom"/>
            <w:tcBorders>
              <w:bottom w:val="single" w:sz="8" w:color="0077C0"/>
            </w:tcBorders>
          </w:tcPr>
          <w:p>
            <w:pPr>
              <w:spacing w:after="0"/>
              <w:rPr>
                <w:sz w:val="9"/>
                <w:szCs w:val="9"/>
                <w:color w:val="auto"/>
              </w:rPr>
            </w:pPr>
          </w:p>
        </w:tc>
        <w:tc>
          <w:tcPr>
            <w:tcW w:w="80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spacing w:after="0"/>
              <w:rPr>
                <w:sz w:val="9"/>
                <w:szCs w:val="9"/>
                <w:color w:val="auto"/>
              </w:rPr>
            </w:pPr>
          </w:p>
        </w:tc>
        <w:tc>
          <w:tcPr>
            <w:tcW w:w="800" w:type="dxa"/>
            <w:vAlign w:val="bottom"/>
            <w:tcBorders>
              <w:bottom w:val="single" w:sz="8" w:color="0077C0"/>
            </w:tcBorders>
          </w:tcPr>
          <w:p>
            <w:pPr>
              <w:spacing w:after="0"/>
              <w:rPr>
                <w:sz w:val="9"/>
                <w:szCs w:val="9"/>
                <w:color w:val="auto"/>
              </w:rPr>
            </w:pPr>
          </w:p>
        </w:tc>
        <w:tc>
          <w:tcPr>
            <w:tcW w:w="3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w w:val="91"/>
              </w:rPr>
              <w:t>Pension Benefits</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w w:val="93"/>
              </w:rPr>
              <w:t>Other Benefits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jc w:val="right"/>
              <w:ind w:right="311"/>
              <w:spacing w:after="0" w:line="86" w:lineRule="exact"/>
              <w:rPr>
                <w:sz w:val="20"/>
                <w:szCs w:val="20"/>
                <w:color w:val="auto"/>
              </w:rPr>
            </w:pPr>
            <w:r>
              <w:rPr>
                <w:rFonts w:ascii="Arial" w:cs="Arial" w:eastAsia="Arial" w:hAnsi="Arial"/>
                <w:sz w:val="9"/>
                <w:szCs w:val="9"/>
                <w:b w:val="1"/>
                <w:bCs w:val="1"/>
                <w:color w:val="auto"/>
              </w:rPr>
              <w:t>2011</w:t>
            </w: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Arial" w:cs="Arial" w:eastAsia="Arial" w:hAnsi="Arial"/>
                <w:sz w:val="9"/>
                <w:szCs w:val="9"/>
                <w:color w:val="auto"/>
              </w:rPr>
              <w:t>2010</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00" w:type="dxa"/>
            <w:vAlign w:val="bottom"/>
            <w:tcBorders>
              <w:bottom w:val="single" w:sz="8" w:color="0077C0"/>
            </w:tcBorders>
          </w:tcPr>
          <w:p>
            <w:pPr>
              <w:spacing w:after="0"/>
              <w:rPr>
                <w:sz w:val="7"/>
                <w:szCs w:val="7"/>
                <w:color w:val="auto"/>
              </w:rPr>
            </w:pPr>
          </w:p>
        </w:tc>
        <w:tc>
          <w:tcPr>
            <w:tcW w:w="1300" w:type="dxa"/>
            <w:vAlign w:val="bottom"/>
            <w:tcBorders>
              <w:bottom w:val="single" w:sz="8" w:color="0077C0"/>
            </w:tcBorders>
          </w:tcPr>
          <w:p>
            <w:pPr>
              <w:spacing w:after="0"/>
              <w:rPr>
                <w:sz w:val="7"/>
                <w:szCs w:val="7"/>
                <w:color w:val="auto"/>
              </w:rPr>
            </w:pPr>
          </w:p>
        </w:tc>
        <w:tc>
          <w:tcPr>
            <w:tcW w:w="260" w:type="dxa"/>
            <w:vAlign w:val="bottom"/>
            <w:tcBorders>
              <w:top w:val="single" w:sz="8" w:color="0077C0"/>
              <w:bottom w:val="single" w:sz="8" w:color="0077C0"/>
            </w:tcBorders>
          </w:tcPr>
          <w:p>
            <w:pPr>
              <w:spacing w:after="0"/>
              <w:rPr>
                <w:sz w:val="7"/>
                <w:szCs w:val="7"/>
                <w:color w:val="auto"/>
              </w:rPr>
            </w:pPr>
          </w:p>
        </w:tc>
        <w:tc>
          <w:tcPr>
            <w:tcW w:w="800" w:type="dxa"/>
            <w:vAlign w:val="bottom"/>
            <w:tcBorders>
              <w:top w:val="single" w:sz="8" w:color="0077C0"/>
              <w:bottom w:val="single" w:sz="8" w:color="0077C0"/>
            </w:tcBorders>
          </w:tcPr>
          <w:p>
            <w:pPr>
              <w:jc w:val="right"/>
              <w:ind w:right="310"/>
              <w:spacing w:after="0" w:line="86" w:lineRule="exact"/>
              <w:rPr>
                <w:sz w:val="20"/>
                <w:szCs w:val="20"/>
                <w:color w:val="auto"/>
              </w:rPr>
            </w:pPr>
            <w:r>
              <w:rPr>
                <w:rFonts w:ascii="Arial" w:cs="Arial" w:eastAsia="Arial" w:hAnsi="Arial"/>
                <w:sz w:val="9"/>
                <w:szCs w:val="9"/>
                <w:color w:val="auto"/>
              </w:rPr>
              <w:t>U.S.</w:t>
            </w:r>
          </w:p>
        </w:tc>
        <w:tc>
          <w:tcPr>
            <w:tcW w:w="580" w:type="dxa"/>
            <w:vAlign w:val="bottom"/>
            <w:tcBorders>
              <w:top w:val="single" w:sz="8" w:color="0077C0"/>
              <w:bottom w:val="single" w:sz="8" w:color="0077C0"/>
            </w:tcBorders>
          </w:tcPr>
          <w:p>
            <w:pPr>
              <w:spacing w:after="0"/>
              <w:rPr>
                <w:sz w:val="7"/>
                <w:szCs w:val="7"/>
                <w:color w:val="auto"/>
              </w:rPr>
            </w:pPr>
          </w:p>
        </w:tc>
        <w:tc>
          <w:tcPr>
            <w:tcW w:w="800" w:type="dxa"/>
            <w:vAlign w:val="bottom"/>
            <w:tcBorders>
              <w:top w:val="single" w:sz="8" w:color="0077C0"/>
              <w:bottom w:val="single" w:sz="8" w:color="0077C0"/>
            </w:tcBorders>
          </w:tcPr>
          <w:p>
            <w:pPr>
              <w:jc w:val="right"/>
              <w:ind w:right="311"/>
              <w:spacing w:after="0" w:line="86" w:lineRule="exact"/>
              <w:rPr>
                <w:sz w:val="20"/>
                <w:szCs w:val="20"/>
                <w:color w:val="auto"/>
              </w:rPr>
            </w:pPr>
            <w:r>
              <w:rPr>
                <w:rFonts w:ascii="Arial" w:cs="Arial" w:eastAsia="Arial" w:hAnsi="Arial"/>
                <w:sz w:val="9"/>
                <w:szCs w:val="9"/>
                <w:color w:val="auto"/>
              </w:rPr>
              <w:t>Int’l.</w:t>
            </w:r>
          </w:p>
        </w:tc>
        <w:tc>
          <w:tcPr>
            <w:tcW w:w="480" w:type="dxa"/>
            <w:vAlign w:val="bottom"/>
            <w:tcBorders>
              <w:top w:val="single" w:sz="8" w:color="0077C0"/>
              <w:bottom w:val="single" w:sz="8" w:color="0077C0"/>
            </w:tcBorders>
          </w:tcPr>
          <w:p>
            <w:pPr>
              <w:spacing w:after="0"/>
              <w:rPr>
                <w:sz w:val="7"/>
                <w:szCs w:val="7"/>
                <w:color w:val="auto"/>
              </w:rPr>
            </w:pPr>
          </w:p>
        </w:tc>
        <w:tc>
          <w:tcPr>
            <w:tcW w:w="800" w:type="dxa"/>
            <w:vAlign w:val="bottom"/>
            <w:tcBorders>
              <w:top w:val="single" w:sz="8" w:color="0077C0"/>
              <w:bottom w:val="single" w:sz="8" w:color="0077C0"/>
            </w:tcBorders>
          </w:tcPr>
          <w:p>
            <w:pPr>
              <w:jc w:val="right"/>
              <w:ind w:right="330"/>
              <w:spacing w:after="0" w:line="86" w:lineRule="exact"/>
              <w:rPr>
                <w:sz w:val="20"/>
                <w:szCs w:val="20"/>
                <w:color w:val="auto"/>
              </w:rPr>
            </w:pPr>
            <w:r>
              <w:rPr>
                <w:rFonts w:ascii="Arial" w:cs="Arial" w:eastAsia="Arial" w:hAnsi="Arial"/>
                <w:sz w:val="9"/>
                <w:szCs w:val="9"/>
                <w:color w:val="auto"/>
              </w:rPr>
              <w:t>U.S.</w:t>
            </w:r>
          </w:p>
        </w:tc>
        <w:tc>
          <w:tcPr>
            <w:tcW w:w="380" w:type="dxa"/>
            <w:vAlign w:val="bottom"/>
            <w:tcBorders>
              <w:top w:val="single" w:sz="8" w:color="0077C0"/>
              <w:bottom w:val="single" w:sz="8" w:color="0077C0"/>
            </w:tcBorders>
          </w:tcPr>
          <w:p>
            <w:pPr>
              <w:spacing w:after="0"/>
              <w:rPr>
                <w:sz w:val="7"/>
                <w:szCs w:val="7"/>
                <w:color w:val="auto"/>
              </w:rPr>
            </w:pPr>
          </w:p>
        </w:tc>
        <w:tc>
          <w:tcPr>
            <w:tcW w:w="6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680" w:type="dxa"/>
            <w:vAlign w:val="bottom"/>
          </w:tcPr>
          <w:p>
            <w:pPr>
              <w:spacing w:after="0"/>
              <w:rPr>
                <w:sz w:val="7"/>
                <w:szCs w:val="7"/>
                <w:color w:val="auto"/>
              </w:rPr>
            </w:pPr>
          </w:p>
        </w:tc>
        <w:tc>
          <w:tcPr>
            <w:tcW w:w="260" w:type="dxa"/>
            <w:vAlign w:val="bottom"/>
            <w:tcBorders>
              <w:top w:val="single" w:sz="8" w:color="0077C0"/>
              <w:bottom w:val="single" w:sz="8" w:color="0077C0"/>
            </w:tcBorders>
          </w:tcPr>
          <w:p>
            <w:pPr>
              <w:spacing w:after="0"/>
              <w:rPr>
                <w:sz w:val="7"/>
                <w:szCs w:val="7"/>
                <w:color w:val="auto"/>
              </w:rPr>
            </w:pPr>
          </w:p>
        </w:tc>
        <w:tc>
          <w:tcPr>
            <w:tcW w:w="780" w:type="dxa"/>
            <w:vAlign w:val="bottom"/>
            <w:tcBorders>
              <w:top w:val="single" w:sz="8" w:color="0077C0"/>
              <w:bottom w:val="single" w:sz="8" w:color="0077C0"/>
            </w:tcBorders>
          </w:tcPr>
          <w:p>
            <w:pPr>
              <w:jc w:val="right"/>
              <w:ind w:right="290"/>
              <w:spacing w:after="0" w:line="86" w:lineRule="exact"/>
              <w:rPr>
                <w:sz w:val="20"/>
                <w:szCs w:val="20"/>
                <w:color w:val="auto"/>
              </w:rPr>
            </w:pPr>
            <w:r>
              <w:rPr>
                <w:rFonts w:ascii="Arial" w:cs="Arial" w:eastAsia="Arial" w:hAnsi="Arial"/>
                <w:sz w:val="9"/>
                <w:szCs w:val="9"/>
                <w:b w:val="1"/>
                <w:bCs w:val="1"/>
                <w:color w:val="auto"/>
              </w:rPr>
              <w:t>2011</w:t>
            </w:r>
          </w:p>
        </w:tc>
        <w:tc>
          <w:tcPr>
            <w:tcW w:w="320" w:type="dxa"/>
            <w:vAlign w:val="bottom"/>
            <w:tcBorders>
              <w:top w:val="single" w:sz="8" w:color="0077C0"/>
              <w:bottom w:val="single" w:sz="8" w:color="0077C0"/>
            </w:tcBorders>
          </w:tcPr>
          <w:p>
            <w:pPr>
              <w:spacing w:after="0"/>
              <w:rPr>
                <w:sz w:val="7"/>
                <w:szCs w:val="7"/>
                <w:color w:val="auto"/>
              </w:rPr>
            </w:pPr>
          </w:p>
        </w:tc>
        <w:tc>
          <w:tcPr>
            <w:tcW w:w="5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00" w:type="dxa"/>
            <w:vAlign w:val="bottom"/>
          </w:tcPr>
          <w:p>
            <w:pPr>
              <w:spacing w:after="0" w:line="91" w:lineRule="exact"/>
              <w:rPr>
                <w:sz w:val="20"/>
                <w:szCs w:val="20"/>
                <w:color w:val="auto"/>
              </w:rPr>
            </w:pPr>
            <w:r>
              <w:rPr>
                <w:rFonts w:ascii="Arial" w:cs="Arial" w:eastAsia="Arial" w:hAnsi="Arial"/>
                <w:sz w:val="10"/>
                <w:szCs w:val="10"/>
                <w:color w:val="auto"/>
              </w:rPr>
              <w:t>Net actuarial loss</w:t>
            </w:r>
          </w:p>
        </w:tc>
        <w:tc>
          <w:tcPr>
            <w:tcW w:w="1560" w:type="dxa"/>
            <w:vAlign w:val="bottom"/>
            <w:gridSpan w:val="2"/>
          </w:tcPr>
          <w:p>
            <w:pPr>
              <w:jc w:val="right"/>
              <w:ind w:right="200"/>
              <w:spacing w:after="0" w:line="91"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310"/>
              <w:spacing w:after="0" w:line="91" w:lineRule="exact"/>
              <w:rPr>
                <w:sz w:val="20"/>
                <w:szCs w:val="20"/>
                <w:color w:val="auto"/>
              </w:rPr>
            </w:pPr>
            <w:r>
              <w:rPr>
                <w:rFonts w:ascii="Arial" w:cs="Arial" w:eastAsia="Arial" w:hAnsi="Arial"/>
                <w:sz w:val="10"/>
                <w:szCs w:val="10"/>
                <w:b w:val="1"/>
                <w:bCs w:val="1"/>
                <w:color w:val="auto"/>
              </w:rPr>
              <w:t>5,982</w:t>
            </w:r>
          </w:p>
        </w:tc>
        <w:tc>
          <w:tcPr>
            <w:tcW w:w="58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tcPr>
          <w:p>
            <w:pPr>
              <w:jc w:val="right"/>
              <w:ind w:right="311"/>
              <w:spacing w:after="0" w:line="91" w:lineRule="exact"/>
              <w:rPr>
                <w:sz w:val="20"/>
                <w:szCs w:val="20"/>
                <w:color w:val="auto"/>
              </w:rPr>
            </w:pPr>
            <w:r>
              <w:rPr>
                <w:rFonts w:ascii="Arial" w:cs="Arial" w:eastAsia="Arial" w:hAnsi="Arial"/>
                <w:sz w:val="10"/>
                <w:szCs w:val="10"/>
                <w:b w:val="1"/>
                <w:bCs w:val="1"/>
                <w:color w:val="auto"/>
              </w:rPr>
              <w:t>2,250</w:t>
            </w:r>
          </w:p>
        </w:tc>
        <w:tc>
          <w:tcPr>
            <w:tcW w:w="480" w:type="dxa"/>
            <w:vAlign w:val="bottom"/>
          </w:tcPr>
          <w:p>
            <w:pPr>
              <w:jc w:val="right"/>
              <w:ind w:right="169"/>
              <w:spacing w:after="0" w:line="91"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330"/>
              <w:spacing w:after="0" w:line="91" w:lineRule="exact"/>
              <w:rPr>
                <w:sz w:val="20"/>
                <w:szCs w:val="20"/>
                <w:color w:val="auto"/>
              </w:rPr>
            </w:pPr>
            <w:r>
              <w:rPr>
                <w:rFonts w:ascii="Arial" w:cs="Arial" w:eastAsia="Arial" w:hAnsi="Arial"/>
                <w:sz w:val="10"/>
                <w:szCs w:val="10"/>
                <w:color w:val="auto"/>
              </w:rPr>
              <w:t>3,919</w:t>
            </w:r>
          </w:p>
        </w:tc>
        <w:tc>
          <w:tcPr>
            <w:tcW w:w="3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1,903</w:t>
            </w:r>
          </w:p>
        </w:tc>
        <w:tc>
          <w:tcPr>
            <w:tcW w:w="680" w:type="dxa"/>
            <w:vAlign w:val="bottom"/>
          </w:tcPr>
          <w:p>
            <w:pPr>
              <w:spacing w:after="0"/>
              <w:rPr>
                <w:sz w:val="7"/>
                <w:szCs w:val="7"/>
                <w:color w:val="auto"/>
              </w:rPr>
            </w:pPr>
          </w:p>
        </w:tc>
        <w:tc>
          <w:tcPr>
            <w:tcW w:w="260" w:type="dxa"/>
            <w:vAlign w:val="bottom"/>
          </w:tcPr>
          <w:p>
            <w:pPr>
              <w:jc w:val="right"/>
              <w:ind w:right="149"/>
              <w:spacing w:after="0" w:line="91"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right w:val="single" w:sz="8" w:color="0077C0"/>
            </w:tcBorders>
          </w:tcPr>
          <w:p>
            <w:pPr>
              <w:jc w:val="right"/>
              <w:ind w:right="290"/>
              <w:spacing w:after="0" w:line="91" w:lineRule="exact"/>
              <w:rPr>
                <w:sz w:val="20"/>
                <w:szCs w:val="20"/>
                <w:color w:val="auto"/>
              </w:rPr>
            </w:pPr>
            <w:r>
              <w:rPr>
                <w:rFonts w:ascii="Arial" w:cs="Arial" w:eastAsia="Arial" w:hAnsi="Arial"/>
                <w:sz w:val="10"/>
                <w:szCs w:val="10"/>
                <w:b w:val="1"/>
                <w:bCs w:val="1"/>
                <w:color w:val="auto"/>
              </w:rPr>
              <w:t>1,002</w:t>
            </w:r>
          </w:p>
        </w:tc>
        <w:tc>
          <w:tcPr>
            <w:tcW w:w="320" w:type="dxa"/>
            <w:vAlign w:val="bottom"/>
          </w:tcPr>
          <w:p>
            <w:pPr>
              <w:jc w:val="right"/>
              <w:ind w:right="9"/>
              <w:spacing w:after="0" w:line="9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91" w:lineRule="exact"/>
              <w:rPr>
                <w:sz w:val="20"/>
                <w:szCs w:val="20"/>
                <w:color w:val="auto"/>
              </w:rPr>
            </w:pPr>
            <w:r>
              <w:rPr>
                <w:rFonts w:ascii="Arial" w:cs="Arial" w:eastAsia="Arial" w:hAnsi="Arial"/>
                <w:sz w:val="10"/>
                <w:szCs w:val="10"/>
                <w:color w:val="auto"/>
              </w:rPr>
              <w:t>935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720" w:type="dxa"/>
            <w:vAlign w:val="bottom"/>
            <w:gridSpan w:val="2"/>
          </w:tcPr>
          <w:p>
            <w:pPr>
              <w:spacing w:after="0"/>
              <w:rPr>
                <w:sz w:val="20"/>
                <w:szCs w:val="20"/>
                <w:color w:val="auto"/>
              </w:rPr>
            </w:pPr>
            <w:r>
              <w:rPr>
                <w:rFonts w:ascii="Arial" w:cs="Arial" w:eastAsia="Arial" w:hAnsi="Arial"/>
                <w:sz w:val="10"/>
                <w:szCs w:val="10"/>
                <w:color w:val="auto"/>
              </w:rPr>
              <w:t>Prior service (credit) costs</w:t>
            </w: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b w:val="1"/>
                <w:bCs w:val="1"/>
                <w:color w:val="auto"/>
              </w:rPr>
              <w:t>(44)</w:t>
            </w:r>
          </w:p>
        </w:tc>
        <w:tc>
          <w:tcPr>
            <w:tcW w:w="580" w:type="dxa"/>
            <w:vAlign w:val="bottom"/>
          </w:tcPr>
          <w:p>
            <w:pPr>
              <w:spacing w:after="0"/>
              <w:rPr>
                <w:sz w:val="10"/>
                <w:szCs w:val="10"/>
                <w:color w:val="auto"/>
              </w:rPr>
            </w:pPr>
          </w:p>
        </w:tc>
        <w:tc>
          <w:tcPr>
            <w:tcW w:w="800" w:type="dxa"/>
            <w:vAlign w:val="bottom"/>
            <w:tcBorders>
              <w:right w:val="single" w:sz="8" w:color="0077C0"/>
            </w:tcBorders>
          </w:tcPr>
          <w:p>
            <w:pPr>
              <w:jc w:val="right"/>
              <w:ind w:right="311"/>
              <w:spacing w:after="0"/>
              <w:rPr>
                <w:sz w:val="20"/>
                <w:szCs w:val="20"/>
                <w:color w:val="auto"/>
              </w:rPr>
            </w:pPr>
            <w:r>
              <w:rPr>
                <w:rFonts w:ascii="Arial" w:cs="Arial" w:eastAsia="Arial" w:hAnsi="Arial"/>
                <w:sz w:val="10"/>
                <w:szCs w:val="10"/>
                <w:b w:val="1"/>
                <w:bCs w:val="1"/>
                <w:color w:val="auto"/>
              </w:rPr>
              <w:t>152</w:t>
            </w:r>
          </w:p>
        </w:tc>
        <w:tc>
          <w:tcPr>
            <w:tcW w:w="480" w:type="dxa"/>
            <w:vAlign w:val="bottom"/>
          </w:tcPr>
          <w:p>
            <w:pPr>
              <w:spacing w:after="0"/>
              <w:rPr>
                <w:sz w:val="10"/>
                <w:szCs w:val="10"/>
                <w:color w:val="auto"/>
              </w:rPr>
            </w:pPr>
          </w:p>
        </w:tc>
        <w:tc>
          <w:tcPr>
            <w:tcW w:w="800" w:type="dxa"/>
            <w:vAlign w:val="bottom"/>
          </w:tcPr>
          <w:p>
            <w:pPr>
              <w:jc w:val="right"/>
              <w:ind w:right="290"/>
              <w:spacing w:after="0"/>
              <w:rPr>
                <w:sz w:val="20"/>
                <w:szCs w:val="20"/>
                <w:color w:val="auto"/>
              </w:rPr>
            </w:pPr>
            <w:r>
              <w:rPr>
                <w:rFonts w:ascii="Arial" w:cs="Arial" w:eastAsia="Arial" w:hAnsi="Arial"/>
                <w:sz w:val="10"/>
                <w:szCs w:val="10"/>
                <w:color w:val="auto"/>
              </w:rPr>
              <w:t>(52)</w:t>
            </w:r>
          </w:p>
        </w:tc>
        <w:tc>
          <w:tcPr>
            <w:tcW w:w="3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179</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right w:val="single" w:sz="8" w:color="0077C0"/>
            </w:tcBorders>
          </w:tcPr>
          <w:p>
            <w:pPr>
              <w:jc w:val="right"/>
              <w:ind w:right="270"/>
              <w:spacing w:after="0"/>
              <w:rPr>
                <w:sz w:val="20"/>
                <w:szCs w:val="20"/>
                <w:color w:val="auto"/>
              </w:rPr>
            </w:pPr>
            <w:r>
              <w:rPr>
                <w:rFonts w:ascii="Arial" w:cs="Arial" w:eastAsia="Arial" w:hAnsi="Arial"/>
                <w:sz w:val="10"/>
                <w:szCs w:val="10"/>
                <w:b w:val="1"/>
                <w:bCs w:val="1"/>
                <w:color w:val="auto"/>
              </w:rPr>
              <w:t>(63)</w:t>
            </w:r>
          </w:p>
        </w:tc>
        <w:tc>
          <w:tcPr>
            <w:tcW w:w="32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05"/>
        </w:trPr>
        <w:tc>
          <w:tcPr>
            <w:tcW w:w="2720" w:type="dxa"/>
            <w:vAlign w:val="bottom"/>
            <w:tcBorders>
              <w:top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Total recognized at December 31</w:t>
            </w:r>
          </w:p>
        </w:tc>
        <w:tc>
          <w:tcPr>
            <w:tcW w:w="1560" w:type="dxa"/>
            <w:vAlign w:val="bottom"/>
            <w:tcBorders>
              <w:top w:val="single" w:sz="8" w:color="0077C0"/>
            </w:tcBorders>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5,938</w:t>
            </w:r>
          </w:p>
        </w:tc>
        <w:tc>
          <w:tcPr>
            <w:tcW w:w="58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0077C0"/>
              <w:right w:val="single" w:sz="8" w:color="0077C0"/>
            </w:tcBorders>
          </w:tcPr>
          <w:p>
            <w:pPr>
              <w:jc w:val="right"/>
              <w:ind w:right="311"/>
              <w:spacing w:after="0" w:line="105" w:lineRule="exact"/>
              <w:rPr>
                <w:sz w:val="20"/>
                <w:szCs w:val="20"/>
                <w:color w:val="auto"/>
              </w:rPr>
            </w:pPr>
            <w:r>
              <w:rPr>
                <w:rFonts w:ascii="Arial" w:cs="Arial" w:eastAsia="Arial" w:hAnsi="Arial"/>
                <w:sz w:val="10"/>
                <w:szCs w:val="10"/>
                <w:b w:val="1"/>
                <w:bCs w:val="1"/>
                <w:color w:val="auto"/>
              </w:rPr>
              <w:t>2,402</w:t>
            </w:r>
          </w:p>
        </w:tc>
        <w:tc>
          <w:tcPr>
            <w:tcW w:w="480" w:type="dxa"/>
            <w:vAlign w:val="bottom"/>
            <w:tcBorders>
              <w:top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0077C0"/>
            </w:tcBorders>
          </w:tcPr>
          <w:p>
            <w:pPr>
              <w:jc w:val="right"/>
              <w:ind w:right="330"/>
              <w:spacing w:after="0" w:line="105" w:lineRule="exact"/>
              <w:rPr>
                <w:sz w:val="20"/>
                <w:szCs w:val="20"/>
                <w:color w:val="auto"/>
              </w:rPr>
            </w:pPr>
            <w:r>
              <w:rPr>
                <w:rFonts w:ascii="Arial" w:cs="Arial" w:eastAsia="Arial" w:hAnsi="Arial"/>
                <w:sz w:val="10"/>
                <w:szCs w:val="10"/>
                <w:color w:val="auto"/>
              </w:rPr>
              <w:t>3,867</w:t>
            </w:r>
          </w:p>
        </w:tc>
        <w:tc>
          <w:tcPr>
            <w:tcW w:w="38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2,082</w:t>
            </w:r>
          </w:p>
        </w:tc>
        <w:tc>
          <w:tcPr>
            <w:tcW w:w="680" w:type="dxa"/>
            <w:vAlign w:val="bottom"/>
          </w:tcPr>
          <w:p>
            <w:pPr>
              <w:spacing w:after="0"/>
              <w:rPr>
                <w:sz w:val="9"/>
                <w:szCs w:val="9"/>
                <w:color w:val="auto"/>
              </w:rPr>
            </w:pPr>
          </w:p>
        </w:tc>
        <w:tc>
          <w:tcPr>
            <w:tcW w:w="260" w:type="dxa"/>
            <w:vAlign w:val="bottom"/>
            <w:tcBorders>
              <w:top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0077C0"/>
              <w:right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939</w:t>
            </w:r>
          </w:p>
        </w:tc>
        <w:tc>
          <w:tcPr>
            <w:tcW w:w="320" w:type="dxa"/>
            <w:vAlign w:val="bottom"/>
            <w:tcBorders>
              <w:top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top w:val="single" w:sz="8" w:color="0077C0"/>
            </w:tcBorders>
          </w:tcPr>
          <w:p>
            <w:pPr>
              <w:jc w:val="right"/>
              <w:spacing w:after="0" w:line="105" w:lineRule="exact"/>
              <w:rPr>
                <w:sz w:val="20"/>
                <w:szCs w:val="20"/>
                <w:color w:val="auto"/>
              </w:rPr>
            </w:pPr>
            <w:r>
              <w:rPr>
                <w:rFonts w:ascii="Arial" w:cs="Arial" w:eastAsia="Arial" w:hAnsi="Arial"/>
                <w:sz w:val="10"/>
                <w:szCs w:val="10"/>
                <w:color w:val="auto"/>
              </w:rPr>
              <w:t>800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00" w:type="dxa"/>
            <w:vAlign w:val="bottom"/>
            <w:shd w:val="clear" w:color="auto" w:fill="0077C0"/>
          </w:tcPr>
          <w:p>
            <w:pPr>
              <w:spacing w:after="0"/>
              <w:rPr>
                <w:sz w:val="2"/>
                <w:szCs w:val="2"/>
                <w:color w:val="auto"/>
              </w:rPr>
            </w:pPr>
          </w:p>
        </w:tc>
        <w:tc>
          <w:tcPr>
            <w:tcW w:w="130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580" w:type="dxa"/>
            <w:vAlign w:val="bottom"/>
            <w:shd w:val="clear" w:color="auto" w:fill="0077C0"/>
          </w:tcPr>
          <w:p>
            <w:pPr>
              <w:spacing w:after="0"/>
              <w:rPr>
                <w:sz w:val="2"/>
                <w:szCs w:val="2"/>
                <w:color w:val="auto"/>
              </w:rPr>
            </w:pPr>
          </w:p>
        </w:tc>
        <w:tc>
          <w:tcPr>
            <w:tcW w:w="800" w:type="dxa"/>
            <w:vAlign w:val="bottom"/>
            <w:tcBorders>
              <w:right w:val="single" w:sz="8" w:color="0077C0"/>
            </w:tcBorders>
            <w:shd w:val="clear" w:color="auto" w:fill="0077C0"/>
          </w:tcPr>
          <w:p>
            <w:pPr>
              <w:spacing w:after="0"/>
              <w:rPr>
                <w:sz w:val="2"/>
                <w:szCs w:val="2"/>
                <w:color w:val="auto"/>
              </w:rPr>
            </w:pPr>
          </w:p>
        </w:tc>
        <w:tc>
          <w:tcPr>
            <w:tcW w:w="480" w:type="dxa"/>
            <w:vAlign w:val="bottom"/>
            <w:shd w:val="clear" w:color="auto" w:fill="0077C0"/>
          </w:tcPr>
          <w:p>
            <w:pPr>
              <w:spacing w:after="0"/>
              <w:rPr>
                <w:sz w:val="2"/>
                <w:szCs w:val="2"/>
                <w:color w:val="auto"/>
              </w:rPr>
            </w:pPr>
          </w:p>
        </w:tc>
        <w:tc>
          <w:tcPr>
            <w:tcW w:w="80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640" w:type="dxa"/>
            <w:vAlign w:val="bottom"/>
            <w:shd w:val="clear" w:color="auto" w:fill="0077C0"/>
          </w:tcPr>
          <w:p>
            <w:pPr>
              <w:spacing w:after="0"/>
              <w:rPr>
                <w:sz w:val="2"/>
                <w:szCs w:val="2"/>
                <w:color w:val="auto"/>
              </w:rPr>
            </w:pPr>
          </w:p>
        </w:tc>
        <w:tc>
          <w:tcPr>
            <w:tcW w:w="68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78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56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accumulated benefit obligations for all U.S. and international pension plans were $11,198 and $4,518, respectively, at December 31, 2011, and $9,535 and $4,161, respectively, at December 31, 2010.</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00"/>
          </w:cols>
          <w:pgMar w:left="220" w:top="338" w:right="27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76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Information for U.S. and international pension plans with an accumulated benefit obligation in excess of plan assets at December 31, 2011 and 2010, was: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9"/>
                <w:szCs w:val="9"/>
                <w:color w:val="auto"/>
                <w:w w:val="91"/>
              </w:rPr>
              <w:t>Pension Benefits</w:t>
            </w:r>
          </w:p>
        </w:tc>
      </w:tr>
      <w:tr>
        <w:trPr>
          <w:trHeight w:val="86"/>
        </w:trPr>
        <w:tc>
          <w:tcPr>
            <w:tcW w:w="3220" w:type="dxa"/>
            <w:vAlign w:val="bottom"/>
          </w:tcPr>
          <w:p>
            <w:pPr>
              <w:spacing w:after="0"/>
              <w:rPr>
                <w:sz w:val="7"/>
                <w:szCs w:val="7"/>
                <w:color w:val="auto"/>
              </w:rPr>
            </w:pPr>
          </w:p>
        </w:tc>
        <w:tc>
          <w:tcPr>
            <w:tcW w:w="500" w:type="dxa"/>
            <w:vAlign w:val="bottom"/>
            <w:tcBorders>
              <w:top w:val="single" w:sz="8" w:color="0077C0"/>
              <w:bottom w:val="single" w:sz="8" w:color="0077C0"/>
            </w:tcBorders>
          </w:tcPr>
          <w:p>
            <w:pPr>
              <w:spacing w:after="0"/>
              <w:rPr>
                <w:sz w:val="7"/>
                <w:szCs w:val="7"/>
                <w:color w:val="auto"/>
              </w:rPr>
            </w:pPr>
          </w:p>
        </w:tc>
        <w:tc>
          <w:tcPr>
            <w:tcW w:w="660" w:type="dxa"/>
            <w:vAlign w:val="bottom"/>
            <w:tcBorders>
              <w:top w:val="single" w:sz="8" w:color="0077C0"/>
              <w:bottom w:val="single" w:sz="8" w:color="0077C0"/>
            </w:tcBorders>
          </w:tcPr>
          <w:p>
            <w:pPr>
              <w:jc w:val="right"/>
              <w:ind w:right="131"/>
              <w:spacing w:after="0" w:line="86" w:lineRule="exact"/>
              <w:rPr>
                <w:sz w:val="20"/>
                <w:szCs w:val="20"/>
                <w:color w:val="auto"/>
              </w:rPr>
            </w:pPr>
            <w:r>
              <w:rPr>
                <w:rFonts w:ascii="Arial" w:cs="Arial" w:eastAsia="Arial" w:hAnsi="Arial"/>
                <w:sz w:val="9"/>
                <w:szCs w:val="9"/>
                <w:b w:val="1"/>
                <w:bCs w:val="1"/>
                <w:color w:val="auto"/>
              </w:rPr>
              <w:t>2011</w:t>
            </w:r>
          </w:p>
        </w:tc>
        <w:tc>
          <w:tcPr>
            <w:tcW w:w="480" w:type="dxa"/>
            <w:vAlign w:val="bottom"/>
            <w:tcBorders>
              <w:top w:val="single" w:sz="8" w:color="0077C0"/>
              <w:bottom w:val="single" w:sz="8" w:color="0077C0"/>
            </w:tcBorders>
          </w:tcPr>
          <w:p>
            <w:pPr>
              <w:spacing w:after="0"/>
              <w:rPr>
                <w:sz w:val="7"/>
                <w:szCs w:val="7"/>
                <w:color w:val="auto"/>
              </w:rPr>
            </w:pPr>
          </w:p>
        </w:tc>
        <w:tc>
          <w:tcPr>
            <w:tcW w:w="6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2010</w:t>
            </w:r>
          </w:p>
        </w:tc>
        <w:tc>
          <w:tcPr>
            <w:tcW w:w="20" w:type="dxa"/>
            <w:vAlign w:val="bottom"/>
          </w:tcPr>
          <w:p>
            <w:pPr>
              <w:spacing w:after="0"/>
              <w:rPr>
                <w:sz w:val="7"/>
                <w:szCs w:val="7"/>
                <w:color w:val="auto"/>
              </w:rPr>
            </w:pPr>
          </w:p>
        </w:tc>
      </w:tr>
      <w:tr>
        <w:trPr>
          <w:trHeight w:val="86"/>
        </w:trPr>
        <w:tc>
          <w:tcPr>
            <w:tcW w:w="3220" w:type="dxa"/>
            <w:vAlign w:val="bottom"/>
            <w:tcBorders>
              <w:bottom w:val="single" w:sz="8" w:color="0077C0"/>
            </w:tcBorders>
          </w:tcPr>
          <w:p>
            <w:pPr>
              <w:spacing w:after="0"/>
              <w:rPr>
                <w:sz w:val="7"/>
                <w:szCs w:val="7"/>
                <w:color w:val="auto"/>
              </w:rPr>
            </w:pPr>
          </w:p>
        </w:tc>
        <w:tc>
          <w:tcPr>
            <w:tcW w:w="500" w:type="dxa"/>
            <w:vAlign w:val="bottom"/>
            <w:tcBorders>
              <w:bottom w:val="single" w:sz="8" w:color="0077C0"/>
            </w:tcBorders>
          </w:tcPr>
          <w:p>
            <w:pPr>
              <w:jc w:val="right"/>
              <w:ind w:right="110"/>
              <w:spacing w:after="0" w:line="86" w:lineRule="exact"/>
              <w:rPr>
                <w:sz w:val="20"/>
                <w:szCs w:val="20"/>
                <w:color w:val="auto"/>
              </w:rPr>
            </w:pPr>
            <w:r>
              <w:rPr>
                <w:rFonts w:ascii="Arial" w:cs="Arial" w:eastAsia="Arial" w:hAnsi="Arial"/>
                <w:sz w:val="9"/>
                <w:szCs w:val="9"/>
                <w:color w:val="auto"/>
              </w:rPr>
              <w:t>U.S.</w:t>
            </w:r>
          </w:p>
        </w:tc>
        <w:tc>
          <w:tcPr>
            <w:tcW w:w="660" w:type="dxa"/>
            <w:vAlign w:val="bottom"/>
            <w:tcBorders>
              <w:bottom w:val="single" w:sz="8" w:color="0077C0"/>
            </w:tcBorders>
          </w:tcPr>
          <w:p>
            <w:pPr>
              <w:jc w:val="right"/>
              <w:ind w:right="131"/>
              <w:spacing w:after="0" w:line="86" w:lineRule="exact"/>
              <w:rPr>
                <w:sz w:val="20"/>
                <w:szCs w:val="20"/>
                <w:color w:val="auto"/>
              </w:rPr>
            </w:pPr>
            <w:r>
              <w:rPr>
                <w:rFonts w:ascii="Arial" w:cs="Arial" w:eastAsia="Arial" w:hAnsi="Arial"/>
                <w:sz w:val="9"/>
                <w:szCs w:val="9"/>
                <w:color w:val="auto"/>
              </w:rPr>
              <w:t>Int’l.</w:t>
            </w:r>
          </w:p>
        </w:tc>
        <w:tc>
          <w:tcPr>
            <w:tcW w:w="48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U.S.</w:t>
            </w:r>
          </w:p>
        </w:tc>
        <w:tc>
          <w:tcPr>
            <w:tcW w:w="64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20" w:type="dxa"/>
            <w:vAlign w:val="bottom"/>
          </w:tcPr>
          <w:p>
            <w:pPr>
              <w:spacing w:after="0"/>
              <w:rPr>
                <w:sz w:val="7"/>
                <w:szCs w:val="7"/>
                <w:color w:val="auto"/>
              </w:rPr>
            </w:pPr>
          </w:p>
        </w:tc>
      </w:tr>
      <w:tr>
        <w:trPr>
          <w:trHeight w:val="90"/>
        </w:trPr>
        <w:tc>
          <w:tcPr>
            <w:tcW w:w="3220" w:type="dxa"/>
            <w:vAlign w:val="bottom"/>
          </w:tcPr>
          <w:p>
            <w:pPr>
              <w:spacing w:after="0" w:line="91" w:lineRule="exact"/>
              <w:rPr>
                <w:sz w:val="20"/>
                <w:szCs w:val="20"/>
                <w:color w:val="auto"/>
              </w:rPr>
            </w:pPr>
            <w:r>
              <w:rPr>
                <w:rFonts w:ascii="Arial" w:cs="Arial" w:eastAsia="Arial" w:hAnsi="Arial"/>
                <w:sz w:val="10"/>
                <w:szCs w:val="10"/>
                <w:color w:val="auto"/>
              </w:rPr>
              <w:t>Projected benefit obligations</w:t>
            </w:r>
          </w:p>
        </w:tc>
        <w:tc>
          <w:tcPr>
            <w:tcW w:w="500" w:type="dxa"/>
            <w:vAlign w:val="bottom"/>
          </w:tcPr>
          <w:p>
            <w:pPr>
              <w:jc w:val="right"/>
              <w:ind w:right="110"/>
              <w:spacing w:after="0" w:line="91" w:lineRule="exact"/>
              <w:rPr>
                <w:sz w:val="20"/>
                <w:szCs w:val="20"/>
                <w:color w:val="auto"/>
              </w:rPr>
            </w:pPr>
            <w:r>
              <w:rPr>
                <w:rFonts w:ascii="Arial" w:cs="Arial" w:eastAsia="Arial" w:hAnsi="Arial"/>
                <w:sz w:val="10"/>
                <w:szCs w:val="10"/>
                <w:b w:val="1"/>
                <w:bCs w:val="1"/>
                <w:color w:val="auto"/>
                <w:w w:val="82"/>
              </w:rPr>
              <w:t>$ 12,157</w:t>
            </w:r>
          </w:p>
        </w:tc>
        <w:tc>
          <w:tcPr>
            <w:tcW w:w="660" w:type="dxa"/>
            <w:vAlign w:val="bottom"/>
            <w:tcBorders>
              <w:right w:val="single" w:sz="8" w:color="0077C0"/>
            </w:tcBorders>
          </w:tcPr>
          <w:p>
            <w:pPr>
              <w:jc w:val="right"/>
              <w:ind w:right="131"/>
              <w:spacing w:after="0" w:line="91" w:lineRule="exact"/>
              <w:rPr>
                <w:sz w:val="20"/>
                <w:szCs w:val="20"/>
                <w:color w:val="auto"/>
              </w:rPr>
            </w:pPr>
            <w:r>
              <w:rPr>
                <w:rFonts w:ascii="Arial" w:cs="Arial" w:eastAsia="Arial" w:hAnsi="Arial"/>
                <w:sz w:val="10"/>
                <w:szCs w:val="10"/>
                <w:b w:val="1"/>
                <w:bCs w:val="1"/>
                <w:color w:val="auto"/>
              </w:rPr>
              <w:t>$ 4,207</w:t>
            </w:r>
          </w:p>
        </w:tc>
        <w:tc>
          <w:tcPr>
            <w:tcW w:w="480" w:type="dxa"/>
            <w:vAlign w:val="bottom"/>
          </w:tcPr>
          <w:p>
            <w:pPr>
              <w:jc w:val="right"/>
              <w:spacing w:after="0" w:line="91" w:lineRule="exact"/>
              <w:rPr>
                <w:sz w:val="20"/>
                <w:szCs w:val="20"/>
                <w:color w:val="auto"/>
              </w:rPr>
            </w:pPr>
            <w:r>
              <w:rPr>
                <w:rFonts w:ascii="Arial" w:cs="Arial" w:eastAsia="Arial" w:hAnsi="Arial"/>
                <w:sz w:val="10"/>
                <w:szCs w:val="10"/>
                <w:color w:val="auto"/>
              </w:rPr>
              <w:t>$ 10,265</w:t>
            </w:r>
          </w:p>
        </w:tc>
        <w:tc>
          <w:tcPr>
            <w:tcW w:w="640" w:type="dxa"/>
            <w:vAlign w:val="bottom"/>
          </w:tcPr>
          <w:p>
            <w:pPr>
              <w:jc w:val="right"/>
              <w:spacing w:after="0" w:line="91" w:lineRule="exact"/>
              <w:rPr>
                <w:sz w:val="20"/>
                <w:szCs w:val="20"/>
                <w:color w:val="auto"/>
              </w:rPr>
            </w:pPr>
            <w:r>
              <w:rPr>
                <w:rFonts w:ascii="Arial" w:cs="Arial" w:eastAsia="Arial" w:hAnsi="Arial"/>
                <w:sz w:val="10"/>
                <w:szCs w:val="10"/>
                <w:color w:val="auto"/>
              </w:rPr>
              <w:t>$  3,668</w:t>
            </w:r>
          </w:p>
        </w:tc>
        <w:tc>
          <w:tcPr>
            <w:tcW w:w="20" w:type="dxa"/>
            <w:vAlign w:val="bottom"/>
          </w:tcPr>
          <w:p>
            <w:pPr>
              <w:spacing w:after="0"/>
              <w:rPr>
                <w:sz w:val="7"/>
                <w:szCs w:val="7"/>
                <w:color w:val="auto"/>
              </w:rPr>
            </w:pPr>
          </w:p>
        </w:tc>
      </w:tr>
      <w:tr>
        <w:trPr>
          <w:trHeight w:val="106"/>
        </w:trPr>
        <w:tc>
          <w:tcPr>
            <w:tcW w:w="3220" w:type="dxa"/>
            <w:vAlign w:val="bottom"/>
          </w:tcPr>
          <w:p>
            <w:pPr>
              <w:spacing w:after="0" w:line="106" w:lineRule="exact"/>
              <w:rPr>
                <w:sz w:val="20"/>
                <w:szCs w:val="20"/>
                <w:color w:val="auto"/>
              </w:rPr>
            </w:pPr>
            <w:r>
              <w:rPr>
                <w:rFonts w:ascii="Arial" w:cs="Arial" w:eastAsia="Arial" w:hAnsi="Arial"/>
                <w:sz w:val="10"/>
                <w:szCs w:val="10"/>
                <w:color w:val="auto"/>
              </w:rPr>
              <w:t>Accumulated benefit obligations</w:t>
            </w:r>
          </w:p>
        </w:tc>
        <w:tc>
          <w:tcPr>
            <w:tcW w:w="500" w:type="dxa"/>
            <w:vAlign w:val="bottom"/>
          </w:tcPr>
          <w:p>
            <w:pPr>
              <w:jc w:val="right"/>
              <w:ind w:right="110"/>
              <w:spacing w:after="0" w:line="106" w:lineRule="exact"/>
              <w:rPr>
                <w:sz w:val="20"/>
                <w:szCs w:val="20"/>
                <w:color w:val="auto"/>
              </w:rPr>
            </w:pPr>
            <w:r>
              <w:rPr>
                <w:rFonts w:ascii="Arial" w:cs="Arial" w:eastAsia="Arial" w:hAnsi="Arial"/>
                <w:sz w:val="10"/>
                <w:szCs w:val="10"/>
                <w:b w:val="1"/>
                <w:bCs w:val="1"/>
                <w:color w:val="auto"/>
              </w:rPr>
              <w:t>11,191</w:t>
            </w:r>
          </w:p>
        </w:tc>
        <w:tc>
          <w:tcPr>
            <w:tcW w:w="660" w:type="dxa"/>
            <w:vAlign w:val="bottom"/>
            <w:tcBorders>
              <w:right w:val="single" w:sz="8" w:color="0077C0"/>
            </w:tcBorders>
          </w:tcPr>
          <w:p>
            <w:pPr>
              <w:jc w:val="right"/>
              <w:ind w:right="131"/>
              <w:spacing w:after="0" w:line="106" w:lineRule="exact"/>
              <w:rPr>
                <w:sz w:val="20"/>
                <w:szCs w:val="20"/>
                <w:color w:val="auto"/>
              </w:rPr>
            </w:pPr>
            <w:r>
              <w:rPr>
                <w:rFonts w:ascii="Arial" w:cs="Arial" w:eastAsia="Arial" w:hAnsi="Arial"/>
                <w:sz w:val="10"/>
                <w:szCs w:val="10"/>
                <w:b w:val="1"/>
                <w:bCs w:val="1"/>
                <w:color w:val="auto"/>
              </w:rPr>
              <w:t>3,586</w:t>
            </w: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9,528</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3,113</w:t>
            </w:r>
          </w:p>
        </w:tc>
        <w:tc>
          <w:tcPr>
            <w:tcW w:w="20" w:type="dxa"/>
            <w:vAlign w:val="bottom"/>
          </w:tcPr>
          <w:p>
            <w:pPr>
              <w:spacing w:after="0"/>
              <w:rPr>
                <w:sz w:val="9"/>
                <w:szCs w:val="9"/>
                <w:color w:val="auto"/>
              </w:rPr>
            </w:pPr>
          </w:p>
        </w:tc>
      </w:tr>
      <w:tr>
        <w:trPr>
          <w:trHeight w:val="129"/>
        </w:trPr>
        <w:tc>
          <w:tcPr>
            <w:tcW w:w="32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Fair value of plan assets</w:t>
            </w:r>
          </w:p>
        </w:tc>
        <w:tc>
          <w:tcPr>
            <w:tcW w:w="500" w:type="dxa"/>
            <w:vAlign w:val="bottom"/>
            <w:tcBorders>
              <w:bottom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8,707</w:t>
            </w:r>
          </w:p>
        </w:tc>
        <w:tc>
          <w:tcPr>
            <w:tcW w:w="660" w:type="dxa"/>
            <w:vAlign w:val="bottom"/>
            <w:tcBorders>
              <w:bottom w:val="single" w:sz="8" w:color="0077C0"/>
              <w:right w:val="single" w:sz="8" w:color="0077C0"/>
            </w:tcBorders>
          </w:tcPr>
          <w:p>
            <w:pPr>
              <w:jc w:val="right"/>
              <w:ind w:right="131"/>
              <w:spacing w:after="0"/>
              <w:rPr>
                <w:sz w:val="20"/>
                <w:szCs w:val="20"/>
                <w:color w:val="auto"/>
              </w:rPr>
            </w:pPr>
            <w:r>
              <w:rPr>
                <w:rFonts w:ascii="Arial" w:cs="Arial" w:eastAsia="Arial" w:hAnsi="Arial"/>
                <w:sz w:val="10"/>
                <w:szCs w:val="10"/>
                <w:b w:val="1"/>
                <w:bCs w:val="1"/>
                <w:color w:val="auto"/>
              </w:rPr>
              <w:t>2,357</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8,566</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2,190</w:t>
            </w:r>
          </w:p>
        </w:tc>
        <w:tc>
          <w:tcPr>
            <w:tcW w:w="20" w:type="dxa"/>
            <w:vAlign w:val="bottom"/>
          </w:tcPr>
          <w:p>
            <w:pPr>
              <w:spacing w:after="0"/>
              <w:rPr>
                <w:sz w:val="11"/>
                <w:szCs w:val="11"/>
                <w:color w:val="auto"/>
              </w:rPr>
            </w:pPr>
          </w:p>
        </w:tc>
      </w:tr>
    </w:tbl>
    <w:p>
      <w:pPr>
        <w:spacing w:after="0" w:line="2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components of net periodic benefit cost and amounts recognized in other comprehensive income for 2011, 2010 and 2009 are shown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9"/>
                <w:szCs w:val="9"/>
                <w:color w:val="auto"/>
              </w:rPr>
              <w:t>Pension Benefits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9"/>
                <w:szCs w:val="9"/>
                <w:color w:val="auto"/>
              </w:rPr>
              <w:t>Other Benefits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190"/>
              <w:spacing w:after="0" w:line="86" w:lineRule="exact"/>
              <w:rPr>
                <w:sz w:val="20"/>
                <w:szCs w:val="20"/>
                <w:color w:val="auto"/>
              </w:rPr>
            </w:pPr>
            <w:r>
              <w:rPr>
                <w:rFonts w:ascii="Arial" w:cs="Arial" w:eastAsia="Arial" w:hAnsi="Arial"/>
                <w:sz w:val="9"/>
                <w:szCs w:val="9"/>
                <w:b w:val="1"/>
                <w:bCs w:val="1"/>
                <w:color w:val="auto"/>
              </w:rPr>
              <w:t>2011</w:t>
            </w:r>
          </w:p>
        </w:tc>
        <w:tc>
          <w:tcPr>
            <w:tcW w:w="56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0"/>
              <w:spacing w:after="0" w:line="86" w:lineRule="exact"/>
              <w:rPr>
                <w:sz w:val="20"/>
                <w:szCs w:val="20"/>
                <w:color w:val="auto"/>
              </w:rPr>
            </w:pPr>
            <w:r>
              <w:rPr>
                <w:rFonts w:ascii="Arial" w:cs="Arial" w:eastAsia="Arial" w:hAnsi="Arial"/>
                <w:sz w:val="9"/>
                <w:szCs w:val="9"/>
                <w:color w:val="auto"/>
              </w:rPr>
              <w:t>2010</w:t>
            </w:r>
          </w:p>
        </w:tc>
        <w:tc>
          <w:tcPr>
            <w:tcW w:w="4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44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Borders>
              <w:bottom w:val="single" w:sz="8" w:color="0077C0"/>
            </w:tcBorders>
          </w:tcPr>
          <w:p>
            <w:pPr>
              <w:spacing w:after="0"/>
              <w:rPr>
                <w:sz w:val="7"/>
                <w:szCs w:val="7"/>
                <w:color w:val="auto"/>
              </w:rPr>
            </w:pPr>
          </w:p>
        </w:tc>
        <w:tc>
          <w:tcPr>
            <w:tcW w:w="260" w:type="dxa"/>
            <w:vAlign w:val="bottom"/>
            <w:tcBorders>
              <w:bottom w:val="single" w:sz="8" w:color="0077C0"/>
            </w:tcBorders>
          </w:tcPr>
          <w:p>
            <w:pPr>
              <w:spacing w:after="0"/>
              <w:rPr>
                <w:sz w:val="7"/>
                <w:szCs w:val="7"/>
                <w:color w:val="auto"/>
              </w:rPr>
            </w:pPr>
          </w:p>
        </w:tc>
        <w:tc>
          <w:tcPr>
            <w:tcW w:w="200" w:type="dxa"/>
            <w:vAlign w:val="bottom"/>
            <w:tcBorders>
              <w:top w:val="single" w:sz="8" w:color="0077C0"/>
              <w:bottom w:val="single" w:sz="8" w:color="0077C0"/>
            </w:tcBorders>
          </w:tcPr>
          <w:p>
            <w:pPr>
              <w:spacing w:after="0"/>
              <w:rPr>
                <w:sz w:val="7"/>
                <w:szCs w:val="7"/>
                <w:color w:val="auto"/>
              </w:rPr>
            </w:pPr>
          </w:p>
        </w:tc>
        <w:tc>
          <w:tcPr>
            <w:tcW w:w="62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U.S.</w:t>
            </w:r>
          </w:p>
        </w:tc>
        <w:tc>
          <w:tcPr>
            <w:tcW w:w="440" w:type="dxa"/>
            <w:vAlign w:val="bottom"/>
            <w:tcBorders>
              <w:top w:val="single" w:sz="8" w:color="0077C0"/>
              <w:bottom w:val="single" w:sz="8" w:color="0077C0"/>
            </w:tcBorders>
          </w:tcPr>
          <w:p>
            <w:pPr>
              <w:spacing w:after="0"/>
              <w:rPr>
                <w:sz w:val="7"/>
                <w:szCs w:val="7"/>
                <w:color w:val="auto"/>
              </w:rPr>
            </w:pPr>
          </w:p>
        </w:tc>
        <w:tc>
          <w:tcPr>
            <w:tcW w:w="600" w:type="dxa"/>
            <w:vAlign w:val="bottom"/>
            <w:tcBorders>
              <w:top w:val="single" w:sz="8" w:color="0077C0"/>
              <w:bottom w:val="single" w:sz="8" w:color="0077C0"/>
            </w:tcBorders>
          </w:tcPr>
          <w:p>
            <w:pPr>
              <w:jc w:val="right"/>
              <w:ind w:right="190"/>
              <w:spacing w:after="0" w:line="86" w:lineRule="exact"/>
              <w:rPr>
                <w:sz w:val="20"/>
                <w:szCs w:val="20"/>
                <w:color w:val="auto"/>
              </w:rPr>
            </w:pPr>
            <w:r>
              <w:rPr>
                <w:rFonts w:ascii="Arial" w:cs="Arial" w:eastAsia="Arial" w:hAnsi="Arial"/>
                <w:sz w:val="9"/>
                <w:szCs w:val="9"/>
                <w:color w:val="auto"/>
              </w:rPr>
              <w:t>Int’l.</w:t>
            </w:r>
          </w:p>
        </w:tc>
        <w:tc>
          <w:tcPr>
            <w:tcW w:w="560" w:type="dxa"/>
            <w:vAlign w:val="bottom"/>
            <w:tcBorders>
              <w:top w:val="single" w:sz="8" w:color="0077C0"/>
              <w:bottom w:val="single" w:sz="8" w:color="0077C0"/>
            </w:tcBorders>
          </w:tcPr>
          <w:p>
            <w:pPr>
              <w:spacing w:after="0"/>
              <w:rPr>
                <w:sz w:val="7"/>
                <w:szCs w:val="7"/>
                <w:color w:val="auto"/>
              </w:rPr>
            </w:pPr>
          </w:p>
        </w:tc>
        <w:tc>
          <w:tcPr>
            <w:tcW w:w="60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U.S.</w:t>
            </w:r>
          </w:p>
        </w:tc>
        <w:tc>
          <w:tcPr>
            <w:tcW w:w="440" w:type="dxa"/>
            <w:vAlign w:val="bottom"/>
            <w:tcBorders>
              <w:top w:val="single" w:sz="8" w:color="0077C0"/>
              <w:bottom w:val="single" w:sz="8" w:color="0077C0"/>
            </w:tcBorders>
          </w:tcPr>
          <w:p>
            <w:pPr>
              <w:spacing w:after="0"/>
              <w:rPr>
                <w:sz w:val="7"/>
                <w:szCs w:val="7"/>
                <w:color w:val="auto"/>
              </w:rPr>
            </w:pPr>
          </w:p>
        </w:tc>
        <w:tc>
          <w:tcPr>
            <w:tcW w:w="600" w:type="dxa"/>
            <w:vAlign w:val="bottom"/>
            <w:tcBorders>
              <w:top w:val="single" w:sz="8" w:color="0077C0"/>
              <w:bottom w:val="single" w:sz="8" w:color="0077C0"/>
            </w:tcBorders>
          </w:tcPr>
          <w:p>
            <w:pPr>
              <w:jc w:val="right"/>
              <w:ind w:right="210"/>
              <w:spacing w:after="0" w:line="86" w:lineRule="exact"/>
              <w:rPr>
                <w:sz w:val="20"/>
                <w:szCs w:val="20"/>
                <w:color w:val="auto"/>
              </w:rPr>
            </w:pPr>
            <w:r>
              <w:rPr>
                <w:rFonts w:ascii="Arial" w:cs="Arial" w:eastAsia="Arial" w:hAnsi="Arial"/>
                <w:sz w:val="9"/>
                <w:szCs w:val="9"/>
                <w:color w:val="auto"/>
              </w:rPr>
              <w:t>Int’l.</w:t>
            </w:r>
          </w:p>
        </w:tc>
        <w:tc>
          <w:tcPr>
            <w:tcW w:w="400" w:type="dxa"/>
            <w:vAlign w:val="bottom"/>
            <w:tcBorders>
              <w:top w:val="single" w:sz="8" w:color="0077C0"/>
              <w:bottom w:val="single" w:sz="8" w:color="0077C0"/>
            </w:tcBorders>
          </w:tcPr>
          <w:p>
            <w:pPr>
              <w:spacing w:after="0"/>
              <w:rPr>
                <w:sz w:val="7"/>
                <w:szCs w:val="7"/>
                <w:color w:val="auto"/>
              </w:rPr>
            </w:pPr>
          </w:p>
        </w:tc>
        <w:tc>
          <w:tcPr>
            <w:tcW w:w="62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U.S.</w:t>
            </w:r>
          </w:p>
        </w:tc>
        <w:tc>
          <w:tcPr>
            <w:tcW w:w="440" w:type="dxa"/>
            <w:vAlign w:val="bottom"/>
            <w:tcBorders>
              <w:top w:val="single" w:sz="8" w:color="0077C0"/>
              <w:bottom w:val="single" w:sz="8" w:color="0077C0"/>
            </w:tcBorders>
          </w:tcPr>
          <w:p>
            <w:pPr>
              <w:spacing w:after="0"/>
              <w:rPr>
                <w:sz w:val="7"/>
                <w:szCs w:val="7"/>
                <w:color w:val="auto"/>
              </w:rPr>
            </w:pPr>
          </w:p>
        </w:tc>
        <w:tc>
          <w:tcPr>
            <w:tcW w:w="36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top w:val="single" w:sz="8" w:color="0077C0"/>
              <w:bottom w:val="single" w:sz="8" w:color="0077C0"/>
            </w:tcBorders>
          </w:tcPr>
          <w:p>
            <w:pPr>
              <w:spacing w:after="0"/>
              <w:rPr>
                <w:sz w:val="7"/>
                <w:szCs w:val="7"/>
                <w:color w:val="auto"/>
              </w:rPr>
            </w:pPr>
          </w:p>
        </w:tc>
        <w:tc>
          <w:tcPr>
            <w:tcW w:w="560" w:type="dxa"/>
            <w:vAlign w:val="bottom"/>
            <w:tcBorders>
              <w:top w:val="single" w:sz="8" w:color="0077C0"/>
              <w:bottom w:val="single" w:sz="8" w:color="0077C0"/>
            </w:tcBorders>
          </w:tcPr>
          <w:p>
            <w:pPr>
              <w:jc w:val="right"/>
              <w:ind w:right="169"/>
              <w:spacing w:after="0" w:line="86" w:lineRule="exact"/>
              <w:rPr>
                <w:sz w:val="20"/>
                <w:szCs w:val="20"/>
                <w:color w:val="auto"/>
              </w:rPr>
            </w:pPr>
            <w:r>
              <w:rPr>
                <w:rFonts w:ascii="Arial" w:cs="Arial" w:eastAsia="Arial" w:hAnsi="Arial"/>
                <w:sz w:val="9"/>
                <w:szCs w:val="9"/>
                <w:b w:val="1"/>
                <w:bCs w:val="1"/>
                <w:color w:val="auto"/>
              </w:rPr>
              <w:t>2011</w:t>
            </w:r>
          </w:p>
        </w:tc>
        <w:tc>
          <w:tcPr>
            <w:tcW w:w="540" w:type="dxa"/>
            <w:vAlign w:val="bottom"/>
            <w:tcBorders>
              <w:top w:val="single" w:sz="8" w:color="0077C0"/>
              <w:bottom w:val="single" w:sz="8" w:color="0077C0"/>
            </w:tcBorders>
          </w:tcPr>
          <w:p>
            <w:pPr>
              <w:spacing w:after="0"/>
              <w:rPr>
                <w:sz w:val="7"/>
                <w:szCs w:val="7"/>
                <w:color w:val="auto"/>
              </w:rPr>
            </w:pPr>
          </w:p>
        </w:tc>
        <w:tc>
          <w:tcPr>
            <w:tcW w:w="540" w:type="dxa"/>
            <w:vAlign w:val="bottom"/>
            <w:tcBorders>
              <w:top w:val="single" w:sz="8" w:color="0077C0"/>
              <w:bottom w:val="single" w:sz="8" w:color="0077C0"/>
            </w:tcBorders>
          </w:tcPr>
          <w:p>
            <w:pPr>
              <w:jc w:val="right"/>
              <w:ind w:right="149"/>
              <w:spacing w:after="0" w:line="86" w:lineRule="exact"/>
              <w:rPr>
                <w:sz w:val="20"/>
                <w:szCs w:val="20"/>
                <w:color w:val="auto"/>
              </w:rPr>
            </w:pPr>
            <w:r>
              <w:rPr>
                <w:rFonts w:ascii="Arial" w:cs="Arial" w:eastAsia="Arial" w:hAnsi="Arial"/>
                <w:sz w:val="9"/>
                <w:szCs w:val="9"/>
                <w:color w:val="auto"/>
              </w:rPr>
              <w:t>2010</w:t>
            </w:r>
          </w:p>
        </w:tc>
        <w:tc>
          <w:tcPr>
            <w:tcW w:w="400" w:type="dxa"/>
            <w:vAlign w:val="bottom"/>
            <w:tcBorders>
              <w:top w:val="single" w:sz="8" w:color="0077C0"/>
              <w:bottom w:val="single" w:sz="8" w:color="0077C0"/>
            </w:tcBorders>
          </w:tcPr>
          <w:p>
            <w:pPr>
              <w:spacing w:after="0"/>
              <w:rPr>
                <w:sz w:val="7"/>
                <w:szCs w:val="7"/>
                <w:color w:val="auto"/>
              </w:rPr>
            </w:pPr>
          </w:p>
        </w:tc>
        <w:tc>
          <w:tcPr>
            <w:tcW w:w="30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240" w:type="dxa"/>
            <w:vAlign w:val="bottom"/>
          </w:tcPr>
          <w:p>
            <w:pPr>
              <w:spacing w:after="0" w:line="83" w:lineRule="exact"/>
              <w:rPr>
                <w:sz w:val="20"/>
                <w:szCs w:val="20"/>
                <w:color w:val="auto"/>
              </w:rPr>
            </w:pPr>
            <w:r>
              <w:rPr>
                <w:rFonts w:ascii="Arial" w:cs="Arial" w:eastAsia="Arial" w:hAnsi="Arial"/>
                <w:sz w:val="9"/>
                <w:szCs w:val="9"/>
                <w:b w:val="1"/>
                <w:bCs w:val="1"/>
                <w:color w:val="auto"/>
              </w:rPr>
              <w:t>Net Periodic Benefit Cost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374</w:t>
            </w:r>
          </w:p>
        </w:tc>
        <w:tc>
          <w:tcPr>
            <w:tcW w:w="44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600" w:type="dxa"/>
            <w:vAlign w:val="bottom"/>
            <w:tcBorders>
              <w:right w:val="single" w:sz="8" w:color="0077C0"/>
            </w:tcBorders>
            <w:vMerge w:val="restart"/>
          </w:tcPr>
          <w:p>
            <w:pPr>
              <w:jc w:val="right"/>
              <w:ind w:right="190"/>
              <w:spacing w:after="0"/>
              <w:rPr>
                <w:sz w:val="20"/>
                <w:szCs w:val="20"/>
                <w:color w:val="auto"/>
              </w:rPr>
            </w:pPr>
            <w:r>
              <w:rPr>
                <w:rFonts w:ascii="Arial" w:cs="Arial" w:eastAsia="Arial" w:hAnsi="Arial"/>
                <w:sz w:val="10"/>
                <w:szCs w:val="10"/>
                <w:b w:val="1"/>
                <w:bCs w:val="1"/>
                <w:color w:val="auto"/>
              </w:rPr>
              <w:t>174</w:t>
            </w: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w:t>
            </w:r>
          </w:p>
        </w:tc>
        <w:tc>
          <w:tcPr>
            <w:tcW w:w="56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58</w:t>
            </w: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40" w:type="dxa"/>
            <w:vAlign w:val="bottom"/>
          </w:tcPr>
          <w:p>
            <w:pPr>
              <w:ind w:left="120"/>
              <w:spacing w:after="0" w:line="104" w:lineRule="exact"/>
              <w:rPr>
                <w:sz w:val="20"/>
                <w:szCs w:val="20"/>
                <w:color w:val="auto"/>
              </w:rPr>
            </w:pPr>
            <w:r>
              <w:rPr>
                <w:rFonts w:ascii="Arial" w:cs="Arial" w:eastAsia="Arial" w:hAnsi="Arial"/>
                <w:sz w:val="10"/>
                <w:szCs w:val="10"/>
                <w:color w:val="auto"/>
              </w:rPr>
              <w:t>Service cost</w:t>
            </w:r>
          </w:p>
        </w:tc>
        <w:tc>
          <w:tcPr>
            <w:tcW w:w="4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56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337</w:t>
            </w:r>
          </w:p>
        </w:tc>
        <w:tc>
          <w:tcPr>
            <w:tcW w:w="440" w:type="dxa"/>
            <w:vAlign w:val="bottom"/>
          </w:tcPr>
          <w:p>
            <w:pPr>
              <w:jc w:val="right"/>
              <w:ind w:right="129"/>
              <w:spacing w:after="0" w:line="104"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210"/>
              <w:spacing w:after="0" w:line="104" w:lineRule="exact"/>
              <w:rPr>
                <w:sz w:val="20"/>
                <w:szCs w:val="20"/>
                <w:color w:val="auto"/>
              </w:rPr>
            </w:pPr>
            <w:r>
              <w:rPr>
                <w:rFonts w:ascii="Arial" w:cs="Arial" w:eastAsia="Arial" w:hAnsi="Arial"/>
                <w:sz w:val="10"/>
                <w:szCs w:val="10"/>
                <w:color w:val="auto"/>
              </w:rPr>
              <w:t>153</w:t>
            </w:r>
          </w:p>
        </w:tc>
        <w:tc>
          <w:tcPr>
            <w:tcW w:w="40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266</w:t>
            </w:r>
          </w:p>
        </w:tc>
        <w:tc>
          <w:tcPr>
            <w:tcW w:w="440" w:type="dxa"/>
            <w:vAlign w:val="bottom"/>
          </w:tcPr>
          <w:p>
            <w:pPr>
              <w:jc w:val="right"/>
              <w:ind w:right="111"/>
              <w:spacing w:after="0" w:line="104"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128</w:t>
            </w:r>
          </w:p>
        </w:tc>
        <w:tc>
          <w:tcPr>
            <w:tcW w:w="2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560" w:type="dxa"/>
            <w:vAlign w:val="bottom"/>
            <w:tcBorders>
              <w:right w:val="single" w:sz="8" w:color="0077C0"/>
            </w:tcBorders>
            <w:vMerge w:val="continue"/>
          </w:tcPr>
          <w:p>
            <w:pPr>
              <w:spacing w:after="0"/>
              <w:rPr>
                <w:sz w:val="9"/>
                <w:szCs w:val="9"/>
                <w:color w:val="auto"/>
              </w:rPr>
            </w:pPr>
          </w:p>
        </w:tc>
        <w:tc>
          <w:tcPr>
            <w:tcW w:w="5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39</w:t>
            </w:r>
          </w:p>
        </w:tc>
        <w:tc>
          <w:tcPr>
            <w:tcW w:w="400" w:type="dxa"/>
            <w:vAlign w:val="bottom"/>
          </w:tcPr>
          <w:p>
            <w:pPr>
              <w:jc w:val="right"/>
              <w:ind w:right="51"/>
              <w:spacing w:after="0" w:line="104"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Interest cost</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463</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325</w:t>
            </w:r>
          </w:p>
        </w:tc>
        <w:tc>
          <w:tcPr>
            <w:tcW w:w="56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486</w:t>
            </w:r>
          </w:p>
        </w:tc>
        <w:tc>
          <w:tcPr>
            <w:tcW w:w="440" w:type="dxa"/>
            <w:vAlign w:val="bottom"/>
          </w:tcPr>
          <w:p>
            <w:pPr>
              <w:spacing w:after="0"/>
              <w:rPr>
                <w:sz w:val="9"/>
                <w:szCs w:val="9"/>
                <w:color w:val="auto"/>
              </w:rPr>
            </w:pPr>
          </w:p>
        </w:tc>
        <w:tc>
          <w:tcPr>
            <w:tcW w:w="6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307</w:t>
            </w:r>
          </w:p>
        </w:tc>
        <w:tc>
          <w:tcPr>
            <w:tcW w:w="4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481</w:t>
            </w:r>
          </w:p>
        </w:tc>
        <w:tc>
          <w:tcPr>
            <w:tcW w:w="44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292</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180</w:t>
            </w:r>
          </w:p>
        </w:tc>
        <w:tc>
          <w:tcPr>
            <w:tcW w:w="54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175</w:t>
            </w:r>
          </w:p>
        </w:tc>
        <w:tc>
          <w:tcPr>
            <w:tcW w:w="4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180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Expected return on plan assets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(613)</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50"/>
              <w:spacing w:after="0" w:line="106" w:lineRule="exact"/>
              <w:rPr>
                <w:sz w:val="20"/>
                <w:szCs w:val="20"/>
                <w:color w:val="auto"/>
              </w:rPr>
            </w:pPr>
            <w:r>
              <w:rPr>
                <w:rFonts w:ascii="Arial" w:cs="Arial" w:eastAsia="Arial" w:hAnsi="Arial"/>
                <w:sz w:val="10"/>
                <w:szCs w:val="10"/>
                <w:b w:val="1"/>
                <w:bCs w:val="1"/>
                <w:color w:val="auto"/>
              </w:rPr>
              <w:t>(283)</w:t>
            </w:r>
          </w:p>
        </w:tc>
        <w:tc>
          <w:tcPr>
            <w:tcW w:w="56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(538)</w:t>
            </w:r>
          </w:p>
        </w:tc>
        <w:tc>
          <w:tcPr>
            <w:tcW w:w="440" w:type="dxa"/>
            <w:vAlign w:val="bottom"/>
          </w:tcPr>
          <w:p>
            <w:pPr>
              <w:spacing w:after="0"/>
              <w:rPr>
                <w:sz w:val="9"/>
                <w:szCs w:val="9"/>
                <w:color w:val="auto"/>
              </w:rPr>
            </w:pPr>
          </w:p>
        </w:tc>
        <w:tc>
          <w:tcPr>
            <w:tcW w:w="60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(241)</w:t>
            </w:r>
          </w:p>
        </w:tc>
        <w:tc>
          <w:tcPr>
            <w:tcW w:w="4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(395)</w:t>
            </w:r>
          </w:p>
        </w:tc>
        <w:tc>
          <w:tcPr>
            <w:tcW w:w="440" w:type="dxa"/>
            <w:vAlign w:val="bottom"/>
          </w:tcPr>
          <w:p>
            <w:pPr>
              <w:spacing w:after="0"/>
              <w:rPr>
                <w:sz w:val="9"/>
                <w:szCs w:val="9"/>
                <w:color w:val="auto"/>
              </w:rPr>
            </w:pPr>
          </w:p>
        </w:tc>
        <w:tc>
          <w:tcPr>
            <w:tcW w:w="6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(203)</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Amortization of prior service (credits) costs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(8)</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19</w:t>
            </w:r>
          </w:p>
        </w:tc>
        <w:tc>
          <w:tcPr>
            <w:tcW w:w="56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w:t>
            </w:r>
          </w:p>
        </w:tc>
        <w:tc>
          <w:tcPr>
            <w:tcW w:w="440" w:type="dxa"/>
            <w:vAlign w:val="bottom"/>
          </w:tcPr>
          <w:p>
            <w:pPr>
              <w:spacing w:after="0"/>
              <w:rPr>
                <w:sz w:val="9"/>
                <w:szCs w:val="9"/>
                <w:color w:val="auto"/>
              </w:rPr>
            </w:pPr>
          </w:p>
        </w:tc>
        <w:tc>
          <w:tcPr>
            <w:tcW w:w="6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22</w:t>
            </w:r>
          </w:p>
        </w:tc>
        <w:tc>
          <w:tcPr>
            <w:tcW w:w="4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w:t>
            </w:r>
          </w:p>
        </w:tc>
        <w:tc>
          <w:tcPr>
            <w:tcW w:w="44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23</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(72)</w:t>
            </w:r>
          </w:p>
        </w:tc>
        <w:tc>
          <w:tcPr>
            <w:tcW w:w="540" w:type="dxa"/>
            <w:vAlign w:val="bottom"/>
          </w:tcPr>
          <w:p>
            <w:pPr>
              <w:spacing w:after="0"/>
              <w:rPr>
                <w:sz w:val="9"/>
                <w:szCs w:val="9"/>
                <w:color w:val="auto"/>
              </w:rPr>
            </w:pPr>
          </w:p>
        </w:tc>
        <w:tc>
          <w:tcPr>
            <w:tcW w:w="5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(75)</w:t>
            </w:r>
          </w:p>
        </w:tc>
        <w:tc>
          <w:tcPr>
            <w:tcW w:w="40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Recognized actuarial losses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310</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101</w:t>
            </w:r>
          </w:p>
        </w:tc>
        <w:tc>
          <w:tcPr>
            <w:tcW w:w="56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318</w:t>
            </w:r>
          </w:p>
        </w:tc>
        <w:tc>
          <w:tcPr>
            <w:tcW w:w="440" w:type="dxa"/>
            <w:vAlign w:val="bottom"/>
          </w:tcPr>
          <w:p>
            <w:pPr>
              <w:spacing w:after="0"/>
              <w:rPr>
                <w:sz w:val="9"/>
                <w:szCs w:val="9"/>
                <w:color w:val="auto"/>
              </w:rPr>
            </w:pPr>
          </w:p>
        </w:tc>
        <w:tc>
          <w:tcPr>
            <w:tcW w:w="6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98</w:t>
            </w:r>
          </w:p>
        </w:tc>
        <w:tc>
          <w:tcPr>
            <w:tcW w:w="4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298</w:t>
            </w:r>
          </w:p>
        </w:tc>
        <w:tc>
          <w:tcPr>
            <w:tcW w:w="44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108</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64</w:t>
            </w:r>
          </w:p>
        </w:tc>
        <w:tc>
          <w:tcPr>
            <w:tcW w:w="54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27</w:t>
            </w:r>
          </w:p>
        </w:tc>
        <w:tc>
          <w:tcPr>
            <w:tcW w:w="4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Settlement losses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298</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186</w:t>
            </w:r>
          </w:p>
        </w:tc>
        <w:tc>
          <w:tcPr>
            <w:tcW w:w="440" w:type="dxa"/>
            <w:vAlign w:val="bottom"/>
          </w:tcPr>
          <w:p>
            <w:pPr>
              <w:spacing w:after="0"/>
              <w:rPr>
                <w:sz w:val="9"/>
                <w:szCs w:val="9"/>
                <w:color w:val="auto"/>
              </w:rPr>
            </w:pPr>
          </w:p>
        </w:tc>
        <w:tc>
          <w:tcPr>
            <w:tcW w:w="6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6</w:t>
            </w:r>
          </w:p>
        </w:tc>
        <w:tc>
          <w:tcPr>
            <w:tcW w:w="4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141</w:t>
            </w:r>
          </w:p>
        </w:tc>
        <w:tc>
          <w:tcPr>
            <w:tcW w:w="44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40" w:type="dxa"/>
            <w:vAlign w:val="bottom"/>
          </w:tcPr>
          <w:p>
            <w:pPr>
              <w:ind w:left="120"/>
              <w:spacing w:after="0"/>
              <w:rPr>
                <w:sz w:val="20"/>
                <w:szCs w:val="20"/>
                <w:color w:val="auto"/>
              </w:rPr>
            </w:pPr>
            <w:r>
              <w:rPr>
                <w:rFonts w:ascii="Arial" w:cs="Arial" w:eastAsia="Arial" w:hAnsi="Arial"/>
                <w:sz w:val="10"/>
                <w:szCs w:val="10"/>
                <w:color w:val="auto"/>
              </w:rPr>
              <w:t>Curtailment losses (gains)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10"/>
                <w:szCs w:val="10"/>
                <w:color w:val="auto"/>
              </w:rPr>
            </w:pPr>
          </w:p>
        </w:tc>
        <w:tc>
          <w:tcPr>
            <w:tcW w:w="600" w:type="dxa"/>
            <w:vAlign w:val="bottom"/>
            <w:tcBorders>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35</w:t>
            </w:r>
          </w:p>
        </w:tc>
        <w:tc>
          <w:tcPr>
            <w:tcW w:w="56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600" w:type="dxa"/>
            <w:vAlign w:val="bottom"/>
          </w:tcPr>
          <w:p>
            <w:pPr>
              <w:jc w:val="right"/>
              <w:ind w:right="21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(10)</w:t>
            </w:r>
          </w:p>
        </w:tc>
        <w:tc>
          <w:tcPr>
            <w:tcW w:w="54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2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Total net periodic benefit cost</w:t>
            </w:r>
          </w:p>
        </w:tc>
        <w:tc>
          <w:tcPr>
            <w:tcW w:w="260" w:type="dxa"/>
            <w:vAlign w:val="bottom"/>
            <w:tcBorders>
              <w:top w:val="single" w:sz="8" w:color="0077C0"/>
              <w:bottom w:val="single" w:sz="8" w:color="0077C0"/>
            </w:tcBorders>
          </w:tcPr>
          <w:p>
            <w:pPr>
              <w:spacing w:after="0"/>
              <w:rPr>
                <w:sz w:val="9"/>
                <w:szCs w:val="9"/>
                <w:color w:val="auto"/>
              </w:rPr>
            </w:pPr>
          </w:p>
        </w:tc>
        <w:tc>
          <w:tcPr>
            <w:tcW w:w="20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824</w:t>
            </w:r>
          </w:p>
        </w:tc>
        <w:tc>
          <w:tcPr>
            <w:tcW w:w="44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right w:val="single" w:sz="8" w:color="0077C0"/>
            </w:tcBorders>
          </w:tcPr>
          <w:p>
            <w:pPr>
              <w:jc w:val="right"/>
              <w:ind w:right="190"/>
              <w:spacing w:after="0" w:line="105" w:lineRule="exact"/>
              <w:rPr>
                <w:sz w:val="20"/>
                <w:szCs w:val="20"/>
                <w:color w:val="auto"/>
              </w:rPr>
            </w:pPr>
            <w:r>
              <w:rPr>
                <w:rFonts w:ascii="Arial" w:cs="Arial" w:eastAsia="Arial" w:hAnsi="Arial"/>
                <w:sz w:val="10"/>
                <w:szCs w:val="10"/>
                <w:b w:val="1"/>
                <w:bCs w:val="1"/>
                <w:color w:val="auto"/>
              </w:rPr>
              <w:t>371</w:t>
            </w:r>
          </w:p>
        </w:tc>
        <w:tc>
          <w:tcPr>
            <w:tcW w:w="56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781</w:t>
            </w:r>
          </w:p>
        </w:tc>
        <w:tc>
          <w:tcPr>
            <w:tcW w:w="44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210"/>
              <w:spacing w:after="0" w:line="105" w:lineRule="exact"/>
              <w:rPr>
                <w:sz w:val="20"/>
                <w:szCs w:val="20"/>
                <w:color w:val="auto"/>
              </w:rPr>
            </w:pPr>
            <w:r>
              <w:rPr>
                <w:rFonts w:ascii="Arial" w:cs="Arial" w:eastAsia="Arial" w:hAnsi="Arial"/>
                <w:sz w:val="10"/>
                <w:szCs w:val="10"/>
                <w:color w:val="auto"/>
              </w:rPr>
              <w:t>345</w:t>
            </w:r>
          </w:p>
        </w:tc>
        <w:tc>
          <w:tcPr>
            <w:tcW w:w="400" w:type="dxa"/>
            <w:vAlign w:val="bottom"/>
            <w:tcBorders>
              <w:top w:val="single" w:sz="8" w:color="0077C0"/>
              <w:bottom w:val="single" w:sz="8" w:color="0077C0"/>
            </w:tcBorders>
          </w:tcPr>
          <w:p>
            <w:pPr>
              <w:spacing w:after="0"/>
              <w:rPr>
                <w:sz w:val="9"/>
                <w:szCs w:val="9"/>
                <w:color w:val="auto"/>
              </w:rPr>
            </w:pPr>
          </w:p>
        </w:tc>
        <w:tc>
          <w:tcPr>
            <w:tcW w:w="62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784</w:t>
            </w:r>
          </w:p>
        </w:tc>
        <w:tc>
          <w:tcPr>
            <w:tcW w:w="44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349</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0077C0"/>
              <w:bottom w:val="single" w:sz="8" w:color="0077C0"/>
            </w:tcBorders>
          </w:tcPr>
          <w:p>
            <w:pPr>
              <w:spacing w:after="0"/>
              <w:rPr>
                <w:sz w:val="9"/>
                <w:szCs w:val="9"/>
                <w:color w:val="auto"/>
              </w:rPr>
            </w:pPr>
          </w:p>
        </w:tc>
        <w:tc>
          <w:tcPr>
            <w:tcW w:w="560" w:type="dxa"/>
            <w:vAlign w:val="bottom"/>
            <w:tcBorders>
              <w:top w:val="single" w:sz="8" w:color="0077C0"/>
              <w:bottom w:val="single" w:sz="8" w:color="0077C0"/>
              <w:right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220</w:t>
            </w:r>
          </w:p>
        </w:tc>
        <w:tc>
          <w:tcPr>
            <w:tcW w:w="54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166</w:t>
            </w:r>
          </w:p>
        </w:tc>
        <w:tc>
          <w:tcPr>
            <w:tcW w:w="400" w:type="dxa"/>
            <w:vAlign w:val="bottom"/>
            <w:tcBorders>
              <w:top w:val="single" w:sz="8" w:color="0077C0"/>
              <w:bottom w:val="single" w:sz="8" w:color="0077C0"/>
            </w:tcBorders>
          </w:tcPr>
          <w:p>
            <w:pPr>
              <w:spacing w:after="0"/>
              <w:rPr>
                <w:sz w:val="9"/>
                <w:szCs w:val="9"/>
                <w:color w:val="auto"/>
              </w:rPr>
            </w:pPr>
          </w:p>
        </w:tc>
        <w:tc>
          <w:tcPr>
            <w:tcW w:w="30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164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26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Changes Recognized in Other Comprehensive</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Borders>
              <w:right w:val="single" w:sz="8" w:color="0077C0"/>
            </w:tcBorders>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0077C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ind w:left="120"/>
              <w:spacing w:after="0" w:line="108" w:lineRule="exact"/>
              <w:rPr>
                <w:sz w:val="20"/>
                <w:szCs w:val="20"/>
                <w:color w:val="auto"/>
              </w:rPr>
            </w:pPr>
            <w:r>
              <w:rPr>
                <w:rFonts w:ascii="Arial" w:cs="Arial" w:eastAsia="Arial" w:hAnsi="Arial"/>
                <w:sz w:val="10"/>
                <w:szCs w:val="10"/>
                <w:b w:val="1"/>
                <w:bCs w:val="1"/>
                <w:color w:val="auto"/>
              </w:rPr>
              <w:t>Income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2,671</w:t>
            </w:r>
          </w:p>
        </w:tc>
        <w:tc>
          <w:tcPr>
            <w:tcW w:w="440" w:type="dxa"/>
            <w:vAlign w:val="bottom"/>
          </w:tcPr>
          <w:p>
            <w:pPr>
              <w:spacing w:after="0"/>
              <w:rPr>
                <w:sz w:val="9"/>
                <w:szCs w:val="9"/>
                <w:color w:val="auto"/>
              </w:rPr>
            </w:pPr>
          </w:p>
        </w:tc>
        <w:tc>
          <w:tcPr>
            <w:tcW w:w="600" w:type="dxa"/>
            <w:vAlign w:val="bottom"/>
            <w:tcBorders>
              <w:right w:val="single" w:sz="8" w:color="0077C0"/>
            </w:tcBorders>
            <w:vMerge w:val="restart"/>
          </w:tcPr>
          <w:p>
            <w:pPr>
              <w:jc w:val="right"/>
              <w:ind w:right="190"/>
              <w:spacing w:after="0"/>
              <w:rPr>
                <w:sz w:val="20"/>
                <w:szCs w:val="20"/>
                <w:color w:val="auto"/>
              </w:rPr>
            </w:pPr>
            <w:r>
              <w:rPr>
                <w:rFonts w:ascii="Arial" w:cs="Arial" w:eastAsia="Arial" w:hAnsi="Arial"/>
                <w:sz w:val="10"/>
                <w:szCs w:val="10"/>
                <w:b w:val="1"/>
                <w:bCs w:val="1"/>
                <w:color w:val="auto"/>
              </w:rPr>
              <w:t>448</w:t>
            </w: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131</w:t>
            </w: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40" w:type="dxa"/>
            <w:vAlign w:val="bottom"/>
          </w:tcPr>
          <w:p>
            <w:pPr>
              <w:ind w:left="120"/>
              <w:spacing w:after="0" w:line="104" w:lineRule="exact"/>
              <w:rPr>
                <w:sz w:val="20"/>
                <w:szCs w:val="20"/>
                <w:color w:val="auto"/>
              </w:rPr>
            </w:pPr>
            <w:r>
              <w:rPr>
                <w:rFonts w:ascii="Arial" w:cs="Arial" w:eastAsia="Arial" w:hAnsi="Arial"/>
                <w:sz w:val="10"/>
                <w:szCs w:val="10"/>
                <w:color w:val="auto"/>
              </w:rPr>
              <w:t>Net actuarial loss during period</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right w:val="single" w:sz="8" w:color="0077C0"/>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242</w:t>
            </w:r>
          </w:p>
        </w:tc>
        <w:tc>
          <w:tcPr>
            <w:tcW w:w="440" w:type="dxa"/>
            <w:vAlign w:val="bottom"/>
          </w:tcPr>
          <w:p>
            <w:pPr>
              <w:spacing w:after="0"/>
              <w:rPr>
                <w:sz w:val="9"/>
                <w:szCs w:val="9"/>
                <w:color w:val="auto"/>
              </w:rPr>
            </w:pPr>
          </w:p>
        </w:tc>
        <w:tc>
          <w:tcPr>
            <w:tcW w:w="600" w:type="dxa"/>
            <w:vAlign w:val="bottom"/>
          </w:tcPr>
          <w:p>
            <w:pPr>
              <w:jc w:val="right"/>
              <w:ind w:right="190"/>
              <w:spacing w:after="0" w:line="104" w:lineRule="exact"/>
              <w:rPr>
                <w:sz w:val="20"/>
                <w:szCs w:val="20"/>
                <w:color w:val="auto"/>
              </w:rPr>
            </w:pPr>
            <w:r>
              <w:rPr>
                <w:rFonts w:ascii="Arial" w:cs="Arial" w:eastAsia="Arial" w:hAnsi="Arial"/>
                <w:sz w:val="10"/>
                <w:szCs w:val="10"/>
                <w:color w:val="auto"/>
              </w:rPr>
              <w:t>118</w:t>
            </w:r>
          </w:p>
        </w:tc>
        <w:tc>
          <w:tcPr>
            <w:tcW w:w="400" w:type="dxa"/>
            <w:vAlign w:val="bottom"/>
          </w:tcPr>
          <w:p>
            <w:pPr>
              <w:spacing w:after="0"/>
              <w:rPr>
                <w:sz w:val="9"/>
                <w:szCs w:val="9"/>
                <w:color w:val="auto"/>
              </w:rPr>
            </w:pPr>
          </w:p>
        </w:tc>
        <w:tc>
          <w:tcPr>
            <w:tcW w:w="62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823</w:t>
            </w:r>
          </w:p>
        </w:tc>
        <w:tc>
          <w:tcPr>
            <w:tcW w:w="440" w:type="dxa"/>
            <w:vAlign w:val="bottom"/>
          </w:tcPr>
          <w:p>
            <w:pPr>
              <w:spacing w:after="0"/>
              <w:rPr>
                <w:sz w:val="9"/>
                <w:szCs w:val="9"/>
                <w:color w:val="auto"/>
              </w:rPr>
            </w:pPr>
          </w:p>
        </w:tc>
        <w:tc>
          <w:tcPr>
            <w:tcW w:w="360" w:type="dxa"/>
            <w:vAlign w:val="bottom"/>
          </w:tcPr>
          <w:p>
            <w:pPr>
              <w:jc w:val="right"/>
              <w:spacing w:after="0" w:line="104" w:lineRule="exact"/>
              <w:rPr>
                <w:sz w:val="20"/>
                <w:szCs w:val="20"/>
                <w:color w:val="auto"/>
              </w:rPr>
            </w:pPr>
            <w:r>
              <w:rPr>
                <w:rFonts w:ascii="Arial" w:cs="Arial" w:eastAsia="Arial" w:hAnsi="Arial"/>
                <w:sz w:val="10"/>
                <w:szCs w:val="10"/>
                <w:color w:val="auto"/>
              </w:rPr>
              <w:t>194</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jc w:val="right"/>
              <w:ind w:right="149"/>
              <w:spacing w:after="0" w:line="104" w:lineRule="exact"/>
              <w:rPr>
                <w:sz w:val="20"/>
                <w:szCs w:val="20"/>
                <w:color w:val="auto"/>
              </w:rPr>
            </w:pPr>
            <w:r>
              <w:rPr>
                <w:rFonts w:ascii="Arial" w:cs="Arial" w:eastAsia="Arial" w:hAnsi="Arial"/>
                <w:sz w:val="10"/>
                <w:szCs w:val="10"/>
                <w:color w:val="auto"/>
              </w:rPr>
              <w:t>497</w:t>
            </w:r>
          </w:p>
        </w:tc>
        <w:tc>
          <w:tcPr>
            <w:tcW w:w="400" w:type="dxa"/>
            <w:vAlign w:val="bottom"/>
          </w:tcPr>
          <w:p>
            <w:pPr>
              <w:spacing w:after="0"/>
              <w:rPr>
                <w:sz w:val="9"/>
                <w:szCs w:val="9"/>
                <w:color w:val="auto"/>
              </w:rPr>
            </w:pPr>
          </w:p>
        </w:tc>
        <w:tc>
          <w:tcPr>
            <w:tcW w:w="300" w:type="dxa"/>
            <w:vAlign w:val="bottom"/>
          </w:tcPr>
          <w:p>
            <w:pPr>
              <w:jc w:val="right"/>
              <w:spacing w:after="0" w:line="104" w:lineRule="exact"/>
              <w:rPr>
                <w:sz w:val="20"/>
                <w:szCs w:val="20"/>
                <w:color w:val="auto"/>
              </w:rPr>
            </w:pPr>
            <w:r>
              <w:rPr>
                <w:rFonts w:ascii="Arial" w:cs="Arial" w:eastAsia="Arial" w:hAnsi="Arial"/>
                <w:sz w:val="10"/>
                <w:szCs w:val="10"/>
                <w:color w:val="auto"/>
              </w:rPr>
              <w:t>82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Amortization of actuarial loss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(608)</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50"/>
              <w:spacing w:after="0" w:line="106" w:lineRule="exact"/>
              <w:rPr>
                <w:sz w:val="20"/>
                <w:szCs w:val="20"/>
                <w:color w:val="auto"/>
              </w:rPr>
            </w:pPr>
            <w:r>
              <w:rPr>
                <w:rFonts w:ascii="Arial" w:cs="Arial" w:eastAsia="Arial" w:hAnsi="Arial"/>
                <w:sz w:val="10"/>
                <w:szCs w:val="10"/>
                <w:b w:val="1"/>
                <w:bCs w:val="1"/>
                <w:color w:val="auto"/>
              </w:rPr>
              <w:t>(101)</w:t>
            </w:r>
          </w:p>
        </w:tc>
        <w:tc>
          <w:tcPr>
            <w:tcW w:w="56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(504)</w:t>
            </w:r>
          </w:p>
        </w:tc>
        <w:tc>
          <w:tcPr>
            <w:tcW w:w="440" w:type="dxa"/>
            <w:vAlign w:val="bottom"/>
          </w:tcPr>
          <w:p>
            <w:pPr>
              <w:spacing w:after="0"/>
              <w:rPr>
                <w:sz w:val="9"/>
                <w:szCs w:val="9"/>
                <w:color w:val="auto"/>
              </w:rPr>
            </w:pPr>
          </w:p>
        </w:tc>
        <w:tc>
          <w:tcPr>
            <w:tcW w:w="60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(104)</w:t>
            </w:r>
          </w:p>
        </w:tc>
        <w:tc>
          <w:tcPr>
            <w:tcW w:w="400" w:type="dxa"/>
            <w:vAlign w:val="bottom"/>
          </w:tcPr>
          <w:p>
            <w:pPr>
              <w:spacing w:after="0"/>
              <w:rPr>
                <w:sz w:val="9"/>
                <w:szCs w:val="9"/>
                <w:color w:val="auto"/>
              </w:rPr>
            </w:pPr>
          </w:p>
        </w:tc>
        <w:tc>
          <w:tcPr>
            <w:tcW w:w="62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(439)</w:t>
            </w:r>
          </w:p>
        </w:tc>
        <w:tc>
          <w:tcPr>
            <w:tcW w:w="440" w:type="dxa"/>
            <w:vAlign w:val="bottom"/>
          </w:tcPr>
          <w:p>
            <w:pPr>
              <w:spacing w:after="0"/>
              <w:rPr>
                <w:sz w:val="9"/>
                <w:szCs w:val="9"/>
                <w:color w:val="auto"/>
              </w:rPr>
            </w:pPr>
          </w:p>
        </w:tc>
        <w:tc>
          <w:tcPr>
            <w:tcW w:w="620" w:type="dxa"/>
            <w:vAlign w:val="bottom"/>
            <w:gridSpan w:val="2"/>
          </w:tcPr>
          <w:p>
            <w:pPr>
              <w:jc w:val="right"/>
              <w:ind w:right="220"/>
              <w:spacing w:after="0" w:line="106" w:lineRule="exact"/>
              <w:rPr>
                <w:sz w:val="20"/>
                <w:szCs w:val="20"/>
                <w:color w:val="auto"/>
              </w:rPr>
            </w:pPr>
            <w:r>
              <w:rPr>
                <w:rFonts w:ascii="Arial" w:cs="Arial" w:eastAsia="Arial" w:hAnsi="Arial"/>
                <w:sz w:val="10"/>
                <w:szCs w:val="10"/>
                <w:color w:val="auto"/>
              </w:rPr>
              <w:t>(109)</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29"/>
              <w:spacing w:after="0" w:line="106" w:lineRule="exact"/>
              <w:rPr>
                <w:sz w:val="20"/>
                <w:szCs w:val="20"/>
                <w:color w:val="auto"/>
              </w:rPr>
            </w:pPr>
            <w:r>
              <w:rPr>
                <w:rFonts w:ascii="Arial" w:cs="Arial" w:eastAsia="Arial" w:hAnsi="Arial"/>
                <w:sz w:val="10"/>
                <w:szCs w:val="10"/>
                <w:b w:val="1"/>
                <w:bCs w:val="1"/>
                <w:color w:val="auto"/>
              </w:rPr>
              <w:t>(64)</w:t>
            </w:r>
          </w:p>
        </w:tc>
        <w:tc>
          <w:tcPr>
            <w:tcW w:w="540" w:type="dxa"/>
            <w:vAlign w:val="bottom"/>
          </w:tcPr>
          <w:p>
            <w:pPr>
              <w:spacing w:after="0"/>
              <w:rPr>
                <w:sz w:val="9"/>
                <w:szCs w:val="9"/>
                <w:color w:val="auto"/>
              </w:rPr>
            </w:pPr>
          </w:p>
        </w:tc>
        <w:tc>
          <w:tcPr>
            <w:tcW w:w="5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(27)</w:t>
            </w:r>
          </w:p>
        </w:tc>
        <w:tc>
          <w:tcPr>
            <w:tcW w:w="400" w:type="dxa"/>
            <w:vAlign w:val="bottom"/>
          </w:tcPr>
          <w:p>
            <w:pPr>
              <w:spacing w:after="0"/>
              <w:rPr>
                <w:sz w:val="9"/>
                <w:szCs w:val="9"/>
                <w:color w:val="auto"/>
              </w:rPr>
            </w:pPr>
          </w:p>
        </w:tc>
        <w:tc>
          <w:tcPr>
            <w:tcW w:w="3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color w:val="auto"/>
              </w:rPr>
              <w:t>Prior service cost during period</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600" w:type="dxa"/>
            <w:vAlign w:val="bottom"/>
            <w:tcBorders>
              <w:right w:val="single" w:sz="8" w:color="0077C0"/>
            </w:tcBorders>
          </w:tcPr>
          <w:p>
            <w:pPr>
              <w:jc w:val="right"/>
              <w:ind w:right="190"/>
              <w:spacing w:after="0" w:line="106" w:lineRule="exact"/>
              <w:rPr>
                <w:sz w:val="20"/>
                <w:szCs w:val="20"/>
                <w:color w:val="auto"/>
              </w:rPr>
            </w:pPr>
            <w:r>
              <w:rPr>
                <w:rFonts w:ascii="Arial" w:cs="Arial" w:eastAsia="Arial" w:hAnsi="Arial"/>
                <w:sz w:val="10"/>
                <w:szCs w:val="10"/>
                <w:b w:val="1"/>
                <w:bCs w:val="1"/>
                <w:color w:val="auto"/>
              </w:rPr>
              <w:t>27</w:t>
            </w:r>
          </w:p>
        </w:tc>
        <w:tc>
          <w:tcPr>
            <w:tcW w:w="560" w:type="dxa"/>
            <w:vAlign w:val="bottom"/>
          </w:tcPr>
          <w:p>
            <w:pPr>
              <w:spacing w:after="0"/>
              <w:rPr>
                <w:sz w:val="9"/>
                <w:szCs w:val="9"/>
                <w:color w:val="auto"/>
              </w:rPr>
            </w:pPr>
          </w:p>
        </w:tc>
        <w:tc>
          <w:tcPr>
            <w:tcW w:w="6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210"/>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w:t>
            </w:r>
          </w:p>
        </w:tc>
        <w:tc>
          <w:tcPr>
            <w:tcW w:w="44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13</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9"/>
                <w:szCs w:val="9"/>
                <w:color w:val="auto"/>
              </w:rPr>
            </w:pPr>
          </w:p>
        </w:tc>
        <w:tc>
          <w:tcPr>
            <w:tcW w:w="5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w:t>
            </w:r>
          </w:p>
        </w:tc>
        <w:tc>
          <w:tcPr>
            <w:tcW w:w="400" w:type="dxa"/>
            <w:vAlign w:val="bottom"/>
          </w:tcPr>
          <w:p>
            <w:pPr>
              <w:spacing w:after="0"/>
              <w:rPr>
                <w:sz w:val="9"/>
                <w:szCs w:val="9"/>
                <w:color w:val="auto"/>
              </w:rPr>
            </w:pP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40" w:type="dxa"/>
            <w:vAlign w:val="bottom"/>
          </w:tcPr>
          <w:p>
            <w:pPr>
              <w:ind w:left="120"/>
              <w:spacing w:after="0"/>
              <w:rPr>
                <w:sz w:val="20"/>
                <w:szCs w:val="20"/>
                <w:color w:val="auto"/>
              </w:rPr>
            </w:pPr>
            <w:r>
              <w:rPr>
                <w:rFonts w:ascii="Arial" w:cs="Arial" w:eastAsia="Arial" w:hAnsi="Arial"/>
                <w:sz w:val="10"/>
                <w:szCs w:val="10"/>
                <w:color w:val="auto"/>
              </w:rPr>
              <w:t>Amortization of prior service credits (costs)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b w:val="1"/>
                <w:bCs w:val="1"/>
                <w:color w:val="auto"/>
              </w:rPr>
              <w:t>8</w:t>
            </w:r>
          </w:p>
        </w:tc>
        <w:tc>
          <w:tcPr>
            <w:tcW w:w="440" w:type="dxa"/>
            <w:vAlign w:val="bottom"/>
          </w:tcPr>
          <w:p>
            <w:pPr>
              <w:spacing w:after="0"/>
              <w:rPr>
                <w:sz w:val="10"/>
                <w:szCs w:val="10"/>
                <w:color w:val="auto"/>
              </w:rPr>
            </w:pPr>
          </w:p>
        </w:tc>
        <w:tc>
          <w:tcPr>
            <w:tcW w:w="600" w:type="dxa"/>
            <w:vAlign w:val="bottom"/>
            <w:tcBorders>
              <w:right w:val="single" w:sz="8" w:color="0077C0"/>
            </w:tcBorders>
          </w:tcPr>
          <w:p>
            <w:pPr>
              <w:jc w:val="right"/>
              <w:ind w:right="150"/>
              <w:spacing w:after="0"/>
              <w:rPr>
                <w:sz w:val="20"/>
                <w:szCs w:val="20"/>
                <w:color w:val="auto"/>
              </w:rPr>
            </w:pPr>
            <w:r>
              <w:rPr>
                <w:rFonts w:ascii="Arial" w:cs="Arial" w:eastAsia="Arial" w:hAnsi="Arial"/>
                <w:sz w:val="10"/>
                <w:szCs w:val="10"/>
                <w:b w:val="1"/>
                <w:bCs w:val="1"/>
                <w:color w:val="auto"/>
              </w:rPr>
              <w:t>(54)</w:t>
            </w:r>
          </w:p>
        </w:tc>
        <w:tc>
          <w:tcPr>
            <w:tcW w:w="560" w:type="dxa"/>
            <w:vAlign w:val="bottom"/>
          </w:tcPr>
          <w:p>
            <w:pPr>
              <w:spacing w:after="0"/>
              <w:rPr>
                <w:sz w:val="10"/>
                <w:szCs w:val="10"/>
                <w:color w:val="auto"/>
              </w:rPr>
            </w:pPr>
          </w:p>
        </w:tc>
        <w:tc>
          <w:tcPr>
            <w:tcW w:w="600" w:type="dxa"/>
            <w:vAlign w:val="bottom"/>
          </w:tcPr>
          <w:p>
            <w:pPr>
              <w:jc w:val="right"/>
              <w:ind w:right="189"/>
              <w:spacing w:after="0"/>
              <w:rPr>
                <w:sz w:val="20"/>
                <w:szCs w:val="20"/>
                <w:color w:val="auto"/>
              </w:rPr>
            </w:pPr>
            <w:r>
              <w:rPr>
                <w:rFonts w:ascii="Arial" w:cs="Arial" w:eastAsia="Arial" w:hAnsi="Arial"/>
                <w:sz w:val="10"/>
                <w:szCs w:val="10"/>
                <w:color w:val="auto"/>
              </w:rPr>
              <w:t>8</w:t>
            </w:r>
          </w:p>
        </w:tc>
        <w:tc>
          <w:tcPr>
            <w:tcW w:w="440" w:type="dxa"/>
            <w:vAlign w:val="bottom"/>
          </w:tcPr>
          <w:p>
            <w:pPr>
              <w:spacing w:after="0"/>
              <w:rPr>
                <w:sz w:val="10"/>
                <w:szCs w:val="10"/>
                <w:color w:val="auto"/>
              </w:rPr>
            </w:pPr>
          </w:p>
        </w:tc>
        <w:tc>
          <w:tcPr>
            <w:tcW w:w="600" w:type="dxa"/>
            <w:vAlign w:val="bottom"/>
          </w:tcPr>
          <w:p>
            <w:pPr>
              <w:jc w:val="right"/>
              <w:ind w:right="170"/>
              <w:spacing w:after="0"/>
              <w:rPr>
                <w:sz w:val="20"/>
                <w:szCs w:val="20"/>
                <w:color w:val="auto"/>
              </w:rPr>
            </w:pPr>
            <w:r>
              <w:rPr>
                <w:rFonts w:ascii="Arial" w:cs="Arial" w:eastAsia="Arial" w:hAnsi="Arial"/>
                <w:sz w:val="10"/>
                <w:szCs w:val="10"/>
                <w:color w:val="auto"/>
              </w:rPr>
              <w:t>(22)</w:t>
            </w:r>
          </w:p>
        </w:tc>
        <w:tc>
          <w:tcPr>
            <w:tcW w:w="400" w:type="dxa"/>
            <w:vAlign w:val="bottom"/>
          </w:tcPr>
          <w:p>
            <w:pPr>
              <w:spacing w:after="0"/>
              <w:rPr>
                <w:sz w:val="10"/>
                <w:szCs w:val="10"/>
                <w:color w:val="auto"/>
              </w:rPr>
            </w:pPr>
          </w:p>
        </w:tc>
        <w:tc>
          <w:tcPr>
            <w:tcW w:w="620" w:type="dxa"/>
            <w:vAlign w:val="bottom"/>
          </w:tcPr>
          <w:p>
            <w:pPr>
              <w:jc w:val="right"/>
              <w:ind w:right="189"/>
              <w:spacing w:after="0"/>
              <w:rPr>
                <w:sz w:val="20"/>
                <w:szCs w:val="20"/>
                <w:color w:val="auto"/>
              </w:rPr>
            </w:pPr>
            <w:r>
              <w:rPr>
                <w:rFonts w:ascii="Arial" w:cs="Arial" w:eastAsia="Arial" w:hAnsi="Arial"/>
                <w:sz w:val="10"/>
                <w:szCs w:val="10"/>
                <w:color w:val="auto"/>
              </w:rPr>
              <w:t>7</w:t>
            </w:r>
          </w:p>
        </w:tc>
        <w:tc>
          <w:tcPr>
            <w:tcW w:w="44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(23)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72</w:t>
            </w:r>
          </w:p>
        </w:tc>
        <w:tc>
          <w:tcPr>
            <w:tcW w:w="540" w:type="dxa"/>
            <w:vAlign w:val="bottom"/>
          </w:tcPr>
          <w:p>
            <w:pPr>
              <w:spacing w:after="0"/>
              <w:rPr>
                <w:sz w:val="10"/>
                <w:szCs w:val="10"/>
                <w:color w:val="auto"/>
              </w:rPr>
            </w:pPr>
          </w:p>
        </w:tc>
        <w:tc>
          <w:tcPr>
            <w:tcW w:w="540" w:type="dxa"/>
            <w:vAlign w:val="bottom"/>
          </w:tcPr>
          <w:p>
            <w:pPr>
              <w:jc w:val="right"/>
              <w:ind w:right="149"/>
              <w:spacing w:after="0"/>
              <w:rPr>
                <w:sz w:val="20"/>
                <w:szCs w:val="20"/>
                <w:color w:val="auto"/>
              </w:rPr>
            </w:pPr>
            <w:r>
              <w:rPr>
                <w:rFonts w:ascii="Arial" w:cs="Arial" w:eastAsia="Arial" w:hAnsi="Arial"/>
                <w:sz w:val="10"/>
                <w:szCs w:val="10"/>
                <w:color w:val="auto"/>
              </w:rPr>
              <w:t>75</w:t>
            </w:r>
          </w:p>
        </w:tc>
        <w:tc>
          <w:tcPr>
            <w:tcW w:w="4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Total changes recognized in other</w:t>
            </w:r>
          </w:p>
        </w:tc>
        <w:tc>
          <w:tcPr>
            <w:tcW w:w="26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vMerge w:val="restart"/>
          </w:tcPr>
          <w:p>
            <w:pPr>
              <w:jc w:val="right"/>
              <w:ind w:right="189"/>
              <w:spacing w:after="0"/>
              <w:rPr>
                <w:sz w:val="20"/>
                <w:szCs w:val="20"/>
                <w:color w:val="auto"/>
              </w:rPr>
            </w:pPr>
            <w:r>
              <w:rPr>
                <w:rFonts w:ascii="Arial" w:cs="Arial" w:eastAsia="Arial" w:hAnsi="Arial"/>
                <w:sz w:val="10"/>
                <w:szCs w:val="10"/>
                <w:b w:val="1"/>
                <w:bCs w:val="1"/>
                <w:color w:val="auto"/>
              </w:rPr>
              <w:t>2,071</w:t>
            </w: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right w:val="single" w:sz="8" w:color="0077C0"/>
            </w:tcBorders>
            <w:vMerge w:val="restart"/>
          </w:tcPr>
          <w:p>
            <w:pPr>
              <w:jc w:val="right"/>
              <w:ind w:right="190"/>
              <w:spacing w:after="0"/>
              <w:rPr>
                <w:sz w:val="20"/>
                <w:szCs w:val="20"/>
                <w:color w:val="auto"/>
              </w:rPr>
            </w:pPr>
            <w:r>
              <w:rPr>
                <w:rFonts w:ascii="Arial" w:cs="Arial" w:eastAsia="Arial" w:hAnsi="Arial"/>
                <w:sz w:val="10"/>
                <w:szCs w:val="10"/>
                <w:b w:val="1"/>
                <w:bCs w:val="1"/>
                <w:color w:val="auto"/>
              </w:rPr>
              <w:t>320</w:t>
            </w:r>
          </w:p>
        </w:tc>
        <w:tc>
          <w:tcPr>
            <w:tcW w:w="56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4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top w:val="single" w:sz="8" w:color="0077C0"/>
            </w:tcBorders>
          </w:tcPr>
          <w:p>
            <w:pPr>
              <w:spacing w:after="0"/>
              <w:rPr>
                <w:sz w:val="8"/>
                <w:szCs w:val="8"/>
                <w:color w:val="auto"/>
              </w:rPr>
            </w:pPr>
          </w:p>
        </w:tc>
        <w:tc>
          <w:tcPr>
            <w:tcW w:w="560" w:type="dxa"/>
            <w:vAlign w:val="bottom"/>
            <w:tcBorders>
              <w:top w:val="single" w:sz="8" w:color="0077C0"/>
              <w:right w:val="single" w:sz="8" w:color="0077C0"/>
            </w:tcBorders>
            <w:vMerge w:val="restart"/>
          </w:tcPr>
          <w:p>
            <w:pPr>
              <w:jc w:val="right"/>
              <w:ind w:right="169"/>
              <w:spacing w:after="0"/>
              <w:rPr>
                <w:sz w:val="20"/>
                <w:szCs w:val="20"/>
                <w:color w:val="auto"/>
              </w:rPr>
            </w:pPr>
            <w:r>
              <w:rPr>
                <w:rFonts w:ascii="Arial" w:cs="Arial" w:eastAsia="Arial" w:hAnsi="Arial"/>
                <w:sz w:val="10"/>
                <w:szCs w:val="10"/>
                <w:b w:val="1"/>
                <w:bCs w:val="1"/>
                <w:color w:val="auto"/>
              </w:rPr>
              <w:t>139</w:t>
            </w:r>
          </w:p>
        </w:tc>
        <w:tc>
          <w:tcPr>
            <w:tcW w:w="54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300" w:type="dxa"/>
            <w:vAlign w:val="bottom"/>
            <w:tcBorders>
              <w:top w:val="single" w:sz="8" w:color="0077C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4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comprehensive income</w:t>
            </w:r>
          </w:p>
        </w:tc>
        <w:tc>
          <w:tcPr>
            <w:tcW w:w="260" w:type="dxa"/>
            <w:vAlign w:val="bottom"/>
            <w:tcBorders>
              <w:bottom w:val="single" w:sz="8" w:color="0077C0"/>
            </w:tcBorders>
          </w:tcPr>
          <w:p>
            <w:pPr>
              <w:spacing w:after="0"/>
              <w:rPr>
                <w:sz w:val="10"/>
                <w:szCs w:val="10"/>
                <w:color w:val="auto"/>
              </w:rPr>
            </w:pPr>
          </w:p>
        </w:tc>
        <w:tc>
          <w:tcPr>
            <w:tcW w:w="20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vMerge w:val="continue"/>
          </w:tcPr>
          <w:p>
            <w:pPr>
              <w:spacing w:after="0"/>
              <w:rPr>
                <w:sz w:val="10"/>
                <w:szCs w:val="10"/>
                <w:color w:val="auto"/>
              </w:rPr>
            </w:pP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right w:val="single" w:sz="8" w:color="0077C0"/>
            </w:tcBorders>
            <w:vMerge w:val="continue"/>
          </w:tcPr>
          <w:p>
            <w:pPr>
              <w:spacing w:after="0"/>
              <w:rPr>
                <w:sz w:val="10"/>
                <w:szCs w:val="10"/>
                <w:color w:val="auto"/>
              </w:rPr>
            </w:pPr>
          </w:p>
        </w:tc>
        <w:tc>
          <w:tcPr>
            <w:tcW w:w="56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(254)</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(8)</w:t>
            </w:r>
          </w:p>
        </w:tc>
        <w:tc>
          <w:tcPr>
            <w:tcW w:w="400" w:type="dxa"/>
            <w:vAlign w:val="bottom"/>
            <w:tcBorders>
              <w:bottom w:val="single" w:sz="8" w:color="0077C0"/>
            </w:tcBorders>
          </w:tcPr>
          <w:p>
            <w:pPr>
              <w:spacing w:after="0"/>
              <w:rPr>
                <w:sz w:val="10"/>
                <w:szCs w:val="10"/>
                <w:color w:val="auto"/>
              </w:rPr>
            </w:pP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392</w:t>
            </w:r>
          </w:p>
        </w:tc>
        <w:tc>
          <w:tcPr>
            <w:tcW w:w="44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0077C0"/>
            </w:tcBorders>
          </w:tcPr>
          <w:p>
            <w:pPr>
              <w:spacing w:after="0"/>
              <w:rPr>
                <w:sz w:val="10"/>
                <w:szCs w:val="10"/>
                <w:color w:val="auto"/>
              </w:rPr>
            </w:pPr>
          </w:p>
        </w:tc>
        <w:tc>
          <w:tcPr>
            <w:tcW w:w="560" w:type="dxa"/>
            <w:vAlign w:val="bottom"/>
            <w:tcBorders>
              <w:bottom w:val="single" w:sz="8" w:color="0077C0"/>
              <w:right w:val="single" w:sz="8" w:color="0077C0"/>
            </w:tcBorders>
            <w:vMerge w:val="continue"/>
          </w:tcPr>
          <w:p>
            <w:pPr>
              <w:spacing w:after="0"/>
              <w:rPr>
                <w:sz w:val="10"/>
                <w:szCs w:val="10"/>
                <w:color w:val="auto"/>
              </w:rPr>
            </w:pPr>
          </w:p>
        </w:tc>
        <w:tc>
          <w:tcPr>
            <w:tcW w:w="54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557</w:t>
            </w:r>
          </w:p>
        </w:tc>
        <w:tc>
          <w:tcPr>
            <w:tcW w:w="400" w:type="dxa"/>
            <w:vAlign w:val="bottom"/>
            <w:tcBorders>
              <w:bottom w:val="single" w:sz="8" w:color="0077C0"/>
            </w:tcBorders>
          </w:tcPr>
          <w:p>
            <w:pPr>
              <w:spacing w:after="0"/>
              <w:rPr>
                <w:sz w:val="10"/>
                <w:szCs w:val="10"/>
                <w:color w:val="auto"/>
              </w:rPr>
            </w:pP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line="91" w:lineRule="exact"/>
              <w:rPr>
                <w:sz w:val="20"/>
                <w:szCs w:val="20"/>
                <w:color w:val="auto"/>
              </w:rPr>
            </w:pPr>
            <w:r>
              <w:rPr>
                <w:rFonts w:ascii="Arial" w:cs="Arial" w:eastAsia="Arial" w:hAnsi="Arial"/>
                <w:sz w:val="10"/>
                <w:szCs w:val="10"/>
                <w:b w:val="1"/>
                <w:bCs w:val="1"/>
                <w:color w:val="auto"/>
              </w:rPr>
              <w:t>Recognized in Net Periodic</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Borders>
              <w:right w:val="single" w:sz="8" w:color="0077C0"/>
            </w:tcBorders>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0077C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Pr>
          <w:p>
            <w:pPr>
              <w:ind w:left="120"/>
              <w:spacing w:after="0" w:line="106" w:lineRule="exact"/>
              <w:rPr>
                <w:sz w:val="20"/>
                <w:szCs w:val="20"/>
                <w:color w:val="auto"/>
              </w:rPr>
            </w:pPr>
            <w:r>
              <w:rPr>
                <w:rFonts w:ascii="Arial" w:cs="Arial" w:eastAsia="Arial" w:hAnsi="Arial"/>
                <w:sz w:val="10"/>
                <w:szCs w:val="10"/>
                <w:b w:val="1"/>
                <w:bCs w:val="1"/>
                <w:color w:val="auto"/>
              </w:rPr>
              <w:t>Benefit Cost and Other</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right w:val="single" w:sz="8" w:color="0077C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0077C0"/>
            </w:tcBorders>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Borders>
              <w:bottom w:val="single" w:sz="8" w:color="0077C0"/>
            </w:tcBorders>
          </w:tcPr>
          <w:p>
            <w:pPr>
              <w:ind w:left="120"/>
              <w:spacing w:after="0"/>
              <w:rPr>
                <w:sz w:val="20"/>
                <w:szCs w:val="20"/>
                <w:color w:val="auto"/>
              </w:rPr>
            </w:pPr>
            <w:r>
              <w:rPr>
                <w:rFonts w:ascii="Arial" w:cs="Arial" w:eastAsia="Arial" w:hAnsi="Arial"/>
                <w:sz w:val="10"/>
                <w:szCs w:val="10"/>
                <w:b w:val="1"/>
                <w:bCs w:val="1"/>
                <w:color w:val="auto"/>
              </w:rPr>
              <w:t>Comprehensive Income</w:t>
            </w:r>
          </w:p>
        </w:tc>
        <w:tc>
          <w:tcPr>
            <w:tcW w:w="460" w:type="dxa"/>
            <w:vAlign w:val="bottom"/>
            <w:tcBorders>
              <w:bottom w:val="single" w:sz="8" w:color="0077C0"/>
            </w:tcBorders>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2,895</w:t>
            </w:r>
          </w:p>
        </w:tc>
        <w:tc>
          <w:tcPr>
            <w:tcW w:w="44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right w:val="single" w:sz="8" w:color="0077C0"/>
            </w:tcBorders>
          </w:tcPr>
          <w:p>
            <w:pPr>
              <w:jc w:val="right"/>
              <w:ind w:right="190"/>
              <w:spacing w:after="0"/>
              <w:rPr>
                <w:sz w:val="20"/>
                <w:szCs w:val="20"/>
                <w:color w:val="auto"/>
              </w:rPr>
            </w:pPr>
            <w:r>
              <w:rPr>
                <w:rFonts w:ascii="Arial" w:cs="Arial" w:eastAsia="Arial" w:hAnsi="Arial"/>
                <w:sz w:val="10"/>
                <w:szCs w:val="10"/>
                <w:b w:val="1"/>
                <w:bCs w:val="1"/>
                <w:color w:val="auto"/>
              </w:rPr>
              <w:t>691</w:t>
            </w:r>
          </w:p>
        </w:tc>
        <w:tc>
          <w:tcPr>
            <w:tcW w:w="5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527</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10"/>
              <w:spacing w:after="0"/>
              <w:rPr>
                <w:sz w:val="20"/>
                <w:szCs w:val="20"/>
                <w:color w:val="auto"/>
              </w:rPr>
            </w:pPr>
            <w:r>
              <w:rPr>
                <w:rFonts w:ascii="Arial" w:cs="Arial" w:eastAsia="Arial" w:hAnsi="Arial"/>
                <w:sz w:val="10"/>
                <w:szCs w:val="10"/>
                <w:color w:val="auto"/>
              </w:rPr>
              <w:t>337</w:t>
            </w:r>
          </w:p>
        </w:tc>
        <w:tc>
          <w:tcPr>
            <w:tcW w:w="400" w:type="dxa"/>
            <w:vAlign w:val="bottom"/>
            <w:tcBorders>
              <w:bottom w:val="single" w:sz="8" w:color="0077C0"/>
            </w:tcBorders>
          </w:tcPr>
          <w:p>
            <w:pPr>
              <w:jc w:val="right"/>
              <w:ind w:right="89"/>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1,176</w:t>
            </w:r>
          </w:p>
        </w:tc>
        <w:tc>
          <w:tcPr>
            <w:tcW w:w="440" w:type="dxa"/>
            <w:vAlign w:val="bottom"/>
            <w:tcBorders>
              <w:bottom w:val="single" w:sz="8" w:color="0077C0"/>
            </w:tcBorders>
          </w:tcPr>
          <w:p>
            <w:pPr>
              <w:jc w:val="right"/>
              <w:ind w:right="11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424</w:t>
            </w:r>
          </w:p>
        </w:tc>
        <w:tc>
          <w:tcPr>
            <w:tcW w:w="26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tcBorders>
            <w:gridSpan w:val="2"/>
          </w:tcPr>
          <w:p>
            <w:pPr>
              <w:jc w:val="right"/>
              <w:ind w:right="180"/>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0077C0"/>
              <w:right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359</w:t>
            </w:r>
          </w:p>
        </w:tc>
        <w:tc>
          <w:tcPr>
            <w:tcW w:w="540" w:type="dxa"/>
            <w:vAlign w:val="bottom"/>
            <w:tcBorders>
              <w:bottom w:val="single" w:sz="8" w:color="0077C0"/>
            </w:tcBorders>
          </w:tcPr>
          <w:p>
            <w:pPr>
              <w:jc w:val="right"/>
              <w:ind w:right="10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723</w:t>
            </w:r>
          </w:p>
        </w:tc>
        <w:tc>
          <w:tcPr>
            <w:tcW w:w="400" w:type="dxa"/>
            <w:vAlign w:val="bottom"/>
            <w:tcBorders>
              <w:bottom w:val="single" w:sz="8" w:color="0077C0"/>
            </w:tcBorders>
          </w:tcPr>
          <w:p>
            <w:pPr>
              <w:jc w:val="right"/>
              <w:ind w:right="51"/>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339" w:right="219" w:bottom="1440" w:gutter="0" w:footer="0" w:header="0"/>
        </w:sectPr>
      </w:pPr>
    </w:p>
    <w:p>
      <w:pPr>
        <w:spacing w:after="0" w:line="31" w:lineRule="exact"/>
        <w:rPr>
          <w:sz w:val="20"/>
          <w:szCs w:val="20"/>
          <w:color w:val="auto"/>
        </w:rPr>
      </w:pPr>
    </w:p>
    <w:p>
      <w:pPr>
        <w:ind w:firstLine="160"/>
        <w:spacing w:after="0" w:line="301" w:lineRule="auto"/>
        <w:rPr>
          <w:sz w:val="20"/>
          <w:szCs w:val="20"/>
          <w:color w:val="auto"/>
        </w:rPr>
      </w:pPr>
      <w:r>
        <w:rPr>
          <w:rFonts w:ascii="Arial" w:cs="Arial" w:eastAsia="Arial" w:hAnsi="Arial"/>
          <w:sz w:val="11"/>
          <w:szCs w:val="11"/>
          <w:color w:val="auto"/>
        </w:rPr>
        <w:t>Net actuarial losses recorded in “Accumulated other comprehensive loss” at December 31, 2011, for the company’s U.S. pension, international pension and OPEB plans are being amortized on a straight-line basis over approximately 10, 12 and eight years, respectively. These amortization periods represent the estimated average remaining service of employees expected to receive benefits under the plans. These losses are amortized to the extent they exceed 10 percent of the higher of the projected benefit obligation or market-related value of plan assets. The amount subject to amortization is determined on a plan-by-plan basis. During 2012, the company estimates actuarial losses of $476, $142 and $75 will be amortized from “Accumulated other comprehensive loss” for U.S. pension, international pension and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OPEB plans, respectively. In addition, the company estimates an additional $260 will be recognized from “Accumulated other comprehensive loss” during 2012 related to lump-sum settlement costs from U.S. pension plans.</w:t>
      </w:r>
    </w:p>
    <w:p>
      <w:pPr>
        <w:spacing w:after="0" w:line="1" w:lineRule="exact"/>
        <w:rPr>
          <w:sz w:val="20"/>
          <w:szCs w:val="20"/>
          <w:color w:val="auto"/>
        </w:rPr>
      </w:pPr>
    </w:p>
    <w:p>
      <w:pPr>
        <w:ind w:right="40" w:firstLine="158"/>
        <w:spacing w:after="0" w:line="248" w:lineRule="auto"/>
        <w:rPr>
          <w:sz w:val="20"/>
          <w:szCs w:val="20"/>
          <w:color w:val="auto"/>
        </w:rPr>
      </w:pPr>
      <w:r>
        <w:rPr>
          <w:rFonts w:ascii="Arial" w:cs="Arial" w:eastAsia="Arial" w:hAnsi="Arial"/>
          <w:sz w:val="13"/>
          <w:szCs w:val="13"/>
          <w:color w:val="auto"/>
        </w:rPr>
        <w:t>The weighted average amortization period for recognizing prior service costs (credits) recorded in “Accumulated other comprehensive loss” at December 31, 2011, was approximately six and seven years for U.S. and international pension plans, respectively, and two years for other postretirement benefit plans. During 2012, the company estimates prior service (credits) costs of $(8), $21 and $(72) will be amortized from “Accumulated other comprehensive loss” for U.S. pension, international pension and OPEB plans, respectively.</w:t>
      </w:r>
    </w:p>
    <w:p>
      <w:pPr>
        <w:spacing w:after="0" w:line="200" w:lineRule="exact"/>
        <w:rPr>
          <w:sz w:val="20"/>
          <w:szCs w:val="20"/>
          <w:color w:val="auto"/>
        </w:rPr>
      </w:pPr>
    </w:p>
    <w:p>
      <w:pPr>
        <w:sectPr>
          <w:pgSz w:w="11900" w:h="16838" w:orient="portrait"/>
          <w:cols w:equalWidth="0" w:num="2">
            <w:col w:w="5500" w:space="460"/>
            <w:col w:w="5500"/>
          </w:cols>
          <w:pgMar w:left="220" w:top="339" w:right="219" w:bottom="1440" w:gutter="0" w:footer="0" w:header="0"/>
          <w:type w:val="continuous"/>
        </w:sectPr>
      </w:pP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ind w:left="3320"/>
        <w:spacing w:after="0"/>
        <w:rPr>
          <w:sz w:val="20"/>
          <w:szCs w:val="20"/>
          <w:color w:val="auto"/>
        </w:rPr>
      </w:pPr>
      <w:r>
        <w:rPr>
          <w:rFonts w:ascii="Arial" w:cs="Arial" w:eastAsia="Arial" w:hAnsi="Arial"/>
          <w:sz w:val="10"/>
          <w:szCs w:val="10"/>
          <w:color w:val="0077C0"/>
        </w:rPr>
        <w:t>Notes to the Consolidated Financial Statements</w:t>
      </w:r>
    </w:p>
    <w:p>
      <w:pPr>
        <w:ind w:left="372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E51837"/>
        </w:rPr>
        <w:t xml:space="preserve">Assumptions </w:t>
      </w:r>
      <w:r>
        <w:rPr>
          <w:rFonts w:ascii="Arial" w:cs="Arial" w:eastAsia="Arial" w:hAnsi="Arial"/>
          <w:sz w:val="13"/>
          <w:szCs w:val="13"/>
          <w:color w:val="000000"/>
        </w:rPr>
        <w:t>The following weighted-average assumptions were used to determine benefit obligations and net periodic benefit costs for years ended December 31: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9"/>
                <w:szCs w:val="9"/>
                <w:color w:val="auto"/>
              </w:rPr>
              <w:t>Pension Benefits</w:t>
            </w: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Other Benefits</w:t>
            </w:r>
          </w:p>
        </w:tc>
        <w:tc>
          <w:tcPr>
            <w:tcW w:w="0" w:type="dxa"/>
            <w:vAlign w:val="bottom"/>
          </w:tcPr>
          <w:p>
            <w:pPr>
              <w:spacing w:after="0"/>
              <w:rPr>
                <w:sz w:val="1"/>
                <w:szCs w:val="1"/>
                <w:color w:val="auto"/>
              </w:rPr>
            </w:pPr>
          </w:p>
        </w:tc>
      </w:tr>
      <w:tr>
        <w:trPr>
          <w:trHeight w:val="86"/>
        </w:trPr>
        <w:tc>
          <w:tcPr>
            <w:tcW w:w="2760" w:type="dxa"/>
            <w:vAlign w:val="bottom"/>
          </w:tcPr>
          <w:p>
            <w:pPr>
              <w:spacing w:after="0"/>
              <w:rPr>
                <w:sz w:val="7"/>
                <w:szCs w:val="7"/>
                <w:color w:val="auto"/>
              </w:rPr>
            </w:pPr>
          </w:p>
        </w:tc>
        <w:tc>
          <w:tcPr>
            <w:tcW w:w="1060" w:type="dxa"/>
            <w:vAlign w:val="bottom"/>
            <w:tcBorders>
              <w:top w:val="single" w:sz="8" w:color="0077C0"/>
            </w:tcBorders>
          </w:tcPr>
          <w:p>
            <w:pPr>
              <w:spacing w:after="0"/>
              <w:rPr>
                <w:sz w:val="7"/>
                <w:szCs w:val="7"/>
                <w:color w:val="auto"/>
              </w:rPr>
            </w:pPr>
          </w:p>
        </w:tc>
        <w:tc>
          <w:tcPr>
            <w:tcW w:w="800" w:type="dxa"/>
            <w:vAlign w:val="bottom"/>
            <w:tcBorders>
              <w:top w:val="single" w:sz="8" w:color="0077C0"/>
            </w:tcBorders>
          </w:tcPr>
          <w:p>
            <w:pPr>
              <w:jc w:val="right"/>
              <w:ind w:right="188"/>
              <w:spacing w:after="0" w:line="86" w:lineRule="exact"/>
              <w:rPr>
                <w:sz w:val="20"/>
                <w:szCs w:val="20"/>
                <w:color w:val="auto"/>
              </w:rPr>
            </w:pPr>
            <w:r>
              <w:rPr>
                <w:rFonts w:ascii="Arial" w:cs="Arial" w:eastAsia="Arial" w:hAnsi="Arial"/>
                <w:sz w:val="9"/>
                <w:szCs w:val="9"/>
                <w:b w:val="1"/>
                <w:bCs w:val="1"/>
                <w:color w:val="auto"/>
              </w:rPr>
              <w:t>2011</w:t>
            </w:r>
          </w:p>
        </w:tc>
        <w:tc>
          <w:tcPr>
            <w:tcW w:w="1160" w:type="dxa"/>
            <w:vAlign w:val="bottom"/>
            <w:tcBorders>
              <w:top w:val="single" w:sz="8" w:color="0077C0"/>
            </w:tcBorders>
          </w:tcPr>
          <w:p>
            <w:pPr>
              <w:spacing w:after="0"/>
              <w:rPr>
                <w:sz w:val="7"/>
                <w:szCs w:val="7"/>
                <w:color w:val="auto"/>
              </w:rPr>
            </w:pPr>
          </w:p>
        </w:tc>
        <w:tc>
          <w:tcPr>
            <w:tcW w:w="1060" w:type="dxa"/>
            <w:vAlign w:val="bottom"/>
            <w:tcBorders>
              <w:top w:val="single" w:sz="8" w:color="0077C0"/>
            </w:tcBorders>
          </w:tcPr>
          <w:p>
            <w:pPr>
              <w:jc w:val="right"/>
              <w:ind w:right="448"/>
              <w:spacing w:after="0" w:line="86" w:lineRule="exact"/>
              <w:rPr>
                <w:sz w:val="20"/>
                <w:szCs w:val="20"/>
                <w:color w:val="auto"/>
              </w:rPr>
            </w:pPr>
            <w:r>
              <w:rPr>
                <w:rFonts w:ascii="Arial" w:cs="Arial" w:eastAsia="Arial" w:hAnsi="Arial"/>
                <w:sz w:val="9"/>
                <w:szCs w:val="9"/>
                <w:color w:val="auto"/>
              </w:rPr>
              <w:t>2010</w:t>
            </w:r>
          </w:p>
        </w:tc>
        <w:tc>
          <w:tcPr>
            <w:tcW w:w="820" w:type="dxa"/>
            <w:vAlign w:val="bottom"/>
            <w:tcBorders>
              <w:top w:val="single" w:sz="8" w:color="0077C0"/>
            </w:tcBorders>
          </w:tcPr>
          <w:p>
            <w:pPr>
              <w:spacing w:after="0"/>
              <w:rPr>
                <w:sz w:val="7"/>
                <w:szCs w:val="7"/>
                <w:color w:val="auto"/>
              </w:rPr>
            </w:pPr>
          </w:p>
        </w:tc>
        <w:tc>
          <w:tcPr>
            <w:tcW w:w="780" w:type="dxa"/>
            <w:vAlign w:val="bottom"/>
            <w:tcBorders>
              <w:top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760" w:type="dxa"/>
            <w:vAlign w:val="bottom"/>
            <w:tcBorders>
              <w:bottom w:val="single" w:sz="8" w:color="0077C0"/>
            </w:tcBorders>
          </w:tcPr>
          <w:p>
            <w:pPr>
              <w:spacing w:after="0"/>
              <w:rPr>
                <w:sz w:val="7"/>
                <w:szCs w:val="7"/>
                <w:color w:val="auto"/>
              </w:rPr>
            </w:pPr>
          </w:p>
        </w:tc>
        <w:tc>
          <w:tcPr>
            <w:tcW w:w="1060" w:type="dxa"/>
            <w:vAlign w:val="bottom"/>
            <w:tcBorders>
              <w:top w:val="single" w:sz="8" w:color="0077C0"/>
              <w:bottom w:val="single" w:sz="8" w:color="0077C0"/>
            </w:tcBorders>
          </w:tcPr>
          <w:p>
            <w:pPr>
              <w:jc w:val="right"/>
              <w:ind w:right="427"/>
              <w:spacing w:after="0" w:line="86" w:lineRule="exact"/>
              <w:rPr>
                <w:sz w:val="20"/>
                <w:szCs w:val="20"/>
                <w:color w:val="auto"/>
              </w:rPr>
            </w:pPr>
            <w:r>
              <w:rPr>
                <w:rFonts w:ascii="Arial" w:cs="Arial" w:eastAsia="Arial" w:hAnsi="Arial"/>
                <w:sz w:val="9"/>
                <w:szCs w:val="9"/>
                <w:color w:val="auto"/>
              </w:rPr>
              <w:t>U.S.</w:t>
            </w:r>
          </w:p>
        </w:tc>
        <w:tc>
          <w:tcPr>
            <w:tcW w:w="800" w:type="dxa"/>
            <w:vAlign w:val="bottom"/>
            <w:tcBorders>
              <w:top w:val="single" w:sz="8" w:color="0077C0"/>
              <w:bottom w:val="single" w:sz="8" w:color="0077C0"/>
            </w:tcBorders>
          </w:tcPr>
          <w:p>
            <w:pPr>
              <w:jc w:val="right"/>
              <w:ind w:right="188"/>
              <w:spacing w:after="0" w:line="86" w:lineRule="exact"/>
              <w:rPr>
                <w:sz w:val="20"/>
                <w:szCs w:val="20"/>
                <w:color w:val="auto"/>
              </w:rPr>
            </w:pPr>
            <w:r>
              <w:rPr>
                <w:rFonts w:ascii="Arial" w:cs="Arial" w:eastAsia="Arial" w:hAnsi="Arial"/>
                <w:sz w:val="9"/>
                <w:szCs w:val="9"/>
                <w:color w:val="auto"/>
              </w:rPr>
              <w:t>Int’l.</w:t>
            </w:r>
          </w:p>
        </w:tc>
        <w:tc>
          <w:tcPr>
            <w:tcW w:w="1160" w:type="dxa"/>
            <w:vAlign w:val="bottom"/>
            <w:tcBorders>
              <w:top w:val="single" w:sz="8" w:color="0077C0"/>
              <w:bottom w:val="single" w:sz="8" w:color="0077C0"/>
            </w:tcBorders>
          </w:tcPr>
          <w:p>
            <w:pPr>
              <w:jc w:val="right"/>
              <w:ind w:right="407"/>
              <w:spacing w:after="0" w:line="86" w:lineRule="exact"/>
              <w:rPr>
                <w:sz w:val="20"/>
                <w:szCs w:val="20"/>
                <w:color w:val="auto"/>
              </w:rPr>
            </w:pPr>
            <w:r>
              <w:rPr>
                <w:rFonts w:ascii="Arial" w:cs="Arial" w:eastAsia="Arial" w:hAnsi="Arial"/>
                <w:sz w:val="9"/>
                <w:szCs w:val="9"/>
                <w:color w:val="auto"/>
              </w:rPr>
              <w:t>U.S.</w:t>
            </w:r>
          </w:p>
        </w:tc>
        <w:tc>
          <w:tcPr>
            <w:tcW w:w="1060" w:type="dxa"/>
            <w:vAlign w:val="bottom"/>
            <w:tcBorders>
              <w:top w:val="single" w:sz="8" w:color="0077C0"/>
              <w:bottom w:val="single" w:sz="8" w:color="0077C0"/>
            </w:tcBorders>
          </w:tcPr>
          <w:p>
            <w:pPr>
              <w:jc w:val="right"/>
              <w:ind w:right="448"/>
              <w:spacing w:after="0" w:line="86" w:lineRule="exact"/>
              <w:rPr>
                <w:sz w:val="20"/>
                <w:szCs w:val="20"/>
                <w:color w:val="auto"/>
              </w:rPr>
            </w:pPr>
            <w:r>
              <w:rPr>
                <w:rFonts w:ascii="Arial" w:cs="Arial" w:eastAsia="Arial" w:hAnsi="Arial"/>
                <w:sz w:val="9"/>
                <w:szCs w:val="9"/>
                <w:color w:val="auto"/>
              </w:rPr>
              <w:t>Int’l.</w:t>
            </w:r>
          </w:p>
        </w:tc>
        <w:tc>
          <w:tcPr>
            <w:tcW w:w="820" w:type="dxa"/>
            <w:vAlign w:val="bottom"/>
            <w:tcBorders>
              <w:top w:val="single" w:sz="8" w:color="0077C0"/>
              <w:bottom w:val="single" w:sz="8" w:color="0077C0"/>
            </w:tcBorders>
          </w:tcPr>
          <w:p>
            <w:pPr>
              <w:ind w:left="380"/>
              <w:spacing w:after="0" w:line="86" w:lineRule="exact"/>
              <w:rPr>
                <w:sz w:val="20"/>
                <w:szCs w:val="20"/>
                <w:color w:val="auto"/>
              </w:rPr>
            </w:pPr>
            <w:r>
              <w:rPr>
                <w:rFonts w:ascii="Arial" w:cs="Arial" w:eastAsia="Arial" w:hAnsi="Arial"/>
                <w:sz w:val="9"/>
                <w:szCs w:val="9"/>
                <w:color w:val="auto"/>
              </w:rPr>
              <w:t>U.S.</w:t>
            </w:r>
          </w:p>
        </w:tc>
        <w:tc>
          <w:tcPr>
            <w:tcW w:w="78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460" w:type="dxa"/>
            <w:vAlign w:val="bottom"/>
          </w:tcPr>
          <w:p>
            <w:pPr>
              <w:spacing w:after="0"/>
              <w:rPr>
                <w:sz w:val="7"/>
                <w:szCs w:val="7"/>
                <w:color w:val="auto"/>
              </w:rPr>
            </w:pPr>
          </w:p>
        </w:tc>
        <w:tc>
          <w:tcPr>
            <w:tcW w:w="820" w:type="dxa"/>
            <w:vAlign w:val="bottom"/>
            <w:tcBorders>
              <w:top w:val="single" w:sz="8" w:color="0077C0"/>
              <w:bottom w:val="single" w:sz="8" w:color="0077C0"/>
            </w:tcBorders>
          </w:tcPr>
          <w:p>
            <w:pPr>
              <w:jc w:val="right"/>
              <w:ind w:right="187"/>
              <w:spacing w:after="0" w:line="86" w:lineRule="exact"/>
              <w:rPr>
                <w:sz w:val="20"/>
                <w:szCs w:val="20"/>
                <w:color w:val="auto"/>
              </w:rPr>
            </w:pPr>
            <w:r>
              <w:rPr>
                <w:rFonts w:ascii="Arial" w:cs="Arial" w:eastAsia="Arial" w:hAnsi="Arial"/>
                <w:sz w:val="9"/>
                <w:szCs w:val="9"/>
                <w:b w:val="1"/>
                <w:bCs w:val="1"/>
                <w:color w:val="auto"/>
              </w:rPr>
              <w:t>2011</w:t>
            </w:r>
          </w:p>
        </w:tc>
        <w:tc>
          <w:tcPr>
            <w:tcW w:w="920" w:type="dxa"/>
            <w:vAlign w:val="bottom"/>
            <w:tcBorders>
              <w:top w:val="single" w:sz="8" w:color="0077C0"/>
              <w:bottom w:val="single" w:sz="8" w:color="0077C0"/>
            </w:tcBorders>
          </w:tcPr>
          <w:p>
            <w:pPr>
              <w:jc w:val="right"/>
              <w:ind w:right="227"/>
              <w:spacing w:after="0" w:line="86" w:lineRule="exact"/>
              <w:rPr>
                <w:sz w:val="20"/>
                <w:szCs w:val="20"/>
                <w:color w:val="auto"/>
              </w:rPr>
            </w:pPr>
            <w:r>
              <w:rPr>
                <w:rFonts w:ascii="Arial" w:cs="Arial" w:eastAsia="Arial" w:hAnsi="Arial"/>
                <w:sz w:val="9"/>
                <w:szCs w:val="9"/>
                <w:color w:val="auto"/>
              </w:rPr>
              <w:t>2010</w:t>
            </w:r>
          </w:p>
        </w:tc>
        <w:tc>
          <w:tcPr>
            <w:tcW w:w="72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760" w:type="dxa"/>
            <w:vAlign w:val="bottom"/>
          </w:tcPr>
          <w:p>
            <w:pPr>
              <w:spacing w:after="0" w:line="106" w:lineRule="exact"/>
              <w:rPr>
                <w:sz w:val="20"/>
                <w:szCs w:val="20"/>
                <w:color w:val="auto"/>
              </w:rPr>
            </w:pPr>
            <w:r>
              <w:rPr>
                <w:rFonts w:ascii="Arial" w:cs="Arial" w:eastAsia="Arial" w:hAnsi="Arial"/>
                <w:sz w:val="11"/>
                <w:szCs w:val="11"/>
                <w:color w:val="auto"/>
              </w:rPr>
              <w:t>Assumptions used to determine benefit obligations:</w:t>
            </w:r>
          </w:p>
        </w:tc>
        <w:tc>
          <w:tcPr>
            <w:tcW w:w="1060" w:type="dxa"/>
            <w:vAlign w:val="bottom"/>
            <w:vMerge w:val="restart"/>
          </w:tcPr>
          <w:p>
            <w:pPr>
              <w:jc w:val="right"/>
              <w:ind w:right="327"/>
              <w:spacing w:after="0"/>
              <w:rPr>
                <w:sz w:val="20"/>
                <w:szCs w:val="20"/>
                <w:color w:val="auto"/>
              </w:rPr>
            </w:pPr>
            <w:r>
              <w:rPr>
                <w:rFonts w:ascii="Arial" w:cs="Arial" w:eastAsia="Arial" w:hAnsi="Arial"/>
                <w:sz w:val="11"/>
                <w:szCs w:val="11"/>
                <w:b w:val="1"/>
                <w:bCs w:val="1"/>
                <w:color w:val="auto"/>
              </w:rPr>
              <w:t>3.8%</w:t>
            </w:r>
          </w:p>
        </w:tc>
        <w:tc>
          <w:tcPr>
            <w:tcW w:w="800" w:type="dxa"/>
            <w:vAlign w:val="bottom"/>
            <w:tcBorders>
              <w:right w:val="single" w:sz="8" w:color="0077C0"/>
            </w:tcBorders>
            <w:vMerge w:val="restart"/>
          </w:tcPr>
          <w:p>
            <w:pPr>
              <w:jc w:val="right"/>
              <w:ind w:right="88"/>
              <w:spacing w:after="0"/>
              <w:rPr>
                <w:sz w:val="20"/>
                <w:szCs w:val="20"/>
                <w:color w:val="auto"/>
              </w:rPr>
            </w:pPr>
            <w:r>
              <w:rPr>
                <w:rFonts w:ascii="Arial" w:cs="Arial" w:eastAsia="Arial" w:hAnsi="Arial"/>
                <w:sz w:val="11"/>
                <w:szCs w:val="11"/>
                <w:b w:val="1"/>
                <w:bCs w:val="1"/>
                <w:color w:val="auto"/>
              </w:rPr>
              <w:t>5.9%</w:t>
            </w: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right w:val="single" w:sz="8" w:color="0077C0"/>
            </w:tcBorders>
            <w:vMerge w:val="restart"/>
          </w:tcPr>
          <w:p>
            <w:pPr>
              <w:jc w:val="right"/>
              <w:ind w:right="87"/>
              <w:spacing w:after="0"/>
              <w:rPr>
                <w:sz w:val="20"/>
                <w:szCs w:val="20"/>
                <w:color w:val="auto"/>
              </w:rPr>
            </w:pPr>
            <w:r>
              <w:rPr>
                <w:rFonts w:ascii="Arial" w:cs="Arial" w:eastAsia="Arial" w:hAnsi="Arial"/>
                <w:sz w:val="11"/>
                <w:szCs w:val="11"/>
                <w:b w:val="1"/>
                <w:bCs w:val="1"/>
                <w:color w:val="auto"/>
              </w:rPr>
              <w:t>4.2%</w:t>
            </w: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760" w:type="dxa"/>
            <w:vAlign w:val="bottom"/>
          </w:tcPr>
          <w:p>
            <w:pPr>
              <w:ind w:left="280"/>
              <w:spacing w:after="0" w:line="112" w:lineRule="exact"/>
              <w:rPr>
                <w:sz w:val="20"/>
                <w:szCs w:val="20"/>
                <w:color w:val="auto"/>
              </w:rPr>
            </w:pPr>
            <w:r>
              <w:rPr>
                <w:rFonts w:ascii="Arial" w:cs="Arial" w:eastAsia="Arial" w:hAnsi="Arial"/>
                <w:sz w:val="11"/>
                <w:szCs w:val="11"/>
                <w:color w:val="auto"/>
              </w:rPr>
              <w:t>Discount rate</w:t>
            </w:r>
          </w:p>
        </w:tc>
        <w:tc>
          <w:tcPr>
            <w:tcW w:w="1060" w:type="dxa"/>
            <w:vAlign w:val="bottom"/>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1160" w:type="dxa"/>
            <w:vAlign w:val="bottom"/>
          </w:tcPr>
          <w:p>
            <w:pPr>
              <w:jc w:val="right"/>
              <w:ind w:right="327"/>
              <w:spacing w:after="0" w:line="112" w:lineRule="exact"/>
              <w:rPr>
                <w:sz w:val="20"/>
                <w:szCs w:val="20"/>
                <w:color w:val="auto"/>
              </w:rPr>
            </w:pPr>
            <w:r>
              <w:rPr>
                <w:rFonts w:ascii="Arial" w:cs="Arial" w:eastAsia="Arial" w:hAnsi="Arial"/>
                <w:sz w:val="11"/>
                <w:szCs w:val="11"/>
                <w:color w:val="auto"/>
              </w:rPr>
              <w:t>4.8%</w:t>
            </w:r>
          </w:p>
        </w:tc>
        <w:tc>
          <w:tcPr>
            <w:tcW w:w="1060" w:type="dxa"/>
            <w:vAlign w:val="bottom"/>
          </w:tcPr>
          <w:p>
            <w:pPr>
              <w:jc w:val="right"/>
              <w:ind w:right="348"/>
              <w:spacing w:after="0" w:line="112" w:lineRule="exact"/>
              <w:rPr>
                <w:sz w:val="20"/>
                <w:szCs w:val="20"/>
                <w:color w:val="auto"/>
              </w:rPr>
            </w:pPr>
            <w:r>
              <w:rPr>
                <w:rFonts w:ascii="Arial" w:cs="Arial" w:eastAsia="Arial" w:hAnsi="Arial"/>
                <w:sz w:val="11"/>
                <w:szCs w:val="11"/>
                <w:color w:val="auto"/>
              </w:rPr>
              <w:t>6.5%</w:t>
            </w:r>
          </w:p>
        </w:tc>
        <w:tc>
          <w:tcPr>
            <w:tcW w:w="820" w:type="dxa"/>
            <w:vAlign w:val="bottom"/>
          </w:tcPr>
          <w:p>
            <w:pPr>
              <w:ind w:left="420"/>
              <w:spacing w:after="0" w:line="112" w:lineRule="exact"/>
              <w:rPr>
                <w:sz w:val="20"/>
                <w:szCs w:val="20"/>
                <w:color w:val="auto"/>
              </w:rPr>
            </w:pPr>
            <w:r>
              <w:rPr>
                <w:rFonts w:ascii="Arial" w:cs="Arial" w:eastAsia="Arial" w:hAnsi="Arial"/>
                <w:sz w:val="11"/>
                <w:szCs w:val="11"/>
                <w:color w:val="auto"/>
              </w:rPr>
              <w:t>5.3%</w:t>
            </w:r>
          </w:p>
        </w:tc>
        <w:tc>
          <w:tcPr>
            <w:tcW w:w="1240" w:type="dxa"/>
            <w:vAlign w:val="bottom"/>
            <w:gridSpan w:val="2"/>
          </w:tcPr>
          <w:p>
            <w:pPr>
              <w:jc w:val="right"/>
              <w:ind w:right="380"/>
              <w:spacing w:after="0" w:line="112" w:lineRule="exact"/>
              <w:rPr>
                <w:sz w:val="20"/>
                <w:szCs w:val="20"/>
                <w:color w:val="auto"/>
              </w:rPr>
            </w:pPr>
            <w:r>
              <w:rPr>
                <w:rFonts w:ascii="Arial" w:cs="Arial" w:eastAsia="Arial" w:hAnsi="Arial"/>
                <w:sz w:val="11"/>
                <w:szCs w:val="11"/>
                <w:color w:val="auto"/>
              </w:rPr>
              <w:t>6.8%</w:t>
            </w:r>
          </w:p>
        </w:tc>
        <w:tc>
          <w:tcPr>
            <w:tcW w:w="820" w:type="dxa"/>
            <w:vAlign w:val="bottom"/>
            <w:tcBorders>
              <w:right w:val="single" w:sz="8" w:color="0077C0"/>
            </w:tcBorders>
            <w:vMerge w:val="continue"/>
          </w:tcPr>
          <w:p>
            <w:pPr>
              <w:spacing w:after="0"/>
              <w:rPr>
                <w:sz w:val="9"/>
                <w:szCs w:val="9"/>
                <w:color w:val="auto"/>
              </w:rPr>
            </w:pPr>
          </w:p>
        </w:tc>
        <w:tc>
          <w:tcPr>
            <w:tcW w:w="920" w:type="dxa"/>
            <w:vAlign w:val="bottom"/>
          </w:tcPr>
          <w:p>
            <w:pPr>
              <w:jc w:val="right"/>
              <w:ind w:right="127"/>
              <w:spacing w:after="0" w:line="112" w:lineRule="exact"/>
              <w:rPr>
                <w:sz w:val="20"/>
                <w:szCs w:val="20"/>
                <w:color w:val="auto"/>
              </w:rPr>
            </w:pPr>
            <w:r>
              <w:rPr>
                <w:rFonts w:ascii="Arial" w:cs="Arial" w:eastAsia="Arial" w:hAnsi="Arial"/>
                <w:sz w:val="11"/>
                <w:szCs w:val="11"/>
                <w:color w:val="auto"/>
              </w:rPr>
              <w:t>5.2%</w:t>
            </w:r>
          </w:p>
        </w:tc>
        <w:tc>
          <w:tcPr>
            <w:tcW w:w="82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19"/>
        </w:trPr>
        <w:tc>
          <w:tcPr>
            <w:tcW w:w="2760" w:type="dxa"/>
            <w:vAlign w:val="bottom"/>
          </w:tcPr>
          <w:p>
            <w:pPr>
              <w:ind w:left="280"/>
              <w:spacing w:after="0" w:line="120" w:lineRule="exact"/>
              <w:rPr>
                <w:sz w:val="20"/>
                <w:szCs w:val="20"/>
                <w:color w:val="auto"/>
              </w:rPr>
            </w:pPr>
            <w:r>
              <w:rPr>
                <w:rFonts w:ascii="Arial" w:cs="Arial" w:eastAsia="Arial" w:hAnsi="Arial"/>
                <w:sz w:val="11"/>
                <w:szCs w:val="11"/>
                <w:color w:val="auto"/>
              </w:rPr>
              <w:t>Rate of compensation increase</w:t>
            </w:r>
          </w:p>
        </w:tc>
        <w:tc>
          <w:tcPr>
            <w:tcW w:w="1060" w:type="dxa"/>
            <w:vAlign w:val="bottom"/>
          </w:tcPr>
          <w:p>
            <w:pPr>
              <w:jc w:val="right"/>
              <w:ind w:right="327"/>
              <w:spacing w:after="0" w:line="120" w:lineRule="exact"/>
              <w:rPr>
                <w:sz w:val="20"/>
                <w:szCs w:val="20"/>
                <w:color w:val="auto"/>
              </w:rPr>
            </w:pPr>
            <w:r>
              <w:rPr>
                <w:rFonts w:ascii="Arial" w:cs="Arial" w:eastAsia="Arial" w:hAnsi="Arial"/>
                <w:sz w:val="11"/>
                <w:szCs w:val="11"/>
                <w:b w:val="1"/>
                <w:bCs w:val="1"/>
                <w:color w:val="auto"/>
              </w:rPr>
              <w:t>4.5%</w:t>
            </w:r>
          </w:p>
        </w:tc>
        <w:tc>
          <w:tcPr>
            <w:tcW w:w="800" w:type="dxa"/>
            <w:vAlign w:val="bottom"/>
            <w:tcBorders>
              <w:right w:val="single" w:sz="8" w:color="0077C0"/>
            </w:tcBorders>
          </w:tcPr>
          <w:p>
            <w:pPr>
              <w:jc w:val="right"/>
              <w:ind w:right="88"/>
              <w:spacing w:after="0" w:line="120" w:lineRule="exact"/>
              <w:rPr>
                <w:sz w:val="20"/>
                <w:szCs w:val="20"/>
                <w:color w:val="auto"/>
              </w:rPr>
            </w:pPr>
            <w:r>
              <w:rPr>
                <w:rFonts w:ascii="Arial" w:cs="Arial" w:eastAsia="Arial" w:hAnsi="Arial"/>
                <w:sz w:val="11"/>
                <w:szCs w:val="11"/>
                <w:b w:val="1"/>
                <w:bCs w:val="1"/>
                <w:color w:val="auto"/>
              </w:rPr>
              <w:t>5.7%</w:t>
            </w:r>
          </w:p>
        </w:tc>
        <w:tc>
          <w:tcPr>
            <w:tcW w:w="1160" w:type="dxa"/>
            <w:vAlign w:val="bottom"/>
          </w:tcPr>
          <w:p>
            <w:pPr>
              <w:jc w:val="right"/>
              <w:ind w:right="327"/>
              <w:spacing w:after="0" w:line="120" w:lineRule="exact"/>
              <w:rPr>
                <w:sz w:val="20"/>
                <w:szCs w:val="20"/>
                <w:color w:val="auto"/>
              </w:rPr>
            </w:pPr>
            <w:r>
              <w:rPr>
                <w:rFonts w:ascii="Arial" w:cs="Arial" w:eastAsia="Arial" w:hAnsi="Arial"/>
                <w:sz w:val="11"/>
                <w:szCs w:val="11"/>
                <w:color w:val="auto"/>
              </w:rPr>
              <w:t>4.5%</w:t>
            </w:r>
          </w:p>
        </w:tc>
        <w:tc>
          <w:tcPr>
            <w:tcW w:w="1060" w:type="dxa"/>
            <w:vAlign w:val="bottom"/>
          </w:tcPr>
          <w:p>
            <w:pPr>
              <w:jc w:val="right"/>
              <w:ind w:right="348"/>
              <w:spacing w:after="0" w:line="120" w:lineRule="exact"/>
              <w:rPr>
                <w:sz w:val="20"/>
                <w:szCs w:val="20"/>
                <w:color w:val="auto"/>
              </w:rPr>
            </w:pPr>
            <w:r>
              <w:rPr>
                <w:rFonts w:ascii="Arial" w:cs="Arial" w:eastAsia="Arial" w:hAnsi="Arial"/>
                <w:sz w:val="11"/>
                <w:szCs w:val="11"/>
                <w:color w:val="auto"/>
              </w:rPr>
              <w:t>6.7%</w:t>
            </w:r>
          </w:p>
        </w:tc>
        <w:tc>
          <w:tcPr>
            <w:tcW w:w="820" w:type="dxa"/>
            <w:vAlign w:val="bottom"/>
          </w:tcPr>
          <w:p>
            <w:pPr>
              <w:ind w:left="420"/>
              <w:spacing w:after="0" w:line="120" w:lineRule="exact"/>
              <w:rPr>
                <w:sz w:val="20"/>
                <w:szCs w:val="20"/>
                <w:color w:val="auto"/>
              </w:rPr>
            </w:pPr>
            <w:r>
              <w:rPr>
                <w:rFonts w:ascii="Arial" w:cs="Arial" w:eastAsia="Arial" w:hAnsi="Arial"/>
                <w:sz w:val="11"/>
                <w:szCs w:val="11"/>
                <w:color w:val="auto"/>
              </w:rPr>
              <w:t>4.5%</w:t>
            </w:r>
          </w:p>
        </w:tc>
        <w:tc>
          <w:tcPr>
            <w:tcW w:w="1240" w:type="dxa"/>
            <w:vAlign w:val="bottom"/>
            <w:gridSpan w:val="2"/>
          </w:tcPr>
          <w:p>
            <w:pPr>
              <w:jc w:val="right"/>
              <w:ind w:right="380"/>
              <w:spacing w:after="0" w:line="120" w:lineRule="exact"/>
              <w:rPr>
                <w:sz w:val="20"/>
                <w:szCs w:val="20"/>
                <w:color w:val="auto"/>
              </w:rPr>
            </w:pPr>
            <w:r>
              <w:rPr>
                <w:rFonts w:ascii="Arial" w:cs="Arial" w:eastAsia="Arial" w:hAnsi="Arial"/>
                <w:sz w:val="11"/>
                <w:szCs w:val="11"/>
                <w:color w:val="auto"/>
              </w:rPr>
              <w:t>6.3%</w:t>
            </w:r>
          </w:p>
        </w:tc>
        <w:tc>
          <w:tcPr>
            <w:tcW w:w="820" w:type="dxa"/>
            <w:vAlign w:val="bottom"/>
            <w:tcBorders>
              <w:right w:val="single" w:sz="8" w:color="0077C0"/>
            </w:tcBorders>
          </w:tcPr>
          <w:p>
            <w:pPr>
              <w:jc w:val="right"/>
              <w:ind w:right="187"/>
              <w:spacing w:after="0" w:line="120" w:lineRule="exact"/>
              <w:rPr>
                <w:sz w:val="20"/>
                <w:szCs w:val="20"/>
                <w:color w:val="auto"/>
              </w:rPr>
            </w:pPr>
            <w:r>
              <w:rPr>
                <w:rFonts w:ascii="Arial" w:cs="Arial" w:eastAsia="Arial" w:hAnsi="Arial"/>
                <w:sz w:val="11"/>
                <w:szCs w:val="11"/>
                <w:b w:val="1"/>
                <w:bCs w:val="1"/>
                <w:color w:val="auto"/>
              </w:rPr>
              <w:t>N/A</w:t>
            </w:r>
          </w:p>
        </w:tc>
        <w:tc>
          <w:tcPr>
            <w:tcW w:w="920" w:type="dxa"/>
            <w:vAlign w:val="bottom"/>
          </w:tcPr>
          <w:p>
            <w:pPr>
              <w:jc w:val="right"/>
              <w:ind w:right="227"/>
              <w:spacing w:after="0" w:line="120" w:lineRule="exact"/>
              <w:rPr>
                <w:sz w:val="20"/>
                <w:szCs w:val="20"/>
                <w:color w:val="auto"/>
              </w:rPr>
            </w:pPr>
            <w:r>
              <w:rPr>
                <w:rFonts w:ascii="Arial" w:cs="Arial" w:eastAsia="Arial" w:hAnsi="Arial"/>
                <w:sz w:val="11"/>
                <w:szCs w:val="11"/>
                <w:color w:val="auto"/>
              </w:rPr>
              <w:t>N/A</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15"/>
        </w:trPr>
        <w:tc>
          <w:tcPr>
            <w:tcW w:w="2760" w:type="dxa"/>
            <w:vAlign w:val="bottom"/>
          </w:tcPr>
          <w:p>
            <w:pPr>
              <w:spacing w:after="0" w:line="115" w:lineRule="exact"/>
              <w:rPr>
                <w:sz w:val="20"/>
                <w:szCs w:val="20"/>
                <w:color w:val="auto"/>
              </w:rPr>
            </w:pPr>
            <w:r>
              <w:rPr>
                <w:rFonts w:ascii="Arial" w:cs="Arial" w:eastAsia="Arial" w:hAnsi="Arial"/>
                <w:sz w:val="11"/>
                <w:szCs w:val="11"/>
                <w:color w:val="auto"/>
              </w:rPr>
              <w:t>Assumptions used to determine</w:t>
            </w:r>
          </w:p>
        </w:tc>
        <w:tc>
          <w:tcPr>
            <w:tcW w:w="1060" w:type="dxa"/>
            <w:vAlign w:val="bottom"/>
          </w:tcPr>
          <w:p>
            <w:pPr>
              <w:spacing w:after="0"/>
              <w:rPr>
                <w:sz w:val="10"/>
                <w:szCs w:val="10"/>
                <w:color w:val="auto"/>
              </w:rPr>
            </w:pPr>
          </w:p>
        </w:tc>
        <w:tc>
          <w:tcPr>
            <w:tcW w:w="800" w:type="dxa"/>
            <w:vAlign w:val="bottom"/>
            <w:tcBorders>
              <w:right w:val="single" w:sz="8" w:color="0077C0"/>
            </w:tcBorders>
          </w:tcPr>
          <w:p>
            <w:pPr>
              <w:spacing w:after="0"/>
              <w:rPr>
                <w:sz w:val="10"/>
                <w:szCs w:val="10"/>
                <w:color w:val="auto"/>
              </w:rPr>
            </w:pPr>
          </w:p>
        </w:tc>
        <w:tc>
          <w:tcPr>
            <w:tcW w:w="1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Borders>
              <w:right w:val="single" w:sz="8" w:color="0077C0"/>
            </w:tcBorders>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tcPr>
          <w:p>
            <w:pPr>
              <w:ind w:left="140"/>
              <w:spacing w:after="0" w:line="115" w:lineRule="exact"/>
              <w:rPr>
                <w:sz w:val="20"/>
                <w:szCs w:val="20"/>
                <w:color w:val="auto"/>
              </w:rPr>
            </w:pPr>
            <w:r>
              <w:rPr>
                <w:rFonts w:ascii="Arial" w:cs="Arial" w:eastAsia="Arial" w:hAnsi="Arial"/>
                <w:sz w:val="11"/>
                <w:szCs w:val="11"/>
                <w:color w:val="auto"/>
              </w:rPr>
              <w:t>net periodic benefit cost:</w:t>
            </w:r>
          </w:p>
        </w:tc>
        <w:tc>
          <w:tcPr>
            <w:tcW w:w="1060" w:type="dxa"/>
            <w:vAlign w:val="bottom"/>
            <w:vMerge w:val="restart"/>
          </w:tcPr>
          <w:p>
            <w:pPr>
              <w:jc w:val="right"/>
              <w:ind w:right="327"/>
              <w:spacing w:after="0"/>
              <w:rPr>
                <w:sz w:val="20"/>
                <w:szCs w:val="20"/>
                <w:color w:val="auto"/>
              </w:rPr>
            </w:pPr>
            <w:r>
              <w:rPr>
                <w:rFonts w:ascii="Arial" w:cs="Arial" w:eastAsia="Arial" w:hAnsi="Arial"/>
                <w:sz w:val="11"/>
                <w:szCs w:val="11"/>
                <w:b w:val="1"/>
                <w:bCs w:val="1"/>
                <w:color w:val="auto"/>
              </w:rPr>
              <w:t>4.8%</w:t>
            </w:r>
          </w:p>
        </w:tc>
        <w:tc>
          <w:tcPr>
            <w:tcW w:w="800" w:type="dxa"/>
            <w:vAlign w:val="bottom"/>
            <w:tcBorders>
              <w:right w:val="single" w:sz="8" w:color="0077C0"/>
            </w:tcBorders>
            <w:vMerge w:val="restart"/>
          </w:tcPr>
          <w:p>
            <w:pPr>
              <w:jc w:val="right"/>
              <w:ind w:right="88"/>
              <w:spacing w:after="0"/>
              <w:rPr>
                <w:sz w:val="20"/>
                <w:szCs w:val="20"/>
                <w:color w:val="auto"/>
              </w:rPr>
            </w:pPr>
            <w:r>
              <w:rPr>
                <w:rFonts w:ascii="Arial" w:cs="Arial" w:eastAsia="Arial" w:hAnsi="Arial"/>
                <w:sz w:val="11"/>
                <w:szCs w:val="11"/>
                <w:b w:val="1"/>
                <w:bCs w:val="1"/>
                <w:color w:val="auto"/>
              </w:rPr>
              <w:t>6.5%</w:t>
            </w:r>
          </w:p>
        </w:tc>
        <w:tc>
          <w:tcPr>
            <w:tcW w:w="1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vMerge w:val="restart"/>
          </w:tcPr>
          <w:p>
            <w:pPr>
              <w:ind w:left="420"/>
              <w:spacing w:after="0"/>
              <w:rPr>
                <w:sz w:val="20"/>
                <w:szCs w:val="20"/>
                <w:color w:val="auto"/>
              </w:rPr>
            </w:pPr>
            <w:r>
              <w:rPr>
                <w:rFonts w:ascii="Arial" w:cs="Arial" w:eastAsia="Arial" w:hAnsi="Arial"/>
                <w:sz w:val="11"/>
                <w:szCs w:val="11"/>
                <w:color w:val="auto"/>
              </w:rPr>
              <w:t>6.3</w:t>
            </w:r>
            <w:r>
              <w:rPr>
                <w:rFonts w:ascii="Arial" w:cs="Arial" w:eastAsia="Arial" w:hAnsi="Arial"/>
                <w:sz w:val="11"/>
                <w:szCs w:val="11"/>
                <w:b w:val="1"/>
                <w:bCs w:val="1"/>
                <w:color w:val="auto"/>
              </w:rPr>
              <w:t>%</w:t>
            </w: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Borders>
              <w:right w:val="single" w:sz="8" w:color="0077C0"/>
            </w:tcBorders>
            <w:vMerge w:val="restart"/>
          </w:tcPr>
          <w:p>
            <w:pPr>
              <w:jc w:val="right"/>
              <w:ind w:right="87"/>
              <w:spacing w:after="0"/>
              <w:rPr>
                <w:sz w:val="20"/>
                <w:szCs w:val="20"/>
                <w:color w:val="auto"/>
              </w:rPr>
            </w:pPr>
            <w:r>
              <w:rPr>
                <w:rFonts w:ascii="Arial" w:cs="Arial" w:eastAsia="Arial" w:hAnsi="Arial"/>
                <w:sz w:val="11"/>
                <w:szCs w:val="11"/>
                <w:b w:val="1"/>
                <w:bCs w:val="1"/>
                <w:color w:val="auto"/>
              </w:rPr>
              <w:t>5.2%</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60" w:type="dxa"/>
            <w:vAlign w:val="bottom"/>
          </w:tcPr>
          <w:p>
            <w:pPr>
              <w:ind w:left="280"/>
              <w:spacing w:after="0" w:line="112" w:lineRule="exact"/>
              <w:rPr>
                <w:sz w:val="20"/>
                <w:szCs w:val="20"/>
                <w:color w:val="auto"/>
              </w:rPr>
            </w:pPr>
            <w:r>
              <w:rPr>
                <w:rFonts w:ascii="Arial" w:cs="Arial" w:eastAsia="Arial" w:hAnsi="Arial"/>
                <w:sz w:val="11"/>
                <w:szCs w:val="11"/>
                <w:color w:val="auto"/>
              </w:rPr>
              <w:t>Discount rate</w:t>
            </w:r>
          </w:p>
        </w:tc>
        <w:tc>
          <w:tcPr>
            <w:tcW w:w="1060" w:type="dxa"/>
            <w:vAlign w:val="bottom"/>
            <w:vMerge w:val="continue"/>
          </w:tcPr>
          <w:p>
            <w:pPr>
              <w:spacing w:after="0"/>
              <w:rPr>
                <w:sz w:val="9"/>
                <w:szCs w:val="9"/>
                <w:color w:val="auto"/>
              </w:rPr>
            </w:pPr>
          </w:p>
        </w:tc>
        <w:tc>
          <w:tcPr>
            <w:tcW w:w="800" w:type="dxa"/>
            <w:vAlign w:val="bottom"/>
            <w:tcBorders>
              <w:right w:val="single" w:sz="8" w:color="0077C0"/>
            </w:tcBorders>
            <w:vMerge w:val="continue"/>
          </w:tcPr>
          <w:p>
            <w:pPr>
              <w:spacing w:after="0"/>
              <w:rPr>
                <w:sz w:val="9"/>
                <w:szCs w:val="9"/>
                <w:color w:val="auto"/>
              </w:rPr>
            </w:pPr>
          </w:p>
        </w:tc>
        <w:tc>
          <w:tcPr>
            <w:tcW w:w="1160" w:type="dxa"/>
            <w:vAlign w:val="bottom"/>
          </w:tcPr>
          <w:p>
            <w:pPr>
              <w:jc w:val="right"/>
              <w:ind w:right="327"/>
              <w:spacing w:after="0" w:line="112" w:lineRule="exact"/>
              <w:rPr>
                <w:sz w:val="20"/>
                <w:szCs w:val="20"/>
                <w:color w:val="auto"/>
              </w:rPr>
            </w:pPr>
            <w:r>
              <w:rPr>
                <w:rFonts w:ascii="Arial" w:cs="Arial" w:eastAsia="Arial" w:hAnsi="Arial"/>
                <w:sz w:val="11"/>
                <w:szCs w:val="11"/>
                <w:color w:val="auto"/>
              </w:rPr>
              <w:t>5.3%</w:t>
            </w:r>
          </w:p>
        </w:tc>
        <w:tc>
          <w:tcPr>
            <w:tcW w:w="1060" w:type="dxa"/>
            <w:vAlign w:val="bottom"/>
          </w:tcPr>
          <w:p>
            <w:pPr>
              <w:jc w:val="right"/>
              <w:ind w:right="348"/>
              <w:spacing w:after="0" w:line="112" w:lineRule="exact"/>
              <w:rPr>
                <w:sz w:val="20"/>
                <w:szCs w:val="20"/>
                <w:color w:val="auto"/>
              </w:rPr>
            </w:pPr>
            <w:r>
              <w:rPr>
                <w:rFonts w:ascii="Arial" w:cs="Arial" w:eastAsia="Arial" w:hAnsi="Arial"/>
                <w:sz w:val="11"/>
                <w:szCs w:val="11"/>
                <w:color w:val="auto"/>
              </w:rPr>
              <w:t>6.8%</w:t>
            </w:r>
          </w:p>
        </w:tc>
        <w:tc>
          <w:tcPr>
            <w:tcW w:w="820" w:type="dxa"/>
            <w:vAlign w:val="bottom"/>
            <w:vMerge w:val="continue"/>
          </w:tcPr>
          <w:p>
            <w:pPr>
              <w:spacing w:after="0"/>
              <w:rPr>
                <w:sz w:val="9"/>
                <w:szCs w:val="9"/>
                <w:color w:val="auto"/>
              </w:rPr>
            </w:pPr>
          </w:p>
        </w:tc>
        <w:tc>
          <w:tcPr>
            <w:tcW w:w="1240" w:type="dxa"/>
            <w:vAlign w:val="bottom"/>
            <w:gridSpan w:val="2"/>
          </w:tcPr>
          <w:p>
            <w:pPr>
              <w:jc w:val="right"/>
              <w:ind w:right="380"/>
              <w:spacing w:after="0" w:line="112" w:lineRule="exact"/>
              <w:rPr>
                <w:sz w:val="20"/>
                <w:szCs w:val="20"/>
                <w:color w:val="auto"/>
              </w:rPr>
            </w:pPr>
            <w:r>
              <w:rPr>
                <w:rFonts w:ascii="Arial" w:cs="Arial" w:eastAsia="Arial" w:hAnsi="Arial"/>
                <w:sz w:val="11"/>
                <w:szCs w:val="11"/>
                <w:color w:val="auto"/>
              </w:rPr>
              <w:t>7.5%</w:t>
            </w:r>
          </w:p>
        </w:tc>
        <w:tc>
          <w:tcPr>
            <w:tcW w:w="820" w:type="dxa"/>
            <w:vAlign w:val="bottom"/>
            <w:tcBorders>
              <w:right w:val="single" w:sz="8" w:color="0077C0"/>
            </w:tcBorders>
            <w:vMerge w:val="continue"/>
          </w:tcPr>
          <w:p>
            <w:pPr>
              <w:spacing w:after="0"/>
              <w:rPr>
                <w:sz w:val="9"/>
                <w:szCs w:val="9"/>
                <w:color w:val="auto"/>
              </w:rPr>
            </w:pPr>
          </w:p>
        </w:tc>
        <w:tc>
          <w:tcPr>
            <w:tcW w:w="920" w:type="dxa"/>
            <w:vAlign w:val="bottom"/>
          </w:tcPr>
          <w:p>
            <w:pPr>
              <w:jc w:val="right"/>
              <w:ind w:right="127"/>
              <w:spacing w:after="0" w:line="112" w:lineRule="exact"/>
              <w:rPr>
                <w:sz w:val="20"/>
                <w:szCs w:val="20"/>
                <w:color w:val="auto"/>
              </w:rPr>
            </w:pPr>
            <w:r>
              <w:rPr>
                <w:rFonts w:ascii="Arial" w:cs="Arial" w:eastAsia="Arial" w:hAnsi="Arial"/>
                <w:sz w:val="11"/>
                <w:szCs w:val="11"/>
                <w:color w:val="auto"/>
              </w:rPr>
              <w:t>5.9%</w:t>
            </w:r>
          </w:p>
        </w:tc>
        <w:tc>
          <w:tcPr>
            <w:tcW w:w="82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15"/>
        </w:trPr>
        <w:tc>
          <w:tcPr>
            <w:tcW w:w="2760" w:type="dxa"/>
            <w:vAlign w:val="bottom"/>
          </w:tcPr>
          <w:p>
            <w:pPr>
              <w:ind w:left="280"/>
              <w:spacing w:after="0" w:line="115" w:lineRule="exact"/>
              <w:rPr>
                <w:sz w:val="20"/>
                <w:szCs w:val="20"/>
                <w:color w:val="auto"/>
              </w:rPr>
            </w:pPr>
            <w:r>
              <w:rPr>
                <w:rFonts w:ascii="Arial" w:cs="Arial" w:eastAsia="Arial" w:hAnsi="Arial"/>
                <w:sz w:val="11"/>
                <w:szCs w:val="11"/>
                <w:color w:val="auto"/>
              </w:rPr>
              <w:t>Expected return on plan assets</w:t>
            </w:r>
          </w:p>
        </w:tc>
        <w:tc>
          <w:tcPr>
            <w:tcW w:w="1060" w:type="dxa"/>
            <w:vAlign w:val="bottom"/>
          </w:tcPr>
          <w:p>
            <w:pPr>
              <w:jc w:val="right"/>
              <w:ind w:right="327"/>
              <w:spacing w:after="0" w:line="115" w:lineRule="exact"/>
              <w:rPr>
                <w:sz w:val="20"/>
                <w:szCs w:val="20"/>
                <w:color w:val="auto"/>
              </w:rPr>
            </w:pPr>
            <w:r>
              <w:rPr>
                <w:rFonts w:ascii="Arial" w:cs="Arial" w:eastAsia="Arial" w:hAnsi="Arial"/>
                <w:sz w:val="11"/>
                <w:szCs w:val="11"/>
                <w:b w:val="1"/>
                <w:bCs w:val="1"/>
                <w:color w:val="auto"/>
              </w:rPr>
              <w:t>7.8%</w:t>
            </w:r>
          </w:p>
        </w:tc>
        <w:tc>
          <w:tcPr>
            <w:tcW w:w="800" w:type="dxa"/>
            <w:vAlign w:val="bottom"/>
            <w:tcBorders>
              <w:right w:val="single" w:sz="8" w:color="0077C0"/>
            </w:tcBorders>
          </w:tcPr>
          <w:p>
            <w:pPr>
              <w:jc w:val="right"/>
              <w:ind w:right="88"/>
              <w:spacing w:after="0" w:line="115" w:lineRule="exact"/>
              <w:rPr>
                <w:sz w:val="20"/>
                <w:szCs w:val="20"/>
                <w:color w:val="auto"/>
              </w:rPr>
            </w:pPr>
            <w:r>
              <w:rPr>
                <w:rFonts w:ascii="Arial" w:cs="Arial" w:eastAsia="Arial" w:hAnsi="Arial"/>
                <w:sz w:val="11"/>
                <w:szCs w:val="11"/>
                <w:b w:val="1"/>
                <w:bCs w:val="1"/>
                <w:color w:val="auto"/>
              </w:rPr>
              <w:t>7.8%</w:t>
            </w:r>
          </w:p>
        </w:tc>
        <w:tc>
          <w:tcPr>
            <w:tcW w:w="1160" w:type="dxa"/>
            <w:vAlign w:val="bottom"/>
          </w:tcPr>
          <w:p>
            <w:pPr>
              <w:jc w:val="right"/>
              <w:ind w:right="327"/>
              <w:spacing w:after="0" w:line="115" w:lineRule="exact"/>
              <w:rPr>
                <w:sz w:val="20"/>
                <w:szCs w:val="20"/>
                <w:color w:val="auto"/>
              </w:rPr>
            </w:pPr>
            <w:r>
              <w:rPr>
                <w:rFonts w:ascii="Arial" w:cs="Arial" w:eastAsia="Arial" w:hAnsi="Arial"/>
                <w:sz w:val="11"/>
                <w:szCs w:val="11"/>
                <w:color w:val="auto"/>
              </w:rPr>
              <w:t>7.8%</w:t>
            </w:r>
          </w:p>
        </w:tc>
        <w:tc>
          <w:tcPr>
            <w:tcW w:w="1060" w:type="dxa"/>
            <w:vAlign w:val="bottom"/>
          </w:tcPr>
          <w:p>
            <w:pPr>
              <w:jc w:val="right"/>
              <w:ind w:right="348"/>
              <w:spacing w:after="0" w:line="115" w:lineRule="exact"/>
              <w:rPr>
                <w:sz w:val="20"/>
                <w:szCs w:val="20"/>
                <w:color w:val="auto"/>
              </w:rPr>
            </w:pPr>
            <w:r>
              <w:rPr>
                <w:rFonts w:ascii="Arial" w:cs="Arial" w:eastAsia="Arial" w:hAnsi="Arial"/>
                <w:sz w:val="11"/>
                <w:szCs w:val="11"/>
                <w:color w:val="auto"/>
              </w:rPr>
              <w:t>7.8%</w:t>
            </w:r>
          </w:p>
        </w:tc>
        <w:tc>
          <w:tcPr>
            <w:tcW w:w="820" w:type="dxa"/>
            <w:vAlign w:val="bottom"/>
          </w:tcPr>
          <w:p>
            <w:pPr>
              <w:ind w:left="420"/>
              <w:spacing w:after="0" w:line="115" w:lineRule="exact"/>
              <w:rPr>
                <w:sz w:val="20"/>
                <w:szCs w:val="20"/>
                <w:color w:val="auto"/>
              </w:rPr>
            </w:pPr>
            <w:r>
              <w:rPr>
                <w:rFonts w:ascii="Arial" w:cs="Arial" w:eastAsia="Arial" w:hAnsi="Arial"/>
                <w:sz w:val="11"/>
                <w:szCs w:val="11"/>
                <w:color w:val="auto"/>
              </w:rPr>
              <w:t>7.8</w:t>
            </w:r>
            <w:r>
              <w:rPr>
                <w:rFonts w:ascii="Arial" w:cs="Arial" w:eastAsia="Arial" w:hAnsi="Arial"/>
                <w:sz w:val="11"/>
                <w:szCs w:val="11"/>
                <w:b w:val="1"/>
                <w:bCs w:val="1"/>
                <w:color w:val="auto"/>
              </w:rPr>
              <w:t>%</w:t>
            </w:r>
          </w:p>
        </w:tc>
        <w:tc>
          <w:tcPr>
            <w:tcW w:w="1240" w:type="dxa"/>
            <w:vAlign w:val="bottom"/>
            <w:gridSpan w:val="2"/>
          </w:tcPr>
          <w:p>
            <w:pPr>
              <w:jc w:val="right"/>
              <w:ind w:right="380"/>
              <w:spacing w:after="0" w:line="115" w:lineRule="exact"/>
              <w:rPr>
                <w:sz w:val="20"/>
                <w:szCs w:val="20"/>
                <w:color w:val="auto"/>
              </w:rPr>
            </w:pPr>
            <w:r>
              <w:rPr>
                <w:rFonts w:ascii="Arial" w:cs="Arial" w:eastAsia="Arial" w:hAnsi="Arial"/>
                <w:sz w:val="11"/>
                <w:szCs w:val="11"/>
                <w:color w:val="auto"/>
              </w:rPr>
              <w:t>7.5%</w:t>
            </w:r>
          </w:p>
        </w:tc>
        <w:tc>
          <w:tcPr>
            <w:tcW w:w="820" w:type="dxa"/>
            <w:vAlign w:val="bottom"/>
            <w:tcBorders>
              <w:right w:val="single" w:sz="8" w:color="0077C0"/>
            </w:tcBorders>
          </w:tcPr>
          <w:p>
            <w:pPr>
              <w:jc w:val="right"/>
              <w:ind w:right="187"/>
              <w:spacing w:after="0" w:line="115" w:lineRule="exact"/>
              <w:rPr>
                <w:sz w:val="20"/>
                <w:szCs w:val="20"/>
                <w:color w:val="auto"/>
              </w:rPr>
            </w:pPr>
            <w:r>
              <w:rPr>
                <w:rFonts w:ascii="Arial" w:cs="Arial" w:eastAsia="Arial" w:hAnsi="Arial"/>
                <w:sz w:val="11"/>
                <w:szCs w:val="11"/>
                <w:b w:val="1"/>
                <w:bCs w:val="1"/>
                <w:color w:val="auto"/>
              </w:rPr>
              <w:t>N/A</w:t>
            </w:r>
          </w:p>
        </w:tc>
        <w:tc>
          <w:tcPr>
            <w:tcW w:w="920" w:type="dxa"/>
            <w:vAlign w:val="bottom"/>
          </w:tcPr>
          <w:p>
            <w:pPr>
              <w:jc w:val="right"/>
              <w:ind w:right="227"/>
              <w:spacing w:after="0" w:line="115" w:lineRule="exact"/>
              <w:rPr>
                <w:sz w:val="20"/>
                <w:szCs w:val="20"/>
                <w:color w:val="auto"/>
              </w:rPr>
            </w:pPr>
            <w:r>
              <w:rPr>
                <w:rFonts w:ascii="Arial" w:cs="Arial" w:eastAsia="Arial" w:hAnsi="Arial"/>
                <w:sz w:val="11"/>
                <w:szCs w:val="11"/>
                <w:color w:val="auto"/>
              </w:rPr>
              <w:t>N/A</w:t>
            </w:r>
          </w:p>
        </w:tc>
        <w:tc>
          <w:tcPr>
            <w:tcW w:w="82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8"/>
        </w:trPr>
        <w:tc>
          <w:tcPr>
            <w:tcW w:w="2760" w:type="dxa"/>
            <w:vAlign w:val="bottom"/>
          </w:tcPr>
          <w:p>
            <w:pPr>
              <w:ind w:left="280"/>
              <w:spacing w:after="0"/>
              <w:rPr>
                <w:sz w:val="20"/>
                <w:szCs w:val="20"/>
                <w:color w:val="auto"/>
              </w:rPr>
            </w:pPr>
            <w:r>
              <w:rPr>
                <w:rFonts w:ascii="Arial" w:cs="Arial" w:eastAsia="Arial" w:hAnsi="Arial"/>
                <w:sz w:val="11"/>
                <w:szCs w:val="11"/>
                <w:color w:val="auto"/>
              </w:rPr>
              <w:t>Rate of compensation increase</w:t>
            </w:r>
          </w:p>
        </w:tc>
        <w:tc>
          <w:tcPr>
            <w:tcW w:w="1060" w:type="dxa"/>
            <w:vAlign w:val="bottom"/>
          </w:tcPr>
          <w:p>
            <w:pPr>
              <w:jc w:val="right"/>
              <w:ind w:right="327"/>
              <w:spacing w:after="0"/>
              <w:rPr>
                <w:sz w:val="20"/>
                <w:szCs w:val="20"/>
                <w:color w:val="auto"/>
              </w:rPr>
            </w:pPr>
            <w:r>
              <w:rPr>
                <w:rFonts w:ascii="Arial" w:cs="Arial" w:eastAsia="Arial" w:hAnsi="Arial"/>
                <w:sz w:val="11"/>
                <w:szCs w:val="11"/>
                <w:b w:val="1"/>
                <w:bCs w:val="1"/>
                <w:color w:val="auto"/>
              </w:rPr>
              <w:t>4.5%</w:t>
            </w:r>
          </w:p>
        </w:tc>
        <w:tc>
          <w:tcPr>
            <w:tcW w:w="800" w:type="dxa"/>
            <w:vAlign w:val="bottom"/>
            <w:tcBorders>
              <w:right w:val="single" w:sz="8" w:color="0077C0"/>
            </w:tcBorders>
          </w:tcPr>
          <w:p>
            <w:pPr>
              <w:jc w:val="right"/>
              <w:ind w:right="88"/>
              <w:spacing w:after="0"/>
              <w:rPr>
                <w:sz w:val="20"/>
                <w:szCs w:val="20"/>
                <w:color w:val="auto"/>
              </w:rPr>
            </w:pPr>
            <w:r>
              <w:rPr>
                <w:rFonts w:ascii="Arial" w:cs="Arial" w:eastAsia="Arial" w:hAnsi="Arial"/>
                <w:sz w:val="11"/>
                <w:szCs w:val="11"/>
                <w:b w:val="1"/>
                <w:bCs w:val="1"/>
                <w:color w:val="auto"/>
              </w:rPr>
              <w:t>6.7%</w:t>
            </w:r>
          </w:p>
        </w:tc>
        <w:tc>
          <w:tcPr>
            <w:tcW w:w="1160" w:type="dxa"/>
            <w:vAlign w:val="bottom"/>
          </w:tcPr>
          <w:p>
            <w:pPr>
              <w:jc w:val="right"/>
              <w:ind w:right="327"/>
              <w:spacing w:after="0"/>
              <w:rPr>
                <w:sz w:val="20"/>
                <w:szCs w:val="20"/>
                <w:color w:val="auto"/>
              </w:rPr>
            </w:pPr>
            <w:r>
              <w:rPr>
                <w:rFonts w:ascii="Arial" w:cs="Arial" w:eastAsia="Arial" w:hAnsi="Arial"/>
                <w:sz w:val="11"/>
                <w:szCs w:val="11"/>
                <w:color w:val="auto"/>
              </w:rPr>
              <w:t>4.5%</w:t>
            </w:r>
          </w:p>
        </w:tc>
        <w:tc>
          <w:tcPr>
            <w:tcW w:w="1060" w:type="dxa"/>
            <w:vAlign w:val="bottom"/>
          </w:tcPr>
          <w:p>
            <w:pPr>
              <w:jc w:val="right"/>
              <w:ind w:right="348"/>
              <w:spacing w:after="0"/>
              <w:rPr>
                <w:sz w:val="20"/>
                <w:szCs w:val="20"/>
                <w:color w:val="auto"/>
              </w:rPr>
            </w:pPr>
            <w:r>
              <w:rPr>
                <w:rFonts w:ascii="Arial" w:cs="Arial" w:eastAsia="Arial" w:hAnsi="Arial"/>
                <w:sz w:val="11"/>
                <w:szCs w:val="11"/>
                <w:color w:val="auto"/>
              </w:rPr>
              <w:t>6.3%</w:t>
            </w:r>
          </w:p>
        </w:tc>
        <w:tc>
          <w:tcPr>
            <w:tcW w:w="820" w:type="dxa"/>
            <w:vAlign w:val="bottom"/>
          </w:tcPr>
          <w:p>
            <w:pPr>
              <w:ind w:left="420"/>
              <w:spacing w:after="0"/>
              <w:rPr>
                <w:sz w:val="20"/>
                <w:szCs w:val="20"/>
                <w:color w:val="auto"/>
              </w:rPr>
            </w:pPr>
            <w:r>
              <w:rPr>
                <w:rFonts w:ascii="Arial" w:cs="Arial" w:eastAsia="Arial" w:hAnsi="Arial"/>
                <w:sz w:val="11"/>
                <w:szCs w:val="11"/>
                <w:color w:val="auto"/>
              </w:rPr>
              <w:t>4.5</w:t>
            </w:r>
            <w:r>
              <w:rPr>
                <w:rFonts w:ascii="Arial" w:cs="Arial" w:eastAsia="Arial" w:hAnsi="Arial"/>
                <w:sz w:val="11"/>
                <w:szCs w:val="11"/>
                <w:b w:val="1"/>
                <w:bCs w:val="1"/>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1"/>
                <w:szCs w:val="11"/>
                <w:color w:val="auto"/>
              </w:rPr>
              <w:t>6.8%</w:t>
            </w:r>
          </w:p>
        </w:tc>
        <w:tc>
          <w:tcPr>
            <w:tcW w:w="820" w:type="dxa"/>
            <w:vAlign w:val="bottom"/>
            <w:tcBorders>
              <w:right w:val="single" w:sz="8" w:color="0077C0"/>
            </w:tcBorders>
          </w:tcPr>
          <w:p>
            <w:pPr>
              <w:jc w:val="right"/>
              <w:ind w:right="187"/>
              <w:spacing w:after="0"/>
              <w:rPr>
                <w:sz w:val="20"/>
                <w:szCs w:val="20"/>
                <w:color w:val="auto"/>
              </w:rPr>
            </w:pPr>
            <w:r>
              <w:rPr>
                <w:rFonts w:ascii="Arial" w:cs="Arial" w:eastAsia="Arial" w:hAnsi="Arial"/>
                <w:sz w:val="11"/>
                <w:szCs w:val="11"/>
                <w:b w:val="1"/>
                <w:bCs w:val="1"/>
                <w:color w:val="auto"/>
              </w:rPr>
              <w:t>N/A</w:t>
            </w:r>
          </w:p>
        </w:tc>
        <w:tc>
          <w:tcPr>
            <w:tcW w:w="920" w:type="dxa"/>
            <w:vAlign w:val="bottom"/>
          </w:tcPr>
          <w:p>
            <w:pPr>
              <w:jc w:val="right"/>
              <w:ind w:right="227"/>
              <w:spacing w:after="0"/>
              <w:rPr>
                <w:sz w:val="20"/>
                <w:szCs w:val="20"/>
                <w:color w:val="auto"/>
              </w:rPr>
            </w:pPr>
            <w:r>
              <w:rPr>
                <w:rFonts w:ascii="Arial" w:cs="Arial" w:eastAsia="Arial" w:hAnsi="Arial"/>
                <w:sz w:val="11"/>
                <w:szCs w:val="11"/>
                <w:color w:val="auto"/>
              </w:rPr>
              <w:t>N/A</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9"/>
        </w:trPr>
        <w:tc>
          <w:tcPr>
            <w:tcW w:w="2760" w:type="dxa"/>
            <w:vAlign w:val="bottom"/>
            <w:shd w:val="clear" w:color="auto" w:fill="0077C0"/>
          </w:tcPr>
          <w:p>
            <w:pPr>
              <w:spacing w:after="0"/>
              <w:rPr>
                <w:sz w:val="2"/>
                <w:szCs w:val="2"/>
                <w:color w:val="auto"/>
              </w:rPr>
            </w:pPr>
          </w:p>
        </w:tc>
        <w:tc>
          <w:tcPr>
            <w:tcW w:w="1060" w:type="dxa"/>
            <w:vAlign w:val="bottom"/>
            <w:shd w:val="clear" w:color="auto" w:fill="0077C0"/>
          </w:tcPr>
          <w:p>
            <w:pPr>
              <w:spacing w:after="0"/>
              <w:rPr>
                <w:sz w:val="2"/>
                <w:szCs w:val="2"/>
                <w:color w:val="auto"/>
              </w:rPr>
            </w:pPr>
          </w:p>
        </w:tc>
        <w:tc>
          <w:tcPr>
            <w:tcW w:w="800" w:type="dxa"/>
            <w:vAlign w:val="bottom"/>
            <w:tcBorders>
              <w:right w:val="single" w:sz="8" w:color="0077C0"/>
            </w:tcBorders>
            <w:shd w:val="clear" w:color="auto" w:fill="0077C0"/>
          </w:tcPr>
          <w:p>
            <w:pPr>
              <w:spacing w:after="0"/>
              <w:rPr>
                <w:sz w:val="2"/>
                <w:szCs w:val="2"/>
                <w:color w:val="auto"/>
              </w:rPr>
            </w:pPr>
          </w:p>
        </w:tc>
        <w:tc>
          <w:tcPr>
            <w:tcW w:w="1160" w:type="dxa"/>
            <w:vAlign w:val="bottom"/>
            <w:shd w:val="clear" w:color="auto" w:fill="0077C0"/>
          </w:tcPr>
          <w:p>
            <w:pPr>
              <w:spacing w:after="0"/>
              <w:rPr>
                <w:sz w:val="2"/>
                <w:szCs w:val="2"/>
                <w:color w:val="auto"/>
              </w:rPr>
            </w:pPr>
          </w:p>
        </w:tc>
        <w:tc>
          <w:tcPr>
            <w:tcW w:w="1060" w:type="dxa"/>
            <w:vAlign w:val="bottom"/>
            <w:shd w:val="clear" w:color="auto" w:fill="0077C0"/>
          </w:tcPr>
          <w:p>
            <w:pPr>
              <w:spacing w:after="0"/>
              <w:rPr>
                <w:sz w:val="2"/>
                <w:szCs w:val="2"/>
                <w:color w:val="auto"/>
              </w:rPr>
            </w:pPr>
          </w:p>
        </w:tc>
        <w:tc>
          <w:tcPr>
            <w:tcW w:w="820" w:type="dxa"/>
            <w:vAlign w:val="bottom"/>
            <w:shd w:val="clear" w:color="auto" w:fill="0077C0"/>
          </w:tcPr>
          <w:p>
            <w:pPr>
              <w:spacing w:after="0"/>
              <w:rPr>
                <w:sz w:val="2"/>
                <w:szCs w:val="2"/>
                <w:color w:val="auto"/>
              </w:rPr>
            </w:pPr>
          </w:p>
        </w:tc>
        <w:tc>
          <w:tcPr>
            <w:tcW w:w="780" w:type="dxa"/>
            <w:vAlign w:val="bottom"/>
            <w:shd w:val="clear" w:color="auto" w:fill="0077C0"/>
          </w:tcPr>
          <w:p>
            <w:pPr>
              <w:spacing w:after="0"/>
              <w:rPr>
                <w:sz w:val="2"/>
                <w:szCs w:val="2"/>
                <w:color w:val="auto"/>
              </w:rPr>
            </w:pPr>
          </w:p>
        </w:tc>
        <w:tc>
          <w:tcPr>
            <w:tcW w:w="460" w:type="dxa"/>
            <w:vAlign w:val="bottom"/>
            <w:shd w:val="clear" w:color="auto" w:fill="0077C0"/>
          </w:tcPr>
          <w:p>
            <w:pPr>
              <w:spacing w:after="0"/>
              <w:rPr>
                <w:sz w:val="2"/>
                <w:szCs w:val="2"/>
                <w:color w:val="auto"/>
              </w:rPr>
            </w:pPr>
          </w:p>
        </w:tc>
        <w:tc>
          <w:tcPr>
            <w:tcW w:w="820" w:type="dxa"/>
            <w:vAlign w:val="bottom"/>
            <w:tcBorders>
              <w:right w:val="single" w:sz="8" w:color="0077C0"/>
            </w:tcBorders>
            <w:shd w:val="clear" w:color="auto" w:fill="0077C0"/>
          </w:tcPr>
          <w:p>
            <w:pPr>
              <w:spacing w:after="0"/>
              <w:rPr>
                <w:sz w:val="2"/>
                <w:szCs w:val="2"/>
                <w:color w:val="auto"/>
              </w:rPr>
            </w:pPr>
          </w:p>
        </w:tc>
        <w:tc>
          <w:tcPr>
            <w:tcW w:w="920" w:type="dxa"/>
            <w:vAlign w:val="bottom"/>
            <w:shd w:val="clear" w:color="auto" w:fill="0077C0"/>
          </w:tcPr>
          <w:p>
            <w:pPr>
              <w:spacing w:after="0"/>
              <w:rPr>
                <w:sz w:val="2"/>
                <w:szCs w:val="2"/>
                <w:color w:val="auto"/>
              </w:rPr>
            </w:pPr>
          </w:p>
        </w:tc>
        <w:tc>
          <w:tcPr>
            <w:tcW w:w="720" w:type="dxa"/>
            <w:vAlign w:val="bottom"/>
            <w:shd w:val="clear" w:color="auto" w:fill="0077C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338" w:right="219" w:bottom="1440" w:gutter="0" w:footer="0" w:header="0"/>
        </w:sectPr>
      </w:pPr>
    </w:p>
    <w:p>
      <w:pPr>
        <w:spacing w:after="0" w:line="31" w:lineRule="exact"/>
        <w:rPr>
          <w:sz w:val="20"/>
          <w:szCs w:val="20"/>
          <w:color w:val="auto"/>
        </w:rPr>
      </w:pPr>
    </w:p>
    <w:p>
      <w:pPr>
        <w:spacing w:after="0" w:line="270" w:lineRule="auto"/>
        <w:rPr>
          <w:sz w:val="20"/>
          <w:szCs w:val="20"/>
          <w:color w:val="auto"/>
        </w:rPr>
      </w:pPr>
      <w:r>
        <w:rPr>
          <w:rFonts w:ascii="Arial" w:cs="Arial" w:eastAsia="Arial" w:hAnsi="Arial"/>
          <w:sz w:val="12"/>
          <w:szCs w:val="12"/>
          <w:i w:val="1"/>
          <w:iCs w:val="1"/>
          <w:color w:val="E51837"/>
        </w:rPr>
        <w:t xml:space="preserve">Expected Return on Plan Assets </w:t>
      </w:r>
      <w:r>
        <w:rPr>
          <w:rFonts w:ascii="Arial" w:cs="Arial" w:eastAsia="Arial" w:hAnsi="Arial"/>
          <w:sz w:val="12"/>
          <w:szCs w:val="12"/>
          <w:color w:val="000000"/>
        </w:rPr>
        <w:t>The company’s estimated long-term rates of return on pension assets are</w:t>
      </w:r>
      <w:r>
        <w:rPr>
          <w:rFonts w:ascii="Arial" w:cs="Arial" w:eastAsia="Arial" w:hAnsi="Arial"/>
          <w:sz w:val="12"/>
          <w:szCs w:val="12"/>
          <w:i w:val="1"/>
          <w:iCs w:val="1"/>
          <w:color w:val="E51837"/>
        </w:rPr>
        <w:t xml:space="preserve"> </w:t>
      </w:r>
      <w:r>
        <w:rPr>
          <w:rFonts w:ascii="Arial" w:cs="Arial" w:eastAsia="Arial" w:hAnsi="Arial"/>
          <w:sz w:val="12"/>
          <w:szCs w:val="12"/>
          <w:color w:val="000000"/>
        </w:rPr>
        <w:t>driven primarily by actual historical asset-class returns, an assessment of expected future performance, advice from external actuarial firms and the incorporation of specific asset-class risk factors. Asset allocations are periodically updated using pension plan asset/liability studies, and the company’s estimated long-term rates of return are consistent with these studies.</w:t>
      </w:r>
    </w:p>
    <w:p>
      <w:pPr>
        <w:spacing w:after="0" w:line="1" w:lineRule="exact"/>
        <w:rPr>
          <w:sz w:val="20"/>
          <w:szCs w:val="20"/>
          <w:color w:val="auto"/>
        </w:rPr>
      </w:pPr>
    </w:p>
    <w:p>
      <w:pPr>
        <w:ind w:right="40" w:firstLine="158"/>
        <w:spacing w:after="0" w:line="267" w:lineRule="auto"/>
        <w:rPr>
          <w:sz w:val="20"/>
          <w:szCs w:val="20"/>
          <w:color w:val="auto"/>
        </w:rPr>
      </w:pPr>
      <w:r>
        <w:rPr>
          <w:rFonts w:ascii="Arial" w:cs="Arial" w:eastAsia="Arial" w:hAnsi="Arial"/>
          <w:sz w:val="12"/>
          <w:szCs w:val="12"/>
          <w:color w:val="auto"/>
        </w:rPr>
        <w:t>There have been no changes in the expected long-term rate of return on plan assets since 2002 for U.S. plans, which account for 70 percent of the company’s pension plan assets. At December 31, 2011, the estimated long-term rate of return on U.S. pension plan assets was 7.8 percent.</w:t>
      </w:r>
    </w:p>
    <w:p>
      <w:pPr>
        <w:spacing w:after="0" w:line="1" w:lineRule="exact"/>
        <w:rPr>
          <w:sz w:val="20"/>
          <w:szCs w:val="20"/>
          <w:color w:val="auto"/>
        </w:rPr>
      </w:pPr>
    </w:p>
    <w:p>
      <w:pPr>
        <w:ind w:right="40" w:firstLine="158"/>
        <w:spacing w:after="0" w:line="272" w:lineRule="auto"/>
        <w:rPr>
          <w:sz w:val="20"/>
          <w:szCs w:val="20"/>
          <w:color w:val="auto"/>
        </w:rPr>
      </w:pPr>
      <w:r>
        <w:rPr>
          <w:rFonts w:ascii="Arial" w:cs="Arial" w:eastAsia="Arial" w:hAnsi="Arial"/>
          <w:sz w:val="12"/>
          <w:szCs w:val="12"/>
          <w:color w:val="auto"/>
        </w:rPr>
        <w:t>The market-related value of assets of the major U.S. pension plan used in the determination of pension expense was based on the market values in the three months preceding the year-end measurement date, as opposed to the maximum allowable period of five years under U.S. accounting rules. Management considers the three-month time period long enough to minimize the effects of distortions from day-to-day market volatility and still be contemporaneous to the end of the year. For other plans, market value of assets as of year-end is used in calculating the pension expense.</w:t>
      </w:r>
    </w:p>
    <w:p>
      <w:pPr>
        <w:spacing w:after="0" w:line="53"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i w:val="1"/>
          <w:iCs w:val="1"/>
          <w:color w:val="E51837"/>
        </w:rPr>
        <w:t xml:space="preserve">Discount Rate </w:t>
      </w:r>
      <w:r>
        <w:rPr>
          <w:rFonts w:ascii="Arial" w:cs="Arial" w:eastAsia="Arial" w:hAnsi="Arial"/>
          <w:sz w:val="11"/>
          <w:szCs w:val="11"/>
          <w:color w:val="000000"/>
        </w:rPr>
        <w:t>The discount rate assumptions used to determine U.S. and international pension and</w:t>
      </w:r>
      <w:r>
        <w:rPr>
          <w:rFonts w:ascii="Arial" w:cs="Arial" w:eastAsia="Arial" w:hAnsi="Arial"/>
          <w:sz w:val="11"/>
          <w:szCs w:val="11"/>
          <w:i w:val="1"/>
          <w:iCs w:val="1"/>
          <w:color w:val="E51837"/>
        </w:rPr>
        <w:t xml:space="preserve"> </w:t>
      </w:r>
      <w:r>
        <w:rPr>
          <w:rFonts w:ascii="Arial" w:cs="Arial" w:eastAsia="Arial" w:hAnsi="Arial"/>
          <w:sz w:val="11"/>
          <w:szCs w:val="11"/>
          <w:color w:val="000000"/>
        </w:rPr>
        <w:t>postretirement benefit plan obligations and expense reflect the prevailing rates available on high-quality, fixed-income debt instruments. At December 31, 2011, the company selected a 3.8 percent discount rate for the U.S. pension plans and 4.0 percent for the U.S. postretirement benefit plan. This rate was based on a cash flow analysis that matched estimated future benefit payments to the Citigroup Pension Discount Yield Curve as of year-end 2011. The discount rates at the end of 2010 and 2009 were 4.8 and 5.3 percent and 5.0 and 5.8 percent for the U.S. pension plans and the U.S. OPEB plan, respectively.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69" w:lineRule="auto"/>
        <w:rPr>
          <w:sz w:val="20"/>
          <w:szCs w:val="20"/>
          <w:color w:val="auto"/>
        </w:rPr>
      </w:pPr>
      <w:r>
        <w:rPr>
          <w:rFonts w:ascii="Arial" w:cs="Arial" w:eastAsia="Arial" w:hAnsi="Arial"/>
          <w:sz w:val="12"/>
          <w:szCs w:val="12"/>
          <w:i w:val="1"/>
          <w:iCs w:val="1"/>
          <w:color w:val="E51837"/>
        </w:rPr>
        <w:t xml:space="preserve">Other Benefit Assumptions </w:t>
      </w:r>
      <w:r>
        <w:rPr>
          <w:rFonts w:ascii="Arial" w:cs="Arial" w:eastAsia="Arial" w:hAnsi="Arial"/>
          <w:sz w:val="12"/>
          <w:szCs w:val="12"/>
          <w:color w:val="000000"/>
        </w:rPr>
        <w:t>For the measurement of accumulated postretirement benefit obligation at</w:t>
      </w:r>
      <w:r>
        <w:rPr>
          <w:rFonts w:ascii="Arial" w:cs="Arial" w:eastAsia="Arial" w:hAnsi="Arial"/>
          <w:sz w:val="12"/>
          <w:szCs w:val="12"/>
          <w:i w:val="1"/>
          <w:iCs w:val="1"/>
          <w:color w:val="E51837"/>
        </w:rPr>
        <w:t xml:space="preserve"> </w:t>
      </w:r>
      <w:r>
        <w:rPr>
          <w:rFonts w:ascii="Arial" w:cs="Arial" w:eastAsia="Arial" w:hAnsi="Arial"/>
          <w:sz w:val="12"/>
          <w:szCs w:val="12"/>
          <w:color w:val="000000"/>
        </w:rPr>
        <w:t>December 31, 2011, for the main U.S. postretirement medical plan, the assumed health care cost-trend rates start with 8 percent in 2012 and gradually decline to 5 percent for 2023 and beyond. For this measurement at December 31, 2010, the assumed health care cost-trend rates started with 8 percent in 2011 and gradually declined to 5 percent for 2018 and beyond. In both measurements, the annual increase to company contributions was capped at 4 percent.</w:t>
      </w:r>
    </w:p>
    <w:p>
      <w:pPr>
        <w:spacing w:after="0" w:line="3" w:lineRule="exact"/>
        <w:rPr>
          <w:sz w:val="20"/>
          <w:szCs w:val="20"/>
          <w:color w:val="auto"/>
        </w:rPr>
      </w:pPr>
    </w:p>
    <w:p>
      <w:pPr>
        <w:ind w:right="40" w:firstLine="153"/>
        <w:spacing w:after="0" w:line="249" w:lineRule="auto"/>
        <w:rPr>
          <w:sz w:val="20"/>
          <w:szCs w:val="20"/>
          <w:color w:val="auto"/>
        </w:rPr>
      </w:pPr>
      <w:r>
        <w:rPr>
          <w:rFonts w:ascii="Arial" w:cs="Arial" w:eastAsia="Arial" w:hAnsi="Arial"/>
          <w:sz w:val="13"/>
          <w:szCs w:val="13"/>
          <w:color w:val="auto"/>
        </w:rPr>
        <w:t>Assumed health care cost-trend rates can have a significant effect on the amounts reported for retiree health care costs. The impact is mitigated by the 4 percent cap on the company’s medical contributions for the primary U.S. plan. A one-percentage-point change in the assumed health care cost-trend rates would have the following effects: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60" w:type="dxa"/>
            <w:vAlign w:val="bottom"/>
            <w:gridSpan w:val="2"/>
          </w:tcPr>
          <w:p>
            <w:pPr>
              <w:ind w:left="1180"/>
              <w:spacing w:after="0"/>
              <w:rPr>
                <w:sz w:val="20"/>
                <w:szCs w:val="20"/>
                <w:color w:val="auto"/>
              </w:rPr>
            </w:pPr>
            <w:r>
              <w:rPr>
                <w:rFonts w:ascii="Arial" w:cs="Arial" w:eastAsia="Arial" w:hAnsi="Arial"/>
                <w:sz w:val="9"/>
                <w:szCs w:val="9"/>
                <w:color w:val="auto"/>
              </w:rPr>
              <w:t>1 Percent</w:t>
            </w:r>
          </w:p>
        </w:tc>
        <w:tc>
          <w:tcPr>
            <w:tcW w:w="540" w:type="dxa"/>
            <w:vAlign w:val="bottom"/>
            <w:gridSpan w:val="3"/>
          </w:tcPr>
          <w:p>
            <w:pPr>
              <w:ind w:left="160"/>
              <w:spacing w:after="0"/>
              <w:rPr>
                <w:sz w:val="20"/>
                <w:szCs w:val="20"/>
                <w:color w:val="auto"/>
              </w:rPr>
            </w:pPr>
            <w:r>
              <w:rPr>
                <w:rFonts w:ascii="Arial" w:cs="Arial" w:eastAsia="Arial" w:hAnsi="Arial"/>
                <w:sz w:val="9"/>
                <w:szCs w:val="9"/>
                <w:color w:val="auto"/>
                <w:w w:val="93"/>
              </w:rPr>
              <w:t>1 Percent</w:t>
            </w: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60" w:type="dxa"/>
            <w:vAlign w:val="bottom"/>
            <w:gridSpan w:val="2"/>
          </w:tcPr>
          <w:p>
            <w:pPr>
              <w:ind w:left="1220"/>
              <w:spacing w:after="0"/>
              <w:rPr>
                <w:sz w:val="20"/>
                <w:szCs w:val="20"/>
                <w:color w:val="auto"/>
              </w:rPr>
            </w:pPr>
            <w:r>
              <w:rPr>
                <w:rFonts w:ascii="Arial" w:cs="Arial" w:eastAsia="Arial" w:hAnsi="Arial"/>
                <w:sz w:val="9"/>
                <w:szCs w:val="9"/>
                <w:color w:val="auto"/>
              </w:rPr>
              <w:t>Increase</w:t>
            </w:r>
          </w:p>
        </w:tc>
        <w:tc>
          <w:tcPr>
            <w:tcW w:w="540" w:type="dxa"/>
            <w:vAlign w:val="bottom"/>
            <w:gridSpan w:val="3"/>
          </w:tcPr>
          <w:p>
            <w:pPr>
              <w:ind w:left="180"/>
              <w:spacing w:after="0"/>
              <w:rPr>
                <w:sz w:val="20"/>
                <w:szCs w:val="20"/>
                <w:color w:val="auto"/>
              </w:rPr>
            </w:pPr>
            <w:r>
              <w:rPr>
                <w:rFonts w:ascii="Arial" w:cs="Arial" w:eastAsia="Arial" w:hAnsi="Arial"/>
                <w:sz w:val="9"/>
                <w:szCs w:val="9"/>
                <w:color w:val="auto"/>
                <w:w w:val="88"/>
              </w:rPr>
              <w:t>Decrease</w:t>
            </w:r>
          </w:p>
        </w:tc>
      </w:tr>
      <w:tr>
        <w:trPr>
          <w:trHeight w:val="92"/>
        </w:trPr>
        <w:tc>
          <w:tcPr>
            <w:tcW w:w="20" w:type="dxa"/>
            <w:vAlign w:val="bottom"/>
          </w:tcPr>
          <w:p>
            <w:pPr>
              <w:spacing w:after="0"/>
              <w:rPr>
                <w:sz w:val="8"/>
                <w:szCs w:val="8"/>
                <w:color w:val="auto"/>
              </w:rPr>
            </w:pPr>
          </w:p>
        </w:tc>
        <w:tc>
          <w:tcPr>
            <w:tcW w:w="32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Effect on total service and interest cost components</w:t>
            </w:r>
          </w:p>
        </w:tc>
        <w:tc>
          <w:tcPr>
            <w:tcW w:w="1280" w:type="dxa"/>
            <w:vAlign w:val="bottom"/>
            <w:tcBorders>
              <w:top w:val="single" w:sz="8" w:color="0077C0"/>
            </w:tcBorders>
          </w:tcPr>
          <w:p>
            <w:pPr>
              <w:ind w:left="1180"/>
              <w:spacing w:after="0" w:line="92" w:lineRule="exact"/>
              <w:rPr>
                <w:sz w:val="20"/>
                <w:szCs w:val="20"/>
                <w:color w:val="auto"/>
              </w:rPr>
            </w:pPr>
            <w:r>
              <w:rPr>
                <w:rFonts w:ascii="Arial" w:cs="Arial" w:eastAsia="Arial" w:hAnsi="Arial"/>
                <w:sz w:val="10"/>
                <w:szCs w:val="10"/>
                <w:color w:val="auto"/>
              </w:rPr>
              <w:t>$</w:t>
            </w:r>
          </w:p>
        </w:tc>
        <w:tc>
          <w:tcPr>
            <w:tcW w:w="380" w:type="dxa"/>
            <w:vAlign w:val="bottom"/>
            <w:tcBorders>
              <w:top w:val="single" w:sz="8" w:color="0077C0"/>
            </w:tcBorders>
          </w:tcPr>
          <w:p>
            <w:pPr>
              <w:jc w:val="right"/>
              <w:ind w:right="109"/>
              <w:spacing w:after="0" w:line="92" w:lineRule="exact"/>
              <w:rPr>
                <w:sz w:val="20"/>
                <w:szCs w:val="20"/>
                <w:color w:val="auto"/>
              </w:rPr>
            </w:pPr>
            <w:r>
              <w:rPr>
                <w:rFonts w:ascii="Arial" w:cs="Arial" w:eastAsia="Arial" w:hAnsi="Arial"/>
                <w:sz w:val="10"/>
                <w:szCs w:val="10"/>
                <w:color w:val="auto"/>
              </w:rPr>
              <w:t>17</w:t>
            </w:r>
          </w:p>
        </w:tc>
        <w:tc>
          <w:tcPr>
            <w:tcW w:w="260" w:type="dxa"/>
            <w:vAlign w:val="bottom"/>
            <w:tcBorders>
              <w:top w:val="single" w:sz="8" w:color="0077C0"/>
            </w:tcBorders>
          </w:tcPr>
          <w:p>
            <w:pPr>
              <w:ind w:left="160"/>
              <w:spacing w:after="0" w:line="92"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(15)</w:t>
            </w:r>
          </w:p>
        </w:tc>
        <w:tc>
          <w:tcPr>
            <w:tcW w:w="40" w:type="dxa"/>
            <w:vAlign w:val="bottom"/>
          </w:tcPr>
          <w:p>
            <w:pPr>
              <w:spacing w:after="0"/>
              <w:rPr>
                <w:sz w:val="8"/>
                <w:szCs w:val="8"/>
                <w:color w:val="auto"/>
              </w:rPr>
            </w:pPr>
          </w:p>
        </w:tc>
      </w:tr>
      <w:tr>
        <w:trPr>
          <w:trHeight w:val="118"/>
        </w:trPr>
        <w:tc>
          <w:tcPr>
            <w:tcW w:w="3300" w:type="dxa"/>
            <w:vAlign w:val="bottom"/>
            <w:gridSpan w:val="2"/>
          </w:tcPr>
          <w:p>
            <w:pPr>
              <w:spacing w:after="0"/>
              <w:rPr>
                <w:sz w:val="20"/>
                <w:szCs w:val="20"/>
                <w:color w:val="auto"/>
              </w:rPr>
            </w:pPr>
            <w:r>
              <w:rPr>
                <w:rFonts w:ascii="Arial" w:cs="Arial" w:eastAsia="Arial" w:hAnsi="Arial"/>
                <w:sz w:val="10"/>
                <w:szCs w:val="10"/>
                <w:color w:val="auto"/>
              </w:rPr>
              <w:t>Effect on postretirement benefit obligation</w:t>
            </w:r>
          </w:p>
        </w:tc>
        <w:tc>
          <w:tcPr>
            <w:tcW w:w="1280" w:type="dxa"/>
            <w:vAlign w:val="bottom"/>
          </w:tcPr>
          <w:p>
            <w:pPr>
              <w:ind w:left="118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109"/>
              <w:spacing w:after="0"/>
              <w:rPr>
                <w:sz w:val="20"/>
                <w:szCs w:val="20"/>
                <w:color w:val="auto"/>
              </w:rPr>
            </w:pPr>
            <w:r>
              <w:rPr>
                <w:rFonts w:ascii="Arial" w:cs="Arial" w:eastAsia="Arial" w:hAnsi="Arial"/>
                <w:sz w:val="10"/>
                <w:szCs w:val="10"/>
                <w:color w:val="auto"/>
              </w:rPr>
              <w:t>177</w:t>
            </w:r>
          </w:p>
        </w:tc>
        <w:tc>
          <w:tcPr>
            <w:tcW w:w="260" w:type="dxa"/>
            <w:vAlign w:val="bottom"/>
          </w:tcPr>
          <w:p>
            <w:pPr>
              <w:ind w:left="16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(150)</w:t>
            </w:r>
          </w:p>
        </w:tc>
      </w:tr>
      <w:tr>
        <w:trPr>
          <w:trHeight w:val="29"/>
        </w:trPr>
        <w:tc>
          <w:tcPr>
            <w:tcW w:w="20" w:type="dxa"/>
            <w:vAlign w:val="bottom"/>
            <w:shd w:val="clear" w:color="auto" w:fill="0077C0"/>
          </w:tcPr>
          <w:p>
            <w:pPr>
              <w:spacing w:after="0"/>
              <w:rPr>
                <w:sz w:val="2"/>
                <w:szCs w:val="2"/>
                <w:color w:val="auto"/>
              </w:rPr>
            </w:pPr>
          </w:p>
        </w:tc>
        <w:tc>
          <w:tcPr>
            <w:tcW w:w="3280" w:type="dxa"/>
            <w:vAlign w:val="bottom"/>
            <w:shd w:val="clear" w:color="auto" w:fill="0077C0"/>
          </w:tcPr>
          <w:p>
            <w:pPr>
              <w:spacing w:after="0"/>
              <w:rPr>
                <w:sz w:val="2"/>
                <w:szCs w:val="2"/>
                <w:color w:val="auto"/>
              </w:rPr>
            </w:pPr>
          </w:p>
        </w:tc>
        <w:tc>
          <w:tcPr>
            <w:tcW w:w="1280" w:type="dxa"/>
            <w:vAlign w:val="bottom"/>
            <w:shd w:val="clear" w:color="auto" w:fill="0077C0"/>
          </w:tcPr>
          <w:p>
            <w:pPr>
              <w:spacing w:after="0"/>
              <w:rPr>
                <w:sz w:val="2"/>
                <w:szCs w:val="2"/>
                <w:color w:val="auto"/>
              </w:rPr>
            </w:pPr>
          </w:p>
        </w:tc>
        <w:tc>
          <w:tcPr>
            <w:tcW w:w="38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24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r>
    </w:tbl>
    <w:p>
      <w:pPr>
        <w:spacing w:after="0" w:line="78" w:lineRule="exact"/>
        <w:rPr>
          <w:sz w:val="20"/>
          <w:szCs w:val="20"/>
          <w:color w:val="auto"/>
        </w:rPr>
      </w:pPr>
    </w:p>
    <w:p>
      <w:pPr>
        <w:ind w:right="320"/>
        <w:spacing w:after="0" w:line="253" w:lineRule="auto"/>
        <w:rPr>
          <w:sz w:val="20"/>
          <w:szCs w:val="20"/>
          <w:color w:val="auto"/>
        </w:rPr>
      </w:pPr>
      <w:r>
        <w:rPr>
          <w:rFonts w:ascii="Arial" w:cs="Arial" w:eastAsia="Arial" w:hAnsi="Arial"/>
          <w:sz w:val="13"/>
          <w:szCs w:val="13"/>
          <w:i w:val="1"/>
          <w:iCs w:val="1"/>
          <w:color w:val="E51837"/>
        </w:rPr>
        <w:t xml:space="preserve">Plan Assets and Investment Strategy </w:t>
      </w:r>
      <w:r>
        <w:rPr>
          <w:rFonts w:ascii="Arial" w:cs="Arial" w:eastAsia="Arial" w:hAnsi="Arial"/>
          <w:sz w:val="13"/>
          <w:szCs w:val="13"/>
          <w:color w:val="000000"/>
        </w:rPr>
        <w:t>The fair value hierarchy of inputs the company uses to value the</w:t>
      </w:r>
      <w:r>
        <w:rPr>
          <w:rFonts w:ascii="Arial" w:cs="Arial" w:eastAsia="Arial" w:hAnsi="Arial"/>
          <w:sz w:val="13"/>
          <w:szCs w:val="13"/>
          <w:i w:val="1"/>
          <w:iCs w:val="1"/>
          <w:color w:val="E51837"/>
        </w:rPr>
        <w:t xml:space="preserve"> </w:t>
      </w:r>
      <w:r>
        <w:rPr>
          <w:rFonts w:ascii="Arial" w:cs="Arial" w:eastAsia="Arial" w:hAnsi="Arial"/>
          <w:sz w:val="13"/>
          <w:szCs w:val="13"/>
          <w:color w:val="000000"/>
        </w:rPr>
        <w:t>pension assets is divided into three levels:</w:t>
      </w:r>
    </w:p>
    <w:p>
      <w:pPr>
        <w:spacing w:after="0" w:line="1" w:lineRule="exact"/>
        <w:rPr>
          <w:sz w:val="20"/>
          <w:szCs w:val="20"/>
          <w:color w:val="auto"/>
        </w:rPr>
      </w:pPr>
    </w:p>
    <w:p>
      <w:pPr>
        <w:ind w:right="200" w:firstLine="160"/>
        <w:spacing w:after="0" w:line="267" w:lineRule="auto"/>
        <w:rPr>
          <w:sz w:val="20"/>
          <w:szCs w:val="20"/>
          <w:color w:val="auto"/>
        </w:rPr>
      </w:pPr>
      <w:r>
        <w:rPr>
          <w:rFonts w:ascii="Arial" w:cs="Arial" w:eastAsia="Arial" w:hAnsi="Arial"/>
          <w:sz w:val="12"/>
          <w:szCs w:val="12"/>
          <w:color w:val="auto"/>
        </w:rPr>
        <w:t>Level 1: Fair values of these assets are measured using unadjusted quoted prices for the assets or the prices of identical assets in active markets that the plans have the ability to access.</w:t>
      </w:r>
    </w:p>
    <w:p>
      <w:pPr>
        <w:ind w:right="20" w:firstLine="160"/>
        <w:spacing w:after="0" w:line="302" w:lineRule="auto"/>
        <w:rPr>
          <w:sz w:val="20"/>
          <w:szCs w:val="20"/>
          <w:color w:val="auto"/>
        </w:rPr>
      </w:pPr>
      <w:r>
        <w:rPr>
          <w:rFonts w:ascii="Arial" w:cs="Arial" w:eastAsia="Arial" w:hAnsi="Arial"/>
          <w:sz w:val="11"/>
          <w:szCs w:val="11"/>
          <w:color w:val="auto"/>
        </w:rPr>
        <w:t>Level 2: Fair values of these assets are measured based on quoted prices for similar assets in active markets; quoted prices for identical or similar assets in inactive markets; inputs other than quoted prices that are observable for the asset; and inputs that are derived principally from or corroborated by observable market data through correlation or other means. If the asset has a contractual term, the Level 2 input is observable for substantially the full term of the asset. The fair values for Level 2 assets are generally obtained from third-party broker quotes, independent pricing services and exchanges.</w:t>
      </w:r>
    </w:p>
    <w:p>
      <w:pPr>
        <w:spacing w:after="0" w:line="200" w:lineRule="exact"/>
        <w:rPr>
          <w:sz w:val="20"/>
          <w:szCs w:val="20"/>
          <w:color w:val="auto"/>
        </w:rPr>
      </w:pPr>
    </w:p>
    <w:p>
      <w:pPr>
        <w:sectPr>
          <w:pgSz w:w="11900" w:h="16838" w:orient="portrait"/>
          <w:cols w:equalWidth="0" w:num="2">
            <w:col w:w="5460" w:space="500"/>
            <w:col w:w="5500"/>
          </w:cols>
          <w:pgMar w:left="220" w:top="338" w:right="21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3" w:name="page94"/>
    <w:bookmarkEnd w:id="93"/>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76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ectPr>
          <w:pgSz w:w="11900" w:h="16838" w:orient="portrait"/>
          <w:cols w:equalWidth="0" w:num="1">
            <w:col w:w="11363"/>
          </w:cols>
          <w:pgMar w:left="217" w:top="338" w:right="319" w:bottom="1440" w:gutter="0" w:footer="0" w:header="0"/>
        </w:sectPr>
      </w:pPr>
    </w:p>
    <w:p>
      <w:pPr>
        <w:spacing w:after="0" w:line="250" w:lineRule="exact"/>
        <w:rPr>
          <w:sz w:val="20"/>
          <w:szCs w:val="20"/>
          <w:color w:val="auto"/>
        </w:rPr>
      </w:pPr>
    </w:p>
    <w:p>
      <w:pPr>
        <w:ind w:left="3" w:right="240" w:firstLine="160"/>
        <w:spacing w:after="0" w:line="309" w:lineRule="auto"/>
        <w:rPr>
          <w:sz w:val="20"/>
          <w:szCs w:val="20"/>
          <w:color w:val="auto"/>
        </w:rPr>
      </w:pPr>
      <w:r>
        <w:rPr>
          <w:rFonts w:ascii="Arial" w:cs="Arial" w:eastAsia="Arial" w:hAnsi="Arial"/>
          <w:sz w:val="12"/>
          <w:szCs w:val="12"/>
          <w:color w:val="auto"/>
        </w:rPr>
        <w:t>Level 3: Inputs to the fair value measurement are unobservable for these assets. Valuation may be performed using a financial model with estimated inputs entered into the model.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The fair value measurements of the company’s pension plans for 2011 and 2010 are below:</w:t>
      </w:r>
    </w:p>
    <w:p>
      <w:pPr>
        <w:spacing w:after="0" w:line="428" w:lineRule="exact"/>
        <w:rPr>
          <w:sz w:val="20"/>
          <w:szCs w:val="20"/>
          <w:color w:val="auto"/>
        </w:rPr>
      </w:pPr>
    </w:p>
    <w:p>
      <w:pPr>
        <w:sectPr>
          <w:pgSz w:w="11900" w:h="16838" w:orient="portrait"/>
          <w:cols w:equalWidth="0" w:num="2">
            <w:col w:w="5403" w:space="720"/>
            <w:col w:w="5240"/>
          </w:cols>
          <w:pgMar w:left="217" w:top="338" w:right="319" w:bottom="1440" w:gutter="0" w:footer="0" w:header="0"/>
          <w:type w:val="continuous"/>
        </w:sectPr>
      </w:pPr>
    </w:p>
    <w:p>
      <w:pPr>
        <w:spacing w:after="0" w:line="29"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U.S.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Int’l.</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40" w:type="dxa"/>
            <w:vAlign w:val="bottom"/>
            <w:tcBorders>
              <w:bottom w:val="single" w:sz="8" w:color="0077C0"/>
            </w:tcBorders>
          </w:tcPr>
          <w:p>
            <w:pPr>
              <w:spacing w:after="0"/>
              <w:rPr>
                <w:sz w:val="7"/>
                <w:szCs w:val="7"/>
                <w:color w:val="auto"/>
              </w:rPr>
            </w:pPr>
          </w:p>
        </w:tc>
        <w:tc>
          <w:tcPr>
            <w:tcW w:w="940" w:type="dxa"/>
            <w:vAlign w:val="bottom"/>
            <w:tcBorders>
              <w:top w:val="single" w:sz="8" w:color="0077C0"/>
              <w:bottom w:val="single" w:sz="8" w:color="0077C0"/>
            </w:tcBorders>
            <w:gridSpan w:val="2"/>
          </w:tcPr>
          <w:p>
            <w:pPr>
              <w:jc w:val="right"/>
              <w:ind w:right="209"/>
              <w:spacing w:after="0" w:line="86" w:lineRule="exact"/>
              <w:rPr>
                <w:sz w:val="20"/>
                <w:szCs w:val="20"/>
                <w:color w:val="auto"/>
              </w:rPr>
            </w:pPr>
            <w:r>
              <w:rPr>
                <w:rFonts w:ascii="Arial" w:cs="Arial" w:eastAsia="Arial" w:hAnsi="Arial"/>
                <w:sz w:val="9"/>
                <w:szCs w:val="9"/>
                <w:color w:val="auto"/>
              </w:rPr>
              <w:t>Total Fair Value</w:t>
            </w:r>
          </w:p>
        </w:tc>
        <w:tc>
          <w:tcPr>
            <w:tcW w:w="440" w:type="dxa"/>
            <w:vAlign w:val="bottom"/>
            <w:tcBorders>
              <w:top w:val="single" w:sz="8" w:color="0077C0"/>
              <w:bottom w:val="single" w:sz="8" w:color="0077C0"/>
            </w:tcBorders>
          </w:tcPr>
          <w:p>
            <w:pPr>
              <w:spacing w:after="0"/>
              <w:rPr>
                <w:sz w:val="7"/>
                <w:szCs w:val="7"/>
                <w:color w:val="auto"/>
              </w:rPr>
            </w:pPr>
          </w:p>
        </w:tc>
        <w:tc>
          <w:tcPr>
            <w:tcW w:w="70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Level 1</w:t>
            </w:r>
          </w:p>
        </w:tc>
        <w:tc>
          <w:tcPr>
            <w:tcW w:w="460" w:type="dxa"/>
            <w:vAlign w:val="bottom"/>
            <w:tcBorders>
              <w:top w:val="single" w:sz="8" w:color="0077C0"/>
              <w:bottom w:val="single" w:sz="8" w:color="0077C0"/>
            </w:tcBorders>
          </w:tcPr>
          <w:p>
            <w:pPr>
              <w:spacing w:after="0"/>
              <w:rPr>
                <w:sz w:val="7"/>
                <w:szCs w:val="7"/>
                <w:color w:val="auto"/>
              </w:rPr>
            </w:pPr>
          </w:p>
        </w:tc>
        <w:tc>
          <w:tcPr>
            <w:tcW w:w="680" w:type="dxa"/>
            <w:vAlign w:val="bottom"/>
            <w:tcBorders>
              <w:top w:val="single" w:sz="8" w:color="0077C0"/>
              <w:bottom w:val="single" w:sz="8" w:color="0077C0"/>
            </w:tcBorders>
          </w:tcPr>
          <w:p>
            <w:pPr>
              <w:jc w:val="right"/>
              <w:ind w:right="169"/>
              <w:spacing w:after="0" w:line="86" w:lineRule="exact"/>
              <w:rPr>
                <w:sz w:val="20"/>
                <w:szCs w:val="20"/>
                <w:color w:val="auto"/>
              </w:rPr>
            </w:pPr>
            <w:r>
              <w:rPr>
                <w:rFonts w:ascii="Arial" w:cs="Arial" w:eastAsia="Arial" w:hAnsi="Arial"/>
                <w:sz w:val="9"/>
                <w:szCs w:val="9"/>
                <w:color w:val="auto"/>
              </w:rPr>
              <w:t>Level 2</w:t>
            </w:r>
          </w:p>
        </w:tc>
        <w:tc>
          <w:tcPr>
            <w:tcW w:w="48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Level 3</w:t>
            </w:r>
          </w:p>
        </w:tc>
        <w:tc>
          <w:tcPr>
            <w:tcW w:w="240" w:type="dxa"/>
            <w:vAlign w:val="bottom"/>
            <w:tcBorders>
              <w:bottom w:val="single" w:sz="8" w:color="0077C0"/>
            </w:tcBorders>
          </w:tcPr>
          <w:p>
            <w:pPr>
              <w:spacing w:after="0"/>
              <w:rPr>
                <w:sz w:val="7"/>
                <w:szCs w:val="7"/>
                <w:color w:val="auto"/>
              </w:rPr>
            </w:pPr>
          </w:p>
        </w:tc>
        <w:tc>
          <w:tcPr>
            <w:tcW w:w="120" w:type="dxa"/>
            <w:vAlign w:val="bottom"/>
            <w:tcBorders>
              <w:bottom w:val="single" w:sz="8" w:color="0077C0"/>
            </w:tcBorders>
          </w:tcPr>
          <w:p>
            <w:pPr>
              <w:spacing w:after="0"/>
              <w:rPr>
                <w:sz w:val="7"/>
                <w:szCs w:val="7"/>
                <w:color w:val="auto"/>
              </w:rPr>
            </w:pPr>
          </w:p>
        </w:tc>
        <w:tc>
          <w:tcPr>
            <w:tcW w:w="80" w:type="dxa"/>
            <w:vAlign w:val="bottom"/>
            <w:tcBorders>
              <w:top w:val="single" w:sz="8" w:color="0077C0"/>
              <w:bottom w:val="single" w:sz="8" w:color="0077C0"/>
            </w:tcBorders>
          </w:tcPr>
          <w:p>
            <w:pPr>
              <w:spacing w:after="0"/>
              <w:rPr>
                <w:sz w:val="7"/>
                <w:szCs w:val="7"/>
                <w:color w:val="auto"/>
              </w:rPr>
            </w:pPr>
          </w:p>
        </w:tc>
        <w:tc>
          <w:tcPr>
            <w:tcW w:w="84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w w:val="91"/>
              </w:rPr>
              <w:t>Total Fair Value</w:t>
            </w:r>
          </w:p>
        </w:tc>
        <w:tc>
          <w:tcPr>
            <w:tcW w:w="460" w:type="dxa"/>
            <w:vAlign w:val="bottom"/>
            <w:tcBorders>
              <w:top w:val="single" w:sz="8" w:color="0077C0"/>
              <w:bottom w:val="single" w:sz="8" w:color="0077C0"/>
            </w:tcBorders>
          </w:tcPr>
          <w:p>
            <w:pPr>
              <w:spacing w:after="0"/>
              <w:rPr>
                <w:sz w:val="7"/>
                <w:szCs w:val="7"/>
                <w:color w:val="auto"/>
              </w:rPr>
            </w:pPr>
          </w:p>
        </w:tc>
        <w:tc>
          <w:tcPr>
            <w:tcW w:w="700" w:type="dxa"/>
            <w:vAlign w:val="bottom"/>
            <w:tcBorders>
              <w:top w:val="single" w:sz="8" w:color="0077C0"/>
              <w:bottom w:val="single" w:sz="8" w:color="0077C0"/>
            </w:tcBorders>
          </w:tcPr>
          <w:p>
            <w:pPr>
              <w:jc w:val="right"/>
              <w:ind w:right="189"/>
              <w:spacing w:after="0" w:line="86" w:lineRule="exact"/>
              <w:rPr>
                <w:sz w:val="20"/>
                <w:szCs w:val="20"/>
                <w:color w:val="auto"/>
              </w:rPr>
            </w:pPr>
            <w:r>
              <w:rPr>
                <w:rFonts w:ascii="Arial" w:cs="Arial" w:eastAsia="Arial" w:hAnsi="Arial"/>
                <w:sz w:val="9"/>
                <w:szCs w:val="9"/>
                <w:color w:val="auto"/>
              </w:rPr>
              <w:t>Level 1</w:t>
            </w:r>
          </w:p>
        </w:tc>
        <w:tc>
          <w:tcPr>
            <w:tcW w:w="460" w:type="dxa"/>
            <w:vAlign w:val="bottom"/>
            <w:tcBorders>
              <w:top w:val="single" w:sz="8" w:color="0077C0"/>
              <w:bottom w:val="single" w:sz="8" w:color="0077C0"/>
            </w:tcBorders>
          </w:tcPr>
          <w:p>
            <w:pPr>
              <w:spacing w:after="0"/>
              <w:rPr>
                <w:sz w:val="7"/>
                <w:szCs w:val="7"/>
                <w:color w:val="auto"/>
              </w:rPr>
            </w:pPr>
          </w:p>
        </w:tc>
        <w:tc>
          <w:tcPr>
            <w:tcW w:w="680" w:type="dxa"/>
            <w:vAlign w:val="bottom"/>
            <w:tcBorders>
              <w:top w:val="single" w:sz="8" w:color="0077C0"/>
              <w:bottom w:val="single" w:sz="8" w:color="0077C0"/>
            </w:tcBorders>
          </w:tcPr>
          <w:p>
            <w:pPr>
              <w:jc w:val="right"/>
              <w:ind w:right="169"/>
              <w:spacing w:after="0" w:line="86" w:lineRule="exact"/>
              <w:rPr>
                <w:sz w:val="20"/>
                <w:szCs w:val="20"/>
                <w:color w:val="auto"/>
              </w:rPr>
            </w:pPr>
            <w:r>
              <w:rPr>
                <w:rFonts w:ascii="Arial" w:cs="Arial" w:eastAsia="Arial" w:hAnsi="Arial"/>
                <w:sz w:val="9"/>
                <w:szCs w:val="9"/>
                <w:color w:val="auto"/>
              </w:rPr>
              <w:t>Level 2</w:t>
            </w:r>
          </w:p>
        </w:tc>
        <w:tc>
          <w:tcPr>
            <w:tcW w:w="44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Level 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40" w:type="dxa"/>
            <w:vAlign w:val="bottom"/>
          </w:tcPr>
          <w:p>
            <w:pPr>
              <w:spacing w:after="0" w:line="91" w:lineRule="exact"/>
              <w:rPr>
                <w:sz w:val="20"/>
                <w:szCs w:val="20"/>
                <w:color w:val="auto"/>
              </w:rPr>
            </w:pPr>
            <w:r>
              <w:rPr>
                <w:rFonts w:ascii="Arial" w:cs="Arial" w:eastAsia="Arial" w:hAnsi="Arial"/>
                <w:sz w:val="10"/>
                <w:szCs w:val="10"/>
                <w:b w:val="1"/>
                <w:bCs w:val="1"/>
                <w:color w:val="auto"/>
              </w:rPr>
              <w:t>At December 31, 2011</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right w:val="single" w:sz="8" w:color="0077C0"/>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Equities</w:t>
            </w:r>
          </w:p>
        </w:tc>
        <w:tc>
          <w:tcPr>
            <w:tcW w:w="340" w:type="dxa"/>
            <w:vAlign w:val="bottom"/>
            <w:vMerge w:val="restart"/>
          </w:tcPr>
          <w:p>
            <w:pPr>
              <w:jc w:val="right"/>
              <w:ind w:right="70"/>
              <w:spacing w:after="0"/>
              <w:rPr>
                <w:sz w:val="20"/>
                <w:szCs w:val="20"/>
                <w:color w:val="auto"/>
              </w:rPr>
            </w:pPr>
            <w:r>
              <w:rPr>
                <w:rFonts w:ascii="Arial" w:cs="Arial" w:eastAsia="Arial" w:hAnsi="Arial"/>
                <w:sz w:val="10"/>
                <w:szCs w:val="10"/>
                <w:b w:val="1"/>
                <w:bCs w:val="1"/>
                <w:color w:val="auto"/>
              </w:rPr>
              <w:t>$</w:t>
            </w:r>
          </w:p>
        </w:tc>
        <w:tc>
          <w:tcPr>
            <w:tcW w:w="60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1,470</w:t>
            </w: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1,470</w:t>
            </w:r>
          </w:p>
        </w:tc>
        <w:tc>
          <w:tcPr>
            <w:tcW w:w="4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w:t>
            </w:r>
          </w:p>
        </w:tc>
        <w:tc>
          <w:tcPr>
            <w:tcW w:w="8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497</w:t>
            </w:r>
          </w:p>
        </w:tc>
        <w:tc>
          <w:tcPr>
            <w:tcW w:w="4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497</w:t>
            </w:r>
          </w:p>
        </w:tc>
        <w:tc>
          <w:tcPr>
            <w:tcW w:w="46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U.S.</w:t>
            </w:r>
            <w:r>
              <w:rPr>
                <w:rFonts w:ascii="Arial" w:cs="Arial" w:eastAsia="Arial" w:hAnsi="Arial"/>
                <w:sz w:val="8"/>
                <w:szCs w:val="8"/>
                <w:color w:val="auto"/>
              </w:rPr>
              <w:t>1</w:t>
            </w:r>
          </w:p>
        </w:tc>
        <w:tc>
          <w:tcPr>
            <w:tcW w:w="3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Borders>
              <w:right w:val="single" w:sz="8" w:color="0077C0"/>
            </w:tcBorders>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International</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1,203</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1,203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693</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693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Collective Trusts/Mutual Funds</w:t>
            </w:r>
            <w:r>
              <w:rPr>
                <w:rFonts w:ascii="Arial" w:cs="Arial" w:eastAsia="Arial" w:hAnsi="Arial"/>
                <w:sz w:val="8"/>
                <w:szCs w:val="8"/>
                <w:color w:val="auto"/>
              </w:rPr>
              <w:t>2</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2,633</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14</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2,619</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596</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28</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568</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Fixed Income</w:t>
            </w:r>
          </w:p>
        </w:tc>
        <w:tc>
          <w:tcPr>
            <w:tcW w:w="340" w:type="dxa"/>
            <w:vAlign w:val="bottom"/>
          </w:tcPr>
          <w:p>
            <w:pPr>
              <w:spacing w:after="0"/>
              <w:rPr>
                <w:sz w:val="9"/>
                <w:szCs w:val="9"/>
                <w:color w:val="auto"/>
              </w:rPr>
            </w:pPr>
          </w:p>
        </w:tc>
        <w:tc>
          <w:tcPr>
            <w:tcW w:w="60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622</w:t>
            </w:r>
          </w:p>
        </w:tc>
        <w:tc>
          <w:tcPr>
            <w:tcW w:w="440" w:type="dxa"/>
            <w:vAlign w:val="bottom"/>
          </w:tcPr>
          <w:p>
            <w:pPr>
              <w:spacing w:after="0"/>
              <w:rPr>
                <w:sz w:val="9"/>
                <w:szCs w:val="9"/>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146</w:t>
            </w:r>
          </w:p>
        </w:tc>
        <w:tc>
          <w:tcPr>
            <w:tcW w:w="460" w:type="dxa"/>
            <w:vAlign w:val="bottom"/>
          </w:tcPr>
          <w:p>
            <w:pPr>
              <w:spacing w:after="0"/>
              <w:rPr>
                <w:sz w:val="9"/>
                <w:szCs w:val="9"/>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476</w:t>
            </w:r>
          </w:p>
        </w:tc>
        <w:tc>
          <w:tcPr>
            <w:tcW w:w="4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635</w:t>
            </w:r>
          </w:p>
        </w:tc>
        <w:tc>
          <w:tcPr>
            <w:tcW w:w="460" w:type="dxa"/>
            <w:vAlign w:val="bottom"/>
          </w:tcPr>
          <w:p>
            <w:pPr>
              <w:spacing w:after="0"/>
              <w:rPr>
                <w:sz w:val="9"/>
                <w:szCs w:val="9"/>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25</w:t>
            </w:r>
          </w:p>
        </w:tc>
        <w:tc>
          <w:tcPr>
            <w:tcW w:w="460" w:type="dxa"/>
            <w:vAlign w:val="bottom"/>
          </w:tcPr>
          <w:p>
            <w:pPr>
              <w:spacing w:after="0"/>
              <w:rPr>
                <w:sz w:val="9"/>
                <w:szCs w:val="9"/>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610</w:t>
            </w:r>
          </w:p>
        </w:tc>
        <w:tc>
          <w:tcPr>
            <w:tcW w:w="440" w:type="dxa"/>
            <w:vAlign w:val="bottom"/>
          </w:tcPr>
          <w:p>
            <w:pPr>
              <w:spacing w:after="0"/>
              <w:rPr>
                <w:sz w:val="9"/>
                <w:szCs w:val="9"/>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Government</w:t>
            </w: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Corporate</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338</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338</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319</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16</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276</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Mortgage-Backed Securities</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107</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107</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Other Asset Backed</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61</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61</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Collective Trusts/Mutual Funds</w:t>
            </w:r>
            <w:r>
              <w:rPr>
                <w:rFonts w:ascii="Arial" w:cs="Arial" w:eastAsia="Arial" w:hAnsi="Arial"/>
                <w:sz w:val="8"/>
                <w:szCs w:val="8"/>
                <w:color w:val="auto"/>
              </w:rPr>
              <w:t>2</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1,046</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1,046</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345</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61</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284</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Mixed Funds</w:t>
            </w:r>
            <w:r>
              <w:rPr>
                <w:rFonts w:ascii="Arial" w:cs="Arial" w:eastAsia="Arial" w:hAnsi="Arial"/>
                <w:sz w:val="8"/>
                <w:szCs w:val="8"/>
                <w:b w:val="1"/>
                <w:bCs w:val="1"/>
                <w:color w:val="auto"/>
              </w:rPr>
              <w:t>3</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10</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10</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102</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89</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Real Estate</w:t>
            </w:r>
            <w:r>
              <w:rPr>
                <w:rFonts w:ascii="Arial" w:cs="Arial" w:eastAsia="Arial" w:hAnsi="Arial"/>
                <w:sz w:val="8"/>
                <w:szCs w:val="8"/>
                <w:b w:val="1"/>
                <w:bCs w:val="1"/>
                <w:color w:val="auto"/>
              </w:rPr>
              <w:t>4</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843</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843</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155</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Cash and Cash Equivalents</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b w:val="1"/>
                <w:bCs w:val="1"/>
                <w:color w:val="auto"/>
              </w:rPr>
              <w:t>404</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404</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211</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211</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8"/>
                <w:szCs w:val="8"/>
                <w:b w:val="1"/>
                <w:bCs w:val="1"/>
                <w:color w:val="auto"/>
              </w:rPr>
              <w:t>5</w:t>
            </w:r>
          </w:p>
        </w:tc>
        <w:tc>
          <w:tcPr>
            <w:tcW w:w="3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(17)</w:t>
            </w:r>
          </w:p>
        </w:tc>
        <w:tc>
          <w:tcPr>
            <w:tcW w:w="4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(79)</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8</w:t>
            </w:r>
          </w:p>
        </w:tc>
        <w:tc>
          <w:tcPr>
            <w:tcW w:w="4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54</w:t>
            </w:r>
          </w:p>
        </w:tc>
        <w:tc>
          <w:tcPr>
            <w:tcW w:w="240" w:type="dxa"/>
            <w:vAlign w:val="bottom"/>
            <w:tcBorders>
              <w:bottom w:val="single" w:sz="8" w:color="0077C0"/>
              <w:right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17</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(2)</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17</w:t>
            </w:r>
          </w:p>
        </w:tc>
        <w:tc>
          <w:tcPr>
            <w:tcW w:w="4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76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Total at December 31, 2011</w:t>
            </w:r>
          </w:p>
        </w:tc>
        <w:tc>
          <w:tcPr>
            <w:tcW w:w="340" w:type="dxa"/>
            <w:vAlign w:val="bottom"/>
            <w:tcBorders>
              <w:bottom w:val="single" w:sz="8" w:color="0077C0"/>
            </w:tcBorders>
          </w:tcPr>
          <w:p>
            <w:pPr>
              <w:jc w:val="right"/>
              <w:ind w:right="70"/>
              <w:spacing w:after="0" w:line="105"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tcBorders>
          </w:tcPr>
          <w:p>
            <w:pPr>
              <w:jc w:val="right"/>
              <w:ind w:right="209"/>
              <w:spacing w:after="0" w:line="105" w:lineRule="exact"/>
              <w:rPr>
                <w:sz w:val="20"/>
                <w:szCs w:val="20"/>
                <w:color w:val="auto"/>
              </w:rPr>
            </w:pPr>
            <w:r>
              <w:rPr>
                <w:rFonts w:ascii="Arial" w:cs="Arial" w:eastAsia="Arial" w:hAnsi="Arial"/>
                <w:sz w:val="10"/>
                <w:szCs w:val="10"/>
                <w:b w:val="1"/>
                <w:bCs w:val="1"/>
                <w:color w:val="auto"/>
              </w:rPr>
              <w:t>8,720</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3,168</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4,655</w:t>
            </w:r>
          </w:p>
        </w:tc>
        <w:tc>
          <w:tcPr>
            <w:tcW w:w="48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897</w:t>
            </w:r>
          </w:p>
        </w:tc>
        <w:tc>
          <w:tcPr>
            <w:tcW w:w="240" w:type="dxa"/>
            <w:vAlign w:val="bottom"/>
            <w:tcBorders>
              <w:bottom w:val="single" w:sz="8" w:color="0077C0"/>
              <w:right w:val="single" w:sz="8" w:color="0077C0"/>
            </w:tcBorders>
          </w:tcPr>
          <w:p>
            <w:pPr>
              <w:spacing w:after="0"/>
              <w:rPr>
                <w:sz w:val="9"/>
                <w:szCs w:val="9"/>
                <w:color w:val="auto"/>
              </w:rPr>
            </w:pPr>
          </w:p>
        </w:tc>
        <w:tc>
          <w:tcPr>
            <w:tcW w:w="200" w:type="dxa"/>
            <w:vAlign w:val="bottom"/>
            <w:tcBorders>
              <w:bottom w:val="single" w:sz="8" w:color="0077C0"/>
            </w:tcBorders>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3,577</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1,542</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1,849</w:t>
            </w:r>
          </w:p>
        </w:tc>
        <w:tc>
          <w:tcPr>
            <w:tcW w:w="4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6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At December 31, 2010</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right w:val="single" w:sz="8" w:color="0077C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Equities</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U.S.</w:t>
            </w:r>
            <w:r>
              <w:rPr>
                <w:rFonts w:ascii="Arial" w:cs="Arial" w:eastAsia="Arial" w:hAnsi="Arial"/>
                <w:sz w:val="8"/>
                <w:szCs w:val="8"/>
                <w:color w:val="auto"/>
              </w:rPr>
              <w:t>1</w:t>
            </w:r>
          </w:p>
        </w:tc>
        <w:tc>
          <w:tcPr>
            <w:tcW w:w="340" w:type="dxa"/>
            <w:vAlign w:val="bottom"/>
          </w:tcPr>
          <w:p>
            <w:pPr>
              <w:jc w:val="right"/>
              <w:ind w:right="70"/>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2,121</w:t>
            </w: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2,121</w:t>
            </w:r>
          </w:p>
        </w:tc>
        <w:tc>
          <w:tcPr>
            <w:tcW w:w="4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80" w:type="dxa"/>
            <w:vAlign w:val="bottom"/>
            <w:vMerge w:val="continue"/>
          </w:tcPr>
          <w:p>
            <w:pPr>
              <w:spacing w:after="0"/>
              <w:rPr>
                <w:sz w:val="9"/>
                <w:szCs w:val="9"/>
                <w:color w:val="auto"/>
              </w:rPr>
            </w:pPr>
          </w:p>
        </w:tc>
        <w:tc>
          <w:tcPr>
            <w:tcW w:w="4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2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465</w:t>
            </w:r>
          </w:p>
        </w:tc>
        <w:tc>
          <w:tcPr>
            <w:tcW w:w="4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465</w:t>
            </w:r>
          </w:p>
        </w:tc>
        <w:tc>
          <w:tcPr>
            <w:tcW w:w="46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680" w:type="dxa"/>
            <w:vAlign w:val="bottom"/>
            <w:vMerge w:val="continue"/>
          </w:tcPr>
          <w:p>
            <w:pPr>
              <w:spacing w:after="0"/>
              <w:rPr>
                <w:sz w:val="9"/>
                <w:szCs w:val="9"/>
                <w:color w:val="auto"/>
              </w:rPr>
            </w:pPr>
          </w:p>
        </w:tc>
        <w:tc>
          <w:tcPr>
            <w:tcW w:w="440" w:type="dxa"/>
            <w:vAlign w:val="bottom"/>
          </w:tcPr>
          <w:p>
            <w:pPr>
              <w:jc w:val="right"/>
              <w:ind w:right="129"/>
              <w:spacing w:after="0" w:line="106"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International</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1,405</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1,405</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721</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721</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Collective Trusts/Mutual Funds</w:t>
            </w:r>
            <w:r>
              <w:rPr>
                <w:rFonts w:ascii="Arial" w:cs="Arial" w:eastAsia="Arial" w:hAnsi="Arial"/>
                <w:sz w:val="8"/>
                <w:szCs w:val="8"/>
                <w:color w:val="auto"/>
              </w:rPr>
              <w:t>2</w:t>
            </w:r>
          </w:p>
        </w:tc>
        <w:tc>
          <w:tcPr>
            <w:tcW w:w="340" w:type="dxa"/>
            <w:vAlign w:val="bottom"/>
          </w:tcPr>
          <w:p>
            <w:pPr>
              <w:spacing w:after="0"/>
              <w:rPr>
                <w:sz w:val="9"/>
                <w:szCs w:val="9"/>
                <w:color w:val="auto"/>
              </w:rPr>
            </w:pPr>
          </w:p>
        </w:tc>
        <w:tc>
          <w:tcPr>
            <w:tcW w:w="60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2,068</w:t>
            </w:r>
          </w:p>
        </w:tc>
        <w:tc>
          <w:tcPr>
            <w:tcW w:w="44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5</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2,063</w:t>
            </w:r>
          </w:p>
        </w:tc>
        <w:tc>
          <w:tcPr>
            <w:tcW w:w="48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578</w:t>
            </w:r>
          </w:p>
        </w:tc>
        <w:tc>
          <w:tcPr>
            <w:tcW w:w="46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80</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498</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Fixed Income</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Government</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659</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19</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640</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568</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38</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530</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Corporate</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314</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314</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351</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24</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299</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Mortgage-Backed Securities</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82</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82</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ind w:left="120"/>
              <w:spacing w:after="0" w:line="106" w:lineRule="exact"/>
              <w:rPr>
                <w:sz w:val="20"/>
                <w:szCs w:val="20"/>
                <w:color w:val="auto"/>
              </w:rPr>
            </w:pPr>
            <w:r>
              <w:rPr>
                <w:rFonts w:ascii="Arial" w:cs="Arial" w:eastAsia="Arial" w:hAnsi="Arial"/>
                <w:sz w:val="10"/>
                <w:szCs w:val="10"/>
                <w:color w:val="auto"/>
              </w:rPr>
              <w:t>Other Asset Backed</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74</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74</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16</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16</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40" w:type="dxa"/>
            <w:vAlign w:val="bottom"/>
          </w:tcPr>
          <w:p>
            <w:pPr>
              <w:ind w:left="120"/>
              <w:spacing w:after="0" w:line="104" w:lineRule="exact"/>
              <w:rPr>
                <w:sz w:val="20"/>
                <w:szCs w:val="20"/>
                <w:color w:val="auto"/>
              </w:rPr>
            </w:pPr>
            <w:r>
              <w:rPr>
                <w:rFonts w:ascii="Arial" w:cs="Arial" w:eastAsia="Arial" w:hAnsi="Arial"/>
                <w:sz w:val="10"/>
                <w:szCs w:val="10"/>
                <w:color w:val="auto"/>
              </w:rPr>
              <w:t>Collective Trusts/Mutual Funds</w:t>
            </w:r>
            <w:r>
              <w:rPr>
                <w:rFonts w:ascii="Arial" w:cs="Arial" w:eastAsia="Arial" w:hAnsi="Arial"/>
                <w:sz w:val="8"/>
                <w:szCs w:val="8"/>
                <w:color w:val="auto"/>
              </w:rPr>
              <w:t>2</w:t>
            </w:r>
          </w:p>
        </w:tc>
        <w:tc>
          <w:tcPr>
            <w:tcW w:w="340" w:type="dxa"/>
            <w:vAlign w:val="bottom"/>
          </w:tcPr>
          <w:p>
            <w:pPr>
              <w:spacing w:after="0"/>
              <w:rPr>
                <w:sz w:val="9"/>
                <w:szCs w:val="9"/>
                <w:color w:val="auto"/>
              </w:rPr>
            </w:pPr>
          </w:p>
        </w:tc>
        <w:tc>
          <w:tcPr>
            <w:tcW w:w="600" w:type="dxa"/>
            <w:vAlign w:val="bottom"/>
          </w:tcPr>
          <w:p>
            <w:pPr>
              <w:jc w:val="right"/>
              <w:ind w:right="209"/>
              <w:spacing w:after="0" w:line="104" w:lineRule="exact"/>
              <w:rPr>
                <w:sz w:val="20"/>
                <w:szCs w:val="20"/>
                <w:color w:val="auto"/>
              </w:rPr>
            </w:pPr>
            <w:r>
              <w:rPr>
                <w:rFonts w:ascii="Arial" w:cs="Arial" w:eastAsia="Arial" w:hAnsi="Arial"/>
                <w:sz w:val="10"/>
                <w:szCs w:val="10"/>
                <w:color w:val="auto"/>
              </w:rPr>
              <w:t>1,064</w:t>
            </w:r>
          </w:p>
        </w:tc>
        <w:tc>
          <w:tcPr>
            <w:tcW w:w="44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1,064</w:t>
            </w:r>
          </w:p>
        </w:tc>
        <w:tc>
          <w:tcPr>
            <w:tcW w:w="48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332</w:t>
            </w:r>
          </w:p>
        </w:tc>
        <w:tc>
          <w:tcPr>
            <w:tcW w:w="460" w:type="dxa"/>
            <w:vAlign w:val="bottom"/>
          </w:tcPr>
          <w:p>
            <w:pPr>
              <w:spacing w:after="0"/>
              <w:rPr>
                <w:sz w:val="9"/>
                <w:szCs w:val="9"/>
                <w:color w:val="auto"/>
              </w:rPr>
            </w:pPr>
          </w:p>
        </w:tc>
        <w:tc>
          <w:tcPr>
            <w:tcW w:w="700" w:type="dxa"/>
            <w:vAlign w:val="bottom"/>
          </w:tcPr>
          <w:p>
            <w:pPr>
              <w:jc w:val="right"/>
              <w:ind w:right="189"/>
              <w:spacing w:after="0" w:line="104" w:lineRule="exact"/>
              <w:rPr>
                <w:sz w:val="20"/>
                <w:szCs w:val="20"/>
                <w:color w:val="auto"/>
              </w:rPr>
            </w:pPr>
            <w:r>
              <w:rPr>
                <w:rFonts w:ascii="Arial" w:cs="Arial" w:eastAsia="Arial" w:hAnsi="Arial"/>
                <w:sz w:val="10"/>
                <w:szCs w:val="10"/>
                <w:color w:val="auto"/>
              </w:rPr>
              <w:t>19</w:t>
            </w:r>
          </w:p>
        </w:tc>
        <w:tc>
          <w:tcPr>
            <w:tcW w:w="460" w:type="dxa"/>
            <w:vAlign w:val="bottom"/>
          </w:tcPr>
          <w:p>
            <w:pPr>
              <w:spacing w:after="0"/>
              <w:rPr>
                <w:sz w:val="9"/>
                <w:szCs w:val="9"/>
                <w:color w:val="auto"/>
              </w:rPr>
            </w:pPr>
          </w:p>
        </w:tc>
        <w:tc>
          <w:tcPr>
            <w:tcW w:w="680" w:type="dxa"/>
            <w:vAlign w:val="bottom"/>
          </w:tcPr>
          <w:p>
            <w:pPr>
              <w:jc w:val="right"/>
              <w:ind w:right="169"/>
              <w:spacing w:after="0" w:line="104" w:lineRule="exact"/>
              <w:rPr>
                <w:sz w:val="20"/>
                <w:szCs w:val="20"/>
                <w:color w:val="auto"/>
              </w:rPr>
            </w:pPr>
            <w:r>
              <w:rPr>
                <w:rFonts w:ascii="Arial" w:cs="Arial" w:eastAsia="Arial" w:hAnsi="Arial"/>
                <w:sz w:val="10"/>
                <w:szCs w:val="10"/>
                <w:color w:val="auto"/>
              </w:rPr>
              <w:t>313</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Mixed Funds</w:t>
            </w:r>
            <w:r>
              <w:rPr>
                <w:rFonts w:ascii="Arial" w:cs="Arial" w:eastAsia="Arial" w:hAnsi="Arial"/>
                <w:sz w:val="8"/>
                <w:szCs w:val="8"/>
                <w:b w:val="1"/>
                <w:bCs w:val="1"/>
                <w:color w:val="auto"/>
              </w:rPr>
              <w:t>3</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9</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105</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16</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89</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Real Estate</w:t>
            </w:r>
            <w:r>
              <w:rPr>
                <w:rFonts w:ascii="Arial" w:cs="Arial" w:eastAsia="Arial" w:hAnsi="Arial"/>
                <w:sz w:val="8"/>
                <w:szCs w:val="8"/>
                <w:b w:val="1"/>
                <w:bCs w:val="1"/>
                <w:color w:val="auto"/>
              </w:rPr>
              <w:t>4</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596</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596</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142</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Cash and Cash Equivalents</w:t>
            </w:r>
          </w:p>
        </w:tc>
        <w:tc>
          <w:tcPr>
            <w:tcW w:w="340" w:type="dxa"/>
            <w:vAlign w:val="bottom"/>
          </w:tcPr>
          <w:p>
            <w:pPr>
              <w:spacing w:after="0"/>
              <w:rPr>
                <w:sz w:val="9"/>
                <w:szCs w:val="9"/>
                <w:color w:val="auto"/>
              </w:rPr>
            </w:pPr>
          </w:p>
        </w:tc>
        <w:tc>
          <w:tcPr>
            <w:tcW w:w="600" w:type="dxa"/>
            <w:vAlign w:val="bottom"/>
          </w:tcPr>
          <w:p>
            <w:pPr>
              <w:jc w:val="right"/>
              <w:ind w:right="209"/>
              <w:spacing w:after="0" w:line="106" w:lineRule="exact"/>
              <w:rPr>
                <w:sz w:val="20"/>
                <w:szCs w:val="20"/>
                <w:color w:val="auto"/>
              </w:rPr>
            </w:pPr>
            <w:r>
              <w:rPr>
                <w:rFonts w:ascii="Arial" w:cs="Arial" w:eastAsia="Arial" w:hAnsi="Arial"/>
                <w:sz w:val="10"/>
                <w:szCs w:val="10"/>
                <w:color w:val="auto"/>
              </w:rPr>
              <w:t>213</w:t>
            </w:r>
          </w:p>
        </w:tc>
        <w:tc>
          <w:tcPr>
            <w:tcW w:w="44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213</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0077C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217</w:t>
            </w:r>
          </w:p>
        </w:tc>
        <w:tc>
          <w:tcPr>
            <w:tcW w:w="460" w:type="dxa"/>
            <w:vAlign w:val="bottom"/>
          </w:tcPr>
          <w:p>
            <w:pPr>
              <w:spacing w:after="0"/>
              <w:rPr>
                <w:sz w:val="9"/>
                <w:szCs w:val="9"/>
                <w:color w:val="auto"/>
              </w:rPr>
            </w:pPr>
          </w:p>
        </w:tc>
        <w:tc>
          <w:tcPr>
            <w:tcW w:w="70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217</w:t>
            </w:r>
          </w:p>
        </w:tc>
        <w:tc>
          <w:tcPr>
            <w:tcW w:w="4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4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8"/>
                <w:szCs w:val="8"/>
                <w:b w:val="1"/>
                <w:bCs w:val="1"/>
                <w:color w:val="auto"/>
              </w:rPr>
              <w:t>5</w:t>
            </w:r>
          </w:p>
        </w:tc>
        <w:tc>
          <w:tcPr>
            <w:tcW w:w="3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(26)</w:t>
            </w:r>
          </w:p>
        </w:tc>
        <w:tc>
          <w:tcPr>
            <w:tcW w:w="44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(87)</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w:t>
            </w:r>
          </w:p>
        </w:tc>
        <w:tc>
          <w:tcPr>
            <w:tcW w:w="4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53</w:t>
            </w:r>
          </w:p>
        </w:tc>
        <w:tc>
          <w:tcPr>
            <w:tcW w:w="240" w:type="dxa"/>
            <w:vAlign w:val="bottom"/>
            <w:tcBorders>
              <w:bottom w:val="single" w:sz="8" w:color="0077C0"/>
              <w:right w:val="single" w:sz="8" w:color="0077C0"/>
            </w:tcBorders>
          </w:tcPr>
          <w:p>
            <w:pPr>
              <w:spacing w:after="0"/>
              <w:rPr>
                <w:sz w:val="10"/>
                <w:szCs w:val="10"/>
                <w:color w:val="auto"/>
              </w:rPr>
            </w:pPr>
          </w:p>
        </w:tc>
        <w:tc>
          <w:tcPr>
            <w:tcW w:w="120" w:type="dxa"/>
            <w:vAlign w:val="bottom"/>
            <w:tcBorders>
              <w:bottom w:val="single" w:sz="8" w:color="0077C0"/>
            </w:tcBorders>
          </w:tcPr>
          <w:p>
            <w:pPr>
              <w:spacing w:after="0"/>
              <w:rPr>
                <w:sz w:val="10"/>
                <w:szCs w:val="10"/>
                <w:color w:val="auto"/>
              </w:rPr>
            </w:pPr>
          </w:p>
        </w:tc>
        <w:tc>
          <w:tcPr>
            <w:tcW w:w="80" w:type="dxa"/>
            <w:vAlign w:val="bottom"/>
            <w:tcBorders>
              <w:bottom w:val="single" w:sz="8" w:color="0077C0"/>
            </w:tcBorders>
          </w:tcPr>
          <w:p>
            <w:pPr>
              <w:spacing w:after="0"/>
              <w:rPr>
                <w:sz w:val="10"/>
                <w:szCs w:val="10"/>
                <w:color w:val="auto"/>
              </w:rPr>
            </w:pPr>
          </w:p>
        </w:tc>
        <w:tc>
          <w:tcPr>
            <w:tcW w:w="8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6</w:t>
            </w:r>
          </w:p>
        </w:tc>
        <w:tc>
          <w:tcPr>
            <w:tcW w:w="460" w:type="dxa"/>
            <w:vAlign w:val="bottom"/>
            <w:tcBorders>
              <w:bottom w:val="single" w:sz="8" w:color="0077C0"/>
            </w:tcBorders>
          </w:tcPr>
          <w:p>
            <w:pPr>
              <w:spacing w:after="0"/>
              <w:rPr>
                <w:sz w:val="10"/>
                <w:szCs w:val="10"/>
                <w:color w:val="auto"/>
              </w:rPr>
            </w:pPr>
          </w:p>
        </w:tc>
        <w:tc>
          <w:tcPr>
            <w:tcW w:w="7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(5)</w:t>
            </w:r>
          </w:p>
        </w:tc>
        <w:tc>
          <w:tcPr>
            <w:tcW w:w="4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9</w:t>
            </w:r>
          </w:p>
        </w:tc>
        <w:tc>
          <w:tcPr>
            <w:tcW w:w="44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Total at December 31, 2010</w:t>
            </w:r>
          </w:p>
        </w:tc>
        <w:tc>
          <w:tcPr>
            <w:tcW w:w="340" w:type="dxa"/>
            <w:vAlign w:val="bottom"/>
            <w:tcBorders>
              <w:bottom w:val="single" w:sz="8" w:color="0077C0"/>
            </w:tcBorders>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209"/>
              <w:spacing w:after="0"/>
              <w:rPr>
                <w:sz w:val="20"/>
                <w:szCs w:val="20"/>
                <w:color w:val="auto"/>
              </w:rPr>
            </w:pPr>
            <w:r>
              <w:rPr>
                <w:rFonts w:ascii="Arial" w:cs="Arial" w:eastAsia="Arial" w:hAnsi="Arial"/>
                <w:sz w:val="10"/>
                <w:szCs w:val="10"/>
                <w:color w:val="auto"/>
              </w:rPr>
              <w:t>8,579</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3,685</w:t>
            </w: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4,245</w:t>
            </w:r>
          </w:p>
        </w:tc>
        <w:tc>
          <w:tcPr>
            <w:tcW w:w="4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649</w:t>
            </w:r>
          </w:p>
        </w:tc>
        <w:tc>
          <w:tcPr>
            <w:tcW w:w="240" w:type="dxa"/>
            <w:vAlign w:val="bottom"/>
            <w:tcBorders>
              <w:bottom w:val="single" w:sz="8" w:color="0077C0"/>
              <w:right w:val="single" w:sz="8" w:color="0077C0"/>
            </w:tcBorders>
          </w:tcPr>
          <w:p>
            <w:pPr>
              <w:spacing w:after="0"/>
              <w:rPr>
                <w:sz w:val="10"/>
                <w:szCs w:val="10"/>
                <w:color w:val="auto"/>
              </w:rPr>
            </w:pPr>
          </w:p>
        </w:tc>
        <w:tc>
          <w:tcPr>
            <w:tcW w:w="20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3,503</w:t>
            </w: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1,575</w:t>
            </w: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1,754</w:t>
            </w:r>
          </w:p>
        </w:tc>
        <w:tc>
          <w:tcPr>
            <w:tcW w:w="44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03" w:hanging="103"/>
        <w:spacing w:after="0"/>
        <w:tabs>
          <w:tab w:leader="none" w:pos="103" w:val="left"/>
        </w:tabs>
        <w:numPr>
          <w:ilvl w:val="0"/>
          <w:numId w:val="44"/>
        </w:numPr>
        <w:rPr>
          <w:rFonts w:ascii="Arial" w:cs="Arial" w:eastAsia="Arial" w:hAnsi="Arial"/>
          <w:sz w:val="8"/>
          <w:szCs w:val="8"/>
          <w:color w:val="auto"/>
        </w:rPr>
      </w:pPr>
      <w:r>
        <w:rPr>
          <w:rFonts w:ascii="Arial" w:cs="Arial" w:eastAsia="Arial" w:hAnsi="Arial"/>
          <w:sz w:val="9"/>
          <w:szCs w:val="9"/>
          <w:color w:val="auto"/>
        </w:rPr>
        <w:t>U.S. equities include investments in the company’s common stock in the amount of $35 at December 31, 2011, and $38 at December 31, 2010.</w:t>
      </w:r>
    </w:p>
    <w:p>
      <w:pPr>
        <w:spacing w:after="0" w:line="10" w:lineRule="exact"/>
        <w:rPr>
          <w:sz w:val="20"/>
          <w:szCs w:val="20"/>
          <w:color w:val="auto"/>
        </w:rPr>
      </w:pPr>
    </w:p>
    <w:p>
      <w:pPr>
        <w:ind w:left="103" w:hanging="103"/>
        <w:spacing w:after="0"/>
        <w:tabs>
          <w:tab w:leader="none" w:pos="103" w:val="left"/>
        </w:tabs>
        <w:numPr>
          <w:ilvl w:val="0"/>
          <w:numId w:val="45"/>
        </w:numPr>
        <w:rPr>
          <w:rFonts w:ascii="Arial" w:cs="Arial" w:eastAsia="Arial" w:hAnsi="Arial"/>
          <w:sz w:val="7"/>
          <w:szCs w:val="7"/>
          <w:color w:val="auto"/>
        </w:rPr>
      </w:pPr>
      <w:r>
        <w:rPr>
          <w:rFonts w:ascii="Arial" w:cs="Arial" w:eastAsia="Arial" w:hAnsi="Arial"/>
          <w:sz w:val="8"/>
          <w:szCs w:val="8"/>
          <w:color w:val="auto"/>
        </w:rPr>
        <w:t>Collective Trusts/Mutual Funds for U.S. plans are entirely index funds; for International plans, they are mostly index funds. For these index funds, the Level 2 designation is partially based on the restriction that advance notification of redemptions, typically two business days, is required.</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3  Mixed funds are composed of funds that invest in both equity and fixed-income instruments in order to diversify and lower risk.</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4  The year-end valuations of the U.S. real estate assets are based on internal appraisals by the real estate managers, which are updates of third-party appraisals that occur at least once a year for each property in the portfolio.</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5  The “Other” asset class includes net payables for securities purchased but not yet settled (Level 1); dividends and interest- and tax-related receivables (Level 2); insurance contracts and investments in private-equity limited partnerships (Level 3).</w:t>
      </w:r>
    </w:p>
    <w:p>
      <w:pPr>
        <w:spacing w:after="0" w:line="116" w:lineRule="exact"/>
        <w:rPr>
          <w:sz w:val="20"/>
          <w:szCs w:val="20"/>
          <w:color w:val="auto"/>
        </w:rPr>
      </w:pPr>
    </w:p>
    <w:p>
      <w:pPr>
        <w:jc w:val="center"/>
        <w:ind w:right="-102"/>
        <w:spacing w:after="0"/>
        <w:rPr>
          <w:sz w:val="20"/>
          <w:szCs w:val="20"/>
          <w:color w:val="auto"/>
        </w:rPr>
      </w:pPr>
      <w:r>
        <w:rPr>
          <w:rFonts w:ascii="Arial" w:cs="Arial" w:eastAsia="Arial" w:hAnsi="Arial"/>
          <w:sz w:val="10"/>
          <w:szCs w:val="10"/>
          <w:color w:val="auto"/>
        </w:rPr>
        <w:t>FS-53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363"/>
          </w:cols>
          <w:pgMar w:left="217" w:top="338" w:right="319" w:bottom="1440" w:gutter="0" w:footer="0" w:header="0"/>
          <w:type w:val="continuous"/>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ind w:left="3320"/>
        <w:spacing w:after="0"/>
        <w:rPr>
          <w:sz w:val="20"/>
          <w:szCs w:val="20"/>
          <w:color w:val="auto"/>
        </w:rPr>
      </w:pPr>
      <w:r>
        <w:rPr>
          <w:rFonts w:ascii="Arial" w:cs="Arial" w:eastAsia="Arial" w:hAnsi="Arial"/>
          <w:sz w:val="10"/>
          <w:szCs w:val="10"/>
          <w:color w:val="0077C0"/>
        </w:rPr>
        <w:t>Notes to the Consolidated Financial Statements</w:t>
      </w:r>
    </w:p>
    <w:p>
      <w:pPr>
        <w:ind w:left="372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effects of fair value measurements using significant unobservable inputs on changes in Level 3 plan assets for the period are outlined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50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spacing w:after="0"/>
              <w:rPr>
                <w:sz w:val="9"/>
                <w:szCs w:val="9"/>
                <w:color w:val="auto"/>
              </w:rPr>
            </w:pPr>
          </w:p>
        </w:tc>
        <w:tc>
          <w:tcPr>
            <w:tcW w:w="920" w:type="dxa"/>
            <w:vAlign w:val="bottom"/>
            <w:tcBorders>
              <w:bottom w:val="single" w:sz="8" w:color="0077C0"/>
            </w:tcBorders>
            <w:gridSpan w:val="2"/>
          </w:tcPr>
          <w:p>
            <w:pPr>
              <w:jc w:val="right"/>
              <w:spacing w:after="0"/>
              <w:rPr>
                <w:sz w:val="20"/>
                <w:szCs w:val="20"/>
                <w:color w:val="auto"/>
              </w:rPr>
            </w:pPr>
            <w:r>
              <w:rPr>
                <w:rFonts w:ascii="Arial" w:cs="Arial" w:eastAsia="Arial" w:hAnsi="Arial"/>
                <w:sz w:val="9"/>
                <w:szCs w:val="9"/>
                <w:color w:val="auto"/>
              </w:rPr>
              <w:t>Fixed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gridSpan w:val="2"/>
          </w:tcPr>
          <w:p>
            <w:pPr>
              <w:jc w:val="right"/>
              <w:spacing w:after="0" w:line="75" w:lineRule="exact"/>
              <w:rPr>
                <w:sz w:val="20"/>
                <w:szCs w:val="20"/>
                <w:color w:val="auto"/>
              </w:rPr>
            </w:pPr>
            <w:r>
              <w:rPr>
                <w:rFonts w:ascii="Arial" w:cs="Arial" w:eastAsia="Arial" w:hAnsi="Arial"/>
                <w:sz w:val="8"/>
                <w:szCs w:val="8"/>
                <w:color w:val="auto"/>
              </w:rPr>
              <w:t>Mortgage-Backed</w:t>
            </w: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40" w:type="dxa"/>
            <w:vAlign w:val="bottom"/>
            <w:gridSpan w:val="2"/>
          </w:tcPr>
          <w:p>
            <w:pPr>
              <w:jc w:val="right"/>
              <w:ind w:right="289"/>
              <w:spacing w:after="0"/>
              <w:rPr>
                <w:sz w:val="20"/>
                <w:szCs w:val="20"/>
                <w:color w:val="auto"/>
              </w:rPr>
            </w:pPr>
            <w:r>
              <w:rPr>
                <w:rFonts w:ascii="Arial" w:cs="Arial" w:eastAsia="Arial" w:hAnsi="Arial"/>
                <w:sz w:val="9"/>
                <w:szCs w:val="9"/>
                <w:color w:val="auto"/>
              </w:rPr>
              <w:t>Corporate</w:t>
            </w:r>
          </w:p>
        </w:tc>
        <w:tc>
          <w:tcPr>
            <w:tcW w:w="920" w:type="dxa"/>
            <w:vAlign w:val="bottom"/>
            <w:gridSpan w:val="2"/>
          </w:tcPr>
          <w:p>
            <w:pPr>
              <w:jc w:val="right"/>
              <w:spacing w:after="0"/>
              <w:rPr>
                <w:sz w:val="20"/>
                <w:szCs w:val="20"/>
                <w:color w:val="auto"/>
              </w:rPr>
            </w:pPr>
            <w:r>
              <w:rPr>
                <w:rFonts w:ascii="Arial" w:cs="Arial" w:eastAsia="Arial" w:hAnsi="Arial"/>
                <w:sz w:val="9"/>
                <w:szCs w:val="9"/>
                <w:color w:val="auto"/>
              </w:rPr>
              <w:t>Securities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tcPr>
          <w:p>
            <w:pPr>
              <w:jc w:val="right"/>
              <w:ind w:right="289"/>
              <w:spacing w:after="0"/>
              <w:rPr>
                <w:sz w:val="20"/>
                <w:szCs w:val="20"/>
                <w:color w:val="auto"/>
              </w:rPr>
            </w:pPr>
            <w:r>
              <w:rPr>
                <w:rFonts w:ascii="Arial" w:cs="Arial" w:eastAsia="Arial" w:hAnsi="Arial"/>
                <w:sz w:val="9"/>
                <w:szCs w:val="9"/>
                <w:color w:val="auto"/>
              </w:rPr>
              <w:t>Real Estate</w:t>
            </w:r>
          </w:p>
        </w:tc>
        <w:tc>
          <w:tcPr>
            <w:tcW w:w="1260" w:type="dxa"/>
            <w:vAlign w:val="bottom"/>
            <w:gridSpan w:val="2"/>
          </w:tcPr>
          <w:p>
            <w:pPr>
              <w:jc w:val="right"/>
              <w:ind w:right="289"/>
              <w:spacing w:after="0"/>
              <w:rPr>
                <w:sz w:val="20"/>
                <w:szCs w:val="20"/>
                <w:color w:val="auto"/>
              </w:rPr>
            </w:pPr>
            <w:r>
              <w:rPr>
                <w:rFonts w:ascii="Arial" w:cs="Arial" w:eastAsia="Arial" w:hAnsi="Arial"/>
                <w:sz w:val="9"/>
                <w:szCs w:val="9"/>
                <w:color w:val="auto"/>
              </w:rPr>
              <w:t>Other</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9"/>
                <w:szCs w:val="9"/>
                <w:color w:val="auto"/>
                <w:w w:val="99"/>
              </w:rPr>
              <w:t>Total</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60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auto"/>
              </w:rPr>
              <w:t>Total at December 31, 2009</w:t>
            </w:r>
          </w:p>
        </w:tc>
        <w:tc>
          <w:tcPr>
            <w:tcW w:w="500" w:type="dxa"/>
            <w:vAlign w:val="bottom"/>
            <w:tcBorders>
              <w:top w:val="single" w:sz="8" w:color="0077C0"/>
            </w:tcBorders>
          </w:tcPr>
          <w:p>
            <w:pPr>
              <w:jc w:val="right"/>
              <w:ind w:right="30"/>
              <w:spacing w:after="0" w:line="92"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tcBorders>
          </w:tcPr>
          <w:p>
            <w:pPr>
              <w:jc w:val="right"/>
              <w:ind w:right="289"/>
              <w:spacing w:after="0" w:line="92" w:lineRule="exact"/>
              <w:rPr>
                <w:sz w:val="20"/>
                <w:szCs w:val="20"/>
                <w:color w:val="auto"/>
              </w:rPr>
            </w:pPr>
            <w:r>
              <w:rPr>
                <w:rFonts w:ascii="Arial" w:cs="Arial" w:eastAsia="Arial" w:hAnsi="Arial"/>
                <w:sz w:val="10"/>
                <w:szCs w:val="10"/>
                <w:color w:val="auto"/>
              </w:rPr>
              <w:t>18</w:t>
            </w:r>
          </w:p>
        </w:tc>
        <w:tc>
          <w:tcPr>
            <w:tcW w:w="740" w:type="dxa"/>
            <w:vAlign w:val="bottom"/>
            <w:tcBorders>
              <w:top w:val="single" w:sz="8" w:color="0077C0"/>
            </w:tcBorders>
          </w:tcPr>
          <w:p>
            <w:pPr>
              <w:jc w:val="right"/>
              <w:ind w:right="73"/>
              <w:spacing w:after="0" w:line="92" w:lineRule="exact"/>
              <w:rPr>
                <w:sz w:val="20"/>
                <w:szCs w:val="20"/>
                <w:color w:val="auto"/>
              </w:rPr>
            </w:pPr>
            <w:r>
              <w:rPr>
                <w:rFonts w:ascii="Arial" w:cs="Arial" w:eastAsia="Arial" w:hAnsi="Arial"/>
                <w:sz w:val="10"/>
                <w:szCs w:val="10"/>
                <w:color w:val="auto"/>
              </w:rPr>
              <w:t>$</w:t>
            </w:r>
          </w:p>
        </w:tc>
        <w:tc>
          <w:tcPr>
            <w:tcW w:w="1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w:t>
            </w:r>
          </w:p>
        </w:tc>
        <w:tc>
          <w:tcPr>
            <w:tcW w:w="1040" w:type="dxa"/>
            <w:vAlign w:val="bottom"/>
            <w:tcBorders>
              <w:top w:val="single" w:sz="8" w:color="0077C0"/>
            </w:tcBorders>
            <w:gridSpan w:val="3"/>
          </w:tcPr>
          <w:p>
            <w:pPr>
              <w:jc w:val="right"/>
              <w:ind w:right="52"/>
              <w:spacing w:after="0" w:line="92"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tcBorders>
          </w:tcPr>
          <w:p>
            <w:pPr>
              <w:jc w:val="right"/>
              <w:ind w:right="289"/>
              <w:spacing w:after="0" w:line="92" w:lineRule="exact"/>
              <w:rPr>
                <w:sz w:val="20"/>
                <w:szCs w:val="20"/>
                <w:color w:val="auto"/>
              </w:rPr>
            </w:pPr>
            <w:r>
              <w:rPr>
                <w:rFonts w:ascii="Arial" w:cs="Arial" w:eastAsia="Arial" w:hAnsi="Arial"/>
                <w:sz w:val="10"/>
                <w:szCs w:val="10"/>
                <w:color w:val="auto"/>
              </w:rPr>
              <w:t>610</w:t>
            </w:r>
          </w:p>
        </w:tc>
        <w:tc>
          <w:tcPr>
            <w:tcW w:w="7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tcBorders>
          </w:tcPr>
          <w:p>
            <w:pPr>
              <w:jc w:val="right"/>
              <w:ind w:right="289"/>
              <w:spacing w:after="0" w:line="92" w:lineRule="exact"/>
              <w:rPr>
                <w:sz w:val="20"/>
                <w:szCs w:val="20"/>
                <w:color w:val="auto"/>
              </w:rPr>
            </w:pPr>
            <w:r>
              <w:rPr>
                <w:rFonts w:ascii="Arial" w:cs="Arial" w:eastAsia="Arial" w:hAnsi="Arial"/>
                <w:sz w:val="10"/>
                <w:szCs w:val="10"/>
                <w:color w:val="auto"/>
              </w:rPr>
              <w:t>52</w:t>
            </w:r>
          </w:p>
        </w:tc>
        <w:tc>
          <w:tcPr>
            <w:tcW w:w="680" w:type="dxa"/>
            <w:vAlign w:val="bottom"/>
            <w:tcBorders>
              <w:top w:val="single" w:sz="8" w:color="0077C0"/>
            </w:tcBorders>
            <w:gridSpan w:val="2"/>
          </w:tcPr>
          <w:p>
            <w:pPr>
              <w:jc w:val="right"/>
              <w:spacing w:after="0" w:line="92"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682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620" w:type="dxa"/>
            <w:vAlign w:val="bottom"/>
            <w:gridSpan w:val="2"/>
          </w:tcPr>
          <w:p>
            <w:pPr>
              <w:spacing w:after="0" w:line="106" w:lineRule="exact"/>
              <w:rPr>
                <w:sz w:val="20"/>
                <w:szCs w:val="20"/>
                <w:color w:val="auto"/>
              </w:rPr>
            </w:pPr>
            <w:r>
              <w:rPr>
                <w:rFonts w:ascii="Arial" w:cs="Arial" w:eastAsia="Arial" w:hAnsi="Arial"/>
                <w:sz w:val="10"/>
                <w:szCs w:val="10"/>
                <w:color w:val="auto"/>
              </w:rPr>
              <w:t>Actual Return on Plan Assets:</w:t>
            </w: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0" w:type="dxa"/>
            <w:vAlign w:val="bottom"/>
          </w:tcPr>
          <w:p>
            <w:pPr>
              <w:ind w:left="120"/>
              <w:spacing w:after="0" w:line="106" w:lineRule="exact"/>
              <w:rPr>
                <w:sz w:val="20"/>
                <w:szCs w:val="20"/>
                <w:color w:val="auto"/>
              </w:rPr>
            </w:pPr>
            <w:r>
              <w:rPr>
                <w:rFonts w:ascii="Arial" w:cs="Arial" w:eastAsia="Arial" w:hAnsi="Arial"/>
                <w:sz w:val="10"/>
                <w:szCs w:val="10"/>
                <w:color w:val="auto"/>
              </w:rPr>
              <w:t>Assets held at the reporting date</w:t>
            </w:r>
          </w:p>
        </w:tc>
        <w:tc>
          <w:tcPr>
            <w:tcW w:w="500" w:type="dxa"/>
            <w:vAlign w:val="bottom"/>
          </w:tcPr>
          <w:p>
            <w:pPr>
              <w:spacing w:after="0"/>
              <w:rPr>
                <w:sz w:val="9"/>
                <w:szCs w:val="9"/>
                <w:color w:val="auto"/>
              </w:rPr>
            </w:pPr>
          </w:p>
        </w:tc>
        <w:tc>
          <w:tcPr>
            <w:tcW w:w="5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3</w:t>
            </w:r>
          </w:p>
        </w:tc>
        <w:tc>
          <w:tcPr>
            <w:tcW w:w="740" w:type="dxa"/>
            <w:vAlign w:val="bottom"/>
          </w:tcPr>
          <w:p>
            <w:pPr>
              <w:spacing w:after="0"/>
              <w:rPr>
                <w:sz w:val="9"/>
                <w:szCs w:val="9"/>
                <w:color w:val="auto"/>
              </w:rPr>
            </w:pPr>
          </w:p>
        </w:tc>
        <w:tc>
          <w:tcPr>
            <w:tcW w:w="1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34</w:t>
            </w:r>
          </w:p>
        </w:tc>
        <w:tc>
          <w:tcPr>
            <w:tcW w:w="780" w:type="dxa"/>
            <w:vAlign w:val="bottom"/>
          </w:tcPr>
          <w:p>
            <w:pPr>
              <w:spacing w:after="0"/>
              <w:rPr>
                <w:sz w:val="9"/>
                <w:szCs w:val="9"/>
                <w:color w:val="auto"/>
              </w:rPr>
            </w:pPr>
          </w:p>
        </w:tc>
        <w:tc>
          <w:tcPr>
            <w:tcW w:w="4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0" w:type="dxa"/>
            <w:vAlign w:val="bottom"/>
          </w:tcPr>
          <w:p>
            <w:pPr>
              <w:ind w:left="120"/>
              <w:spacing w:after="0" w:line="106" w:lineRule="exact"/>
              <w:rPr>
                <w:sz w:val="20"/>
                <w:szCs w:val="20"/>
                <w:color w:val="auto"/>
              </w:rPr>
            </w:pPr>
            <w:r>
              <w:rPr>
                <w:rFonts w:ascii="Arial" w:cs="Arial" w:eastAsia="Arial" w:hAnsi="Arial"/>
                <w:sz w:val="10"/>
                <w:szCs w:val="10"/>
                <w:color w:val="auto"/>
              </w:rPr>
              <w:t>Assets sold during the period</w:t>
            </w:r>
          </w:p>
        </w:tc>
        <w:tc>
          <w:tcPr>
            <w:tcW w:w="500" w:type="dxa"/>
            <w:vAlign w:val="bottom"/>
          </w:tcPr>
          <w:p>
            <w:pPr>
              <w:spacing w:after="0"/>
              <w:rPr>
                <w:sz w:val="9"/>
                <w:szCs w:val="9"/>
                <w:color w:val="auto"/>
              </w:rPr>
            </w:pPr>
          </w:p>
        </w:tc>
        <w:tc>
          <w:tcPr>
            <w:tcW w:w="5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9"/>
                <w:szCs w:val="9"/>
                <w:color w:val="auto"/>
              </w:rPr>
            </w:pPr>
          </w:p>
        </w:tc>
        <w:tc>
          <w:tcPr>
            <w:tcW w:w="1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w:t>
            </w:r>
          </w:p>
        </w:tc>
        <w:tc>
          <w:tcPr>
            <w:tcW w:w="780" w:type="dxa"/>
            <w:vAlign w:val="bottom"/>
          </w:tcPr>
          <w:p>
            <w:pPr>
              <w:spacing w:after="0"/>
              <w:rPr>
                <w:sz w:val="9"/>
                <w:szCs w:val="9"/>
                <w:color w:val="auto"/>
              </w:rPr>
            </w:pPr>
          </w:p>
        </w:tc>
        <w:tc>
          <w:tcPr>
            <w:tcW w:w="4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620" w:type="dxa"/>
            <w:vAlign w:val="bottom"/>
            <w:gridSpan w:val="2"/>
          </w:tcPr>
          <w:p>
            <w:pPr>
              <w:spacing w:after="0" w:line="106" w:lineRule="exact"/>
              <w:rPr>
                <w:sz w:val="20"/>
                <w:szCs w:val="20"/>
                <w:color w:val="auto"/>
              </w:rPr>
            </w:pPr>
            <w:r>
              <w:rPr>
                <w:rFonts w:ascii="Arial" w:cs="Arial" w:eastAsia="Arial" w:hAnsi="Arial"/>
                <w:sz w:val="10"/>
                <w:szCs w:val="10"/>
                <w:color w:val="auto"/>
              </w:rPr>
              <w:t>Purchases, Sales and Settlements</w:t>
            </w:r>
          </w:p>
        </w:tc>
        <w:tc>
          <w:tcPr>
            <w:tcW w:w="500" w:type="dxa"/>
            <w:vAlign w:val="bottom"/>
          </w:tcPr>
          <w:p>
            <w:pPr>
              <w:spacing w:after="0"/>
              <w:rPr>
                <w:sz w:val="9"/>
                <w:szCs w:val="9"/>
                <w:color w:val="auto"/>
              </w:rPr>
            </w:pPr>
          </w:p>
        </w:tc>
        <w:tc>
          <w:tcPr>
            <w:tcW w:w="54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7</w:t>
            </w:r>
          </w:p>
        </w:tc>
        <w:tc>
          <w:tcPr>
            <w:tcW w:w="740" w:type="dxa"/>
            <w:vAlign w:val="bottom"/>
          </w:tcPr>
          <w:p>
            <w:pPr>
              <w:spacing w:after="0"/>
              <w:rPr>
                <w:sz w:val="9"/>
                <w:szCs w:val="9"/>
                <w:color w:val="auto"/>
              </w:rPr>
            </w:pPr>
          </w:p>
        </w:tc>
        <w:tc>
          <w:tcPr>
            <w:tcW w:w="1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93</w:t>
            </w:r>
          </w:p>
        </w:tc>
        <w:tc>
          <w:tcPr>
            <w:tcW w:w="780" w:type="dxa"/>
            <w:vAlign w:val="bottom"/>
          </w:tcPr>
          <w:p>
            <w:pPr>
              <w:spacing w:after="0"/>
              <w:rPr>
                <w:sz w:val="9"/>
                <w:szCs w:val="9"/>
                <w:color w:val="auto"/>
              </w:rPr>
            </w:pPr>
          </w:p>
        </w:tc>
        <w:tc>
          <w:tcPr>
            <w:tcW w:w="48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102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620" w:type="dxa"/>
            <w:vAlign w:val="bottom"/>
            <w:gridSpan w:val="2"/>
          </w:tcPr>
          <w:p>
            <w:pPr>
              <w:spacing w:after="0"/>
              <w:rPr>
                <w:sz w:val="20"/>
                <w:szCs w:val="20"/>
                <w:color w:val="auto"/>
              </w:rPr>
            </w:pPr>
            <w:r>
              <w:rPr>
                <w:rFonts w:ascii="Arial" w:cs="Arial" w:eastAsia="Arial" w:hAnsi="Arial"/>
                <w:sz w:val="10"/>
                <w:szCs w:val="10"/>
                <w:color w:val="auto"/>
              </w:rPr>
              <w:t>Transfers in and/or out of Level 3</w:t>
            </w:r>
          </w:p>
        </w:tc>
        <w:tc>
          <w:tcPr>
            <w:tcW w:w="500" w:type="dxa"/>
            <w:vAlign w:val="bottom"/>
          </w:tcPr>
          <w:p>
            <w:pPr>
              <w:spacing w:after="0"/>
              <w:rPr>
                <w:sz w:val="10"/>
                <w:szCs w:val="10"/>
                <w:color w:val="auto"/>
              </w:rPr>
            </w:pPr>
          </w:p>
        </w:tc>
        <w:tc>
          <w:tcPr>
            <w:tcW w:w="540" w:type="dxa"/>
            <w:vAlign w:val="bottom"/>
          </w:tcPr>
          <w:p>
            <w:pPr>
              <w:jc w:val="right"/>
              <w:ind w:right="289"/>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jc w:val="right"/>
              <w:ind w:right="289"/>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0"/>
                <w:szCs w:val="10"/>
                <w:color w:val="auto"/>
              </w:rPr>
            </w:pPr>
          </w:p>
        </w:tc>
        <w:tc>
          <w:tcPr>
            <w:tcW w:w="480" w:type="dxa"/>
            <w:vAlign w:val="bottom"/>
          </w:tcPr>
          <w:p>
            <w:pPr>
              <w:jc w:val="right"/>
              <w:ind w:right="289"/>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562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Total at December 31, 2010</w:t>
            </w:r>
          </w:p>
        </w:tc>
        <w:tc>
          <w:tcPr>
            <w:tcW w:w="500" w:type="dxa"/>
            <w:vAlign w:val="bottom"/>
            <w:tcBorders>
              <w:top w:val="single" w:sz="8" w:color="0077C0"/>
              <w:bottom w:val="single" w:sz="8" w:color="0077C0"/>
            </w:tcBorders>
          </w:tcPr>
          <w:p>
            <w:pPr>
              <w:jc w:val="right"/>
              <w:ind w:right="30"/>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28</w:t>
            </w:r>
          </w:p>
        </w:tc>
        <w:tc>
          <w:tcPr>
            <w:tcW w:w="740" w:type="dxa"/>
            <w:vAlign w:val="bottom"/>
            <w:tcBorders>
              <w:top w:val="single" w:sz="8" w:color="0077C0"/>
              <w:bottom w:val="single" w:sz="8" w:color="0077C0"/>
            </w:tcBorders>
          </w:tcPr>
          <w:p>
            <w:pPr>
              <w:jc w:val="right"/>
              <w:ind w:right="73"/>
              <w:spacing w:after="0" w:line="105" w:lineRule="exact"/>
              <w:rPr>
                <w:sz w:val="20"/>
                <w:szCs w:val="20"/>
                <w:color w:val="auto"/>
              </w:rPr>
            </w:pPr>
            <w:r>
              <w:rPr>
                <w:rFonts w:ascii="Arial" w:cs="Arial" w:eastAsia="Arial" w:hAnsi="Arial"/>
                <w:sz w:val="10"/>
                <w:szCs w:val="10"/>
                <w:color w:val="auto"/>
              </w:rPr>
              <w:t>$</w:t>
            </w:r>
          </w:p>
        </w:tc>
        <w:tc>
          <w:tcPr>
            <w:tcW w:w="1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w:t>
            </w:r>
          </w:p>
        </w:tc>
        <w:tc>
          <w:tcPr>
            <w:tcW w:w="1040" w:type="dxa"/>
            <w:vAlign w:val="bottom"/>
            <w:tcBorders>
              <w:top w:val="single" w:sz="8" w:color="0077C0"/>
              <w:bottom w:val="single" w:sz="8" w:color="0077C0"/>
            </w:tcBorders>
            <w:gridSpan w:val="3"/>
          </w:tcPr>
          <w:p>
            <w:pPr>
              <w:jc w:val="right"/>
              <w:ind w:right="52"/>
              <w:spacing w:after="0" w:line="105" w:lineRule="exact"/>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738</w:t>
            </w:r>
          </w:p>
        </w:tc>
        <w:tc>
          <w:tcPr>
            <w:tcW w:w="7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55</w:t>
            </w:r>
          </w:p>
        </w:tc>
        <w:tc>
          <w:tcPr>
            <w:tcW w:w="680" w:type="dxa"/>
            <w:vAlign w:val="bottom"/>
            <w:tcBorders>
              <w:top w:val="single" w:sz="8" w:color="0077C0"/>
              <w:bottom w:val="single" w:sz="8" w:color="0077C0"/>
            </w:tcBorders>
            <w:gridSpan w:val="2"/>
          </w:tcPr>
          <w:p>
            <w:pPr>
              <w:jc w:val="right"/>
              <w:spacing w:after="0" w:line="105"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823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620" w:type="dxa"/>
            <w:vAlign w:val="bottom"/>
            <w:gridSpan w:val="2"/>
          </w:tcPr>
          <w:p>
            <w:pPr>
              <w:spacing w:after="0" w:line="92" w:lineRule="exact"/>
              <w:rPr>
                <w:sz w:val="20"/>
                <w:szCs w:val="20"/>
                <w:color w:val="auto"/>
              </w:rPr>
            </w:pPr>
            <w:r>
              <w:rPr>
                <w:rFonts w:ascii="Arial" w:cs="Arial" w:eastAsia="Arial" w:hAnsi="Arial"/>
                <w:sz w:val="10"/>
                <w:szCs w:val="10"/>
                <w:color w:val="auto"/>
              </w:rPr>
              <w:t>Actual Return on Plan Assets:</w:t>
            </w:r>
          </w:p>
        </w:tc>
        <w:tc>
          <w:tcPr>
            <w:tcW w:w="500" w:type="dxa"/>
            <w:vAlign w:val="bottom"/>
          </w:tcPr>
          <w:p>
            <w:pPr>
              <w:spacing w:after="0"/>
              <w:rPr>
                <w:sz w:val="8"/>
                <w:szCs w:val="8"/>
                <w:color w:val="auto"/>
              </w:rPr>
            </w:pPr>
          </w:p>
        </w:tc>
        <w:tc>
          <w:tcPr>
            <w:tcW w:w="540" w:type="dxa"/>
            <w:vAlign w:val="bottom"/>
            <w:vMerge w:val="restart"/>
          </w:tcPr>
          <w:p>
            <w:pPr>
              <w:jc w:val="right"/>
              <w:ind w:right="289"/>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restart"/>
          </w:tcPr>
          <w:p>
            <w:pPr>
              <w:jc w:val="right"/>
              <w:ind w:right="289"/>
              <w:spacing w:after="0"/>
              <w:rPr>
                <w:sz w:val="20"/>
                <w:szCs w:val="20"/>
                <w:color w:val="auto"/>
              </w:rPr>
            </w:pPr>
            <w:r>
              <w:rPr>
                <w:rFonts w:ascii="Arial" w:cs="Arial" w:eastAsia="Arial" w:hAnsi="Arial"/>
                <w:sz w:val="10"/>
                <w:szCs w:val="10"/>
                <w:b w:val="1"/>
                <w:bCs w:val="1"/>
                <w:color w:val="auto"/>
              </w:rPr>
              <w:t>103</w:t>
            </w:r>
          </w:p>
        </w:tc>
        <w:tc>
          <w:tcPr>
            <w:tcW w:w="780" w:type="dxa"/>
            <w:vAlign w:val="bottom"/>
          </w:tcPr>
          <w:p>
            <w:pPr>
              <w:spacing w:after="0"/>
              <w:rPr>
                <w:sz w:val="8"/>
                <w:szCs w:val="8"/>
                <w:color w:val="auto"/>
              </w:rPr>
            </w:pPr>
          </w:p>
        </w:tc>
        <w:tc>
          <w:tcPr>
            <w:tcW w:w="480" w:type="dxa"/>
            <w:vAlign w:val="bottom"/>
            <w:vMerge w:val="restart"/>
          </w:tcPr>
          <w:p>
            <w:pPr>
              <w:jc w:val="right"/>
              <w:ind w:right="289"/>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600" w:type="dxa"/>
            <w:vAlign w:val="bottom"/>
          </w:tcPr>
          <w:p>
            <w:pPr>
              <w:ind w:left="120"/>
              <w:spacing w:after="0" w:line="104" w:lineRule="exact"/>
              <w:rPr>
                <w:sz w:val="20"/>
                <w:szCs w:val="20"/>
                <w:color w:val="auto"/>
              </w:rPr>
            </w:pPr>
            <w:r>
              <w:rPr>
                <w:rFonts w:ascii="Arial" w:cs="Arial" w:eastAsia="Arial" w:hAnsi="Arial"/>
                <w:sz w:val="10"/>
                <w:szCs w:val="10"/>
                <w:color w:val="auto"/>
              </w:rPr>
              <w:t>Assets held at the reporting date</w:t>
            </w:r>
          </w:p>
        </w:tc>
        <w:tc>
          <w:tcPr>
            <w:tcW w:w="5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0" w:type="dxa"/>
            <w:vAlign w:val="bottom"/>
          </w:tcPr>
          <w:p>
            <w:pPr>
              <w:ind w:left="120"/>
              <w:spacing w:after="0" w:line="106" w:lineRule="exact"/>
              <w:rPr>
                <w:sz w:val="20"/>
                <w:szCs w:val="20"/>
                <w:color w:val="auto"/>
              </w:rPr>
            </w:pPr>
            <w:r>
              <w:rPr>
                <w:rFonts w:ascii="Arial" w:cs="Arial" w:eastAsia="Arial" w:hAnsi="Arial"/>
                <w:sz w:val="10"/>
                <w:szCs w:val="10"/>
                <w:color w:val="auto"/>
              </w:rPr>
              <w:t>Assets sold during the period</w:t>
            </w:r>
          </w:p>
        </w:tc>
        <w:tc>
          <w:tcPr>
            <w:tcW w:w="500" w:type="dxa"/>
            <w:vAlign w:val="bottom"/>
          </w:tcPr>
          <w:p>
            <w:pPr>
              <w:spacing w:after="0"/>
              <w:rPr>
                <w:sz w:val="9"/>
                <w:szCs w:val="9"/>
                <w:color w:val="auto"/>
              </w:rPr>
            </w:pPr>
          </w:p>
        </w:tc>
        <w:tc>
          <w:tcPr>
            <w:tcW w:w="54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9"/>
                <w:szCs w:val="9"/>
                <w:color w:val="auto"/>
              </w:rPr>
            </w:pPr>
          </w:p>
        </w:tc>
        <w:tc>
          <w:tcPr>
            <w:tcW w:w="1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1</w:t>
            </w:r>
          </w:p>
        </w:tc>
        <w:tc>
          <w:tcPr>
            <w:tcW w:w="780" w:type="dxa"/>
            <w:vAlign w:val="bottom"/>
          </w:tcPr>
          <w:p>
            <w:pPr>
              <w:spacing w:after="0"/>
              <w:rPr>
                <w:sz w:val="9"/>
                <w:szCs w:val="9"/>
                <w:color w:val="auto"/>
              </w:rPr>
            </w:pPr>
          </w:p>
        </w:tc>
        <w:tc>
          <w:tcPr>
            <w:tcW w:w="480" w:type="dxa"/>
            <w:vAlign w:val="bottom"/>
          </w:tcPr>
          <w:p>
            <w:pPr>
              <w:jc w:val="right"/>
              <w:ind w:right="249"/>
              <w:spacing w:after="0" w:line="106" w:lineRule="exact"/>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06"/>
        </w:trPr>
        <w:tc>
          <w:tcPr>
            <w:tcW w:w="5620" w:type="dxa"/>
            <w:vAlign w:val="bottom"/>
            <w:gridSpan w:val="2"/>
          </w:tcPr>
          <w:p>
            <w:pPr>
              <w:spacing w:after="0" w:line="106" w:lineRule="exact"/>
              <w:rPr>
                <w:sz w:val="20"/>
                <w:szCs w:val="20"/>
                <w:color w:val="auto"/>
              </w:rPr>
            </w:pPr>
            <w:r>
              <w:rPr>
                <w:rFonts w:ascii="Arial" w:cs="Arial" w:eastAsia="Arial" w:hAnsi="Arial"/>
                <w:sz w:val="10"/>
                <w:szCs w:val="10"/>
                <w:color w:val="auto"/>
              </w:rPr>
              <w:t>Purchases, Sales and Settlements</w:t>
            </w:r>
          </w:p>
        </w:tc>
        <w:tc>
          <w:tcPr>
            <w:tcW w:w="500" w:type="dxa"/>
            <w:vAlign w:val="bottom"/>
          </w:tcPr>
          <w:p>
            <w:pPr>
              <w:spacing w:after="0"/>
              <w:rPr>
                <w:sz w:val="9"/>
                <w:szCs w:val="9"/>
                <w:color w:val="auto"/>
              </w:rPr>
            </w:pPr>
          </w:p>
        </w:tc>
        <w:tc>
          <w:tcPr>
            <w:tcW w:w="540" w:type="dxa"/>
            <w:vAlign w:val="bottom"/>
          </w:tcPr>
          <w:p>
            <w:pPr>
              <w:jc w:val="right"/>
              <w:ind w:right="249"/>
              <w:spacing w:after="0" w:line="106" w:lineRule="exact"/>
              <w:rPr>
                <w:sz w:val="20"/>
                <w:szCs w:val="20"/>
                <w:color w:val="auto"/>
              </w:rPr>
            </w:pPr>
            <w:r>
              <w:rPr>
                <w:rFonts w:ascii="Arial" w:cs="Arial" w:eastAsia="Arial" w:hAnsi="Arial"/>
                <w:sz w:val="10"/>
                <w:szCs w:val="10"/>
                <w:b w:val="1"/>
                <w:bCs w:val="1"/>
                <w:color w:val="auto"/>
              </w:rPr>
              <w:t>(1)</w:t>
            </w:r>
          </w:p>
        </w:tc>
        <w:tc>
          <w:tcPr>
            <w:tcW w:w="740" w:type="dxa"/>
            <w:vAlign w:val="bottom"/>
          </w:tcPr>
          <w:p>
            <w:pPr>
              <w:spacing w:after="0"/>
              <w:rPr>
                <w:sz w:val="9"/>
                <w:szCs w:val="9"/>
                <w:color w:val="auto"/>
              </w:rPr>
            </w:pPr>
          </w:p>
        </w:tc>
        <w:tc>
          <w:tcPr>
            <w:tcW w:w="1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156</w:t>
            </w:r>
          </w:p>
        </w:tc>
        <w:tc>
          <w:tcPr>
            <w:tcW w:w="780" w:type="dxa"/>
            <w:vAlign w:val="bottom"/>
          </w:tcPr>
          <w:p>
            <w:pPr>
              <w:spacing w:after="0"/>
              <w:rPr>
                <w:sz w:val="9"/>
                <w:szCs w:val="9"/>
                <w:color w:val="auto"/>
              </w:rPr>
            </w:pPr>
          </w:p>
        </w:tc>
        <w:tc>
          <w:tcPr>
            <w:tcW w:w="480" w:type="dxa"/>
            <w:vAlign w:val="bottom"/>
          </w:tcPr>
          <w:p>
            <w:pPr>
              <w:jc w:val="right"/>
              <w:ind w:right="249"/>
              <w:spacing w:after="0" w:line="106" w:lineRule="exact"/>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154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620" w:type="dxa"/>
            <w:vAlign w:val="bottom"/>
            <w:gridSpan w:val="2"/>
          </w:tcPr>
          <w:p>
            <w:pPr>
              <w:spacing w:after="0"/>
              <w:rPr>
                <w:sz w:val="20"/>
                <w:szCs w:val="20"/>
                <w:color w:val="auto"/>
              </w:rPr>
            </w:pPr>
            <w:r>
              <w:rPr>
                <w:rFonts w:ascii="Arial" w:cs="Arial" w:eastAsia="Arial" w:hAnsi="Arial"/>
                <w:sz w:val="10"/>
                <w:szCs w:val="10"/>
                <w:color w:val="auto"/>
              </w:rPr>
              <w:t>Transfers in and/or out of Level 3</w:t>
            </w:r>
          </w:p>
        </w:tc>
        <w:tc>
          <w:tcPr>
            <w:tcW w:w="500" w:type="dxa"/>
            <w:vAlign w:val="bottom"/>
          </w:tcPr>
          <w:p>
            <w:pPr>
              <w:spacing w:after="0"/>
              <w:rPr>
                <w:sz w:val="10"/>
                <w:szCs w:val="10"/>
                <w:color w:val="auto"/>
              </w:rPr>
            </w:pPr>
          </w:p>
        </w:tc>
        <w:tc>
          <w:tcPr>
            <w:tcW w:w="540" w:type="dxa"/>
            <w:vAlign w:val="bottom"/>
          </w:tcPr>
          <w:p>
            <w:pPr>
              <w:jc w:val="right"/>
              <w:ind w:right="289"/>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jc w:val="right"/>
              <w:ind w:right="289"/>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spacing w:after="0"/>
              <w:rPr>
                <w:sz w:val="10"/>
                <w:szCs w:val="10"/>
                <w:color w:val="auto"/>
              </w:rPr>
            </w:pPr>
          </w:p>
        </w:tc>
        <w:tc>
          <w:tcPr>
            <w:tcW w:w="480" w:type="dxa"/>
            <w:vAlign w:val="bottom"/>
          </w:tcPr>
          <w:p>
            <w:pPr>
              <w:jc w:val="right"/>
              <w:ind w:right="289"/>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3"/>
        </w:trPr>
        <w:tc>
          <w:tcPr>
            <w:tcW w:w="5620" w:type="dxa"/>
            <w:vAlign w:val="bottom"/>
            <w:tcBorders>
              <w:top w:val="single" w:sz="8" w:color="0077C0"/>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Total at December 31, 2011</w:t>
            </w:r>
          </w:p>
        </w:tc>
        <w:tc>
          <w:tcPr>
            <w:tcW w:w="500" w:type="dxa"/>
            <w:vAlign w:val="bottom"/>
            <w:tcBorders>
              <w:top w:val="single" w:sz="8" w:color="0077C0"/>
              <w:bottom w:val="single" w:sz="8" w:color="0077C0"/>
            </w:tcBorders>
          </w:tcPr>
          <w:p>
            <w:pPr>
              <w:jc w:val="right"/>
              <w:ind w:right="30"/>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0077C0"/>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27</w:t>
            </w:r>
          </w:p>
        </w:tc>
        <w:tc>
          <w:tcPr>
            <w:tcW w:w="740" w:type="dxa"/>
            <w:vAlign w:val="bottom"/>
            <w:tcBorders>
              <w:top w:val="single" w:sz="8" w:color="0077C0"/>
              <w:bottom w:val="single" w:sz="8" w:color="0077C0"/>
            </w:tcBorders>
          </w:tcPr>
          <w:p>
            <w:pPr>
              <w:jc w:val="right"/>
              <w:ind w:right="73"/>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w:t>
            </w:r>
          </w:p>
        </w:tc>
        <w:tc>
          <w:tcPr>
            <w:tcW w:w="340" w:type="dxa"/>
            <w:vAlign w:val="bottom"/>
            <w:tcBorders>
              <w:top w:val="single" w:sz="8" w:color="0077C0"/>
              <w:bottom w:val="single" w:sz="8" w:color="0077C0"/>
            </w:tcBorders>
          </w:tcPr>
          <w:p>
            <w:pPr>
              <w:spacing w:after="0"/>
              <w:rPr>
                <w:sz w:val="10"/>
                <w:szCs w:val="10"/>
                <w:color w:val="auto"/>
              </w:rPr>
            </w:pPr>
          </w:p>
        </w:tc>
        <w:tc>
          <w:tcPr>
            <w:tcW w:w="20" w:type="dxa"/>
            <w:vAlign w:val="bottom"/>
            <w:tcBorders>
              <w:top w:val="single" w:sz="8" w:color="0077C0"/>
            </w:tcBorders>
          </w:tcPr>
          <w:p>
            <w:pPr>
              <w:spacing w:after="0"/>
              <w:rPr>
                <w:sz w:val="10"/>
                <w:szCs w:val="10"/>
                <w:color w:val="auto"/>
              </w:rPr>
            </w:pPr>
          </w:p>
        </w:tc>
        <w:tc>
          <w:tcPr>
            <w:tcW w:w="680" w:type="dxa"/>
            <w:vAlign w:val="bottom"/>
            <w:tcBorders>
              <w:top w:val="single" w:sz="8" w:color="0077C0"/>
              <w:bottom w:val="single" w:sz="8" w:color="0077C0"/>
            </w:tcBorders>
          </w:tcPr>
          <w:p>
            <w:pPr>
              <w:jc w:val="right"/>
              <w:ind w:right="52"/>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0077C0"/>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998</w:t>
            </w:r>
          </w:p>
        </w:tc>
        <w:tc>
          <w:tcPr>
            <w:tcW w:w="7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56</w:t>
            </w:r>
          </w:p>
        </w:tc>
        <w:tc>
          <w:tcPr>
            <w:tcW w:w="20" w:type="dxa"/>
            <w:vAlign w:val="bottom"/>
            <w:tcBorders>
              <w:top w:val="single" w:sz="8" w:color="0077C0"/>
            </w:tcBorders>
          </w:tcPr>
          <w:p>
            <w:pPr>
              <w:spacing w:after="0"/>
              <w:rPr>
                <w:sz w:val="10"/>
                <w:szCs w:val="10"/>
                <w:color w:val="auto"/>
              </w:rPr>
            </w:pPr>
          </w:p>
        </w:tc>
        <w:tc>
          <w:tcPr>
            <w:tcW w:w="66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0"/>
                <w:szCs w:val="10"/>
                <w:b w:val="1"/>
                <w:bCs w:val="1"/>
                <w:color w:val="auto"/>
                <w:w w:val="79"/>
              </w:rPr>
              <w:t>1,083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-23495</wp:posOffset>
            </wp:positionV>
            <wp:extent cx="6350"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50" cy="2413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-23495</wp:posOffset>
            </wp:positionV>
            <wp:extent cx="635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50" cy="24130"/>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-23495</wp:posOffset>
            </wp:positionV>
            <wp:extent cx="6350"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50" cy="2413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-23495</wp:posOffset>
            </wp:positionV>
            <wp:extent cx="635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50" cy="2413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sectPr>
      </w:pPr>
    </w:p>
    <w:p>
      <w:pPr>
        <w:spacing w:after="0" w:line="145" w:lineRule="exact"/>
        <w:rPr>
          <w:sz w:val="20"/>
          <w:szCs w:val="20"/>
          <w:color w:val="auto"/>
        </w:rPr>
      </w:pPr>
    </w:p>
    <w:p>
      <w:pPr>
        <w:ind w:right="20" w:firstLine="158"/>
        <w:spacing w:after="0" w:line="272" w:lineRule="auto"/>
        <w:rPr>
          <w:sz w:val="20"/>
          <w:szCs w:val="20"/>
          <w:color w:val="auto"/>
        </w:rPr>
      </w:pPr>
      <w:r>
        <w:rPr>
          <w:rFonts w:ascii="Arial" w:cs="Arial" w:eastAsia="Arial" w:hAnsi="Arial"/>
          <w:sz w:val="12"/>
          <w:szCs w:val="12"/>
          <w:color w:val="auto"/>
        </w:rPr>
        <w:t>The primary investment objectives of the pension plans are to achieve the highest rate of total return within prudent levels of risk and liquidity, to diversify and mitigate potential downside risk associated with the investments, and to provide adequate liquidity for benefit payments and portfolio management.</w:t>
      </w:r>
    </w:p>
    <w:p>
      <w:pPr>
        <w:ind w:firstLine="158"/>
        <w:spacing w:after="0" w:line="246" w:lineRule="auto"/>
        <w:rPr>
          <w:sz w:val="20"/>
          <w:szCs w:val="20"/>
          <w:color w:val="auto"/>
        </w:rPr>
      </w:pPr>
      <w:r>
        <w:rPr>
          <w:rFonts w:ascii="Arial" w:cs="Arial" w:eastAsia="Arial" w:hAnsi="Arial"/>
          <w:sz w:val="13"/>
          <w:szCs w:val="13"/>
          <w:color w:val="auto"/>
        </w:rPr>
        <w:t>The company’s U.S. and U.K. pension plans comprise 86 percent of the total pension assets. Both the U.S. and U.K. plans have an Investment Committee that regularly meets during the year to review the asset holdings and their returns. To assess the plans’ investment performance, long-term asset allocation policy benchmarks have been established.</w:t>
      </w:r>
    </w:p>
    <w:p>
      <w:pPr>
        <w:spacing w:after="0" w:line="2" w:lineRule="exact"/>
        <w:rPr>
          <w:sz w:val="20"/>
          <w:szCs w:val="20"/>
          <w:color w:val="auto"/>
        </w:rPr>
      </w:pPr>
    </w:p>
    <w:p>
      <w:pPr>
        <w:ind w:right="20" w:firstLine="160"/>
        <w:spacing w:after="0" w:line="291" w:lineRule="auto"/>
        <w:rPr>
          <w:sz w:val="20"/>
          <w:szCs w:val="20"/>
          <w:color w:val="auto"/>
        </w:rPr>
      </w:pPr>
      <w:r>
        <w:rPr>
          <w:rFonts w:ascii="Arial" w:cs="Arial" w:eastAsia="Arial" w:hAnsi="Arial"/>
          <w:sz w:val="11"/>
          <w:szCs w:val="11"/>
          <w:color w:val="auto"/>
        </w:rPr>
        <w:t>For the primary U.S. pension plan, the Chevron Board of Directors has established the following approved asset allocation ranges: Equities 40–70 percent, Fixed Income and Cash 20–65 percent, Real Estate 0–15 percent, and Other 0–5 percent. For the U.K. pension plan, the U.K. Board of Trustees has established the following asset allocation guidelines, which are reviewed regularly: Equities 60–80 percent and Fixed Income and Cash 20–40 percent. The other significant international pension plans also have established maximum and minimum asset allocation ranges that vary by plan. Actual asset allocation within approved ranges is based on a variety of current economic and market conditions and consideration of specific asset class risk. To mitigate concentration and other risks, assets are invested across multiple asset classes with active investment managers and passive index funds.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does not prefund its OPEB obligations.</w:t>
      </w:r>
    </w:p>
    <w:p>
      <w:pPr>
        <w:spacing w:after="0" w:line="73"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i w:val="1"/>
          <w:iCs w:val="1"/>
          <w:color w:val="E51837"/>
        </w:rPr>
        <w:t xml:space="preserve">Cash Contributions and Benefit Payments </w:t>
      </w:r>
      <w:r>
        <w:rPr>
          <w:rFonts w:ascii="Arial" w:cs="Arial" w:eastAsia="Arial" w:hAnsi="Arial"/>
          <w:sz w:val="13"/>
          <w:szCs w:val="13"/>
          <w:color w:val="000000"/>
        </w:rPr>
        <w:t>In 2011, the company contributed $1,147 and $319 to its U.S.</w:t>
      </w:r>
      <w:r>
        <w:rPr>
          <w:rFonts w:ascii="Arial" w:cs="Arial" w:eastAsia="Arial" w:hAnsi="Arial"/>
          <w:sz w:val="13"/>
          <w:szCs w:val="13"/>
          <w:i w:val="1"/>
          <w:iCs w:val="1"/>
          <w:color w:val="E51837"/>
        </w:rPr>
        <w:t xml:space="preserve"> </w:t>
      </w:r>
      <w:r>
        <w:rPr>
          <w:rFonts w:ascii="Arial" w:cs="Arial" w:eastAsia="Arial" w:hAnsi="Arial"/>
          <w:sz w:val="13"/>
          <w:szCs w:val="13"/>
          <w:color w:val="000000"/>
        </w:rPr>
        <w:t>and international pension plans, respectively. In 2012, the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40"/>
        <w:spacing w:after="0" w:line="295" w:lineRule="auto"/>
        <w:rPr>
          <w:sz w:val="20"/>
          <w:szCs w:val="20"/>
          <w:color w:val="auto"/>
        </w:rPr>
      </w:pPr>
      <w:r>
        <w:rPr>
          <w:rFonts w:ascii="Arial" w:cs="Arial" w:eastAsia="Arial" w:hAnsi="Arial"/>
          <w:sz w:val="11"/>
          <w:szCs w:val="11"/>
          <w:color w:val="auto"/>
        </w:rPr>
        <w:t>company expects contributions to be approximately $600 and $300 to its U.S. and international pension plans, respectively. Actual contribution amounts are dependent upon investment returns, changes in pension obligations, regulatory environments and other economic factors. Additional funding may ultimately be required if investment returns are insufficient to offset increases in plan obligations.</w:t>
      </w:r>
    </w:p>
    <w:p>
      <w:pPr>
        <w:spacing w:after="0" w:line="2" w:lineRule="exact"/>
        <w:rPr>
          <w:sz w:val="20"/>
          <w:szCs w:val="20"/>
          <w:color w:val="auto"/>
        </w:rPr>
      </w:pPr>
    </w:p>
    <w:p>
      <w:pPr>
        <w:ind w:right="480" w:firstLine="158"/>
        <w:spacing w:after="0" w:line="246" w:lineRule="auto"/>
        <w:rPr>
          <w:sz w:val="20"/>
          <w:szCs w:val="20"/>
          <w:color w:val="auto"/>
        </w:rPr>
      </w:pPr>
      <w:r>
        <w:rPr>
          <w:rFonts w:ascii="Arial" w:cs="Arial" w:eastAsia="Arial" w:hAnsi="Arial"/>
          <w:sz w:val="13"/>
          <w:szCs w:val="13"/>
          <w:color w:val="auto"/>
        </w:rPr>
        <w:t>The company anticipates paying other postretirement benefits of approximately $223 in 2012, compared with $198 paid in 2011.</w:t>
      </w:r>
    </w:p>
    <w:p>
      <w:pPr>
        <w:spacing w:after="0" w:line="1" w:lineRule="exact"/>
        <w:rPr>
          <w:sz w:val="20"/>
          <w:szCs w:val="20"/>
          <w:color w:val="auto"/>
        </w:rPr>
      </w:pPr>
    </w:p>
    <w:p>
      <w:pPr>
        <w:ind w:right="20" w:firstLine="158"/>
        <w:spacing w:after="0" w:line="253" w:lineRule="auto"/>
        <w:rPr>
          <w:sz w:val="20"/>
          <w:szCs w:val="20"/>
          <w:color w:val="auto"/>
        </w:rPr>
      </w:pPr>
      <w:r>
        <w:rPr>
          <w:rFonts w:ascii="Arial" w:cs="Arial" w:eastAsia="Arial" w:hAnsi="Arial"/>
          <w:sz w:val="13"/>
          <w:szCs w:val="13"/>
          <w:color w:val="auto"/>
        </w:rPr>
        <w:t>The following benefit payments, which include estimated future service, are expected to be paid by the company in the next 10 years: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Borders>
              <w:bottom w:val="single" w:sz="8" w:color="0077C0"/>
            </w:tcBorders>
          </w:tcPr>
          <w:p>
            <w:pPr>
              <w:spacing w:after="0"/>
              <w:rPr>
                <w:sz w:val="9"/>
                <w:szCs w:val="9"/>
                <w:color w:val="auto"/>
              </w:rPr>
            </w:pPr>
          </w:p>
        </w:tc>
        <w:tc>
          <w:tcPr>
            <w:tcW w:w="2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gridSpan w:val="2"/>
          </w:tcPr>
          <w:p>
            <w:pPr>
              <w:jc w:val="center"/>
              <w:spacing w:after="0"/>
              <w:rPr>
                <w:sz w:val="20"/>
                <w:szCs w:val="20"/>
                <w:color w:val="auto"/>
              </w:rPr>
            </w:pPr>
            <w:r>
              <w:rPr>
                <w:rFonts w:ascii="Arial" w:cs="Arial" w:eastAsia="Arial" w:hAnsi="Arial"/>
                <w:sz w:val="9"/>
                <w:szCs w:val="9"/>
                <w:color w:val="auto"/>
                <w:w w:val="88"/>
              </w:rPr>
              <w:t>Pension Benefits</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Other</w:t>
            </w:r>
          </w:p>
        </w:tc>
      </w:tr>
      <w:tr>
        <w:trPr>
          <w:trHeight w:val="86"/>
        </w:trPr>
        <w:tc>
          <w:tcPr>
            <w:tcW w:w="20" w:type="dxa"/>
            <w:vAlign w:val="bottom"/>
          </w:tcPr>
          <w:p>
            <w:pPr>
              <w:spacing w:after="0"/>
              <w:rPr>
                <w:sz w:val="7"/>
                <w:szCs w:val="7"/>
                <w:color w:val="auto"/>
              </w:rPr>
            </w:pPr>
          </w:p>
        </w:tc>
        <w:tc>
          <w:tcPr>
            <w:tcW w:w="2120" w:type="dxa"/>
            <w:vAlign w:val="bottom"/>
            <w:tcBorders>
              <w:bottom w:val="single" w:sz="8" w:color="0077C0"/>
            </w:tcBorders>
          </w:tcPr>
          <w:p>
            <w:pPr>
              <w:spacing w:after="0"/>
              <w:rPr>
                <w:sz w:val="7"/>
                <w:szCs w:val="7"/>
                <w:color w:val="auto"/>
              </w:rPr>
            </w:pPr>
          </w:p>
        </w:tc>
        <w:tc>
          <w:tcPr>
            <w:tcW w:w="1680" w:type="dxa"/>
            <w:vAlign w:val="bottom"/>
            <w:tcBorders>
              <w:bottom w:val="single" w:sz="8" w:color="0077C0"/>
            </w:tcBorders>
          </w:tcPr>
          <w:p>
            <w:pPr>
              <w:spacing w:after="0"/>
              <w:rPr>
                <w:sz w:val="7"/>
                <w:szCs w:val="7"/>
                <w:color w:val="auto"/>
              </w:rPr>
            </w:pPr>
          </w:p>
        </w:tc>
        <w:tc>
          <w:tcPr>
            <w:tcW w:w="80" w:type="dxa"/>
            <w:vAlign w:val="bottom"/>
            <w:tcBorders>
              <w:bottom w:val="single" w:sz="8" w:color="0077C0"/>
            </w:tcBorders>
          </w:tcPr>
          <w:p>
            <w:pPr>
              <w:spacing w:after="0"/>
              <w:rPr>
                <w:sz w:val="7"/>
                <w:szCs w:val="7"/>
                <w:color w:val="auto"/>
              </w:rPr>
            </w:pPr>
          </w:p>
        </w:tc>
        <w:tc>
          <w:tcPr>
            <w:tcW w:w="28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U.S.</w:t>
            </w:r>
          </w:p>
        </w:tc>
        <w:tc>
          <w:tcPr>
            <w:tcW w:w="380" w:type="dxa"/>
            <w:vAlign w:val="bottom"/>
            <w:tcBorders>
              <w:bottom w:val="single" w:sz="8" w:color="0077C0"/>
            </w:tcBorders>
          </w:tcPr>
          <w:p>
            <w:pPr>
              <w:spacing w:after="0"/>
              <w:rPr>
                <w:sz w:val="7"/>
                <w:szCs w:val="7"/>
                <w:color w:val="auto"/>
              </w:rPr>
            </w:pPr>
          </w:p>
        </w:tc>
        <w:tc>
          <w:tcPr>
            <w:tcW w:w="260" w:type="dxa"/>
            <w:vAlign w:val="bottom"/>
            <w:tcBorders>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Int’l.</w:t>
            </w:r>
          </w:p>
        </w:tc>
        <w:tc>
          <w:tcPr>
            <w:tcW w:w="320" w:type="dxa"/>
            <w:vAlign w:val="bottom"/>
          </w:tcPr>
          <w:p>
            <w:pPr>
              <w:spacing w:after="0"/>
              <w:rPr>
                <w:sz w:val="7"/>
                <w:szCs w:val="7"/>
                <w:color w:val="auto"/>
              </w:rPr>
            </w:pPr>
          </w:p>
        </w:tc>
        <w:tc>
          <w:tcPr>
            <w:tcW w:w="320" w:type="dxa"/>
            <w:vAlign w:val="bottom"/>
            <w:tcBorders>
              <w:bottom w:val="single" w:sz="8" w:color="0077C0"/>
            </w:tcBorders>
            <w:gridSpan w:val="2"/>
          </w:tcPr>
          <w:p>
            <w:pPr>
              <w:jc w:val="right"/>
              <w:spacing w:after="0" w:line="86" w:lineRule="exact"/>
              <w:rPr>
                <w:sz w:val="20"/>
                <w:szCs w:val="20"/>
                <w:color w:val="auto"/>
              </w:rPr>
            </w:pPr>
            <w:r>
              <w:rPr>
                <w:rFonts w:ascii="Arial" w:cs="Arial" w:eastAsia="Arial" w:hAnsi="Arial"/>
                <w:sz w:val="9"/>
                <w:szCs w:val="9"/>
                <w:color w:val="auto"/>
                <w:w w:val="92"/>
              </w:rPr>
              <w:t>Benefits</w:t>
            </w:r>
          </w:p>
        </w:tc>
      </w:tr>
      <w:tr>
        <w:trPr>
          <w:trHeight w:val="92"/>
        </w:trPr>
        <w:tc>
          <w:tcPr>
            <w:tcW w:w="20" w:type="dxa"/>
            <w:vAlign w:val="bottom"/>
          </w:tcPr>
          <w:p>
            <w:pPr>
              <w:spacing w:after="0"/>
              <w:rPr>
                <w:sz w:val="8"/>
                <w:szCs w:val="8"/>
                <w:color w:val="auto"/>
              </w:rPr>
            </w:pPr>
          </w:p>
        </w:tc>
        <w:tc>
          <w:tcPr>
            <w:tcW w:w="2120" w:type="dxa"/>
            <w:vAlign w:val="bottom"/>
          </w:tcPr>
          <w:p>
            <w:pPr>
              <w:spacing w:after="0" w:line="92" w:lineRule="exact"/>
              <w:rPr>
                <w:sz w:val="20"/>
                <w:szCs w:val="20"/>
                <w:color w:val="auto"/>
              </w:rPr>
            </w:pPr>
            <w:r>
              <w:rPr>
                <w:rFonts w:ascii="Arial" w:cs="Arial" w:eastAsia="Arial" w:hAnsi="Arial"/>
                <w:sz w:val="10"/>
                <w:szCs w:val="10"/>
                <w:color w:val="auto"/>
              </w:rPr>
              <w:t>2012</w:t>
            </w:r>
          </w:p>
        </w:tc>
        <w:tc>
          <w:tcPr>
            <w:tcW w:w="1760" w:type="dxa"/>
            <w:vAlign w:val="bottom"/>
            <w:gridSpan w:val="2"/>
          </w:tcPr>
          <w:p>
            <w:pPr>
              <w:jc w:val="right"/>
              <w:ind w:right="40"/>
              <w:spacing w:after="0" w:line="92"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92" w:lineRule="exact"/>
              <w:rPr>
                <w:sz w:val="20"/>
                <w:szCs w:val="20"/>
                <w:color w:val="auto"/>
              </w:rPr>
            </w:pPr>
            <w:r>
              <w:rPr>
                <w:rFonts w:ascii="Arial" w:cs="Arial" w:eastAsia="Arial" w:hAnsi="Arial"/>
                <w:sz w:val="10"/>
                <w:szCs w:val="10"/>
                <w:color w:val="auto"/>
                <w:w w:val="95"/>
              </w:rPr>
              <w:t>1,053</w:t>
            </w:r>
          </w:p>
        </w:tc>
        <w:tc>
          <w:tcPr>
            <w:tcW w:w="380" w:type="dxa"/>
            <w:vAlign w:val="bottom"/>
          </w:tcPr>
          <w:p>
            <w:pPr>
              <w:jc w:val="center"/>
              <w:ind w:left="250"/>
              <w:spacing w:after="0" w:line="92"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92" w:lineRule="exact"/>
              <w:rPr>
                <w:sz w:val="20"/>
                <w:szCs w:val="20"/>
                <w:color w:val="auto"/>
              </w:rPr>
            </w:pPr>
            <w:r>
              <w:rPr>
                <w:rFonts w:ascii="Arial" w:cs="Arial" w:eastAsia="Arial" w:hAnsi="Arial"/>
                <w:sz w:val="10"/>
                <w:szCs w:val="10"/>
                <w:color w:val="auto"/>
              </w:rPr>
              <w:t>268</w:t>
            </w:r>
          </w:p>
        </w:tc>
        <w:tc>
          <w:tcPr>
            <w:tcW w:w="3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line="92" w:lineRule="exact"/>
              <w:rPr>
                <w:sz w:val="20"/>
                <w:szCs w:val="20"/>
                <w:color w:val="auto"/>
              </w:rPr>
            </w:pPr>
            <w:r>
              <w:rPr>
                <w:rFonts w:ascii="Arial" w:cs="Arial" w:eastAsia="Arial" w:hAnsi="Arial"/>
                <w:sz w:val="10"/>
                <w:szCs w:val="10"/>
                <w:color w:val="auto"/>
              </w:rPr>
              <w:t>223</w:t>
            </w:r>
          </w:p>
        </w:tc>
      </w:tr>
      <w:tr>
        <w:trPr>
          <w:trHeight w:val="106"/>
        </w:trPr>
        <w:tc>
          <w:tcPr>
            <w:tcW w:w="2140" w:type="dxa"/>
            <w:vAlign w:val="bottom"/>
            <w:gridSpan w:val="2"/>
          </w:tcPr>
          <w:p>
            <w:pPr>
              <w:spacing w:after="0" w:line="106" w:lineRule="exact"/>
              <w:rPr>
                <w:sz w:val="20"/>
                <w:szCs w:val="20"/>
                <w:color w:val="auto"/>
              </w:rPr>
            </w:pPr>
            <w:r>
              <w:rPr>
                <w:rFonts w:ascii="Arial" w:cs="Arial" w:eastAsia="Arial" w:hAnsi="Arial"/>
                <w:sz w:val="10"/>
                <w:szCs w:val="10"/>
                <w:color w:val="auto"/>
              </w:rPr>
              <w:t>2013</w:t>
            </w:r>
          </w:p>
        </w:tc>
        <w:tc>
          <w:tcPr>
            <w:tcW w:w="17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w w:val="95"/>
              </w:rPr>
              <w:t>1,043</w:t>
            </w:r>
          </w:p>
        </w:tc>
        <w:tc>
          <w:tcPr>
            <w:tcW w:w="380" w:type="dxa"/>
            <w:vAlign w:val="bottom"/>
          </w:tcPr>
          <w:p>
            <w:pPr>
              <w:jc w:val="center"/>
              <w:ind w:left="250"/>
              <w:spacing w:after="0" w:line="106"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316</w:t>
            </w: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229</w:t>
            </w:r>
          </w:p>
        </w:tc>
      </w:tr>
      <w:tr>
        <w:trPr>
          <w:trHeight w:val="106"/>
        </w:trPr>
        <w:tc>
          <w:tcPr>
            <w:tcW w:w="2140" w:type="dxa"/>
            <w:vAlign w:val="bottom"/>
            <w:gridSpan w:val="2"/>
          </w:tcPr>
          <w:p>
            <w:pPr>
              <w:spacing w:after="0" w:line="106" w:lineRule="exact"/>
              <w:rPr>
                <w:sz w:val="20"/>
                <w:szCs w:val="20"/>
                <w:color w:val="auto"/>
              </w:rPr>
            </w:pPr>
            <w:r>
              <w:rPr>
                <w:rFonts w:ascii="Arial" w:cs="Arial" w:eastAsia="Arial" w:hAnsi="Arial"/>
                <w:sz w:val="10"/>
                <w:szCs w:val="10"/>
                <w:color w:val="auto"/>
              </w:rPr>
              <w:t>2014</w:t>
            </w:r>
          </w:p>
        </w:tc>
        <w:tc>
          <w:tcPr>
            <w:tcW w:w="17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w w:val="95"/>
              </w:rPr>
              <w:t>1,046</w:t>
            </w:r>
          </w:p>
        </w:tc>
        <w:tc>
          <w:tcPr>
            <w:tcW w:w="380" w:type="dxa"/>
            <w:vAlign w:val="bottom"/>
          </w:tcPr>
          <w:p>
            <w:pPr>
              <w:jc w:val="center"/>
              <w:ind w:left="250"/>
              <w:spacing w:after="0" w:line="106"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320</w:t>
            </w: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234</w:t>
            </w:r>
          </w:p>
        </w:tc>
      </w:tr>
      <w:tr>
        <w:trPr>
          <w:trHeight w:val="106"/>
        </w:trPr>
        <w:tc>
          <w:tcPr>
            <w:tcW w:w="2140" w:type="dxa"/>
            <w:vAlign w:val="bottom"/>
            <w:gridSpan w:val="2"/>
          </w:tcPr>
          <w:p>
            <w:pPr>
              <w:spacing w:after="0" w:line="106" w:lineRule="exact"/>
              <w:rPr>
                <w:sz w:val="20"/>
                <w:szCs w:val="20"/>
                <w:color w:val="auto"/>
              </w:rPr>
            </w:pPr>
            <w:r>
              <w:rPr>
                <w:rFonts w:ascii="Arial" w:cs="Arial" w:eastAsia="Arial" w:hAnsi="Arial"/>
                <w:sz w:val="10"/>
                <w:szCs w:val="10"/>
                <w:color w:val="auto"/>
              </w:rPr>
              <w:t>2015</w:t>
            </w:r>
          </w:p>
        </w:tc>
        <w:tc>
          <w:tcPr>
            <w:tcW w:w="17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w w:val="95"/>
              </w:rPr>
              <w:t>1,050</w:t>
            </w:r>
          </w:p>
        </w:tc>
        <w:tc>
          <w:tcPr>
            <w:tcW w:w="380" w:type="dxa"/>
            <w:vAlign w:val="bottom"/>
          </w:tcPr>
          <w:p>
            <w:pPr>
              <w:jc w:val="center"/>
              <w:ind w:left="250"/>
              <w:spacing w:after="0" w:line="106"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344</w:t>
            </w: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240</w:t>
            </w:r>
          </w:p>
        </w:tc>
      </w:tr>
      <w:tr>
        <w:trPr>
          <w:trHeight w:val="106"/>
        </w:trPr>
        <w:tc>
          <w:tcPr>
            <w:tcW w:w="2140" w:type="dxa"/>
            <w:vAlign w:val="bottom"/>
            <w:gridSpan w:val="2"/>
          </w:tcPr>
          <w:p>
            <w:pPr>
              <w:spacing w:after="0" w:line="106" w:lineRule="exact"/>
              <w:rPr>
                <w:sz w:val="20"/>
                <w:szCs w:val="20"/>
                <w:color w:val="auto"/>
              </w:rPr>
            </w:pPr>
            <w:r>
              <w:rPr>
                <w:rFonts w:ascii="Arial" w:cs="Arial" w:eastAsia="Arial" w:hAnsi="Arial"/>
                <w:sz w:val="10"/>
                <w:szCs w:val="10"/>
                <w:color w:val="auto"/>
              </w:rPr>
              <w:t>2016</w:t>
            </w:r>
          </w:p>
        </w:tc>
        <w:tc>
          <w:tcPr>
            <w:tcW w:w="17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280" w:type="dxa"/>
            <w:vAlign w:val="bottom"/>
          </w:tcPr>
          <w:p>
            <w:pPr>
              <w:jc w:val="right"/>
              <w:spacing w:after="0" w:line="106" w:lineRule="exact"/>
              <w:rPr>
                <w:sz w:val="20"/>
                <w:szCs w:val="20"/>
                <w:color w:val="auto"/>
              </w:rPr>
            </w:pPr>
            <w:r>
              <w:rPr>
                <w:rFonts w:ascii="Arial" w:cs="Arial" w:eastAsia="Arial" w:hAnsi="Arial"/>
                <w:sz w:val="10"/>
                <w:szCs w:val="10"/>
                <w:color w:val="auto"/>
                <w:w w:val="95"/>
              </w:rPr>
              <w:t>1,062</w:t>
            </w:r>
          </w:p>
        </w:tc>
        <w:tc>
          <w:tcPr>
            <w:tcW w:w="380" w:type="dxa"/>
            <w:vAlign w:val="bottom"/>
          </w:tcPr>
          <w:p>
            <w:pPr>
              <w:jc w:val="center"/>
              <w:ind w:left="250"/>
              <w:spacing w:after="0" w:line="106" w:lineRule="exact"/>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375</w:t>
            </w: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245</w:t>
            </w:r>
          </w:p>
        </w:tc>
      </w:tr>
      <w:tr>
        <w:trPr>
          <w:trHeight w:val="127"/>
        </w:trPr>
        <w:tc>
          <w:tcPr>
            <w:tcW w:w="214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2017–2021</w:t>
            </w:r>
          </w:p>
        </w:tc>
        <w:tc>
          <w:tcPr>
            <w:tcW w:w="176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5,261</w:t>
            </w:r>
          </w:p>
        </w:tc>
        <w:tc>
          <w:tcPr>
            <w:tcW w:w="380" w:type="dxa"/>
            <w:vAlign w:val="bottom"/>
            <w:tcBorders>
              <w:bottom w:val="single" w:sz="8" w:color="0077C0"/>
            </w:tcBorders>
          </w:tcPr>
          <w:p>
            <w:pPr>
              <w:jc w:val="center"/>
              <w:ind w:left="25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2,153</w:t>
            </w:r>
          </w:p>
        </w:tc>
        <w:tc>
          <w:tcPr>
            <w:tcW w:w="380" w:type="dxa"/>
            <w:vAlign w:val="bottom"/>
            <w:tcBorders>
              <w:bottom w:val="single" w:sz="8" w:color="0077C0"/>
            </w:tcBorders>
            <w:gridSpan w:val="2"/>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95"/>
              </w:rPr>
              <w:t>1,287</w:t>
            </w:r>
          </w:p>
        </w:tc>
      </w:tr>
    </w:tbl>
    <w:p>
      <w:pPr>
        <w:spacing w:after="0" w:line="78" w:lineRule="exact"/>
        <w:rPr>
          <w:sz w:val="20"/>
          <w:szCs w:val="20"/>
          <w:color w:val="auto"/>
        </w:rPr>
      </w:pPr>
    </w:p>
    <w:p>
      <w:pPr>
        <w:ind w:right="500"/>
        <w:spacing w:after="0" w:line="253" w:lineRule="auto"/>
        <w:rPr>
          <w:sz w:val="20"/>
          <w:szCs w:val="20"/>
          <w:color w:val="auto"/>
        </w:rPr>
      </w:pPr>
      <w:r>
        <w:rPr>
          <w:rFonts w:ascii="Arial" w:cs="Arial" w:eastAsia="Arial" w:hAnsi="Arial"/>
          <w:sz w:val="13"/>
          <w:szCs w:val="13"/>
          <w:i w:val="1"/>
          <w:iCs w:val="1"/>
          <w:color w:val="E51837"/>
        </w:rPr>
        <w:t xml:space="preserve">Employee Savings Investment Plan </w:t>
      </w:r>
      <w:r>
        <w:rPr>
          <w:rFonts w:ascii="Arial" w:cs="Arial" w:eastAsia="Arial" w:hAnsi="Arial"/>
          <w:sz w:val="13"/>
          <w:szCs w:val="13"/>
          <w:color w:val="000000"/>
        </w:rPr>
        <w:t>Eligible employees of Chevron and certain of its subsidiaries</w:t>
      </w:r>
      <w:r>
        <w:rPr>
          <w:rFonts w:ascii="Arial" w:cs="Arial" w:eastAsia="Arial" w:hAnsi="Arial"/>
          <w:sz w:val="13"/>
          <w:szCs w:val="13"/>
          <w:i w:val="1"/>
          <w:iCs w:val="1"/>
          <w:color w:val="E51837"/>
        </w:rPr>
        <w:t xml:space="preserve"> </w:t>
      </w:r>
      <w:r>
        <w:rPr>
          <w:rFonts w:ascii="Arial" w:cs="Arial" w:eastAsia="Arial" w:hAnsi="Arial"/>
          <w:sz w:val="13"/>
          <w:szCs w:val="13"/>
          <w:color w:val="000000"/>
        </w:rPr>
        <w:t>participate in the Chevron Employee Savings Investment Plan (ESIP).</w:t>
      </w:r>
    </w:p>
    <w:p>
      <w:pPr>
        <w:spacing w:after="0" w:line="1" w:lineRule="exact"/>
        <w:rPr>
          <w:sz w:val="20"/>
          <w:szCs w:val="20"/>
          <w:color w:val="auto"/>
        </w:rPr>
      </w:pPr>
    </w:p>
    <w:p>
      <w:pPr>
        <w:ind w:right="100" w:firstLine="160"/>
        <w:spacing w:after="0" w:line="248" w:lineRule="auto"/>
        <w:rPr>
          <w:sz w:val="20"/>
          <w:szCs w:val="20"/>
          <w:color w:val="auto"/>
        </w:rPr>
      </w:pPr>
      <w:r>
        <w:rPr>
          <w:rFonts w:ascii="Arial" w:cs="Arial" w:eastAsia="Arial" w:hAnsi="Arial"/>
          <w:sz w:val="13"/>
          <w:szCs w:val="13"/>
          <w:color w:val="auto"/>
        </w:rPr>
        <w:t>Charges to expense for the ESIP represent the company’s contributions to the plan, which are funded either through the purchase of shares of common stock on the open market or through the release of common stock held in the leveraged employee stock ownership plan (LESOP), which is described in the section that follows. Total company matching contributions to employee accounts within the ESIP were $263, $253 and $257 in 2011, 2010 and 2009, respectively. This cost was reduced by the value of shares released from the</w:t>
      </w:r>
    </w:p>
    <w:p>
      <w:pPr>
        <w:spacing w:after="0" w:line="200" w:lineRule="exact"/>
        <w:rPr>
          <w:sz w:val="20"/>
          <w:szCs w:val="20"/>
          <w:color w:val="auto"/>
        </w:rPr>
      </w:pPr>
    </w:p>
    <w:p>
      <w:pPr>
        <w:sectPr>
          <w:pgSz w:w="11900" w:h="16838" w:orient="portrait"/>
          <w:cols w:equalWidth="0" w:num="2">
            <w:col w:w="5500" w:space="460"/>
            <w:col w:w="5460"/>
          </w:cols>
          <w:pgMar w:left="220" w:top="338" w:right="259" w:bottom="1440" w:gutter="0" w:footer="0" w:header="0"/>
          <w:type w:val="continuous"/>
        </w:sectPr>
      </w:pP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type w:val="continuous"/>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762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21 </w:t>
      </w:r>
      <w:r>
        <w:rPr>
          <w:rFonts w:ascii="Arial" w:cs="Arial" w:eastAsia="Arial" w:hAnsi="Arial"/>
          <w:sz w:val="8"/>
          <w:szCs w:val="8"/>
          <w:color w:val="000000"/>
        </w:rPr>
        <w:t>Employee Benefit Plans - Continued</w:t>
      </w:r>
    </w:p>
    <w:p>
      <w:pPr>
        <w:sectPr>
          <w:pgSz w:w="11900" w:h="16838" w:orient="portrait"/>
          <w:cols w:equalWidth="0" w:num="1">
            <w:col w:w="11460"/>
          </w:cols>
          <w:pgMar w:left="220" w:top="338" w:right="219" w:bottom="1440" w:gutter="0" w:footer="0" w:header="0"/>
        </w:sectPr>
      </w:pPr>
    </w:p>
    <w:p>
      <w:pPr>
        <w:spacing w:after="0" w:line="327" w:lineRule="exact"/>
        <w:rPr>
          <w:sz w:val="20"/>
          <w:szCs w:val="20"/>
          <w:color w:val="auto"/>
        </w:rPr>
      </w:pPr>
    </w:p>
    <w:p>
      <w:pPr>
        <w:ind w:right="20"/>
        <w:spacing w:after="0" w:line="309" w:lineRule="auto"/>
        <w:rPr>
          <w:sz w:val="20"/>
          <w:szCs w:val="20"/>
          <w:color w:val="auto"/>
        </w:rPr>
      </w:pPr>
      <w:r>
        <w:rPr>
          <w:rFonts w:ascii="Arial" w:cs="Arial" w:eastAsia="Arial" w:hAnsi="Arial"/>
          <w:sz w:val="12"/>
          <w:szCs w:val="12"/>
          <w:color w:val="auto"/>
        </w:rPr>
        <w:t>LESOP totaling $38, $97 and $184 in 2011, 2010 and 2009, respectively. The remaining amounts, totaling $225, $156 and $73 in 2011, 2010 and 2009, respectively, represent open market purchases.</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i w:val="1"/>
          <w:iCs w:val="1"/>
          <w:color w:val="E51837"/>
        </w:rPr>
        <w:t xml:space="preserve">Employee Stock Ownership Plan </w:t>
      </w:r>
      <w:r>
        <w:rPr>
          <w:rFonts w:ascii="Arial" w:cs="Arial" w:eastAsia="Arial" w:hAnsi="Arial"/>
          <w:sz w:val="13"/>
          <w:szCs w:val="13"/>
          <w:color w:val="000000"/>
        </w:rPr>
        <w:t>Within the Chevron ESIP is an employee stock ownership plan (ESOP).</w:t>
      </w:r>
      <w:r>
        <w:rPr>
          <w:rFonts w:ascii="Arial" w:cs="Arial" w:eastAsia="Arial" w:hAnsi="Arial"/>
          <w:sz w:val="13"/>
          <w:szCs w:val="13"/>
          <w:i w:val="1"/>
          <w:iCs w:val="1"/>
          <w:color w:val="E51837"/>
        </w:rPr>
        <w:t xml:space="preserve"> </w:t>
      </w:r>
      <w:r>
        <w:rPr>
          <w:rFonts w:ascii="Arial" w:cs="Arial" w:eastAsia="Arial" w:hAnsi="Arial"/>
          <w:sz w:val="13"/>
          <w:szCs w:val="13"/>
          <w:color w:val="000000"/>
        </w:rPr>
        <w:t>In 1989, Chevron established a LESOP as a constituent part of the ESOP. The LESOP provides partial prefunding of the company’s future commitments to the ESIP.</w:t>
      </w:r>
    </w:p>
    <w:p>
      <w:pPr>
        <w:spacing w:after="0" w:line="1" w:lineRule="exact"/>
        <w:rPr>
          <w:sz w:val="20"/>
          <w:szCs w:val="20"/>
          <w:color w:val="auto"/>
        </w:rPr>
      </w:pPr>
    </w:p>
    <w:p>
      <w:pPr>
        <w:ind w:firstLine="153"/>
        <w:spacing w:after="0" w:line="267" w:lineRule="auto"/>
        <w:rPr>
          <w:sz w:val="20"/>
          <w:szCs w:val="20"/>
          <w:color w:val="auto"/>
        </w:rPr>
      </w:pPr>
      <w:r>
        <w:rPr>
          <w:rFonts w:ascii="Arial" w:cs="Arial" w:eastAsia="Arial" w:hAnsi="Arial"/>
          <w:sz w:val="12"/>
          <w:szCs w:val="12"/>
          <w:color w:val="auto"/>
        </w:rPr>
        <w:t>As permitted by accounting standards for share-based compensation (ASC 718), the debt of the LESOP is recorded as debt, and shares pledged as collateral are reported as “Deferred compensation and benefit plan trust” on the Consolidated Balance Sheet and the Consolidated Statement of Equity.</w:t>
      </w:r>
    </w:p>
    <w:p>
      <w:pPr>
        <w:spacing w:after="0" w:line="1" w:lineRule="exact"/>
        <w:rPr>
          <w:sz w:val="20"/>
          <w:szCs w:val="20"/>
          <w:color w:val="auto"/>
        </w:rPr>
      </w:pPr>
    </w:p>
    <w:p>
      <w:pPr>
        <w:ind w:right="40" w:firstLine="158"/>
        <w:spacing w:after="0" w:line="291" w:lineRule="auto"/>
        <w:rPr>
          <w:sz w:val="20"/>
          <w:szCs w:val="20"/>
          <w:color w:val="auto"/>
        </w:rPr>
      </w:pPr>
      <w:r>
        <w:rPr>
          <w:rFonts w:ascii="Arial" w:cs="Arial" w:eastAsia="Arial" w:hAnsi="Arial"/>
          <w:sz w:val="11"/>
          <w:szCs w:val="11"/>
          <w:color w:val="auto"/>
        </w:rPr>
        <w:t>The company reports compensation expense equal to LESOP debt principal repayments less dividends received and used by the LESOP for debt service. Interest accrued on LESOP debt is recorded as interest expense. Dividends paid on LESOP shares are reflected as a reduction of retained earnings. All LESOP shares are considered outstanding for earnings-per-share computations.</w:t>
      </w:r>
    </w:p>
    <w:p>
      <w:pPr>
        <w:spacing w:after="0" w:line="2" w:lineRule="exact"/>
        <w:rPr>
          <w:sz w:val="20"/>
          <w:szCs w:val="20"/>
          <w:color w:val="auto"/>
        </w:rPr>
      </w:pPr>
    </w:p>
    <w:p>
      <w:pPr>
        <w:ind w:firstLine="158"/>
        <w:spacing w:after="0" w:line="246" w:lineRule="auto"/>
        <w:rPr>
          <w:sz w:val="20"/>
          <w:szCs w:val="20"/>
          <w:color w:val="auto"/>
        </w:rPr>
      </w:pPr>
      <w:r>
        <w:rPr>
          <w:rFonts w:ascii="Arial" w:cs="Arial" w:eastAsia="Arial" w:hAnsi="Arial"/>
          <w:sz w:val="13"/>
          <w:szCs w:val="13"/>
          <w:color w:val="auto"/>
        </w:rPr>
        <w:t>Total credits to expense for the LESOP were $1, $1 and $3 in 2011, 2010 and 2009, respectively. The net credit for the respective years was composed of credits to compensation expense of $5, $6 and $15 and charges to interest expense for LESOP debt of $4, $5 and $12.</w:t>
      </w:r>
    </w:p>
    <w:p>
      <w:pPr>
        <w:spacing w:after="0" w:line="2" w:lineRule="exact"/>
        <w:rPr>
          <w:sz w:val="20"/>
          <w:szCs w:val="20"/>
          <w:color w:val="auto"/>
        </w:rPr>
      </w:pPr>
    </w:p>
    <w:p>
      <w:pPr>
        <w:ind w:right="80" w:firstLine="160"/>
        <w:spacing w:after="0" w:line="246" w:lineRule="auto"/>
        <w:rPr>
          <w:sz w:val="20"/>
          <w:szCs w:val="20"/>
          <w:color w:val="auto"/>
        </w:rPr>
      </w:pPr>
      <w:r>
        <w:rPr>
          <w:rFonts w:ascii="Arial" w:cs="Arial" w:eastAsia="Arial" w:hAnsi="Arial"/>
          <w:sz w:val="13"/>
          <w:szCs w:val="13"/>
          <w:color w:val="auto"/>
        </w:rPr>
        <w:t>Of the dividends paid on the LESOP shares, $18, $46 and $110 were used in 2011, 2010 and 2009, respectively, to service LESOP debt. No contributions were required in 2011, 2010 or 2009, as dividends received by the LESOP were sufficient to satisfy LESOP debt service.</w:t>
      </w:r>
    </w:p>
    <w:p>
      <w:pPr>
        <w:spacing w:after="0" w:line="2" w:lineRule="exact"/>
        <w:rPr>
          <w:sz w:val="20"/>
          <w:szCs w:val="20"/>
          <w:color w:val="auto"/>
        </w:rPr>
      </w:pPr>
    </w:p>
    <w:p>
      <w:pPr>
        <w:jc w:val="both"/>
        <w:ind w:right="40" w:firstLine="160"/>
        <w:spacing w:after="0" w:line="281" w:lineRule="auto"/>
        <w:rPr>
          <w:sz w:val="20"/>
          <w:szCs w:val="20"/>
          <w:color w:val="auto"/>
        </w:rPr>
      </w:pPr>
      <w:r>
        <w:rPr>
          <w:rFonts w:ascii="Arial" w:cs="Arial" w:eastAsia="Arial" w:hAnsi="Arial"/>
          <w:sz w:val="12"/>
          <w:szCs w:val="12"/>
          <w:color w:val="auto"/>
        </w:rPr>
        <w:t>Shares held in the LESOP are released and allocated to the accounts of plan participants based on debt service deemed to be paid in the year in proportion to the total of current-year and remaining debt service. LESOP shares as of December 31, 2011 and 2010,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700" w:type="dxa"/>
            <w:vAlign w:val="bottom"/>
            <w:tcBorders>
              <w:bottom w:val="single" w:sz="8" w:color="0077C0"/>
            </w:tcBorders>
          </w:tcPr>
          <w:p>
            <w:pPr>
              <w:spacing w:after="0"/>
              <w:rPr>
                <w:sz w:val="20"/>
                <w:szCs w:val="20"/>
                <w:color w:val="auto"/>
              </w:rPr>
            </w:pPr>
            <w:r>
              <w:rPr>
                <w:rFonts w:ascii="Arial" w:cs="Arial" w:eastAsia="Arial" w:hAnsi="Arial"/>
                <w:sz w:val="9"/>
                <w:szCs w:val="9"/>
                <w:i w:val="1"/>
                <w:iCs w:val="1"/>
                <w:color w:val="auto"/>
              </w:rPr>
              <w:t>Thousands</w:t>
            </w:r>
          </w:p>
        </w:tc>
        <w:tc>
          <w:tcPr>
            <w:tcW w:w="2320" w:type="dxa"/>
            <w:vAlign w:val="bottom"/>
            <w:tcBorders>
              <w:bottom w:val="single" w:sz="8" w:color="0077C0"/>
            </w:tcBorders>
          </w:tcPr>
          <w:p>
            <w:pPr>
              <w:jc w:val="right"/>
              <w:ind w:right="110"/>
              <w:spacing w:after="0"/>
              <w:rPr>
                <w:sz w:val="20"/>
                <w:szCs w:val="20"/>
                <w:color w:val="auto"/>
              </w:rPr>
            </w:pPr>
            <w:r>
              <w:rPr>
                <w:rFonts w:ascii="Arial" w:cs="Arial" w:eastAsia="Arial" w:hAnsi="Arial"/>
                <w:sz w:val="9"/>
                <w:szCs w:val="9"/>
                <w:b w:val="1"/>
                <w:bCs w:val="1"/>
                <w:color w:val="auto"/>
              </w:rPr>
              <w:t>2011</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2010</w:t>
            </w:r>
          </w:p>
        </w:tc>
      </w:tr>
      <w:tr>
        <w:trPr>
          <w:trHeight w:val="90"/>
        </w:trPr>
        <w:tc>
          <w:tcPr>
            <w:tcW w:w="2700" w:type="dxa"/>
            <w:vAlign w:val="bottom"/>
          </w:tcPr>
          <w:p>
            <w:pPr>
              <w:spacing w:after="0" w:line="91" w:lineRule="exact"/>
              <w:rPr>
                <w:sz w:val="20"/>
                <w:szCs w:val="20"/>
                <w:color w:val="auto"/>
              </w:rPr>
            </w:pPr>
            <w:r>
              <w:rPr>
                <w:rFonts w:ascii="Arial" w:cs="Arial" w:eastAsia="Arial" w:hAnsi="Arial"/>
                <w:sz w:val="10"/>
                <w:szCs w:val="10"/>
                <w:color w:val="auto"/>
              </w:rPr>
              <w:t>Allocated shares</w:t>
            </w:r>
          </w:p>
        </w:tc>
        <w:tc>
          <w:tcPr>
            <w:tcW w:w="2320" w:type="dxa"/>
            <w:vAlign w:val="bottom"/>
            <w:tcBorders>
              <w:right w:val="single" w:sz="8" w:color="0077C0"/>
            </w:tcBorders>
          </w:tcPr>
          <w:p>
            <w:pPr>
              <w:jc w:val="right"/>
              <w:ind w:right="110"/>
              <w:spacing w:after="0" w:line="91" w:lineRule="exact"/>
              <w:rPr>
                <w:sz w:val="20"/>
                <w:szCs w:val="20"/>
                <w:color w:val="auto"/>
              </w:rPr>
            </w:pPr>
            <w:r>
              <w:rPr>
                <w:rFonts w:ascii="Arial" w:cs="Arial" w:eastAsia="Arial" w:hAnsi="Arial"/>
                <w:sz w:val="10"/>
                <w:szCs w:val="10"/>
                <w:b w:val="1"/>
                <w:bCs w:val="1"/>
                <w:color w:val="auto"/>
              </w:rPr>
              <w:t>19,047</w:t>
            </w:r>
          </w:p>
        </w:tc>
        <w:tc>
          <w:tcPr>
            <w:tcW w:w="440" w:type="dxa"/>
            <w:vAlign w:val="bottom"/>
          </w:tcPr>
          <w:p>
            <w:pPr>
              <w:jc w:val="right"/>
              <w:spacing w:after="0" w:line="91" w:lineRule="exact"/>
              <w:rPr>
                <w:sz w:val="20"/>
                <w:szCs w:val="20"/>
                <w:color w:val="auto"/>
              </w:rPr>
            </w:pPr>
            <w:r>
              <w:rPr>
                <w:rFonts w:ascii="Arial" w:cs="Arial" w:eastAsia="Arial" w:hAnsi="Arial"/>
                <w:sz w:val="10"/>
                <w:szCs w:val="10"/>
                <w:color w:val="auto"/>
              </w:rPr>
              <w:t>20,718</w:t>
            </w:r>
          </w:p>
        </w:tc>
      </w:tr>
      <w:tr>
        <w:trPr>
          <w:trHeight w:val="120"/>
        </w:trPr>
        <w:tc>
          <w:tcPr>
            <w:tcW w:w="27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Unallocated shares</w:t>
            </w:r>
          </w:p>
        </w:tc>
        <w:tc>
          <w:tcPr>
            <w:tcW w:w="232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1,864</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2,374</w:t>
            </w:r>
          </w:p>
        </w:tc>
      </w:tr>
      <w:tr>
        <w:trPr>
          <w:trHeight w:val="123"/>
        </w:trPr>
        <w:tc>
          <w:tcPr>
            <w:tcW w:w="270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Total LESOP shares</w:t>
            </w:r>
          </w:p>
        </w:tc>
        <w:tc>
          <w:tcPr>
            <w:tcW w:w="2320" w:type="dxa"/>
            <w:vAlign w:val="bottom"/>
            <w:tcBorders>
              <w:bottom w:val="single" w:sz="8" w:color="0077C0"/>
              <w:right w:val="single" w:sz="8" w:color="0077C0"/>
            </w:tcBorders>
          </w:tcPr>
          <w:p>
            <w:pPr>
              <w:jc w:val="right"/>
              <w:ind w:right="110"/>
              <w:spacing w:after="0"/>
              <w:rPr>
                <w:sz w:val="20"/>
                <w:szCs w:val="20"/>
                <w:color w:val="auto"/>
              </w:rPr>
            </w:pPr>
            <w:r>
              <w:rPr>
                <w:rFonts w:ascii="Arial" w:cs="Arial" w:eastAsia="Arial" w:hAnsi="Arial"/>
                <w:sz w:val="10"/>
                <w:szCs w:val="10"/>
                <w:b w:val="1"/>
                <w:bCs w:val="1"/>
                <w:color w:val="auto"/>
              </w:rPr>
              <w:t>20,911</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23,092</w:t>
            </w:r>
          </w:p>
        </w:tc>
      </w:tr>
    </w:tbl>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3"/>
          <w:szCs w:val="13"/>
          <w:i w:val="1"/>
          <w:iCs w:val="1"/>
          <w:color w:val="E51837"/>
        </w:rPr>
        <w:t xml:space="preserve">Benefit Plan Trusts </w:t>
      </w:r>
      <w:r>
        <w:rPr>
          <w:rFonts w:ascii="Arial" w:cs="Arial" w:eastAsia="Arial" w:hAnsi="Arial"/>
          <w:sz w:val="13"/>
          <w:szCs w:val="13"/>
          <w:color w:val="000000"/>
        </w:rPr>
        <w:t>Prior to its acquisition by Chevron, Texaco established a benefit plan trust for funding</w:t>
      </w:r>
      <w:r>
        <w:rPr>
          <w:rFonts w:ascii="Arial" w:cs="Arial" w:eastAsia="Arial" w:hAnsi="Arial"/>
          <w:sz w:val="13"/>
          <w:szCs w:val="13"/>
          <w:i w:val="1"/>
          <w:iCs w:val="1"/>
          <w:color w:val="E51837"/>
        </w:rPr>
        <w:t xml:space="preserve"> </w:t>
      </w:r>
      <w:r>
        <w:rPr>
          <w:rFonts w:ascii="Arial" w:cs="Arial" w:eastAsia="Arial" w:hAnsi="Arial"/>
          <w:sz w:val="13"/>
          <w:szCs w:val="13"/>
          <w:color w:val="000000"/>
        </w:rPr>
        <w:t>obligations under some of its benefit plans. At year-end 2011, the trust contained 14.2 million shares of Chevron treasury stock. The trust will sell the shares or use the dividends from the shares to pay benefits only to the extent that the company does not pay such benefits. The company intends to continue to pay its obligations under the benefit plans. The trustee will vote the shares held in the trust as instructed by the trust’s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beneficiaries. The shares held in the trust are not considered outstanding for earnings-per-share purposes until distributed or sold by the trust in payment of benefit obligations.</w:t>
      </w:r>
    </w:p>
    <w:p>
      <w:pPr>
        <w:spacing w:after="0" w:line="1" w:lineRule="exact"/>
        <w:rPr>
          <w:sz w:val="20"/>
          <w:szCs w:val="20"/>
          <w:color w:val="auto"/>
        </w:rPr>
      </w:pPr>
    </w:p>
    <w:p>
      <w:pPr>
        <w:ind w:right="20" w:firstLine="160"/>
        <w:spacing w:after="0" w:line="249" w:lineRule="auto"/>
        <w:rPr>
          <w:sz w:val="20"/>
          <w:szCs w:val="20"/>
          <w:color w:val="auto"/>
        </w:rPr>
      </w:pPr>
      <w:r>
        <w:rPr>
          <w:rFonts w:ascii="Arial" w:cs="Arial" w:eastAsia="Arial" w:hAnsi="Arial"/>
          <w:sz w:val="13"/>
          <w:szCs w:val="13"/>
          <w:color w:val="auto"/>
        </w:rPr>
        <w:t>Prior to its acquisition by Chevron, Unocal established various grantor trusts to fund obligations under some of its benefit plans, including the deferred compensation and supplemental retirement plans. At December 31, 2011 and 2010, trust assets of $51 and $57, respectively, were invested primarily in interest-earning accounts.</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2"/>
          <w:szCs w:val="12"/>
          <w:i w:val="1"/>
          <w:iCs w:val="1"/>
          <w:color w:val="E51837"/>
        </w:rPr>
        <w:t xml:space="preserve">Employee Incentive Plans </w:t>
      </w:r>
      <w:r>
        <w:rPr>
          <w:rFonts w:ascii="Arial" w:cs="Arial" w:eastAsia="Arial" w:hAnsi="Arial"/>
          <w:sz w:val="12"/>
          <w:szCs w:val="12"/>
          <w:color w:val="000000"/>
        </w:rPr>
        <w:t>The Chevron Incentive Plan is an annual cash bonus plan for eligible employees</w:t>
      </w:r>
      <w:r>
        <w:rPr>
          <w:rFonts w:ascii="Arial" w:cs="Arial" w:eastAsia="Arial" w:hAnsi="Arial"/>
          <w:sz w:val="12"/>
          <w:szCs w:val="12"/>
          <w:i w:val="1"/>
          <w:iCs w:val="1"/>
          <w:color w:val="E51837"/>
        </w:rPr>
        <w:t xml:space="preserve"> </w:t>
      </w:r>
      <w:r>
        <w:rPr>
          <w:rFonts w:ascii="Arial" w:cs="Arial" w:eastAsia="Arial" w:hAnsi="Arial"/>
          <w:sz w:val="12"/>
          <w:szCs w:val="12"/>
          <w:color w:val="000000"/>
        </w:rPr>
        <w:t>that links awards to corporate, unit and individual performance in the prior year. Charges to expense for cash bonuses were $1,217, $766 and $561 in 2011, 2010 and 2009, respectively. Chevron also has the LTIP for officers and other regular salaried employees of the company and its subsidiaries who hold positions of significant responsibility. Awards under the LTIP consist of stock options and other share-based compensation that are described in Note 20, beginning on page FS-48.</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22</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Equity</w:t>
      </w:r>
    </w:p>
    <w:p>
      <w:pPr>
        <w:ind w:right="560"/>
        <w:spacing w:after="0" w:line="266" w:lineRule="auto"/>
        <w:rPr>
          <w:sz w:val="20"/>
          <w:szCs w:val="20"/>
          <w:color w:val="auto"/>
        </w:rPr>
      </w:pPr>
      <w:r>
        <w:rPr>
          <w:rFonts w:ascii="Arial" w:cs="Arial" w:eastAsia="Arial" w:hAnsi="Arial"/>
          <w:sz w:val="12"/>
          <w:szCs w:val="12"/>
          <w:color w:val="auto"/>
        </w:rPr>
        <w:t>Retained earnings at December 31, 2011 and 2010, included approximately $10,127 and $9,159, respectively, for the company’s share of undistributed earnings of equity affiliates.</w:t>
      </w:r>
    </w:p>
    <w:p>
      <w:pPr>
        <w:ind w:right="80" w:firstLine="153"/>
        <w:spacing w:after="0" w:line="248" w:lineRule="auto"/>
        <w:rPr>
          <w:sz w:val="20"/>
          <w:szCs w:val="20"/>
          <w:color w:val="auto"/>
        </w:rPr>
      </w:pPr>
      <w:r>
        <w:rPr>
          <w:rFonts w:ascii="Arial" w:cs="Arial" w:eastAsia="Arial" w:hAnsi="Arial"/>
          <w:sz w:val="13"/>
          <w:szCs w:val="13"/>
          <w:color w:val="auto"/>
        </w:rPr>
        <w:t>At December 31, 2011, about 67 million shares of Chevron’s common stock remained available for issuance from the 160 million shares that were reserved for issuance under the Chevron LTIP. In addition, approximately 258,000 shares remain available for issuance from the 800,000 shares of the company’s common stock that were reserved for awards under the Chevron Corporation Non-Employee Directors’ Equity Compensation and Deferral Plan.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23</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Restructuring and Reorganization</w:t>
      </w:r>
    </w:p>
    <w:p>
      <w:pPr>
        <w:ind w:right="20"/>
        <w:spacing w:after="0" w:line="291" w:lineRule="auto"/>
        <w:rPr>
          <w:sz w:val="20"/>
          <w:szCs w:val="20"/>
          <w:color w:val="auto"/>
        </w:rPr>
      </w:pPr>
      <w:r>
        <w:rPr>
          <w:rFonts w:ascii="Arial" w:cs="Arial" w:eastAsia="Arial" w:hAnsi="Arial"/>
          <w:sz w:val="11"/>
          <w:szCs w:val="11"/>
          <w:color w:val="auto"/>
        </w:rPr>
        <w:t>In the first quarter 2010, the company announced employee reduction programs related to the restructuring and reorganization of its downstream businesses and corporate staffs. Total terminations under the programs are expected to be approximately 2,700 employees. About 1,300 of the affected employees are located in the United States. About 2,500 employees have been terminated through December 31, 2011, and the programs were substantially completed by the end of 2011. Substantially all of the remaining employees designated for termination under the programs are expected to leave in 2012.</w:t>
      </w:r>
    </w:p>
    <w:p>
      <w:pPr>
        <w:spacing w:after="0" w:line="1" w:lineRule="exact"/>
        <w:rPr>
          <w:sz w:val="20"/>
          <w:szCs w:val="20"/>
          <w:color w:val="auto"/>
        </w:rPr>
      </w:pPr>
    </w:p>
    <w:p>
      <w:pPr>
        <w:ind w:right="340" w:firstLine="153"/>
        <w:spacing w:after="0" w:line="253" w:lineRule="auto"/>
        <w:rPr>
          <w:sz w:val="20"/>
          <w:szCs w:val="20"/>
          <w:color w:val="auto"/>
        </w:rPr>
      </w:pPr>
      <w:r>
        <w:rPr>
          <w:rFonts w:ascii="Arial" w:cs="Arial" w:eastAsia="Arial" w:hAnsi="Arial"/>
          <w:sz w:val="13"/>
          <w:szCs w:val="13"/>
          <w:color w:val="auto"/>
        </w:rPr>
        <w:t>A before-tax charge of $244 was recorded in first quarter 2010 associated with these programs, of which $138 remained outstanding at December 31, 2010. During 2011,</w:t>
      </w:r>
    </w:p>
    <w:p>
      <w:pPr>
        <w:spacing w:after="0" w:line="200" w:lineRule="exact"/>
        <w:rPr>
          <w:sz w:val="20"/>
          <w:szCs w:val="20"/>
          <w:color w:val="auto"/>
        </w:rPr>
      </w:pPr>
    </w:p>
    <w:p>
      <w:pPr>
        <w:sectPr>
          <w:pgSz w:w="11900" w:h="16838" w:orient="portrait"/>
          <w:cols w:equalWidth="0" w:num="2">
            <w:col w:w="5460" w:space="500"/>
            <w:col w:w="5500"/>
          </w:cols>
          <w:pgMar w:left="220" w:top="338" w:right="21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514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5990" cy="451485"/>
                    </a:xfrm>
                    <a:prstGeom prst="rect">
                      <a:avLst/>
                    </a:prstGeom>
                    <a:noFill/>
                  </pic:spPr>
                </pic:pic>
              </a:graphicData>
            </a:graphic>
          </wp:anchor>
        </w:drawing>
      </w:r>
    </w:p>
    <w:p>
      <w:pPr>
        <w:spacing w:after="0" w:line="300" w:lineRule="exact"/>
        <w:rPr>
          <w:sz w:val="20"/>
          <w:szCs w:val="20"/>
          <w:color w:val="auto"/>
        </w:rPr>
      </w:pPr>
    </w:p>
    <w:p>
      <w:pPr>
        <w:jc w:val="right"/>
        <w:ind w:right="5960"/>
        <w:spacing w:after="0"/>
        <w:rPr>
          <w:sz w:val="20"/>
          <w:szCs w:val="20"/>
          <w:color w:val="auto"/>
        </w:rPr>
      </w:pPr>
      <w:r>
        <w:rPr>
          <w:rFonts w:ascii="Arial" w:cs="Arial" w:eastAsia="Arial" w:hAnsi="Arial"/>
          <w:sz w:val="10"/>
          <w:szCs w:val="10"/>
          <w:color w:val="0077C0"/>
        </w:rPr>
        <w:t>Notes to the Consolidated Financial Statements</w:t>
      </w:r>
    </w:p>
    <w:p>
      <w:pPr>
        <w:jc w:val="right"/>
        <w:ind w:right="5940"/>
        <w:spacing w:after="0"/>
        <w:rPr>
          <w:sz w:val="20"/>
          <w:szCs w:val="20"/>
          <w:color w:val="auto"/>
        </w:rPr>
      </w:pPr>
      <w:r>
        <w:rPr>
          <w:rFonts w:ascii="Arial" w:cs="Arial" w:eastAsia="Arial" w:hAnsi="Arial"/>
          <w:sz w:val="9"/>
          <w:szCs w:val="9"/>
          <w:color w:val="0077C0"/>
        </w:rPr>
        <w:t>Millions of dollars, except per-share amounts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23 </w:t>
      </w:r>
      <w:r>
        <w:rPr>
          <w:rFonts w:ascii="Arial" w:cs="Arial" w:eastAsia="Arial" w:hAnsi="Arial"/>
          <w:sz w:val="8"/>
          <w:szCs w:val="8"/>
          <w:color w:val="000000"/>
        </w:rPr>
        <w:t>Restructuring and Reorganization - Continued</w:t>
      </w:r>
    </w:p>
    <w:p>
      <w:pPr>
        <w:sectPr>
          <w:pgSz w:w="11900" w:h="16838" w:orient="portrait"/>
          <w:cols w:equalWidth="0" w:num="1">
            <w:col w:w="11440"/>
          </w:cols>
          <w:pgMar w:left="220" w:top="339" w:right="239" w:bottom="1440" w:gutter="0" w:footer="0" w:header="0"/>
        </w:sectPr>
      </w:pPr>
    </w:p>
    <w:p>
      <w:pPr>
        <w:spacing w:after="0" w:line="32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the company made payments of $74 associated with these liabilities. The majority of the payments were in Downstream. The balance at December 31, 2011, was classified as a current liability on the Consolidated Balance Sheet.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80" w:type="dxa"/>
            <w:vAlign w:val="bottom"/>
          </w:tcPr>
          <w:p>
            <w:pPr>
              <w:spacing w:after="0"/>
              <w:rPr>
                <w:sz w:val="9"/>
                <w:szCs w:val="9"/>
                <w:color w:val="auto"/>
              </w:rPr>
            </w:pPr>
          </w:p>
        </w:tc>
        <w:tc>
          <w:tcPr>
            <w:tcW w:w="2500" w:type="dxa"/>
            <w:vAlign w:val="bottom"/>
            <w:gridSpan w:val="3"/>
          </w:tcPr>
          <w:p>
            <w:pPr>
              <w:jc w:val="right"/>
              <w:ind w:right="20"/>
              <w:spacing w:after="0"/>
              <w:rPr>
                <w:sz w:val="20"/>
                <w:szCs w:val="20"/>
                <w:color w:val="auto"/>
              </w:rPr>
            </w:pPr>
            <w:r>
              <w:rPr>
                <w:rFonts w:ascii="Arial" w:cs="Arial" w:eastAsia="Arial" w:hAnsi="Arial"/>
                <w:sz w:val="9"/>
                <w:szCs w:val="9"/>
                <w:color w:val="auto"/>
              </w:rPr>
              <w:t>Amounts Before Tax</w:t>
            </w:r>
          </w:p>
        </w:tc>
      </w:tr>
      <w:tr>
        <w:trPr>
          <w:trHeight w:val="92"/>
        </w:trPr>
        <w:tc>
          <w:tcPr>
            <w:tcW w:w="298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Balance at January 1, 2011</w:t>
            </w:r>
          </w:p>
        </w:tc>
        <w:tc>
          <w:tcPr>
            <w:tcW w:w="2220" w:type="dxa"/>
            <w:vAlign w:val="bottom"/>
            <w:tcBorders>
              <w:top w:val="single" w:sz="8" w:color="0077C0"/>
            </w:tcBorders>
          </w:tcPr>
          <w:p>
            <w:pPr>
              <w:jc w:val="right"/>
              <w:ind w:right="71"/>
              <w:spacing w:after="0" w:line="92"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138</w:t>
            </w:r>
          </w:p>
        </w:tc>
        <w:tc>
          <w:tcPr>
            <w:tcW w:w="20" w:type="dxa"/>
            <w:vAlign w:val="bottom"/>
          </w:tcPr>
          <w:p>
            <w:pPr>
              <w:spacing w:after="0"/>
              <w:rPr>
                <w:sz w:val="8"/>
                <w:szCs w:val="8"/>
                <w:color w:val="auto"/>
              </w:rPr>
            </w:pPr>
          </w:p>
        </w:tc>
      </w:tr>
      <w:tr>
        <w:trPr>
          <w:trHeight w:val="106"/>
        </w:trPr>
        <w:tc>
          <w:tcPr>
            <w:tcW w:w="2980" w:type="dxa"/>
            <w:vAlign w:val="bottom"/>
          </w:tcPr>
          <w:p>
            <w:pPr>
              <w:spacing w:after="0" w:line="106" w:lineRule="exact"/>
              <w:rPr>
                <w:sz w:val="20"/>
                <w:szCs w:val="20"/>
                <w:color w:val="auto"/>
              </w:rPr>
            </w:pPr>
            <w:r>
              <w:rPr>
                <w:rFonts w:ascii="Arial" w:cs="Arial" w:eastAsia="Arial" w:hAnsi="Arial"/>
                <w:sz w:val="10"/>
                <w:szCs w:val="10"/>
                <w:color w:val="auto"/>
              </w:rPr>
              <w:t>Adjustments</w:t>
            </w:r>
          </w:p>
        </w:tc>
        <w:tc>
          <w:tcPr>
            <w:tcW w:w="2220" w:type="dxa"/>
            <w:vAlign w:val="bottom"/>
          </w:tcPr>
          <w:p>
            <w:pPr>
              <w:spacing w:after="0"/>
              <w:rPr>
                <w:sz w:val="9"/>
                <w:szCs w:val="9"/>
                <w:color w:val="auto"/>
              </w:rPr>
            </w:pPr>
          </w:p>
        </w:tc>
        <w:tc>
          <w:tcPr>
            <w:tcW w:w="2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(28)</w:t>
            </w:r>
          </w:p>
        </w:tc>
      </w:tr>
      <w:tr>
        <w:trPr>
          <w:trHeight w:val="118"/>
        </w:trPr>
        <w:tc>
          <w:tcPr>
            <w:tcW w:w="2980" w:type="dxa"/>
            <w:vAlign w:val="bottom"/>
          </w:tcPr>
          <w:p>
            <w:pPr>
              <w:spacing w:after="0"/>
              <w:rPr>
                <w:sz w:val="20"/>
                <w:szCs w:val="20"/>
                <w:color w:val="auto"/>
              </w:rPr>
            </w:pPr>
            <w:r>
              <w:rPr>
                <w:rFonts w:ascii="Arial" w:cs="Arial" w:eastAsia="Arial" w:hAnsi="Arial"/>
                <w:sz w:val="10"/>
                <w:szCs w:val="10"/>
                <w:color w:val="auto"/>
              </w:rPr>
              <w:t>Payments</w:t>
            </w:r>
          </w:p>
        </w:tc>
        <w:tc>
          <w:tcPr>
            <w:tcW w:w="2220" w:type="dxa"/>
            <w:vAlign w:val="bottom"/>
          </w:tcPr>
          <w:p>
            <w:pPr>
              <w:spacing w:after="0"/>
              <w:rPr>
                <w:sz w:val="10"/>
                <w:szCs w:val="10"/>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color w:val="auto"/>
              </w:rPr>
              <w:t>(74)</w:t>
            </w:r>
          </w:p>
        </w:tc>
      </w:tr>
      <w:tr>
        <w:trPr>
          <w:trHeight w:val="114"/>
        </w:trPr>
        <w:tc>
          <w:tcPr>
            <w:tcW w:w="298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Balance at December 31, 2011</w:t>
            </w:r>
          </w:p>
        </w:tc>
        <w:tc>
          <w:tcPr>
            <w:tcW w:w="2220" w:type="dxa"/>
            <w:vAlign w:val="bottom"/>
            <w:tcBorders>
              <w:top w:val="single" w:sz="8" w:color="0077C0"/>
              <w:bottom w:val="single" w:sz="8" w:color="0077C0"/>
            </w:tcBorders>
          </w:tcPr>
          <w:p>
            <w:pPr>
              <w:jc w:val="right"/>
              <w:ind w:right="71"/>
              <w:spacing w:after="0" w:line="105"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36</w:t>
            </w:r>
          </w:p>
        </w:tc>
        <w:tc>
          <w:tcPr>
            <w:tcW w:w="20" w:type="dxa"/>
            <w:vAlign w:val="bottom"/>
          </w:tcPr>
          <w:p>
            <w:pPr>
              <w:spacing w:after="0"/>
              <w:rPr>
                <w:sz w:val="9"/>
                <w:szCs w:val="9"/>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24</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Other Contingencies and Commitments</w:t>
      </w:r>
    </w:p>
    <w:p>
      <w:pPr>
        <w:ind w:right="40"/>
        <w:spacing w:after="0" w:line="270" w:lineRule="auto"/>
        <w:rPr>
          <w:sz w:val="20"/>
          <w:szCs w:val="20"/>
          <w:color w:val="auto"/>
        </w:rPr>
      </w:pPr>
      <w:r>
        <w:rPr>
          <w:rFonts w:ascii="Arial" w:cs="Arial" w:eastAsia="Arial" w:hAnsi="Arial"/>
          <w:sz w:val="12"/>
          <w:szCs w:val="12"/>
          <w:i w:val="1"/>
          <w:iCs w:val="1"/>
          <w:color w:val="E51837"/>
        </w:rPr>
        <w:t xml:space="preserve">Income Taxes </w:t>
      </w:r>
      <w:r>
        <w:rPr>
          <w:rFonts w:ascii="Arial" w:cs="Arial" w:eastAsia="Arial" w:hAnsi="Arial"/>
          <w:sz w:val="12"/>
          <w:szCs w:val="12"/>
          <w:color w:val="000000"/>
        </w:rPr>
        <w:t>The company calculates its income tax expense and liabilities quarterly. These liabilities</w:t>
      </w:r>
      <w:r>
        <w:rPr>
          <w:rFonts w:ascii="Arial" w:cs="Arial" w:eastAsia="Arial" w:hAnsi="Arial"/>
          <w:sz w:val="12"/>
          <w:szCs w:val="12"/>
          <w:i w:val="1"/>
          <w:iCs w:val="1"/>
          <w:color w:val="E51837"/>
        </w:rPr>
        <w:t xml:space="preserve"> </w:t>
      </w:r>
      <w:r>
        <w:rPr>
          <w:rFonts w:ascii="Arial" w:cs="Arial" w:eastAsia="Arial" w:hAnsi="Arial"/>
          <w:sz w:val="12"/>
          <w:szCs w:val="12"/>
          <w:color w:val="000000"/>
        </w:rPr>
        <w:t>generally are subject to audit and are not finalized with the individual taxing authorities until several years after the end of the annual period for which income taxes have been calculated. Refer to Note 15, beginning on page FS-43, for a discussion of the periods for which tax returns have been audited for the company’s major tax jurisdictions and a discussion for all tax jurisdictions of the differences between the amount of tax benefits recognized in the financial statements and the amount taken or expected to be taken in a tax return. The company does not expect settlement of income tax liabilities associated with uncertain tax positions to have a material effect on its results of operations, consolidated financial position or liquidity.</w:t>
      </w:r>
    </w:p>
    <w:p>
      <w:pPr>
        <w:spacing w:after="0" w:line="54"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i w:val="1"/>
          <w:iCs w:val="1"/>
          <w:color w:val="E51837"/>
        </w:rPr>
        <w:t xml:space="preserve">Guarantees </w:t>
      </w:r>
      <w:r>
        <w:rPr>
          <w:rFonts w:ascii="Arial" w:cs="Arial" w:eastAsia="Arial" w:hAnsi="Arial"/>
          <w:sz w:val="11"/>
          <w:szCs w:val="11"/>
          <w:color w:val="000000"/>
        </w:rPr>
        <w:t>The company’s guarantee of approximately $600 is associated with certain payments under a</w:t>
      </w:r>
      <w:r>
        <w:rPr>
          <w:rFonts w:ascii="Arial" w:cs="Arial" w:eastAsia="Arial" w:hAnsi="Arial"/>
          <w:sz w:val="11"/>
          <w:szCs w:val="11"/>
          <w:i w:val="1"/>
          <w:iCs w:val="1"/>
          <w:color w:val="E51837"/>
        </w:rPr>
        <w:t xml:space="preserve"> </w:t>
      </w:r>
      <w:r>
        <w:rPr>
          <w:rFonts w:ascii="Arial" w:cs="Arial" w:eastAsia="Arial" w:hAnsi="Arial"/>
          <w:sz w:val="11"/>
          <w:szCs w:val="11"/>
          <w:color w:val="000000"/>
        </w:rPr>
        <w:t>terminal use agreement entered into by a company affiliate. The terminal commenced operations in third quarter 2011. Over the approximate 16-year term of the guarantee, the maximum guarantee amount will be reduced over time as certain fees are paid by the affiliate. There are numerous cross-indemnity agreements with the affiliate and the other partners to permit recovery of amounts paid under the guarantee. Chevron has recorded no liability for its obligation under this guarantee.</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1"/>
          <w:szCs w:val="11"/>
          <w:i w:val="1"/>
          <w:iCs w:val="1"/>
          <w:color w:val="E51837"/>
        </w:rPr>
        <w:t xml:space="preserve">Indemnifications </w:t>
      </w:r>
      <w:r>
        <w:rPr>
          <w:rFonts w:ascii="Arial" w:cs="Arial" w:eastAsia="Arial" w:hAnsi="Arial"/>
          <w:sz w:val="11"/>
          <w:szCs w:val="11"/>
          <w:color w:val="000000"/>
        </w:rPr>
        <w:t>The company provided certain indemnities of contingent liabilities of Equilon and Motiva</w:t>
      </w:r>
      <w:r>
        <w:rPr>
          <w:rFonts w:ascii="Arial" w:cs="Arial" w:eastAsia="Arial" w:hAnsi="Arial"/>
          <w:sz w:val="11"/>
          <w:szCs w:val="11"/>
          <w:i w:val="1"/>
          <w:iCs w:val="1"/>
          <w:color w:val="E51837"/>
        </w:rPr>
        <w:t xml:space="preserve"> </w:t>
      </w:r>
      <w:r>
        <w:rPr>
          <w:rFonts w:ascii="Arial" w:cs="Arial" w:eastAsia="Arial" w:hAnsi="Arial"/>
          <w:sz w:val="11"/>
          <w:szCs w:val="11"/>
          <w:color w:val="000000"/>
        </w:rPr>
        <w:t>to Shell and Saudi Refining, Inc., in connection with the February 2002 sale of the company’s interests in those investments. Through the end of 2011, the company paid $48 under these indemnities and continues to be obligated up to $250 for possible additional indemnification payments in the future.</w:t>
      </w:r>
    </w:p>
    <w:p>
      <w:pPr>
        <w:spacing w:after="0" w:line="2" w:lineRule="exact"/>
        <w:rPr>
          <w:sz w:val="20"/>
          <w:szCs w:val="20"/>
          <w:color w:val="auto"/>
        </w:rPr>
      </w:pPr>
    </w:p>
    <w:p>
      <w:pPr>
        <w:jc w:val="both"/>
        <w:ind w:right="160" w:firstLine="158"/>
        <w:spacing w:after="0" w:line="281" w:lineRule="auto"/>
        <w:rPr>
          <w:sz w:val="20"/>
          <w:szCs w:val="20"/>
          <w:color w:val="auto"/>
        </w:rPr>
      </w:pPr>
      <w:r>
        <w:rPr>
          <w:rFonts w:ascii="Arial" w:cs="Arial" w:eastAsia="Arial" w:hAnsi="Arial"/>
          <w:sz w:val="12"/>
          <w:szCs w:val="12"/>
          <w:color w:val="auto"/>
        </w:rPr>
        <w:t>The company has also provided indemnities relating to contingent environmental liabilities of assets originally contributed by Texaco to the Equilon and Motiva joint ventures and environmental conditions that existed prior to the formation of Equilon and Motiva, or that occurred during the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period of Texaco’s ownership interest in the joint ventures. In general, the environmental conditions or events that are subject to these indemnities must have arisen prior to December 2001. Claims had to be asserted by February 2009 for Equilon indemnities and must be asserted no later than February 2012 for Motiva indemnities. In February 2012, Motiva Enterprises LLC delivered a letter to the company purporting to preserve unmatured claims for certain Motiva indemnities. The letter itself provides no estimate of the ultimate claim amount. Management does not believe this letter or any other information provides a basis to estimate the amount, if any, of a range of loss or potential range of loss with respect to either the Equilon or the Motiva indemnities. Under the terms of these indemnities, there is no maximum limit on the amount of potential future payments. The company posts no assets as collateral and has made no payments under the indemnities.</w:t>
      </w:r>
    </w:p>
    <w:p>
      <w:pPr>
        <w:spacing w:after="0" w:line="5" w:lineRule="exact"/>
        <w:rPr>
          <w:sz w:val="20"/>
          <w:szCs w:val="20"/>
          <w:color w:val="auto"/>
        </w:rPr>
      </w:pPr>
    </w:p>
    <w:p>
      <w:pPr>
        <w:ind w:right="40" w:firstLine="158"/>
        <w:spacing w:after="0" w:line="246" w:lineRule="auto"/>
        <w:rPr>
          <w:sz w:val="20"/>
          <w:szCs w:val="20"/>
          <w:color w:val="auto"/>
        </w:rPr>
      </w:pPr>
      <w:r>
        <w:rPr>
          <w:rFonts w:ascii="Arial" w:cs="Arial" w:eastAsia="Arial" w:hAnsi="Arial"/>
          <w:sz w:val="13"/>
          <w:szCs w:val="13"/>
          <w:color w:val="auto"/>
        </w:rPr>
        <w:t>The amounts payable for the indemnities described in the preceding paragraph are to be net of amounts recovered from insurance carriers and others and net of liabilities recorded by Equilon or Motiva prior to September 30, 2001, for any applicable incident.</w:t>
      </w:r>
    </w:p>
    <w:p>
      <w:pPr>
        <w:spacing w:after="0" w:line="2"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In the acquisition of Unocal, the company assumed certain indemnities relating to contingent environmental liabilities associated with assets that were sold in 1997. The acquirer of those assets shared in certain environmental remediation costs up to a maximum obligation of $200, which had been reached at December 31, 2009. Under the indemnification agreement, after reaching the $200 obligation, Chevron is solely responsible until April 2022, when the indemnification expires. The environmental conditions or events that are subject to these indemnities must have arisen prior to the sale of the assets in 1997.</w:t>
      </w:r>
    </w:p>
    <w:p>
      <w:pPr>
        <w:spacing w:after="0" w:line="2" w:lineRule="exact"/>
        <w:rPr>
          <w:sz w:val="20"/>
          <w:szCs w:val="20"/>
          <w:color w:val="auto"/>
        </w:rPr>
      </w:pPr>
    </w:p>
    <w:p>
      <w:pPr>
        <w:jc w:val="both"/>
        <w:ind w:right="80" w:firstLine="153"/>
        <w:spacing w:after="0" w:line="249" w:lineRule="auto"/>
        <w:rPr>
          <w:sz w:val="20"/>
          <w:szCs w:val="20"/>
          <w:color w:val="auto"/>
        </w:rPr>
      </w:pPr>
      <w:r>
        <w:rPr>
          <w:rFonts w:ascii="Arial" w:cs="Arial" w:eastAsia="Arial" w:hAnsi="Arial"/>
          <w:sz w:val="13"/>
          <w:szCs w:val="13"/>
          <w:color w:val="auto"/>
        </w:rPr>
        <w:t>Although the company has provided for known obligations under this indemnity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2"/>
          <w:szCs w:val="12"/>
          <w:i w:val="1"/>
          <w:iCs w:val="1"/>
          <w:color w:val="E51837"/>
        </w:rPr>
        <w:t xml:space="preserve">Long-Term Unconditional Purchase Obligations and Commitments, Including Throughput and Take-or-Pay Agreements </w:t>
      </w:r>
      <w:r>
        <w:rPr>
          <w:rFonts w:ascii="Arial" w:cs="Arial" w:eastAsia="Arial" w:hAnsi="Arial"/>
          <w:sz w:val="12"/>
          <w:szCs w:val="12"/>
          <w:color w:val="000000"/>
        </w:rPr>
        <w:t>The company and its subsidiaries have certain other contingent liabilities with respect to</w:t>
      </w:r>
      <w:r>
        <w:rPr>
          <w:rFonts w:ascii="Arial" w:cs="Arial" w:eastAsia="Arial" w:hAnsi="Arial"/>
          <w:sz w:val="12"/>
          <w:szCs w:val="12"/>
          <w:i w:val="1"/>
          <w:iCs w:val="1"/>
          <w:color w:val="E51837"/>
        </w:rPr>
        <w:t xml:space="preserve"> </w:t>
      </w:r>
      <w:r>
        <w:rPr>
          <w:rFonts w:ascii="Arial" w:cs="Arial" w:eastAsia="Arial" w:hAnsi="Arial"/>
          <w:sz w:val="12"/>
          <w:szCs w:val="12"/>
          <w:color w:val="000000"/>
        </w:rPr>
        <w:t>long-term unconditional purchase obligations and commitments, including throughput and take-or-pay agreements, some of which relate to suppliers’ financing arrangements. The agreements typically provide goods and services, such as pipeline and storage capacity, drilling rigs, utilities, and petroleum products, to be used or sold in the ordinary course of the company’s business. The aggregate approximate amounts of required payments under these</w:t>
      </w:r>
    </w:p>
    <w:p>
      <w:pPr>
        <w:spacing w:after="0" w:line="637" w:lineRule="exact"/>
        <w:rPr>
          <w:sz w:val="20"/>
          <w:szCs w:val="20"/>
          <w:color w:val="auto"/>
        </w:rPr>
      </w:pPr>
    </w:p>
    <w:p>
      <w:pPr>
        <w:sectPr>
          <w:pgSz w:w="11900" w:h="16838" w:orient="portrait"/>
          <w:cols w:equalWidth="0" w:num="2">
            <w:col w:w="5500" w:space="460"/>
            <w:col w:w="5480"/>
          </w:cols>
          <w:pgMar w:left="220" w:top="339" w:right="239" w:bottom="1440" w:gutter="0" w:footer="0" w:header="0"/>
          <w:type w:val="continuous"/>
        </w:sectPr>
      </w:pP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9" w:right="239" w:bottom="1440" w:gutter="0" w:footer="0" w:header="0"/>
          <w:type w:val="continuous"/>
        </w:sectPr>
      </w:pPr>
    </w:p>
    <w:bookmarkStart w:id="97" w:name="page98"/>
    <w:bookmarkEnd w:id="97"/>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85990" cy="4762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24 </w:t>
      </w:r>
      <w:r>
        <w:rPr>
          <w:rFonts w:ascii="Arial" w:cs="Arial" w:eastAsia="Arial" w:hAnsi="Arial"/>
          <w:sz w:val="8"/>
          <w:szCs w:val="8"/>
          <w:color w:val="000000"/>
        </w:rPr>
        <w:t>Other Contingencies and Commitments - Continued</w:t>
      </w:r>
    </w:p>
    <w:p>
      <w:pPr>
        <w:spacing w:after="0" w:line="3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3"/>
          <w:szCs w:val="13"/>
          <w:color w:val="auto"/>
        </w:rPr>
        <w:t>various commitments are: 2012 – $6,000; 2013 – $4,000; 2014 – $3,900; 2015 – $3,200; 2016 – $1,900; 2017 and after – $7,400. A portion of these commitments may ultimately be shared with project partners. Total payments under the agreements were approximately $6,600 in 2011, $6,500 in 2010 and $8,100 in 2009.</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i w:val="1"/>
          <w:iCs w:val="1"/>
          <w:color w:val="E51837"/>
        </w:rPr>
        <w:t xml:space="preserve">Environmental </w:t>
      </w:r>
      <w:r>
        <w:rPr>
          <w:rFonts w:ascii="Arial" w:cs="Arial" w:eastAsia="Arial" w:hAnsi="Arial"/>
          <w:sz w:val="12"/>
          <w:szCs w:val="12"/>
          <w:color w:val="000000"/>
        </w:rPr>
        <w:t>The company is subject to loss contingencies pursuant to laws, regulations, private claims</w:t>
      </w:r>
      <w:r>
        <w:rPr>
          <w:rFonts w:ascii="Arial" w:cs="Arial" w:eastAsia="Arial" w:hAnsi="Arial"/>
          <w:sz w:val="12"/>
          <w:szCs w:val="12"/>
          <w:i w:val="1"/>
          <w:iCs w:val="1"/>
          <w:color w:val="E51837"/>
        </w:rPr>
        <w:t xml:space="preserve"> </w:t>
      </w:r>
      <w:r>
        <w:rPr>
          <w:rFonts w:ascii="Arial" w:cs="Arial" w:eastAsia="Arial" w:hAnsi="Arial"/>
          <w:sz w:val="12"/>
          <w:szCs w:val="12"/>
          <w:color w:val="000000"/>
        </w:rPr>
        <w:t>and legal proceedings related to environmental matters that are subject to legal settlements or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federal Superfund sites and analogous sites under state laws, refineries, crude oil fields, service stations, terminals, land development areas, and mining operations, whether operating, closed or divested.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5" w:lineRule="exact"/>
        <w:rPr>
          <w:sz w:val="20"/>
          <w:szCs w:val="20"/>
          <w:color w:val="auto"/>
        </w:rPr>
      </w:pPr>
    </w:p>
    <w:p>
      <w:pPr>
        <w:ind w:right="80" w:firstLine="153"/>
        <w:spacing w:after="0" w:line="291" w:lineRule="auto"/>
        <w:rPr>
          <w:sz w:val="20"/>
          <w:szCs w:val="20"/>
          <w:color w:val="auto"/>
        </w:rPr>
      </w:pPr>
      <w:r>
        <w:rPr>
          <w:rFonts w:ascii="Arial" w:cs="Arial" w:eastAsia="Arial" w:hAnsi="Arial"/>
          <w:sz w:val="11"/>
          <w:szCs w:val="11"/>
          <w:color w:val="auto"/>
        </w:rPr>
        <w:t>Although the company has provided for known environmental obligations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 Also, the company does not believe its obligations to make such expenditures have had, or will have, any significant impact on the company’s competitive position relative to other U.S. or international petroleum or chemical companies.</w:t>
      </w:r>
    </w:p>
    <w:p>
      <w:pPr>
        <w:spacing w:after="0" w:line="2" w:lineRule="exact"/>
        <w:rPr>
          <w:sz w:val="20"/>
          <w:szCs w:val="20"/>
          <w:color w:val="auto"/>
        </w:rPr>
      </w:pPr>
    </w:p>
    <w:p>
      <w:pPr>
        <w:ind w:firstLine="160"/>
        <w:spacing w:after="0" w:line="298" w:lineRule="auto"/>
        <w:rPr>
          <w:sz w:val="20"/>
          <w:szCs w:val="20"/>
          <w:color w:val="auto"/>
        </w:rPr>
      </w:pPr>
      <w:r>
        <w:rPr>
          <w:rFonts w:ascii="Arial" w:cs="Arial" w:eastAsia="Arial" w:hAnsi="Arial"/>
          <w:sz w:val="11"/>
          <w:szCs w:val="11"/>
          <w:color w:val="auto"/>
        </w:rPr>
        <w:t>Chevron’s environmental reserve as of December 31, 2011, was $1,404. Included in this balance were remediation activities at approximately 180 sites for which the company had been identified as a potentially responsible party or otherwise involved in the remediation by the U.S. Environmental Protection Agency (EPA) or other regulatory agencies under the provisions of the federal Superfund law or analogous state laws. The company’s remediation reserve for these sites at year-end 2011 was $185. The federal Superfund law and analogous state laws provide for joint and several liability for all responsible parties. Any future actions by the EPA or other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160"/>
        <w:spacing w:after="0" w:line="293" w:lineRule="auto"/>
        <w:rPr>
          <w:sz w:val="20"/>
          <w:szCs w:val="20"/>
          <w:color w:val="auto"/>
        </w:rPr>
      </w:pPr>
      <w:r>
        <w:rPr>
          <w:rFonts w:ascii="Arial" w:cs="Arial" w:eastAsia="Arial" w:hAnsi="Arial"/>
          <w:sz w:val="11"/>
          <w:szCs w:val="11"/>
          <w:color w:val="auto"/>
        </w:rPr>
        <w:t>Of the remaining year-end 2011 environmental reserves balance of $1,219, $675 related to the company’s U.S. downstream operations, including refineries and other plants, marketing locations (i.e., service stations and terminals), chemical facilities, and pipelines. The remaining $544 was associated with various sites in international downstream ($95), upstream ($368) and other businesses ($81). Liabilities at all sites, whether operating, closed or divested, were primarily associated with the company’s plans and activities to remediate soil or groundwater contamination or both. These and other activities include one or more of the following: site assessment; soil excavation; offsite disposal of contaminants; onsite containment, remediation and/or extraction of petroleum hydrocarbon liquid and vapor from soil; groundwater extraction and treatment; and monitoring of the natural attenuation of the contaminants.</w:t>
      </w:r>
    </w:p>
    <w:p>
      <w:pPr>
        <w:spacing w:after="0" w:line="2" w:lineRule="exact"/>
        <w:rPr>
          <w:sz w:val="20"/>
          <w:szCs w:val="20"/>
          <w:color w:val="auto"/>
        </w:rPr>
      </w:pPr>
    </w:p>
    <w:p>
      <w:pPr>
        <w:ind w:firstLine="158"/>
        <w:spacing w:after="0" w:line="267" w:lineRule="auto"/>
        <w:rPr>
          <w:sz w:val="20"/>
          <w:szCs w:val="20"/>
          <w:color w:val="auto"/>
        </w:rPr>
      </w:pPr>
      <w:r>
        <w:rPr>
          <w:rFonts w:ascii="Arial" w:cs="Arial" w:eastAsia="Arial" w:hAnsi="Arial"/>
          <w:sz w:val="12"/>
          <w:szCs w:val="12"/>
          <w:color w:val="auto"/>
        </w:rPr>
        <w:t>The company manages environmental liabilities under specific sets of regulatory requirements, which in the United States include the Resource Conservation and Recovery Act and various state and local regulations. No single remediation site at year-end 2011 had a recorded liability that was material to the company’s results of operations, consolidated financial position or liquidity.</w:t>
      </w:r>
    </w:p>
    <w:p>
      <w:pPr>
        <w:spacing w:after="0" w:line="1" w:lineRule="exact"/>
        <w:rPr>
          <w:sz w:val="20"/>
          <w:szCs w:val="20"/>
          <w:color w:val="auto"/>
        </w:rPr>
      </w:pPr>
    </w:p>
    <w:p>
      <w:pPr>
        <w:ind w:right="60" w:firstLine="160"/>
        <w:spacing w:after="0" w:line="291" w:lineRule="auto"/>
        <w:rPr>
          <w:sz w:val="20"/>
          <w:szCs w:val="20"/>
          <w:color w:val="auto"/>
        </w:rPr>
      </w:pPr>
      <w:r>
        <w:rPr>
          <w:rFonts w:ascii="Arial" w:cs="Arial" w:eastAsia="Arial" w:hAnsi="Arial"/>
          <w:sz w:val="11"/>
          <w:szCs w:val="11"/>
          <w:color w:val="auto"/>
        </w:rPr>
        <w:t>It is likely that the company will continue to incur additional liabilities, beyond those recorded, for environmental remediation relating to past operations.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Refer to Note 25 on page FS-58 for a discussion of the company’s asset retirement obligations.</w:t>
      </w:r>
    </w:p>
    <w:p>
      <w:pPr>
        <w:spacing w:after="0" w:line="84"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i w:val="1"/>
          <w:iCs w:val="1"/>
          <w:color w:val="E51837"/>
        </w:rPr>
        <w:t xml:space="preserve">Other Contingencies </w:t>
      </w:r>
      <w:r>
        <w:rPr>
          <w:rFonts w:ascii="Arial" w:cs="Arial" w:eastAsia="Arial" w:hAnsi="Arial"/>
          <w:sz w:val="11"/>
          <w:szCs w:val="11"/>
          <w:color w:val="000000"/>
        </w:rPr>
        <w:t>On April 26, 2010, a California appeals court issued a ruling related to the adequacy</w:t>
      </w:r>
      <w:r>
        <w:rPr>
          <w:rFonts w:ascii="Arial" w:cs="Arial" w:eastAsia="Arial" w:hAnsi="Arial"/>
          <w:sz w:val="11"/>
          <w:szCs w:val="11"/>
          <w:i w:val="1"/>
          <w:iCs w:val="1"/>
          <w:color w:val="E51837"/>
        </w:rPr>
        <w:t xml:space="preserve"> </w:t>
      </w:r>
      <w:r>
        <w:rPr>
          <w:rFonts w:ascii="Arial" w:cs="Arial" w:eastAsia="Arial" w:hAnsi="Arial"/>
          <w:sz w:val="11"/>
          <w:szCs w:val="11"/>
          <w:color w:val="000000"/>
        </w:rPr>
        <w:t>of an Environmental Impact Report (EIR) supporting the issuance of certain permits by the city of Richmond, California, to replace and upgrade certain facilities at Chevron’s refinery in Richmond. Settlement discussions with plaintiffs in the case ended late fourth quarter 2010, and on March 3, 2011, the trial court entered a final judgment and peremptory writ ordering the City to set aside the project EIR and conditional use permits and enjoining Chevron from any further work. On May 23, 2011, the company filed an application with the City Planning Department for a conditional use permit for a revised project to complete construction of the hydrogen plant, certain sulfur removal facilities and related infrastructure. On June 10, 2011, the City published its Notice of Preparation of the revised EIR for the project. The revised</w:t>
      </w:r>
    </w:p>
    <w:p>
      <w:pPr>
        <w:spacing w:after="0" w:line="583" w:lineRule="exact"/>
        <w:rPr>
          <w:sz w:val="20"/>
          <w:szCs w:val="20"/>
          <w:color w:val="auto"/>
        </w:rPr>
      </w:pPr>
    </w:p>
    <w:p>
      <w:pPr>
        <w:sectPr>
          <w:pgSz w:w="11900" w:h="16838" w:orient="portrait"/>
          <w:cols w:equalWidth="0" w:num="2">
            <w:col w:w="5480" w:space="480"/>
            <w:col w:w="5500"/>
          </w:cols>
          <w:pgMar w:left="220" w:top="338" w:right="219" w:bottom="1440" w:gutter="0" w:footer="0" w:header="0"/>
          <w:type w:val="continuous"/>
        </w:sectPr>
      </w:pP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762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Note 24 </w:t>
      </w:r>
      <w:r>
        <w:rPr>
          <w:rFonts w:ascii="Arial" w:cs="Arial" w:eastAsia="Arial" w:hAnsi="Arial"/>
          <w:sz w:val="8"/>
          <w:szCs w:val="8"/>
          <w:color w:val="000000"/>
        </w:rPr>
        <w:t>Other Contingencies and Commitments - Continued</w:t>
      </w:r>
    </w:p>
    <w:p>
      <w:pPr>
        <w:sectPr>
          <w:pgSz w:w="11900" w:h="16838" w:orient="portrait"/>
          <w:cols w:equalWidth="0" w:num="1">
            <w:col w:w="11460"/>
          </w:cols>
          <w:pgMar w:left="220" w:top="338" w:right="219" w:bottom="1440" w:gutter="0" w:footer="0" w:header="0"/>
        </w:sectPr>
      </w:pPr>
    </w:p>
    <w:p>
      <w:pPr>
        <w:spacing w:after="0" w:line="327"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and recirculated EIR is intended to comply with the appeals court decision. Management believes the outcomes associated with the project are uncertain. Due to the uncertainty of the company’s future course of action, or potential outcomes of any action or combination of actions, management does not believe an estimate of the financial effects, if any, can be made at this time. However, the company’s ultimate exposure may be significant to net income in any one future period.</w:t>
      </w:r>
    </w:p>
    <w:p>
      <w:pPr>
        <w:spacing w:after="0" w:line="1" w:lineRule="exact"/>
        <w:rPr>
          <w:sz w:val="20"/>
          <w:szCs w:val="20"/>
          <w:color w:val="auto"/>
        </w:rPr>
      </w:pPr>
    </w:p>
    <w:p>
      <w:pPr>
        <w:ind w:right="40" w:firstLine="160"/>
        <w:spacing w:after="0" w:line="267" w:lineRule="auto"/>
        <w:rPr>
          <w:sz w:val="20"/>
          <w:szCs w:val="20"/>
          <w:color w:val="auto"/>
        </w:rPr>
      </w:pPr>
      <w:r>
        <w:rPr>
          <w:rFonts w:ascii="Arial" w:cs="Arial" w:eastAsia="Arial" w:hAnsi="Arial"/>
          <w:sz w:val="12"/>
          <w:szCs w:val="12"/>
          <w:color w:val="auto"/>
        </w:rPr>
        <w:t>Chevron receives claims from and submits claims to customers; trading partners; U.S. federal, state and local regulatory bodies; governments; contractors; insurers; and suppliers. The amounts of these claims, individually and in the aggregate, may be significant and take lengthy periods to resolve.</w:t>
      </w:r>
    </w:p>
    <w:p>
      <w:pPr>
        <w:spacing w:after="0" w:line="1" w:lineRule="exact"/>
        <w:rPr>
          <w:sz w:val="20"/>
          <w:szCs w:val="20"/>
          <w:color w:val="auto"/>
        </w:rPr>
      </w:pPr>
    </w:p>
    <w:p>
      <w:pPr>
        <w:ind w:right="60" w:firstLine="158"/>
        <w:spacing w:after="0" w:line="249" w:lineRule="auto"/>
        <w:rPr>
          <w:sz w:val="20"/>
          <w:szCs w:val="20"/>
          <w:color w:val="auto"/>
        </w:rPr>
      </w:pPr>
      <w:r>
        <w:rPr>
          <w:rFonts w:ascii="Arial" w:cs="Arial" w:eastAsia="Arial" w:hAnsi="Arial"/>
          <w:sz w:val="13"/>
          <w:szCs w:val="13"/>
          <w:color w:val="auto"/>
        </w:rPr>
        <w:t>The company and its affiliates also continue to review and analyze their operations and may close, abandon, sell, exchange, acquire or restructure assets to achieve operational or strategic benefits and to improve competitiveness and profitability. These activities, individually or together, may result in gains or losses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25</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Asset Retirement Obligations</w:t>
      </w:r>
    </w:p>
    <w:p>
      <w:pPr>
        <w:spacing w:after="0" w:line="267" w:lineRule="auto"/>
        <w:rPr>
          <w:sz w:val="20"/>
          <w:szCs w:val="20"/>
          <w:color w:val="auto"/>
        </w:rPr>
      </w:pPr>
      <w:r>
        <w:rPr>
          <w:rFonts w:ascii="Arial" w:cs="Arial" w:eastAsia="Arial" w:hAnsi="Arial"/>
          <w:sz w:val="12"/>
          <w:szCs w:val="12"/>
          <w:color w:val="auto"/>
        </w:rPr>
        <w:t>The company records the fair value of a liability for an asset retirement obligation (ARO) as an asset and liability when there is a legal obligation associated with the retirement of a tangible long-lived asset and the liability can be reasonably estimated. The legal obligation to perform the asset retirement activity is unconditional, even though uncertainty may exist about the timing and/or method of settlement that may be beyond the company’s control. This uncertainty about the timing and/or method of settlement is factored into the measurement of the liability when sufficient information exists to reasonably estimate fair value. Recognition of the ARO includes: (1) the present value of a liability and offsetting asset, (2) the subsequent accretion of that liability and depreciation of the asset, and (3) the periodic review of the ARO liability estimates and discount rates.</w:t>
      </w:r>
    </w:p>
    <w:p>
      <w:pPr>
        <w:spacing w:after="0" w:line="1" w:lineRule="exact"/>
        <w:rPr>
          <w:sz w:val="20"/>
          <w:szCs w:val="20"/>
          <w:color w:val="auto"/>
        </w:rPr>
      </w:pPr>
    </w:p>
    <w:p>
      <w:pPr>
        <w:ind w:right="100" w:firstLine="153"/>
        <w:spacing w:after="0" w:line="304" w:lineRule="auto"/>
        <w:rPr>
          <w:sz w:val="20"/>
          <w:szCs w:val="20"/>
          <w:color w:val="auto"/>
        </w:rPr>
      </w:pPr>
      <w:r>
        <w:rPr>
          <w:rFonts w:ascii="Arial" w:cs="Arial" w:eastAsia="Arial" w:hAnsi="Arial"/>
          <w:sz w:val="11"/>
          <w:szCs w:val="11"/>
          <w:color w:val="auto"/>
        </w:rPr>
        <w:t>AROs are primarily recorded for the company’s crude oil and natural gas producing assets. No significant AROs associated with any legal obligations to retire downstream long-lived assets have been recognized, as indeterminate settlement dates for the asset retirements prevent estimation of the fair value of the associated ARO. The company performs periodic reviews of its downstream long-lived assets for any changes in facts and circumstances that might require recognition of a retirement obligation.</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180" w:firstLine="158"/>
        <w:spacing w:after="0" w:line="267" w:lineRule="auto"/>
        <w:rPr>
          <w:sz w:val="20"/>
          <w:szCs w:val="20"/>
          <w:color w:val="auto"/>
        </w:rPr>
      </w:pPr>
      <w:r>
        <w:rPr>
          <w:rFonts w:ascii="Arial" w:cs="Arial" w:eastAsia="Arial" w:hAnsi="Arial"/>
          <w:sz w:val="13"/>
          <w:szCs w:val="13"/>
          <w:color w:val="auto"/>
        </w:rPr>
        <w:t>The following table indicates the changes to the company’s before-tax asset retirement obligations in 2011, 2010 and 2009: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2400" w:type="dxa"/>
            <w:vAlign w:val="bottom"/>
            <w:tcBorders>
              <w:bottom w:val="single" w:sz="8" w:color="0077C0"/>
            </w:tcBorders>
          </w:tcPr>
          <w:p>
            <w:pPr>
              <w:spacing w:after="0"/>
              <w:rPr>
                <w:sz w:val="9"/>
                <w:szCs w:val="9"/>
                <w:color w:val="auto"/>
              </w:rPr>
            </w:pPr>
          </w:p>
        </w:tc>
        <w:tc>
          <w:tcPr>
            <w:tcW w:w="116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30"/>
              <w:spacing w:after="0"/>
              <w:rPr>
                <w:sz w:val="20"/>
                <w:szCs w:val="20"/>
                <w:color w:val="auto"/>
              </w:rPr>
            </w:pPr>
            <w:r>
              <w:rPr>
                <w:rFonts w:ascii="Arial" w:cs="Arial" w:eastAsia="Arial" w:hAnsi="Arial"/>
                <w:sz w:val="9"/>
                <w:szCs w:val="9"/>
                <w:b w:val="1"/>
                <w:bCs w:val="1"/>
                <w:color w:val="auto"/>
              </w:rPr>
              <w:t>2011</w:t>
            </w:r>
          </w:p>
        </w:tc>
        <w:tc>
          <w:tcPr>
            <w:tcW w:w="28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70"/>
              <w:spacing w:after="0"/>
              <w:rPr>
                <w:sz w:val="20"/>
                <w:szCs w:val="20"/>
                <w:color w:val="auto"/>
              </w:rPr>
            </w:pPr>
            <w:r>
              <w:rPr>
                <w:rFonts w:ascii="Arial" w:cs="Arial" w:eastAsia="Arial" w:hAnsi="Arial"/>
                <w:sz w:val="9"/>
                <w:szCs w:val="9"/>
                <w:color w:val="auto"/>
              </w:rPr>
              <w:t>2010</w:t>
            </w:r>
          </w:p>
        </w:tc>
        <w:tc>
          <w:tcPr>
            <w:tcW w:w="22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2009</w:t>
            </w:r>
          </w:p>
        </w:tc>
        <w:tc>
          <w:tcPr>
            <w:tcW w:w="40" w:type="dxa"/>
            <w:vAlign w:val="bottom"/>
          </w:tcPr>
          <w:p>
            <w:pPr>
              <w:spacing w:after="0"/>
              <w:rPr>
                <w:sz w:val="9"/>
                <w:szCs w:val="9"/>
                <w:color w:val="auto"/>
              </w:rPr>
            </w:pPr>
          </w:p>
        </w:tc>
      </w:tr>
      <w:tr>
        <w:trPr>
          <w:trHeight w:val="90"/>
        </w:trPr>
        <w:tc>
          <w:tcPr>
            <w:tcW w:w="20" w:type="dxa"/>
            <w:vAlign w:val="bottom"/>
          </w:tcPr>
          <w:p>
            <w:pPr>
              <w:spacing w:after="0"/>
              <w:rPr>
                <w:sz w:val="7"/>
                <w:szCs w:val="7"/>
                <w:color w:val="auto"/>
              </w:rPr>
            </w:pPr>
          </w:p>
        </w:tc>
        <w:tc>
          <w:tcPr>
            <w:tcW w:w="2400" w:type="dxa"/>
            <w:vAlign w:val="bottom"/>
          </w:tcPr>
          <w:p>
            <w:pPr>
              <w:spacing w:after="0" w:line="91" w:lineRule="exact"/>
              <w:rPr>
                <w:sz w:val="20"/>
                <w:szCs w:val="20"/>
                <w:color w:val="auto"/>
              </w:rPr>
            </w:pPr>
            <w:r>
              <w:rPr>
                <w:rFonts w:ascii="Arial" w:cs="Arial" w:eastAsia="Arial" w:hAnsi="Arial"/>
                <w:sz w:val="10"/>
                <w:szCs w:val="10"/>
                <w:color w:val="auto"/>
              </w:rPr>
              <w:t>Balance at January 1</w:t>
            </w:r>
          </w:p>
        </w:tc>
        <w:tc>
          <w:tcPr>
            <w:tcW w:w="1160" w:type="dxa"/>
            <w:vAlign w:val="bottom"/>
          </w:tcPr>
          <w:p>
            <w:pPr>
              <w:jc w:val="right"/>
              <w:ind w:right="49"/>
              <w:spacing w:after="0" w:line="91" w:lineRule="exact"/>
              <w:rPr>
                <w:sz w:val="20"/>
                <w:szCs w:val="20"/>
                <w:color w:val="auto"/>
              </w:rPr>
            </w:pPr>
            <w:r>
              <w:rPr>
                <w:rFonts w:ascii="Arial" w:cs="Arial" w:eastAsia="Arial" w:hAnsi="Arial"/>
                <w:sz w:val="10"/>
                <w:szCs w:val="10"/>
                <w:b w:val="1"/>
                <w:bCs w:val="1"/>
                <w:color w:val="auto"/>
              </w:rPr>
              <w:t>$</w:t>
            </w:r>
          </w:p>
        </w:tc>
        <w:tc>
          <w:tcPr>
            <w:tcW w:w="54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12,488</w:t>
            </w:r>
          </w:p>
        </w:tc>
        <w:tc>
          <w:tcPr>
            <w:tcW w:w="280" w:type="dxa"/>
            <w:vAlign w:val="bottom"/>
          </w:tcPr>
          <w:p>
            <w:pPr>
              <w:jc w:val="right"/>
              <w:ind w:right="29"/>
              <w:spacing w:after="0" w:line="91"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70"/>
              <w:spacing w:after="0" w:line="91" w:lineRule="exact"/>
              <w:rPr>
                <w:sz w:val="20"/>
                <w:szCs w:val="20"/>
                <w:color w:val="auto"/>
              </w:rPr>
            </w:pPr>
            <w:r>
              <w:rPr>
                <w:rFonts w:ascii="Arial" w:cs="Arial" w:eastAsia="Arial" w:hAnsi="Arial"/>
                <w:sz w:val="10"/>
                <w:szCs w:val="10"/>
                <w:color w:val="auto"/>
              </w:rPr>
              <w:t>10,175</w:t>
            </w:r>
          </w:p>
        </w:tc>
        <w:tc>
          <w:tcPr>
            <w:tcW w:w="220" w:type="dxa"/>
            <w:vAlign w:val="bottom"/>
          </w:tcPr>
          <w:p>
            <w:pPr>
              <w:jc w:val="right"/>
              <w:ind w:right="29"/>
              <w:spacing w:after="0" w:line="91"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91" w:lineRule="exact"/>
              <w:rPr>
                <w:sz w:val="20"/>
                <w:szCs w:val="20"/>
                <w:color w:val="auto"/>
              </w:rPr>
            </w:pPr>
            <w:r>
              <w:rPr>
                <w:rFonts w:ascii="Arial" w:cs="Arial" w:eastAsia="Arial" w:hAnsi="Arial"/>
                <w:sz w:val="10"/>
                <w:szCs w:val="10"/>
                <w:color w:val="auto"/>
              </w:rPr>
              <w:t>9,395</w:t>
            </w:r>
          </w:p>
        </w:tc>
        <w:tc>
          <w:tcPr>
            <w:tcW w:w="40" w:type="dxa"/>
            <w:vAlign w:val="bottom"/>
          </w:tcPr>
          <w:p>
            <w:pPr>
              <w:spacing w:after="0"/>
              <w:rPr>
                <w:sz w:val="7"/>
                <w:szCs w:val="7"/>
                <w:color w:val="auto"/>
              </w:rPr>
            </w:pPr>
          </w:p>
        </w:tc>
      </w:tr>
      <w:tr>
        <w:trPr>
          <w:trHeight w:val="106"/>
        </w:trPr>
        <w:tc>
          <w:tcPr>
            <w:tcW w:w="2420" w:type="dxa"/>
            <w:vAlign w:val="bottom"/>
            <w:gridSpan w:val="2"/>
          </w:tcPr>
          <w:p>
            <w:pPr>
              <w:spacing w:after="0" w:line="106" w:lineRule="exact"/>
              <w:rPr>
                <w:sz w:val="20"/>
                <w:szCs w:val="20"/>
                <w:color w:val="auto"/>
              </w:rPr>
            </w:pPr>
            <w:r>
              <w:rPr>
                <w:rFonts w:ascii="Arial" w:cs="Arial" w:eastAsia="Arial" w:hAnsi="Arial"/>
                <w:sz w:val="10"/>
                <w:szCs w:val="10"/>
                <w:color w:val="auto"/>
              </w:rPr>
              <w:t>Liabilities incurred</w:t>
            </w:r>
          </w:p>
        </w:tc>
        <w:tc>
          <w:tcPr>
            <w:tcW w:w="1160" w:type="dxa"/>
            <w:vAlign w:val="bottom"/>
          </w:tcPr>
          <w:p>
            <w:pPr>
              <w:spacing w:after="0"/>
              <w:rPr>
                <w:sz w:val="9"/>
                <w:szCs w:val="9"/>
                <w:color w:val="auto"/>
              </w:rPr>
            </w:pPr>
          </w:p>
        </w:tc>
        <w:tc>
          <w:tcPr>
            <w:tcW w:w="5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62</w:t>
            </w:r>
          </w:p>
        </w:tc>
        <w:tc>
          <w:tcPr>
            <w:tcW w:w="280" w:type="dxa"/>
            <w:vAlign w:val="bottom"/>
          </w:tcPr>
          <w:p>
            <w:pPr>
              <w:spacing w:after="0"/>
              <w:rPr>
                <w:sz w:val="9"/>
                <w:szCs w:val="9"/>
                <w:color w:val="auto"/>
              </w:rPr>
            </w:pPr>
          </w:p>
        </w:tc>
        <w:tc>
          <w:tcPr>
            <w:tcW w:w="480" w:type="dxa"/>
            <w:vAlign w:val="bottom"/>
          </w:tcPr>
          <w:p>
            <w:pPr>
              <w:jc w:val="right"/>
              <w:ind w:right="70"/>
              <w:spacing w:after="0" w:line="106" w:lineRule="exact"/>
              <w:rPr>
                <w:sz w:val="20"/>
                <w:szCs w:val="20"/>
                <w:color w:val="auto"/>
              </w:rPr>
            </w:pPr>
            <w:r>
              <w:rPr>
                <w:rFonts w:ascii="Arial" w:cs="Arial" w:eastAsia="Arial" w:hAnsi="Arial"/>
                <w:sz w:val="10"/>
                <w:szCs w:val="10"/>
                <w:color w:val="auto"/>
              </w:rPr>
              <w:t>129</w:t>
            </w:r>
          </w:p>
        </w:tc>
        <w:tc>
          <w:tcPr>
            <w:tcW w:w="2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144</w:t>
            </w:r>
          </w:p>
        </w:tc>
        <w:tc>
          <w:tcPr>
            <w:tcW w:w="40" w:type="dxa"/>
            <w:vAlign w:val="bottom"/>
          </w:tcPr>
          <w:p>
            <w:pPr>
              <w:spacing w:after="0"/>
              <w:rPr>
                <w:sz w:val="9"/>
                <w:szCs w:val="9"/>
                <w:color w:val="auto"/>
              </w:rPr>
            </w:pPr>
          </w:p>
        </w:tc>
      </w:tr>
      <w:tr>
        <w:trPr>
          <w:trHeight w:val="106"/>
        </w:trPr>
        <w:tc>
          <w:tcPr>
            <w:tcW w:w="2420" w:type="dxa"/>
            <w:vAlign w:val="bottom"/>
            <w:gridSpan w:val="2"/>
          </w:tcPr>
          <w:p>
            <w:pPr>
              <w:spacing w:after="0" w:line="106" w:lineRule="exact"/>
              <w:rPr>
                <w:sz w:val="20"/>
                <w:szCs w:val="20"/>
                <w:color w:val="auto"/>
              </w:rPr>
            </w:pPr>
            <w:r>
              <w:rPr>
                <w:rFonts w:ascii="Arial" w:cs="Arial" w:eastAsia="Arial" w:hAnsi="Arial"/>
                <w:sz w:val="10"/>
                <w:szCs w:val="10"/>
                <w:color w:val="auto"/>
              </w:rPr>
              <w:t>Liabilities settled</w:t>
            </w:r>
          </w:p>
        </w:tc>
        <w:tc>
          <w:tcPr>
            <w:tcW w:w="1160" w:type="dxa"/>
            <w:vAlign w:val="bottom"/>
          </w:tcPr>
          <w:p>
            <w:pPr>
              <w:spacing w:after="0"/>
              <w:rPr>
                <w:sz w:val="9"/>
                <w:szCs w:val="9"/>
                <w:color w:val="auto"/>
              </w:rPr>
            </w:pPr>
          </w:p>
        </w:tc>
        <w:tc>
          <w:tcPr>
            <w:tcW w:w="540" w:type="dxa"/>
            <w:vAlign w:val="bottom"/>
            <w:tcBorders>
              <w:right w:val="single" w:sz="8" w:color="0077C0"/>
            </w:tcBorders>
          </w:tcPr>
          <w:p>
            <w:pPr>
              <w:jc w:val="right"/>
              <w:ind w:right="90"/>
              <w:spacing w:after="0" w:line="106" w:lineRule="exact"/>
              <w:rPr>
                <w:sz w:val="20"/>
                <w:szCs w:val="20"/>
                <w:color w:val="auto"/>
              </w:rPr>
            </w:pPr>
            <w:r>
              <w:rPr>
                <w:rFonts w:ascii="Arial" w:cs="Arial" w:eastAsia="Arial" w:hAnsi="Arial"/>
                <w:sz w:val="10"/>
                <w:szCs w:val="10"/>
                <w:b w:val="1"/>
                <w:bCs w:val="1"/>
                <w:color w:val="auto"/>
              </w:rPr>
              <w:t>(1,316)</w:t>
            </w:r>
          </w:p>
        </w:tc>
        <w:tc>
          <w:tcPr>
            <w:tcW w:w="280" w:type="dxa"/>
            <w:vAlign w:val="bottom"/>
          </w:tcPr>
          <w:p>
            <w:pPr>
              <w:spacing w:after="0"/>
              <w:rPr>
                <w:sz w:val="9"/>
                <w:szCs w:val="9"/>
                <w:color w:val="auto"/>
              </w:rPr>
            </w:pPr>
          </w:p>
        </w:tc>
        <w:tc>
          <w:tcPr>
            <w:tcW w:w="480" w:type="dxa"/>
            <w:vAlign w:val="bottom"/>
          </w:tcPr>
          <w:p>
            <w:pPr>
              <w:jc w:val="right"/>
              <w:ind w:right="30"/>
              <w:spacing w:after="0" w:line="106" w:lineRule="exact"/>
              <w:rPr>
                <w:sz w:val="20"/>
                <w:szCs w:val="20"/>
                <w:color w:val="auto"/>
              </w:rPr>
            </w:pPr>
            <w:r>
              <w:rPr>
                <w:rFonts w:ascii="Arial" w:cs="Arial" w:eastAsia="Arial" w:hAnsi="Arial"/>
                <w:sz w:val="10"/>
                <w:szCs w:val="10"/>
                <w:color w:val="auto"/>
              </w:rPr>
              <w:t>(755)</w:t>
            </w:r>
          </w:p>
        </w:tc>
        <w:tc>
          <w:tcPr>
            <w:tcW w:w="22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(757)</w:t>
            </w:r>
          </w:p>
        </w:tc>
      </w:tr>
      <w:tr>
        <w:trPr>
          <w:trHeight w:val="106"/>
        </w:trPr>
        <w:tc>
          <w:tcPr>
            <w:tcW w:w="2420" w:type="dxa"/>
            <w:vAlign w:val="bottom"/>
            <w:gridSpan w:val="2"/>
          </w:tcPr>
          <w:p>
            <w:pPr>
              <w:spacing w:after="0" w:line="106" w:lineRule="exact"/>
              <w:rPr>
                <w:sz w:val="20"/>
                <w:szCs w:val="20"/>
                <w:color w:val="auto"/>
              </w:rPr>
            </w:pPr>
            <w:r>
              <w:rPr>
                <w:rFonts w:ascii="Arial" w:cs="Arial" w:eastAsia="Arial" w:hAnsi="Arial"/>
                <w:sz w:val="10"/>
                <w:szCs w:val="10"/>
                <w:color w:val="auto"/>
              </w:rPr>
              <w:t>Accretion expense</w:t>
            </w:r>
          </w:p>
        </w:tc>
        <w:tc>
          <w:tcPr>
            <w:tcW w:w="1160" w:type="dxa"/>
            <w:vAlign w:val="bottom"/>
          </w:tcPr>
          <w:p>
            <w:pPr>
              <w:spacing w:after="0"/>
              <w:rPr>
                <w:sz w:val="9"/>
                <w:szCs w:val="9"/>
                <w:color w:val="auto"/>
              </w:rPr>
            </w:pPr>
          </w:p>
        </w:tc>
        <w:tc>
          <w:tcPr>
            <w:tcW w:w="540" w:type="dxa"/>
            <w:vAlign w:val="bottom"/>
            <w:tcBorders>
              <w:right w:val="single" w:sz="8" w:color="0077C0"/>
            </w:tcBorders>
          </w:tcPr>
          <w:p>
            <w:pPr>
              <w:jc w:val="right"/>
              <w:ind w:right="130"/>
              <w:spacing w:after="0" w:line="106" w:lineRule="exact"/>
              <w:rPr>
                <w:sz w:val="20"/>
                <w:szCs w:val="20"/>
                <w:color w:val="auto"/>
              </w:rPr>
            </w:pPr>
            <w:r>
              <w:rPr>
                <w:rFonts w:ascii="Arial" w:cs="Arial" w:eastAsia="Arial" w:hAnsi="Arial"/>
                <w:sz w:val="10"/>
                <w:szCs w:val="10"/>
                <w:b w:val="1"/>
                <w:bCs w:val="1"/>
                <w:color w:val="auto"/>
              </w:rPr>
              <w:t>628</w:t>
            </w:r>
          </w:p>
        </w:tc>
        <w:tc>
          <w:tcPr>
            <w:tcW w:w="280" w:type="dxa"/>
            <w:vAlign w:val="bottom"/>
          </w:tcPr>
          <w:p>
            <w:pPr>
              <w:spacing w:after="0"/>
              <w:rPr>
                <w:sz w:val="9"/>
                <w:szCs w:val="9"/>
                <w:color w:val="auto"/>
              </w:rPr>
            </w:pPr>
          </w:p>
        </w:tc>
        <w:tc>
          <w:tcPr>
            <w:tcW w:w="480" w:type="dxa"/>
            <w:vAlign w:val="bottom"/>
          </w:tcPr>
          <w:p>
            <w:pPr>
              <w:jc w:val="right"/>
              <w:ind w:right="70"/>
              <w:spacing w:after="0" w:line="106" w:lineRule="exact"/>
              <w:rPr>
                <w:sz w:val="20"/>
                <w:szCs w:val="20"/>
                <w:color w:val="auto"/>
              </w:rPr>
            </w:pPr>
            <w:r>
              <w:rPr>
                <w:rFonts w:ascii="Arial" w:cs="Arial" w:eastAsia="Arial" w:hAnsi="Arial"/>
                <w:sz w:val="10"/>
                <w:szCs w:val="10"/>
                <w:color w:val="auto"/>
              </w:rPr>
              <w:t>513</w:t>
            </w:r>
          </w:p>
        </w:tc>
        <w:tc>
          <w:tcPr>
            <w:tcW w:w="2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463</w:t>
            </w:r>
          </w:p>
        </w:tc>
        <w:tc>
          <w:tcPr>
            <w:tcW w:w="40" w:type="dxa"/>
            <w:vAlign w:val="bottom"/>
          </w:tcPr>
          <w:p>
            <w:pPr>
              <w:spacing w:after="0"/>
              <w:rPr>
                <w:sz w:val="9"/>
                <w:szCs w:val="9"/>
                <w:color w:val="auto"/>
              </w:rPr>
            </w:pPr>
          </w:p>
        </w:tc>
      </w:tr>
      <w:tr>
        <w:trPr>
          <w:trHeight w:val="120"/>
        </w:trPr>
        <w:tc>
          <w:tcPr>
            <w:tcW w:w="24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Revisions in estimated cash flows</w:t>
            </w:r>
          </w:p>
        </w:tc>
        <w:tc>
          <w:tcPr>
            <w:tcW w:w="116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905</w:t>
            </w:r>
          </w:p>
        </w:tc>
        <w:tc>
          <w:tcPr>
            <w:tcW w:w="28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70"/>
              <w:spacing w:after="0"/>
              <w:rPr>
                <w:sz w:val="20"/>
                <w:szCs w:val="20"/>
                <w:color w:val="auto"/>
              </w:rPr>
            </w:pPr>
            <w:r>
              <w:rPr>
                <w:rFonts w:ascii="Arial" w:cs="Arial" w:eastAsia="Arial" w:hAnsi="Arial"/>
                <w:sz w:val="10"/>
                <w:szCs w:val="10"/>
                <w:color w:val="auto"/>
              </w:rPr>
              <w:t>2,426</w:t>
            </w:r>
          </w:p>
        </w:tc>
        <w:tc>
          <w:tcPr>
            <w:tcW w:w="22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930</w:t>
            </w:r>
          </w:p>
        </w:tc>
        <w:tc>
          <w:tcPr>
            <w:tcW w:w="40" w:type="dxa"/>
            <w:vAlign w:val="bottom"/>
          </w:tcPr>
          <w:p>
            <w:pPr>
              <w:spacing w:after="0"/>
              <w:rPr>
                <w:sz w:val="10"/>
                <w:szCs w:val="10"/>
                <w:color w:val="auto"/>
              </w:rPr>
            </w:pPr>
          </w:p>
        </w:tc>
      </w:tr>
      <w:tr>
        <w:trPr>
          <w:trHeight w:val="123"/>
        </w:trPr>
        <w:tc>
          <w:tcPr>
            <w:tcW w:w="242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Balance at December 31</w:t>
            </w:r>
          </w:p>
        </w:tc>
        <w:tc>
          <w:tcPr>
            <w:tcW w:w="116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12,767</w:t>
            </w:r>
          </w:p>
        </w:tc>
        <w:tc>
          <w:tcPr>
            <w:tcW w:w="28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70"/>
              <w:spacing w:after="0"/>
              <w:rPr>
                <w:sz w:val="20"/>
                <w:szCs w:val="20"/>
                <w:color w:val="auto"/>
              </w:rPr>
            </w:pPr>
            <w:r>
              <w:rPr>
                <w:rFonts w:ascii="Arial" w:cs="Arial" w:eastAsia="Arial" w:hAnsi="Arial"/>
                <w:sz w:val="10"/>
                <w:szCs w:val="10"/>
                <w:color w:val="auto"/>
              </w:rPr>
              <w:t>12,488</w:t>
            </w:r>
          </w:p>
        </w:tc>
        <w:tc>
          <w:tcPr>
            <w:tcW w:w="22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10,175</w:t>
            </w:r>
          </w:p>
        </w:tc>
        <w:tc>
          <w:tcPr>
            <w:tcW w:w="40" w:type="dxa"/>
            <w:vAlign w:val="bottom"/>
          </w:tcPr>
          <w:p>
            <w:pPr>
              <w:spacing w:after="0"/>
              <w:rPr>
                <w:sz w:val="10"/>
                <w:szCs w:val="10"/>
                <w:color w:val="auto"/>
              </w:rPr>
            </w:pPr>
          </w:p>
        </w:tc>
      </w:tr>
    </w:tbl>
    <w:p>
      <w:pPr>
        <w:spacing w:after="0" w:line="6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long-term portion of the $12,767 balance at the end of 2011 was $11,999.</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26</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Other Financial Information</w:t>
      </w:r>
    </w:p>
    <w:p>
      <w:pPr>
        <w:ind w:right="40"/>
        <w:spacing w:after="0" w:line="291" w:lineRule="auto"/>
        <w:rPr>
          <w:sz w:val="20"/>
          <w:szCs w:val="20"/>
          <w:color w:val="auto"/>
        </w:rPr>
      </w:pPr>
      <w:r>
        <w:rPr>
          <w:rFonts w:ascii="Arial" w:cs="Arial" w:eastAsia="Arial" w:hAnsi="Arial"/>
          <w:sz w:val="11"/>
          <w:szCs w:val="11"/>
          <w:color w:val="auto"/>
        </w:rPr>
        <w:t>Earnings in 2011 included gains of approximately $1,300 relating to the sale of nonstrategic properties. Of this amount, approximately $800 and $500 related to downstream and upstream assets, respectively. Earnings in 2010 included gains of approximately $700 relating to the sale of nonstrategic properties. Of this amount, approximately $400 and $300 related to downstream and upstream assets, respectively. The revenues and earnings contributions of these assets were not material to periods presented.</w:t>
      </w:r>
    </w:p>
    <w:p>
      <w:pPr>
        <w:ind w:left="160"/>
        <w:spacing w:after="0"/>
        <w:rPr>
          <w:sz w:val="20"/>
          <w:szCs w:val="20"/>
          <w:color w:val="auto"/>
        </w:rPr>
      </w:pPr>
      <w:r>
        <w:rPr>
          <w:rFonts w:ascii="Arial" w:cs="Arial" w:eastAsia="Arial" w:hAnsi="Arial"/>
          <w:sz w:val="13"/>
          <w:szCs w:val="13"/>
          <w:color w:val="auto"/>
        </w:rPr>
        <w:t>Other financial information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gridSpan w:val="4"/>
          </w:tcPr>
          <w:p>
            <w:pPr>
              <w:jc w:val="center"/>
              <w:ind w:left="31"/>
              <w:spacing w:after="0"/>
              <w:rPr>
                <w:sz w:val="20"/>
                <w:szCs w:val="20"/>
                <w:color w:val="auto"/>
              </w:rPr>
            </w:pPr>
            <w:r>
              <w:rPr>
                <w:rFonts w:ascii="Arial" w:cs="Arial" w:eastAsia="Arial" w:hAnsi="Arial"/>
                <w:sz w:val="9"/>
                <w:szCs w:val="9"/>
                <w:color w:val="auto"/>
                <w:w w:val="87"/>
              </w:rPr>
              <w:t>Year ended December 31</w:t>
            </w:r>
          </w:p>
        </w:tc>
      </w:tr>
      <w:tr>
        <w:trPr>
          <w:trHeight w:val="86"/>
        </w:trPr>
        <w:tc>
          <w:tcPr>
            <w:tcW w:w="20" w:type="dxa"/>
            <w:vAlign w:val="bottom"/>
          </w:tcPr>
          <w:p>
            <w:pPr>
              <w:spacing w:after="0"/>
              <w:rPr>
                <w:sz w:val="7"/>
                <w:szCs w:val="7"/>
                <w:color w:val="auto"/>
              </w:rPr>
            </w:pPr>
          </w:p>
        </w:tc>
        <w:tc>
          <w:tcPr>
            <w:tcW w:w="2480" w:type="dxa"/>
            <w:vAlign w:val="bottom"/>
            <w:tcBorders>
              <w:bottom w:val="single" w:sz="8" w:color="0077C0"/>
            </w:tcBorders>
          </w:tcPr>
          <w:p>
            <w:pPr>
              <w:spacing w:after="0"/>
              <w:rPr>
                <w:sz w:val="7"/>
                <w:szCs w:val="7"/>
                <w:color w:val="auto"/>
              </w:rPr>
            </w:pPr>
          </w:p>
        </w:tc>
        <w:tc>
          <w:tcPr>
            <w:tcW w:w="940" w:type="dxa"/>
            <w:vAlign w:val="bottom"/>
            <w:tcBorders>
              <w:bottom w:val="single" w:sz="8" w:color="0077C0"/>
            </w:tcBorders>
          </w:tcPr>
          <w:p>
            <w:pPr>
              <w:spacing w:after="0"/>
              <w:rPr>
                <w:sz w:val="7"/>
                <w:szCs w:val="7"/>
                <w:color w:val="auto"/>
              </w:rPr>
            </w:pPr>
          </w:p>
        </w:tc>
        <w:tc>
          <w:tcPr>
            <w:tcW w:w="180" w:type="dxa"/>
            <w:vAlign w:val="bottom"/>
            <w:tcBorders>
              <w:top w:val="single" w:sz="8" w:color="0077C0"/>
              <w:bottom w:val="single" w:sz="8" w:color="0077C0"/>
            </w:tcBorders>
          </w:tcPr>
          <w:p>
            <w:pPr>
              <w:spacing w:after="0"/>
              <w:rPr>
                <w:sz w:val="7"/>
                <w:szCs w:val="7"/>
                <w:color w:val="auto"/>
              </w:rPr>
            </w:pPr>
          </w:p>
        </w:tc>
        <w:tc>
          <w:tcPr>
            <w:tcW w:w="500" w:type="dxa"/>
            <w:vAlign w:val="bottom"/>
            <w:tcBorders>
              <w:top w:val="single" w:sz="8" w:color="0077C0"/>
              <w:bottom w:val="single" w:sz="8" w:color="0077C0"/>
            </w:tcBorders>
          </w:tcPr>
          <w:p>
            <w:pPr>
              <w:jc w:val="right"/>
              <w:ind w:right="130"/>
              <w:spacing w:after="0" w:line="86" w:lineRule="exact"/>
              <w:rPr>
                <w:sz w:val="20"/>
                <w:szCs w:val="20"/>
                <w:color w:val="auto"/>
              </w:rPr>
            </w:pPr>
            <w:r>
              <w:rPr>
                <w:rFonts w:ascii="Arial" w:cs="Arial" w:eastAsia="Arial" w:hAnsi="Arial"/>
                <w:sz w:val="9"/>
                <w:szCs w:val="9"/>
                <w:b w:val="1"/>
                <w:bCs w:val="1"/>
                <w:color w:val="auto"/>
              </w:rPr>
              <w:t>2011</w:t>
            </w:r>
          </w:p>
        </w:tc>
        <w:tc>
          <w:tcPr>
            <w:tcW w:w="320" w:type="dxa"/>
            <w:vAlign w:val="bottom"/>
            <w:tcBorders>
              <w:top w:val="single" w:sz="8" w:color="0077C0"/>
              <w:bottom w:val="single" w:sz="8" w:color="0077C0"/>
            </w:tcBorders>
          </w:tcPr>
          <w:p>
            <w:pPr>
              <w:spacing w:after="0"/>
              <w:rPr>
                <w:sz w:val="7"/>
                <w:szCs w:val="7"/>
                <w:color w:val="auto"/>
              </w:rPr>
            </w:pPr>
          </w:p>
        </w:tc>
        <w:tc>
          <w:tcPr>
            <w:tcW w:w="440" w:type="dxa"/>
            <w:vAlign w:val="bottom"/>
            <w:tcBorders>
              <w:top w:val="single" w:sz="8" w:color="0077C0"/>
              <w:bottom w:val="single" w:sz="8" w:color="0077C0"/>
            </w:tcBorders>
          </w:tcPr>
          <w:p>
            <w:pPr>
              <w:jc w:val="right"/>
              <w:ind w:right="71"/>
              <w:spacing w:after="0" w:line="86" w:lineRule="exact"/>
              <w:rPr>
                <w:sz w:val="20"/>
                <w:szCs w:val="20"/>
                <w:color w:val="auto"/>
              </w:rPr>
            </w:pPr>
            <w:r>
              <w:rPr>
                <w:rFonts w:ascii="Arial" w:cs="Arial" w:eastAsia="Arial" w:hAnsi="Arial"/>
                <w:sz w:val="9"/>
                <w:szCs w:val="9"/>
                <w:color w:val="auto"/>
              </w:rPr>
              <w:t>2010</w:t>
            </w:r>
          </w:p>
        </w:tc>
        <w:tc>
          <w:tcPr>
            <w:tcW w:w="260" w:type="dxa"/>
            <w:vAlign w:val="bottom"/>
            <w:tcBorders>
              <w:top w:val="single" w:sz="8" w:color="0077C0"/>
              <w:bottom w:val="single" w:sz="8" w:color="0077C0"/>
            </w:tcBorders>
          </w:tcPr>
          <w:p>
            <w:pPr>
              <w:spacing w:after="0"/>
              <w:rPr>
                <w:sz w:val="7"/>
                <w:szCs w:val="7"/>
                <w:color w:val="auto"/>
              </w:rPr>
            </w:pPr>
          </w:p>
        </w:tc>
        <w:tc>
          <w:tcPr>
            <w:tcW w:w="320" w:type="dxa"/>
            <w:vAlign w:val="bottom"/>
            <w:tcBorders>
              <w:top w:val="single" w:sz="8" w:color="0077C0"/>
              <w:bottom w:val="single" w:sz="8" w:color="0077C0"/>
            </w:tcBorders>
          </w:tcPr>
          <w:p>
            <w:pPr>
              <w:jc w:val="right"/>
              <w:spacing w:after="0" w:line="86" w:lineRule="exact"/>
              <w:rPr>
                <w:sz w:val="20"/>
                <w:szCs w:val="20"/>
                <w:color w:val="auto"/>
              </w:rPr>
            </w:pPr>
            <w:r>
              <w:rPr>
                <w:rFonts w:ascii="Arial" w:cs="Arial" w:eastAsia="Arial" w:hAnsi="Arial"/>
                <w:sz w:val="9"/>
                <w:szCs w:val="9"/>
                <w:color w:val="auto"/>
              </w:rPr>
              <w:t>2009</w:t>
            </w:r>
          </w:p>
        </w:tc>
        <w:tc>
          <w:tcPr>
            <w:tcW w:w="4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480" w:type="dxa"/>
            <w:vAlign w:val="bottom"/>
          </w:tcPr>
          <w:p>
            <w:pPr>
              <w:spacing w:after="0" w:line="91" w:lineRule="exact"/>
              <w:rPr>
                <w:sz w:val="20"/>
                <w:szCs w:val="20"/>
                <w:color w:val="auto"/>
              </w:rPr>
            </w:pPr>
            <w:r>
              <w:rPr>
                <w:rFonts w:ascii="Arial" w:cs="Arial" w:eastAsia="Arial" w:hAnsi="Arial"/>
                <w:sz w:val="10"/>
                <w:szCs w:val="10"/>
                <w:color w:val="auto"/>
              </w:rPr>
              <w:t>Total financing interest and debt costs</w:t>
            </w:r>
          </w:p>
        </w:tc>
        <w:tc>
          <w:tcPr>
            <w:tcW w:w="1120" w:type="dxa"/>
            <w:vAlign w:val="bottom"/>
            <w:gridSpan w:val="2"/>
          </w:tcPr>
          <w:p>
            <w:pPr>
              <w:jc w:val="right"/>
              <w:ind w:right="114"/>
              <w:spacing w:after="0" w:line="91" w:lineRule="exact"/>
              <w:rPr>
                <w:sz w:val="20"/>
                <w:szCs w:val="20"/>
                <w:color w:val="auto"/>
              </w:rPr>
            </w:pPr>
            <w:r>
              <w:rPr>
                <w:rFonts w:ascii="Arial" w:cs="Arial" w:eastAsia="Arial" w:hAnsi="Arial"/>
                <w:sz w:val="10"/>
                <w:szCs w:val="10"/>
                <w:b w:val="1"/>
                <w:bCs w:val="1"/>
                <w:color w:val="auto"/>
              </w:rPr>
              <w:t>$</w:t>
            </w:r>
          </w:p>
        </w:tc>
        <w:tc>
          <w:tcPr>
            <w:tcW w:w="500" w:type="dxa"/>
            <w:vAlign w:val="bottom"/>
            <w:tcBorders>
              <w:right w:val="single" w:sz="8" w:color="0077C0"/>
            </w:tcBorders>
          </w:tcPr>
          <w:p>
            <w:pPr>
              <w:jc w:val="right"/>
              <w:ind w:right="130"/>
              <w:spacing w:after="0" w:line="91" w:lineRule="exact"/>
              <w:rPr>
                <w:sz w:val="20"/>
                <w:szCs w:val="20"/>
                <w:color w:val="auto"/>
              </w:rPr>
            </w:pPr>
            <w:r>
              <w:rPr>
                <w:rFonts w:ascii="Arial" w:cs="Arial" w:eastAsia="Arial" w:hAnsi="Arial"/>
                <w:sz w:val="10"/>
                <w:szCs w:val="10"/>
                <w:b w:val="1"/>
                <w:bCs w:val="1"/>
                <w:color w:val="auto"/>
              </w:rPr>
              <w:t>288</w:t>
            </w:r>
          </w:p>
        </w:tc>
        <w:tc>
          <w:tcPr>
            <w:tcW w:w="320" w:type="dxa"/>
            <w:vAlign w:val="bottom"/>
          </w:tcPr>
          <w:p>
            <w:pPr>
              <w:jc w:val="right"/>
              <w:ind w:right="69"/>
              <w:spacing w:after="0" w:line="91"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71"/>
              <w:spacing w:after="0" w:line="91" w:lineRule="exact"/>
              <w:rPr>
                <w:sz w:val="20"/>
                <w:szCs w:val="20"/>
                <w:color w:val="auto"/>
              </w:rPr>
            </w:pPr>
            <w:r>
              <w:rPr>
                <w:rFonts w:ascii="Arial" w:cs="Arial" w:eastAsia="Arial" w:hAnsi="Arial"/>
                <w:sz w:val="10"/>
                <w:szCs w:val="10"/>
                <w:color w:val="auto"/>
              </w:rPr>
              <w:t>317</w:t>
            </w:r>
          </w:p>
        </w:tc>
        <w:tc>
          <w:tcPr>
            <w:tcW w:w="260" w:type="dxa"/>
            <w:vAlign w:val="bottom"/>
          </w:tcPr>
          <w:p>
            <w:pPr>
              <w:jc w:val="center"/>
              <w:spacing w:after="0" w:line="91"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91" w:lineRule="exact"/>
              <w:rPr>
                <w:sz w:val="20"/>
                <w:szCs w:val="20"/>
                <w:color w:val="auto"/>
              </w:rPr>
            </w:pPr>
            <w:r>
              <w:rPr>
                <w:rFonts w:ascii="Arial" w:cs="Arial" w:eastAsia="Arial" w:hAnsi="Arial"/>
                <w:sz w:val="10"/>
                <w:szCs w:val="10"/>
                <w:color w:val="auto"/>
              </w:rPr>
              <w:t>301</w:t>
            </w:r>
          </w:p>
        </w:tc>
        <w:tc>
          <w:tcPr>
            <w:tcW w:w="40" w:type="dxa"/>
            <w:vAlign w:val="bottom"/>
          </w:tcPr>
          <w:p>
            <w:pPr>
              <w:spacing w:after="0"/>
              <w:rPr>
                <w:sz w:val="7"/>
                <w:szCs w:val="7"/>
                <w:color w:val="auto"/>
              </w:rPr>
            </w:pPr>
          </w:p>
        </w:tc>
      </w:tr>
      <w:tr>
        <w:trPr>
          <w:trHeight w:val="120"/>
        </w:trPr>
        <w:tc>
          <w:tcPr>
            <w:tcW w:w="2500" w:type="dxa"/>
            <w:vAlign w:val="bottom"/>
            <w:gridSpan w:val="2"/>
          </w:tcPr>
          <w:p>
            <w:pPr>
              <w:spacing w:after="0"/>
              <w:rPr>
                <w:sz w:val="20"/>
                <w:szCs w:val="20"/>
                <w:color w:val="auto"/>
              </w:rPr>
            </w:pPr>
            <w:r>
              <w:rPr>
                <w:rFonts w:ascii="Arial" w:cs="Arial" w:eastAsia="Arial" w:hAnsi="Arial"/>
                <w:sz w:val="10"/>
                <w:szCs w:val="10"/>
                <w:color w:val="auto"/>
              </w:rPr>
              <w:t>Less: Capitalized interest</w:t>
            </w:r>
          </w:p>
        </w:tc>
        <w:tc>
          <w:tcPr>
            <w:tcW w:w="940" w:type="dxa"/>
            <w:vAlign w:val="bottom"/>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288</w:t>
            </w:r>
          </w:p>
        </w:tc>
        <w:tc>
          <w:tcPr>
            <w:tcW w:w="32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ind w:right="71"/>
              <w:spacing w:after="0"/>
              <w:rPr>
                <w:sz w:val="20"/>
                <w:szCs w:val="20"/>
                <w:color w:val="auto"/>
              </w:rPr>
            </w:pPr>
            <w:r>
              <w:rPr>
                <w:rFonts w:ascii="Arial" w:cs="Arial" w:eastAsia="Arial" w:hAnsi="Arial"/>
                <w:sz w:val="10"/>
                <w:szCs w:val="10"/>
                <w:color w:val="auto"/>
              </w:rPr>
              <w:t>267</w:t>
            </w:r>
          </w:p>
        </w:tc>
        <w:tc>
          <w:tcPr>
            <w:tcW w:w="260" w:type="dxa"/>
            <w:vAlign w:val="bottom"/>
            <w:tcBorders>
              <w:bottom w:val="single" w:sz="8" w:color="0077C0"/>
            </w:tcBorders>
          </w:tcPr>
          <w:p>
            <w:pPr>
              <w:spacing w:after="0"/>
              <w:rPr>
                <w:sz w:val="10"/>
                <w:szCs w:val="10"/>
                <w:color w:val="auto"/>
              </w:rPr>
            </w:pPr>
          </w:p>
        </w:tc>
        <w:tc>
          <w:tcPr>
            <w:tcW w:w="32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273</w:t>
            </w:r>
          </w:p>
        </w:tc>
        <w:tc>
          <w:tcPr>
            <w:tcW w:w="40" w:type="dxa"/>
            <w:vAlign w:val="bottom"/>
          </w:tcPr>
          <w:p>
            <w:pPr>
              <w:spacing w:after="0"/>
              <w:rPr>
                <w:sz w:val="10"/>
                <w:szCs w:val="10"/>
                <w:color w:val="auto"/>
              </w:rPr>
            </w:pPr>
          </w:p>
        </w:tc>
      </w:tr>
      <w:tr>
        <w:trPr>
          <w:trHeight w:val="114"/>
        </w:trPr>
        <w:tc>
          <w:tcPr>
            <w:tcW w:w="2500" w:type="dxa"/>
            <w:vAlign w:val="bottom"/>
            <w:gridSpan w:val="2"/>
          </w:tcPr>
          <w:p>
            <w:pPr>
              <w:spacing w:after="0" w:line="105" w:lineRule="exact"/>
              <w:rPr>
                <w:sz w:val="20"/>
                <w:szCs w:val="20"/>
                <w:color w:val="auto"/>
              </w:rPr>
            </w:pPr>
            <w:r>
              <w:rPr>
                <w:rFonts w:ascii="Arial" w:cs="Arial" w:eastAsia="Arial" w:hAnsi="Arial"/>
                <w:sz w:val="10"/>
                <w:szCs w:val="10"/>
                <w:color w:val="auto"/>
              </w:rPr>
              <w:t>Interest and debt expense</w:t>
            </w:r>
          </w:p>
        </w:tc>
        <w:tc>
          <w:tcPr>
            <w:tcW w:w="940" w:type="dxa"/>
            <w:vAlign w:val="bottom"/>
          </w:tcPr>
          <w:p>
            <w:pPr>
              <w:spacing w:after="0"/>
              <w:rPr>
                <w:sz w:val="9"/>
                <w:szCs w:val="9"/>
                <w:color w:val="auto"/>
              </w:rPr>
            </w:pP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right w:val="single" w:sz="8" w:color="0077C0"/>
            </w:tcBorders>
          </w:tcPr>
          <w:p>
            <w:pPr>
              <w:jc w:val="right"/>
              <w:ind w:right="130"/>
              <w:spacing w:after="0" w:line="105" w:lineRule="exact"/>
              <w:rPr>
                <w:sz w:val="20"/>
                <w:szCs w:val="20"/>
                <w:color w:val="auto"/>
              </w:rPr>
            </w:pPr>
            <w:r>
              <w:rPr>
                <w:rFonts w:ascii="Arial" w:cs="Arial" w:eastAsia="Arial" w:hAnsi="Arial"/>
                <w:sz w:val="10"/>
                <w:szCs w:val="10"/>
                <w:b w:val="1"/>
                <w:bCs w:val="1"/>
                <w:color w:val="auto"/>
              </w:rPr>
              <w:t>–</w:t>
            </w:r>
          </w:p>
        </w:tc>
        <w:tc>
          <w:tcPr>
            <w:tcW w:w="320" w:type="dxa"/>
            <w:vAlign w:val="bottom"/>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71"/>
              <w:spacing w:after="0" w:line="105" w:lineRule="exact"/>
              <w:rPr>
                <w:sz w:val="20"/>
                <w:szCs w:val="20"/>
                <w:color w:val="auto"/>
              </w:rPr>
            </w:pPr>
            <w:r>
              <w:rPr>
                <w:rFonts w:ascii="Arial" w:cs="Arial" w:eastAsia="Arial" w:hAnsi="Arial"/>
                <w:sz w:val="10"/>
                <w:szCs w:val="10"/>
                <w:color w:val="auto"/>
              </w:rPr>
              <w:t>50</w:t>
            </w:r>
          </w:p>
        </w:tc>
        <w:tc>
          <w:tcPr>
            <w:tcW w:w="260" w:type="dxa"/>
            <w:vAlign w:val="bottom"/>
          </w:tcPr>
          <w:p>
            <w:pPr>
              <w:jc w:val="center"/>
              <w:spacing w:after="0" w:line="105"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5" w:lineRule="exact"/>
              <w:rPr>
                <w:sz w:val="20"/>
                <w:szCs w:val="20"/>
                <w:color w:val="auto"/>
              </w:rPr>
            </w:pPr>
            <w:r>
              <w:rPr>
                <w:rFonts w:ascii="Arial" w:cs="Arial" w:eastAsia="Arial" w:hAnsi="Arial"/>
                <w:sz w:val="10"/>
                <w:szCs w:val="10"/>
                <w:color w:val="auto"/>
              </w:rPr>
              <w:t>28</w:t>
            </w:r>
          </w:p>
        </w:tc>
        <w:tc>
          <w:tcPr>
            <w:tcW w:w="40" w:type="dxa"/>
            <w:vAlign w:val="bottom"/>
          </w:tcPr>
          <w:p>
            <w:pPr>
              <w:spacing w:after="0"/>
              <w:rPr>
                <w:sz w:val="9"/>
                <w:szCs w:val="9"/>
                <w:color w:val="auto"/>
              </w:rPr>
            </w:pPr>
          </w:p>
        </w:tc>
      </w:tr>
      <w:tr>
        <w:trPr>
          <w:trHeight w:val="101"/>
        </w:trPr>
        <w:tc>
          <w:tcPr>
            <w:tcW w:w="20" w:type="dxa"/>
            <w:vAlign w:val="bottom"/>
          </w:tcPr>
          <w:p>
            <w:pPr>
              <w:spacing w:after="0"/>
              <w:rPr>
                <w:sz w:val="8"/>
                <w:szCs w:val="8"/>
                <w:color w:val="auto"/>
              </w:rPr>
            </w:pPr>
          </w:p>
        </w:tc>
        <w:tc>
          <w:tcPr>
            <w:tcW w:w="2480" w:type="dxa"/>
            <w:vAlign w:val="bottom"/>
            <w:tcBorders>
              <w:top w:val="single" w:sz="8" w:color="0077C0"/>
            </w:tcBorders>
          </w:tcPr>
          <w:p>
            <w:pPr>
              <w:spacing w:after="0" w:line="101" w:lineRule="exact"/>
              <w:rPr>
                <w:sz w:val="20"/>
                <w:szCs w:val="20"/>
                <w:color w:val="auto"/>
              </w:rPr>
            </w:pPr>
            <w:r>
              <w:rPr>
                <w:rFonts w:ascii="Arial" w:cs="Arial" w:eastAsia="Arial" w:hAnsi="Arial"/>
                <w:sz w:val="10"/>
                <w:szCs w:val="10"/>
                <w:color w:val="auto"/>
              </w:rPr>
              <w:t>Research and development expenses</w:t>
            </w:r>
          </w:p>
        </w:tc>
        <w:tc>
          <w:tcPr>
            <w:tcW w:w="1120" w:type="dxa"/>
            <w:vAlign w:val="bottom"/>
            <w:tcBorders>
              <w:top w:val="single" w:sz="8" w:color="0077C0"/>
            </w:tcBorders>
            <w:gridSpan w:val="2"/>
          </w:tcPr>
          <w:p>
            <w:pPr>
              <w:jc w:val="right"/>
              <w:ind w:right="114"/>
              <w:spacing w:after="0" w:line="101" w:lineRule="exact"/>
              <w:rPr>
                <w:sz w:val="20"/>
                <w:szCs w:val="20"/>
                <w:color w:val="auto"/>
              </w:rPr>
            </w:pPr>
            <w:r>
              <w:rPr>
                <w:rFonts w:ascii="Arial" w:cs="Arial" w:eastAsia="Arial" w:hAnsi="Arial"/>
                <w:sz w:val="10"/>
                <w:szCs w:val="10"/>
                <w:b w:val="1"/>
                <w:bCs w:val="1"/>
                <w:color w:val="auto"/>
              </w:rPr>
              <w:t>$</w:t>
            </w:r>
          </w:p>
        </w:tc>
        <w:tc>
          <w:tcPr>
            <w:tcW w:w="500" w:type="dxa"/>
            <w:vAlign w:val="bottom"/>
            <w:tcBorders>
              <w:top w:val="single" w:sz="8" w:color="0077C0"/>
              <w:right w:val="single" w:sz="8" w:color="0077C0"/>
            </w:tcBorders>
          </w:tcPr>
          <w:p>
            <w:pPr>
              <w:jc w:val="right"/>
              <w:ind w:right="130"/>
              <w:spacing w:after="0" w:line="101" w:lineRule="exact"/>
              <w:rPr>
                <w:sz w:val="20"/>
                <w:szCs w:val="20"/>
                <w:color w:val="auto"/>
              </w:rPr>
            </w:pPr>
            <w:r>
              <w:rPr>
                <w:rFonts w:ascii="Arial" w:cs="Arial" w:eastAsia="Arial" w:hAnsi="Arial"/>
                <w:sz w:val="10"/>
                <w:szCs w:val="10"/>
                <w:b w:val="1"/>
                <w:bCs w:val="1"/>
                <w:color w:val="auto"/>
              </w:rPr>
              <w:t>627</w:t>
            </w:r>
          </w:p>
        </w:tc>
        <w:tc>
          <w:tcPr>
            <w:tcW w:w="320" w:type="dxa"/>
            <w:vAlign w:val="bottom"/>
            <w:tcBorders>
              <w:top w:val="single" w:sz="8" w:color="0077C0"/>
            </w:tcBorders>
          </w:tcPr>
          <w:p>
            <w:pPr>
              <w:jc w:val="right"/>
              <w:ind w:right="69"/>
              <w:spacing w:after="0" w:line="101"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0077C0"/>
            </w:tcBorders>
          </w:tcPr>
          <w:p>
            <w:pPr>
              <w:jc w:val="right"/>
              <w:ind w:right="71"/>
              <w:spacing w:after="0" w:line="101" w:lineRule="exact"/>
              <w:rPr>
                <w:sz w:val="20"/>
                <w:szCs w:val="20"/>
                <w:color w:val="auto"/>
              </w:rPr>
            </w:pPr>
            <w:r>
              <w:rPr>
                <w:rFonts w:ascii="Arial" w:cs="Arial" w:eastAsia="Arial" w:hAnsi="Arial"/>
                <w:sz w:val="10"/>
                <w:szCs w:val="10"/>
                <w:color w:val="auto"/>
              </w:rPr>
              <w:t>526</w:t>
            </w:r>
          </w:p>
        </w:tc>
        <w:tc>
          <w:tcPr>
            <w:tcW w:w="260" w:type="dxa"/>
            <w:vAlign w:val="bottom"/>
            <w:tcBorders>
              <w:top w:val="single" w:sz="8" w:color="0077C0"/>
            </w:tcBorders>
          </w:tcPr>
          <w:p>
            <w:pPr>
              <w:jc w:val="center"/>
              <w:spacing w:after="0" w:line="101"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0077C0"/>
            </w:tcBorders>
          </w:tcPr>
          <w:p>
            <w:pPr>
              <w:jc w:val="right"/>
              <w:spacing w:after="0" w:line="101" w:lineRule="exact"/>
              <w:rPr>
                <w:sz w:val="20"/>
                <w:szCs w:val="20"/>
                <w:color w:val="auto"/>
              </w:rPr>
            </w:pPr>
            <w:r>
              <w:rPr>
                <w:rFonts w:ascii="Arial" w:cs="Arial" w:eastAsia="Arial" w:hAnsi="Arial"/>
                <w:sz w:val="10"/>
                <w:szCs w:val="10"/>
                <w:color w:val="auto"/>
              </w:rPr>
              <w:t>603</w:t>
            </w:r>
          </w:p>
        </w:tc>
        <w:tc>
          <w:tcPr>
            <w:tcW w:w="40" w:type="dxa"/>
            <w:vAlign w:val="bottom"/>
          </w:tcPr>
          <w:p>
            <w:pPr>
              <w:spacing w:after="0"/>
              <w:rPr>
                <w:sz w:val="8"/>
                <w:szCs w:val="8"/>
                <w:color w:val="auto"/>
              </w:rPr>
            </w:pPr>
          </w:p>
        </w:tc>
      </w:tr>
      <w:tr>
        <w:trPr>
          <w:trHeight w:val="130"/>
        </w:trPr>
        <w:tc>
          <w:tcPr>
            <w:tcW w:w="2500" w:type="dxa"/>
            <w:vAlign w:val="bottom"/>
            <w:gridSpan w:val="2"/>
          </w:tcPr>
          <w:p>
            <w:pPr>
              <w:spacing w:after="0"/>
              <w:rPr>
                <w:sz w:val="20"/>
                <w:szCs w:val="20"/>
                <w:color w:val="auto"/>
              </w:rPr>
            </w:pPr>
            <w:r>
              <w:rPr>
                <w:rFonts w:ascii="Arial" w:cs="Arial" w:eastAsia="Arial" w:hAnsi="Arial"/>
                <w:sz w:val="10"/>
                <w:szCs w:val="10"/>
                <w:color w:val="auto"/>
              </w:rPr>
              <w:t>Foreign currency effects*</w:t>
            </w:r>
          </w:p>
        </w:tc>
        <w:tc>
          <w:tcPr>
            <w:tcW w:w="1120" w:type="dxa"/>
            <w:vAlign w:val="bottom"/>
            <w:gridSpan w:val="2"/>
          </w:tcPr>
          <w:p>
            <w:pPr>
              <w:jc w:val="right"/>
              <w:ind w:right="114"/>
              <w:spacing w:after="0"/>
              <w:rPr>
                <w:sz w:val="20"/>
                <w:szCs w:val="20"/>
                <w:color w:val="auto"/>
              </w:rPr>
            </w:pPr>
            <w:r>
              <w:rPr>
                <w:rFonts w:ascii="Arial" w:cs="Arial" w:eastAsia="Arial" w:hAnsi="Arial"/>
                <w:sz w:val="10"/>
                <w:szCs w:val="10"/>
                <w:b w:val="1"/>
                <w:bCs w:val="1"/>
                <w:color w:val="auto"/>
              </w:rPr>
              <w:t>$</w:t>
            </w:r>
          </w:p>
        </w:tc>
        <w:tc>
          <w:tcPr>
            <w:tcW w:w="500" w:type="dxa"/>
            <w:vAlign w:val="bottom"/>
            <w:tcBorders>
              <w:right w:val="single" w:sz="8" w:color="0077C0"/>
            </w:tcBorders>
          </w:tcPr>
          <w:p>
            <w:pPr>
              <w:jc w:val="right"/>
              <w:ind w:right="130"/>
              <w:spacing w:after="0"/>
              <w:rPr>
                <w:sz w:val="20"/>
                <w:szCs w:val="20"/>
                <w:color w:val="auto"/>
              </w:rPr>
            </w:pPr>
            <w:r>
              <w:rPr>
                <w:rFonts w:ascii="Arial" w:cs="Arial" w:eastAsia="Arial" w:hAnsi="Arial"/>
                <w:sz w:val="10"/>
                <w:szCs w:val="10"/>
                <w:b w:val="1"/>
                <w:bCs w:val="1"/>
                <w:color w:val="auto"/>
              </w:rPr>
              <w:t>121</w:t>
            </w:r>
          </w:p>
        </w:tc>
        <w:tc>
          <w:tcPr>
            <w:tcW w:w="32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31"/>
              <w:spacing w:after="0"/>
              <w:rPr>
                <w:sz w:val="20"/>
                <w:szCs w:val="20"/>
                <w:color w:val="auto"/>
              </w:rPr>
            </w:pPr>
            <w:r>
              <w:rPr>
                <w:rFonts w:ascii="Arial" w:cs="Arial" w:eastAsia="Arial" w:hAnsi="Arial"/>
                <w:sz w:val="10"/>
                <w:szCs w:val="10"/>
                <w:color w:val="auto"/>
              </w:rPr>
              <w:t>(423)</w:t>
            </w:r>
          </w:p>
        </w:tc>
        <w:tc>
          <w:tcPr>
            <w:tcW w:w="26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0"/>
                <w:szCs w:val="10"/>
                <w:color w:val="auto"/>
              </w:rPr>
              <w:t>(744)</w:t>
            </w:r>
          </w:p>
        </w:tc>
      </w:tr>
      <w:tr>
        <w:trPr>
          <w:trHeight w:val="29"/>
        </w:trPr>
        <w:tc>
          <w:tcPr>
            <w:tcW w:w="20" w:type="dxa"/>
            <w:vAlign w:val="bottom"/>
            <w:shd w:val="clear" w:color="auto" w:fill="0077C0"/>
          </w:tcPr>
          <w:p>
            <w:pPr>
              <w:spacing w:after="0"/>
              <w:rPr>
                <w:sz w:val="2"/>
                <w:szCs w:val="2"/>
                <w:color w:val="auto"/>
              </w:rPr>
            </w:pPr>
          </w:p>
        </w:tc>
        <w:tc>
          <w:tcPr>
            <w:tcW w:w="2480" w:type="dxa"/>
            <w:vAlign w:val="bottom"/>
            <w:shd w:val="clear" w:color="auto" w:fill="0077C0"/>
          </w:tcPr>
          <w:p>
            <w:pPr>
              <w:spacing w:after="0"/>
              <w:rPr>
                <w:sz w:val="2"/>
                <w:szCs w:val="2"/>
                <w:color w:val="auto"/>
              </w:rPr>
            </w:pPr>
          </w:p>
        </w:tc>
        <w:tc>
          <w:tcPr>
            <w:tcW w:w="940" w:type="dxa"/>
            <w:vAlign w:val="bottom"/>
            <w:shd w:val="clear" w:color="auto" w:fill="0077C0"/>
          </w:tcPr>
          <w:p>
            <w:pPr>
              <w:spacing w:after="0"/>
              <w:rPr>
                <w:sz w:val="2"/>
                <w:szCs w:val="2"/>
                <w:color w:val="auto"/>
              </w:rPr>
            </w:pPr>
          </w:p>
        </w:tc>
        <w:tc>
          <w:tcPr>
            <w:tcW w:w="180" w:type="dxa"/>
            <w:vAlign w:val="bottom"/>
            <w:shd w:val="clear" w:color="auto" w:fill="0077C0"/>
          </w:tcPr>
          <w:p>
            <w:pPr>
              <w:spacing w:after="0"/>
              <w:rPr>
                <w:sz w:val="2"/>
                <w:szCs w:val="2"/>
                <w:color w:val="auto"/>
              </w:rPr>
            </w:pPr>
          </w:p>
        </w:tc>
        <w:tc>
          <w:tcPr>
            <w:tcW w:w="500" w:type="dxa"/>
            <w:vAlign w:val="bottom"/>
            <w:tcBorders>
              <w:right w:val="single" w:sz="8" w:color="0077C0"/>
            </w:tcBorders>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440" w:type="dxa"/>
            <w:vAlign w:val="bottom"/>
            <w:shd w:val="clear" w:color="auto" w:fill="0077C0"/>
          </w:tcPr>
          <w:p>
            <w:pPr>
              <w:spacing w:after="0"/>
              <w:rPr>
                <w:sz w:val="2"/>
                <w:szCs w:val="2"/>
                <w:color w:val="auto"/>
              </w:rPr>
            </w:pPr>
          </w:p>
        </w:tc>
        <w:tc>
          <w:tcPr>
            <w:tcW w:w="260" w:type="dxa"/>
            <w:vAlign w:val="bottom"/>
            <w:shd w:val="clear" w:color="auto" w:fill="0077C0"/>
          </w:tcPr>
          <w:p>
            <w:pPr>
              <w:spacing w:after="0"/>
              <w:rPr>
                <w:sz w:val="2"/>
                <w:szCs w:val="2"/>
                <w:color w:val="auto"/>
              </w:rPr>
            </w:pPr>
          </w:p>
        </w:tc>
        <w:tc>
          <w:tcPr>
            <w:tcW w:w="320" w:type="dxa"/>
            <w:vAlign w:val="bottom"/>
            <w:shd w:val="clear" w:color="auto" w:fill="0077C0"/>
          </w:tcPr>
          <w:p>
            <w:pPr>
              <w:spacing w:after="0"/>
              <w:rPr>
                <w:sz w:val="2"/>
                <w:szCs w:val="2"/>
                <w:color w:val="auto"/>
              </w:rPr>
            </w:pPr>
          </w:p>
        </w:tc>
        <w:tc>
          <w:tcPr>
            <w:tcW w:w="40" w:type="dxa"/>
            <w:vAlign w:val="bottom"/>
          </w:tcPr>
          <w:p>
            <w:pPr>
              <w:spacing w:after="0"/>
              <w:rPr>
                <w:sz w:val="2"/>
                <w:szCs w:val="2"/>
                <w:color w:val="auto"/>
              </w:rPr>
            </w:pPr>
          </w:p>
        </w:tc>
      </w:tr>
    </w:tbl>
    <w:p>
      <w:pPr>
        <w:spacing w:after="0" w:line="27" w:lineRule="exact"/>
        <w:rPr>
          <w:sz w:val="20"/>
          <w:szCs w:val="20"/>
          <w:color w:val="auto"/>
        </w:rPr>
      </w:pPr>
    </w:p>
    <w:p>
      <w:pPr>
        <w:ind w:left="100" w:hanging="96"/>
        <w:spacing w:after="0"/>
        <w:tabs>
          <w:tab w:leader="none" w:pos="100" w:val="left"/>
        </w:tabs>
        <w:numPr>
          <w:ilvl w:val="0"/>
          <w:numId w:val="46"/>
        </w:numPr>
        <w:rPr>
          <w:rFonts w:ascii="Arial" w:cs="Arial" w:eastAsia="Arial" w:hAnsi="Arial"/>
          <w:sz w:val="7"/>
          <w:szCs w:val="7"/>
          <w:color w:val="auto"/>
        </w:rPr>
      </w:pPr>
      <w:r>
        <w:rPr>
          <w:rFonts w:ascii="Arial" w:cs="Arial" w:eastAsia="Arial" w:hAnsi="Arial"/>
          <w:sz w:val="8"/>
          <w:szCs w:val="8"/>
          <w:color w:val="auto"/>
        </w:rPr>
        <w:t>Includes $(27), $(71) and $(194) in 2011, 2010 and 2009, respectively, for the company’s share of equity affiliates’ foreign currency effects.</w:t>
      </w:r>
    </w:p>
    <w:p>
      <w:pPr>
        <w:spacing w:after="0" w:line="83" w:lineRule="exact"/>
        <w:rPr>
          <w:sz w:val="20"/>
          <w:szCs w:val="20"/>
          <w:color w:val="auto"/>
        </w:rPr>
      </w:pPr>
    </w:p>
    <w:p>
      <w:pPr>
        <w:ind w:right="40" w:firstLine="158"/>
        <w:spacing w:after="0" w:line="271" w:lineRule="auto"/>
        <w:rPr>
          <w:sz w:val="20"/>
          <w:szCs w:val="20"/>
          <w:color w:val="auto"/>
        </w:rPr>
      </w:pPr>
      <w:r>
        <w:rPr>
          <w:rFonts w:ascii="Arial" w:cs="Arial" w:eastAsia="Arial" w:hAnsi="Arial"/>
          <w:sz w:val="12"/>
          <w:szCs w:val="12"/>
          <w:color w:val="auto"/>
        </w:rPr>
        <w:t>The excess of replacement cost over the carrying value of inventories for which the last-in, first-out (LIFO) method is used was $9,025 and $6,975 at December 31, 2011 and 2010, respectively. Replacement cost is generally based on average acquisition costs for the year. LIFO profits (charges) of $193, $21 and $(168) were included in earnings for the years 2011, 2010 and 2009, respectively.</w:t>
      </w:r>
    </w:p>
    <w:p>
      <w:pPr>
        <w:ind w:right="40" w:firstLine="158"/>
        <w:spacing w:after="0" w:line="249" w:lineRule="auto"/>
        <w:rPr>
          <w:sz w:val="20"/>
          <w:szCs w:val="20"/>
          <w:color w:val="auto"/>
        </w:rPr>
      </w:pPr>
      <w:r>
        <w:rPr>
          <w:rFonts w:ascii="Arial" w:cs="Arial" w:eastAsia="Arial" w:hAnsi="Arial"/>
          <w:sz w:val="13"/>
          <w:szCs w:val="13"/>
          <w:color w:val="auto"/>
        </w:rPr>
        <w:t>The company has $4,642 in goodwill on the Consolidated Balance Sheet related to the 2005 acquisition of Unocal and to the 2011 acquisition of Atlas Energy, Inc. Under the accounting standard for goodwill (ASC 350), the company tested this goodwill for impairment during 2011 and concluded no impairment was necessary.</w:t>
      </w:r>
    </w:p>
    <w:p>
      <w:pPr>
        <w:spacing w:after="0" w:line="200"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99" w:name="page100"/>
    <w:bookmarkEnd w:id="9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159385</wp:posOffset>
            </wp:positionV>
            <wp:extent cx="7285990" cy="4762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0077C0"/>
        </w:rPr>
        <w:t>Note 27</w:t>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color w:val="0077C0"/>
        </w:rPr>
        <w:t>Earnings Per Share</w:t>
      </w:r>
    </w:p>
    <w:p>
      <w:pPr>
        <w:spacing w:after="0" w:line="279" w:lineRule="auto"/>
        <w:rPr>
          <w:sz w:val="20"/>
          <w:szCs w:val="20"/>
          <w:color w:val="auto"/>
        </w:rPr>
      </w:pPr>
      <w:r>
        <w:rPr>
          <w:rFonts w:ascii="Arial" w:cs="Arial" w:eastAsia="Arial" w:hAnsi="Arial"/>
          <w:sz w:val="12"/>
          <w:szCs w:val="12"/>
          <w:color w:val="auto"/>
        </w:rPr>
        <w:t>Basic earnings per share (EPS) is based upon “Net Income Attributable to Chevron Corporation” (“earnings”) and includes the effects of deferrals of salary and other compensation awards that are invested in Chevron stock units by certain officers and employees of the company.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EPS includes the effects of these items as well as the dilutive effects of outstanding stock options awarded under the company’s stock option programs (refer to Note 20, “Stock Options and Other Share-Based Compensation,” beginning on page FS-48). The table below sets forth the computation of basic and diluted EPS:</w:t>
      </w:r>
    </w:p>
    <w:p>
      <w:pPr>
        <w:spacing w:after="0" w:line="396" w:lineRule="exact"/>
        <w:rPr>
          <w:sz w:val="20"/>
          <w:szCs w:val="20"/>
          <w:color w:val="auto"/>
        </w:rPr>
      </w:pPr>
    </w:p>
    <w:tbl>
      <w:tblPr>
        <w:tblLayout w:type="fixed"/>
        <w:tblInd w:w="2080" w:type="dxa"/>
        <w:tblCellMar>
          <w:top w:w="0" w:type="dxa"/>
          <w:left w:w="0" w:type="dxa"/>
          <w:bottom w:w="0" w:type="dxa"/>
          <w:right w:w="0" w:type="dxa"/>
        </w:tblCellMar>
      </w:tblPr>
      <w:tr>
        <w:trPr>
          <w:trHeight w:val="107"/>
        </w:trPr>
        <w:tc>
          <w:tcPr>
            <w:tcW w:w="1240" w:type="dxa"/>
            <w:vAlign w:val="bottom"/>
            <w:tcBorders>
              <w:bottom w:val="single" w:sz="8" w:color="0077C0"/>
            </w:tcBorders>
          </w:tcPr>
          <w:p>
            <w:pPr>
              <w:spacing w:after="0"/>
              <w:rPr>
                <w:sz w:val="9"/>
                <w:szCs w:val="9"/>
                <w:color w:val="auto"/>
              </w:rPr>
            </w:pPr>
          </w:p>
        </w:tc>
        <w:tc>
          <w:tcPr>
            <w:tcW w:w="960" w:type="dxa"/>
            <w:vAlign w:val="bottom"/>
            <w:tcBorders>
              <w:bottom w:val="single" w:sz="8" w:color="0077C0"/>
            </w:tcBorders>
          </w:tcPr>
          <w:p>
            <w:pPr>
              <w:spacing w:after="0"/>
              <w:rPr>
                <w:sz w:val="9"/>
                <w:szCs w:val="9"/>
                <w:color w:val="auto"/>
              </w:rPr>
            </w:pPr>
          </w:p>
        </w:tc>
        <w:tc>
          <w:tcPr>
            <w:tcW w:w="112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Year ended December 31</w:t>
            </w:r>
          </w:p>
        </w:tc>
      </w:tr>
      <w:tr>
        <w:trPr>
          <w:trHeight w:val="86"/>
        </w:trPr>
        <w:tc>
          <w:tcPr>
            <w:tcW w:w="1240" w:type="dxa"/>
            <w:vAlign w:val="bottom"/>
          </w:tcPr>
          <w:p>
            <w:pPr>
              <w:jc w:val="right"/>
              <w:ind w:right="495"/>
              <w:spacing w:after="0" w:line="86" w:lineRule="exact"/>
              <w:rPr>
                <w:sz w:val="20"/>
                <w:szCs w:val="20"/>
                <w:color w:val="auto"/>
              </w:rPr>
            </w:pPr>
            <w:r>
              <w:rPr>
                <w:rFonts w:ascii="Arial" w:cs="Arial" w:eastAsia="Arial" w:hAnsi="Arial"/>
                <w:sz w:val="9"/>
                <w:szCs w:val="9"/>
                <w:b w:val="1"/>
                <w:bCs w:val="1"/>
                <w:color w:val="auto"/>
              </w:rPr>
              <w:t>2011</w:t>
            </w:r>
          </w:p>
        </w:tc>
        <w:tc>
          <w:tcPr>
            <w:tcW w:w="960" w:type="dxa"/>
            <w:vAlign w:val="bottom"/>
          </w:tcPr>
          <w:p>
            <w:pPr>
              <w:jc w:val="right"/>
              <w:ind w:right="195"/>
              <w:spacing w:after="0" w:line="86" w:lineRule="exact"/>
              <w:rPr>
                <w:sz w:val="20"/>
                <w:szCs w:val="20"/>
                <w:color w:val="auto"/>
              </w:rPr>
            </w:pPr>
            <w:r>
              <w:rPr>
                <w:rFonts w:ascii="Arial" w:cs="Arial" w:eastAsia="Arial" w:hAnsi="Arial"/>
                <w:sz w:val="9"/>
                <w:szCs w:val="9"/>
                <w:color w:val="auto"/>
              </w:rPr>
              <w:t>2010</w:t>
            </w:r>
          </w:p>
        </w:tc>
        <w:tc>
          <w:tcPr>
            <w:tcW w:w="1120" w:type="dxa"/>
            <w:vAlign w:val="bottom"/>
          </w:tcPr>
          <w:p>
            <w:pPr>
              <w:jc w:val="right"/>
              <w:spacing w:after="0" w:line="86" w:lineRule="exact"/>
              <w:rPr>
                <w:sz w:val="20"/>
                <w:szCs w:val="20"/>
                <w:color w:val="auto"/>
              </w:rPr>
            </w:pPr>
            <w:r>
              <w:rPr>
                <w:rFonts w:ascii="Arial" w:cs="Arial" w:eastAsia="Arial" w:hAnsi="Arial"/>
                <w:sz w:val="9"/>
                <w:szCs w:val="9"/>
                <w:color w:val="auto"/>
              </w:rPr>
              <w:t>2009</w:t>
            </w:r>
          </w:p>
        </w:tc>
      </w:tr>
    </w:tbl>
    <w:p>
      <w:pPr>
        <w:spacing w:after="0" w:line="1" w:lineRule="exact"/>
        <w:rPr>
          <w:sz w:val="20"/>
          <w:szCs w:val="20"/>
          <w:color w:val="auto"/>
        </w:rPr>
      </w:pPr>
    </w:p>
    <w:p>
      <w:pPr>
        <w:sectPr>
          <w:pgSz w:w="11900" w:h="16838" w:orient="portrait"/>
          <w:cols w:equalWidth="0" w:num="2">
            <w:col w:w="5480" w:space="480"/>
            <w:col w:w="5500"/>
          </w:cols>
          <w:pgMar w:left="220" w:top="338" w:right="219" w:bottom="1440" w:gutter="0" w:footer="0" w:header="0"/>
          <w:type w:val="continuous"/>
        </w:sectPr>
      </w:pPr>
    </w:p>
    <w:tbl>
      <w:tblPr>
        <w:tblLayout w:type="fixed"/>
        <w:tblInd w:w="0" w:type="dxa"/>
        <w:tblCellMar>
          <w:top w:w="0" w:type="dxa"/>
          <w:left w:w="0" w:type="dxa"/>
          <w:bottom w:w="0" w:type="dxa"/>
          <w:right w:w="0" w:type="dxa"/>
        </w:tblCellMar>
      </w:tblPr>
      <w:tr>
        <w:trPr>
          <w:trHeight w:val="105"/>
        </w:trPr>
        <w:tc>
          <w:tcPr>
            <w:tcW w:w="5300" w:type="dxa"/>
            <w:vAlign w:val="bottom"/>
            <w:tcBorders>
              <w:top w:val="single" w:sz="8" w:color="0077C0"/>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auto"/>
              </w:rPr>
              <w:t>Basic EPS Calculation</w:t>
            </w:r>
          </w:p>
        </w:tc>
        <w:tc>
          <w:tcPr>
            <w:tcW w:w="298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right w:val="single" w:sz="8" w:color="0077C0"/>
            </w:tcBorders>
          </w:tcPr>
          <w:p>
            <w:pPr>
              <w:spacing w:after="0"/>
              <w:rPr>
                <w:sz w:val="9"/>
                <w:szCs w:val="9"/>
                <w:color w:val="auto"/>
              </w:rPr>
            </w:pPr>
          </w:p>
        </w:tc>
        <w:tc>
          <w:tcPr>
            <w:tcW w:w="460" w:type="dxa"/>
            <w:vAlign w:val="bottom"/>
            <w:tcBorders>
              <w:top w:val="single" w:sz="8" w:color="0077C0"/>
              <w:bottom w:val="single" w:sz="8" w:color="0077C0"/>
            </w:tcBorders>
          </w:tcPr>
          <w:p>
            <w:pPr>
              <w:spacing w:after="0"/>
              <w:rPr>
                <w:sz w:val="9"/>
                <w:szCs w:val="9"/>
                <w:color w:val="auto"/>
              </w:rPr>
            </w:pPr>
          </w:p>
        </w:tc>
        <w:tc>
          <w:tcPr>
            <w:tcW w:w="80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tcPr>
          <w:p>
            <w:pPr>
              <w:spacing w:after="0"/>
              <w:rPr>
                <w:sz w:val="9"/>
                <w:szCs w:val="9"/>
                <w:color w:val="auto"/>
              </w:rPr>
            </w:pPr>
          </w:p>
        </w:tc>
        <w:tc>
          <w:tcPr>
            <w:tcW w:w="440" w:type="dxa"/>
            <w:vAlign w:val="bottom"/>
            <w:tcBorders>
              <w:top w:val="single" w:sz="8" w:color="0077C0"/>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r>
      <w:tr>
        <w:trPr>
          <w:trHeight w:val="114"/>
        </w:trPr>
        <w:tc>
          <w:tcPr>
            <w:tcW w:w="530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Earnings available to common stockholders – Basic*</w:t>
            </w:r>
          </w:p>
        </w:tc>
        <w:tc>
          <w:tcPr>
            <w:tcW w:w="29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26,895</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19,024</w:t>
            </w:r>
          </w:p>
        </w:tc>
        <w:tc>
          <w:tcPr>
            <w:tcW w:w="5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10,483</w:t>
            </w:r>
          </w:p>
        </w:tc>
        <w:tc>
          <w:tcPr>
            <w:tcW w:w="20" w:type="dxa"/>
            <w:vAlign w:val="bottom"/>
            <w:tcBorders>
              <w:bottom w:val="single" w:sz="8" w:color="0077C0"/>
            </w:tcBorders>
          </w:tcPr>
          <w:p>
            <w:pPr>
              <w:spacing w:after="0"/>
              <w:rPr>
                <w:sz w:val="9"/>
                <w:szCs w:val="9"/>
                <w:color w:val="auto"/>
              </w:rPr>
            </w:pPr>
          </w:p>
        </w:tc>
      </w:tr>
      <w:tr>
        <w:trPr>
          <w:trHeight w:val="101"/>
        </w:trPr>
        <w:tc>
          <w:tcPr>
            <w:tcW w:w="5300" w:type="dxa"/>
            <w:vAlign w:val="bottom"/>
            <w:gridSpan w:val="2"/>
          </w:tcPr>
          <w:p>
            <w:pPr>
              <w:spacing w:after="0" w:line="101" w:lineRule="exact"/>
              <w:rPr>
                <w:sz w:val="20"/>
                <w:szCs w:val="20"/>
                <w:color w:val="auto"/>
              </w:rPr>
            </w:pPr>
            <w:r>
              <w:rPr>
                <w:rFonts w:ascii="Arial" w:cs="Arial" w:eastAsia="Arial" w:hAnsi="Arial"/>
                <w:sz w:val="10"/>
                <w:szCs w:val="10"/>
                <w:color w:val="auto"/>
              </w:rPr>
              <w:t>Weighted-average number of common shares outstanding</w:t>
            </w:r>
          </w:p>
        </w:tc>
        <w:tc>
          <w:tcPr>
            <w:tcW w:w="2980" w:type="dxa"/>
            <w:vAlign w:val="bottom"/>
          </w:tcPr>
          <w:p>
            <w:pPr>
              <w:spacing w:after="0"/>
              <w:rPr>
                <w:sz w:val="8"/>
                <w:szCs w:val="8"/>
                <w:color w:val="auto"/>
              </w:rPr>
            </w:pPr>
          </w:p>
        </w:tc>
        <w:tc>
          <w:tcPr>
            <w:tcW w:w="800" w:type="dxa"/>
            <w:vAlign w:val="bottom"/>
            <w:tcBorders>
              <w:right w:val="single" w:sz="8" w:color="0077C0"/>
            </w:tcBorders>
          </w:tcPr>
          <w:p>
            <w:pPr>
              <w:jc w:val="right"/>
              <w:ind w:right="289"/>
              <w:spacing w:after="0" w:line="101" w:lineRule="exact"/>
              <w:rPr>
                <w:sz w:val="20"/>
                <w:szCs w:val="20"/>
                <w:color w:val="auto"/>
              </w:rPr>
            </w:pPr>
            <w:r>
              <w:rPr>
                <w:rFonts w:ascii="Arial" w:cs="Arial" w:eastAsia="Arial" w:hAnsi="Arial"/>
                <w:sz w:val="10"/>
                <w:szCs w:val="10"/>
                <w:b w:val="1"/>
                <w:bCs w:val="1"/>
                <w:color w:val="auto"/>
              </w:rPr>
              <w:t>1,986</w:t>
            </w:r>
          </w:p>
        </w:tc>
        <w:tc>
          <w:tcPr>
            <w:tcW w:w="460" w:type="dxa"/>
            <w:vAlign w:val="bottom"/>
          </w:tcPr>
          <w:p>
            <w:pPr>
              <w:spacing w:after="0"/>
              <w:rPr>
                <w:sz w:val="8"/>
                <w:szCs w:val="8"/>
                <w:color w:val="auto"/>
              </w:rPr>
            </w:pPr>
          </w:p>
        </w:tc>
        <w:tc>
          <w:tcPr>
            <w:tcW w:w="800" w:type="dxa"/>
            <w:vAlign w:val="bottom"/>
          </w:tcPr>
          <w:p>
            <w:pPr>
              <w:jc w:val="right"/>
              <w:ind w:right="289"/>
              <w:spacing w:after="0" w:line="101" w:lineRule="exact"/>
              <w:rPr>
                <w:sz w:val="20"/>
                <w:szCs w:val="20"/>
                <w:color w:val="auto"/>
              </w:rPr>
            </w:pPr>
            <w:r>
              <w:rPr>
                <w:rFonts w:ascii="Arial" w:cs="Arial" w:eastAsia="Arial" w:hAnsi="Arial"/>
                <w:sz w:val="10"/>
                <w:szCs w:val="10"/>
                <w:color w:val="auto"/>
              </w:rPr>
              <w:t>1,996</w:t>
            </w:r>
          </w:p>
        </w:tc>
        <w:tc>
          <w:tcPr>
            <w:tcW w:w="58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1,991</w:t>
            </w:r>
          </w:p>
        </w:tc>
      </w:tr>
      <w:tr>
        <w:trPr>
          <w:trHeight w:val="120"/>
        </w:trPr>
        <w:tc>
          <w:tcPr>
            <w:tcW w:w="20" w:type="dxa"/>
            <w:vAlign w:val="bottom"/>
          </w:tcPr>
          <w:p>
            <w:pPr>
              <w:spacing w:after="0"/>
              <w:rPr>
                <w:sz w:val="10"/>
                <w:szCs w:val="10"/>
                <w:color w:val="auto"/>
              </w:rPr>
            </w:pPr>
          </w:p>
        </w:tc>
        <w:tc>
          <w:tcPr>
            <w:tcW w:w="52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Add: Deferred awards held as stock units</w:t>
            </w:r>
          </w:p>
        </w:tc>
        <w:tc>
          <w:tcPr>
            <w:tcW w:w="29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w:t>
            </w:r>
          </w:p>
        </w:tc>
        <w:tc>
          <w:tcPr>
            <w:tcW w:w="5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0"/>
                <w:szCs w:val="10"/>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528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Total weighted-average number of common shares outstanding</w:t>
            </w:r>
          </w:p>
        </w:tc>
        <w:tc>
          <w:tcPr>
            <w:tcW w:w="2980" w:type="dxa"/>
            <w:vAlign w:val="bottom"/>
            <w:tcBorders>
              <w:bottom w:val="single" w:sz="8" w:color="0077C0"/>
            </w:tcBorders>
          </w:tcPr>
          <w:p>
            <w:pPr>
              <w:spacing w:after="0"/>
              <w:rPr>
                <w:sz w:val="9"/>
                <w:szCs w:val="9"/>
                <w:color w:val="auto"/>
              </w:rPr>
            </w:pPr>
          </w:p>
        </w:tc>
        <w:tc>
          <w:tcPr>
            <w:tcW w:w="80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1,986</w:t>
            </w:r>
          </w:p>
        </w:tc>
        <w:tc>
          <w:tcPr>
            <w:tcW w:w="460" w:type="dxa"/>
            <w:vAlign w:val="bottom"/>
            <w:tcBorders>
              <w:bottom w:val="single" w:sz="8" w:color="0077C0"/>
            </w:tcBorders>
          </w:tcPr>
          <w:p>
            <w:pPr>
              <w:spacing w:after="0"/>
              <w:rPr>
                <w:sz w:val="9"/>
                <w:szCs w:val="9"/>
                <w:color w:val="auto"/>
              </w:rPr>
            </w:pPr>
          </w:p>
        </w:tc>
        <w:tc>
          <w:tcPr>
            <w:tcW w:w="80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1,997</w:t>
            </w:r>
          </w:p>
        </w:tc>
        <w:tc>
          <w:tcPr>
            <w:tcW w:w="580" w:type="dxa"/>
            <w:vAlign w:val="bottom"/>
            <w:tcBorders>
              <w:bottom w:val="single" w:sz="8" w:color="0077C0"/>
            </w:tcBorders>
          </w:tcPr>
          <w:p>
            <w:pPr>
              <w:spacing w:after="0"/>
              <w:rPr>
                <w:sz w:val="9"/>
                <w:szCs w:val="9"/>
                <w:color w:val="auto"/>
              </w:rPr>
            </w:pP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1,992</w:t>
            </w:r>
          </w:p>
        </w:tc>
        <w:tc>
          <w:tcPr>
            <w:tcW w:w="20" w:type="dxa"/>
            <w:vAlign w:val="bottom"/>
            <w:tcBorders>
              <w:bottom w:val="single" w:sz="8" w:color="0077C0"/>
            </w:tcBorders>
          </w:tcPr>
          <w:p>
            <w:pPr>
              <w:spacing w:after="0"/>
              <w:rPr>
                <w:sz w:val="9"/>
                <w:szCs w:val="9"/>
                <w:color w:val="auto"/>
              </w:rPr>
            </w:pPr>
          </w:p>
        </w:tc>
      </w:tr>
      <w:tr>
        <w:trPr>
          <w:trHeight w:val="124"/>
        </w:trPr>
        <w:tc>
          <w:tcPr>
            <w:tcW w:w="5300" w:type="dxa"/>
            <w:vAlign w:val="bottom"/>
            <w:gridSpan w:val="2"/>
          </w:tcPr>
          <w:p>
            <w:pPr>
              <w:spacing w:after="0"/>
              <w:rPr>
                <w:sz w:val="20"/>
                <w:szCs w:val="20"/>
                <w:color w:val="auto"/>
              </w:rPr>
            </w:pPr>
            <w:r>
              <w:rPr>
                <w:rFonts w:ascii="Arial" w:cs="Arial" w:eastAsia="Arial" w:hAnsi="Arial"/>
                <w:sz w:val="10"/>
                <w:szCs w:val="10"/>
                <w:color w:val="auto"/>
              </w:rPr>
              <w:t>Earnings per share of common stock – Basic</w:t>
            </w:r>
          </w:p>
        </w:tc>
        <w:tc>
          <w:tcPr>
            <w:tcW w:w="2980" w:type="dxa"/>
            <w:vAlign w:val="bottom"/>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13.54</w:t>
            </w:r>
          </w:p>
        </w:tc>
        <w:tc>
          <w:tcPr>
            <w:tcW w:w="46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89"/>
              <w:spacing w:after="0"/>
              <w:rPr>
                <w:sz w:val="20"/>
                <w:szCs w:val="20"/>
                <w:color w:val="auto"/>
              </w:rPr>
            </w:pPr>
            <w:r>
              <w:rPr>
                <w:rFonts w:ascii="Arial" w:cs="Arial" w:eastAsia="Arial" w:hAnsi="Arial"/>
                <w:sz w:val="10"/>
                <w:szCs w:val="10"/>
                <w:color w:val="auto"/>
              </w:rPr>
              <w:t>9.53</w:t>
            </w:r>
          </w:p>
        </w:tc>
        <w:tc>
          <w:tcPr>
            <w:tcW w:w="58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5.26</w:t>
            </w:r>
          </w:p>
        </w:tc>
      </w:tr>
      <w:tr>
        <w:trPr>
          <w:trHeight w:val="115"/>
        </w:trPr>
        <w:tc>
          <w:tcPr>
            <w:tcW w:w="5300" w:type="dxa"/>
            <w:vAlign w:val="bottom"/>
            <w:tcBorders>
              <w:top w:val="single" w:sz="8" w:color="0077C0"/>
              <w:bottom w:val="single" w:sz="8" w:color="0077C0"/>
            </w:tcBorders>
            <w:gridSpan w:val="2"/>
          </w:tcPr>
          <w:p>
            <w:pPr>
              <w:spacing w:after="0"/>
              <w:rPr>
                <w:sz w:val="20"/>
                <w:szCs w:val="20"/>
                <w:color w:val="auto"/>
              </w:rPr>
            </w:pPr>
            <w:r>
              <w:rPr>
                <w:rFonts w:ascii="Arial" w:cs="Arial" w:eastAsia="Arial" w:hAnsi="Arial"/>
                <w:sz w:val="10"/>
                <w:szCs w:val="10"/>
                <w:b w:val="1"/>
                <w:bCs w:val="1"/>
                <w:color w:val="auto"/>
              </w:rPr>
              <w:t>Diluted EPS Calculation</w:t>
            </w:r>
          </w:p>
        </w:tc>
        <w:tc>
          <w:tcPr>
            <w:tcW w:w="2980" w:type="dxa"/>
            <w:vAlign w:val="bottom"/>
            <w:tcBorders>
              <w:top w:val="single" w:sz="8" w:color="0077C0"/>
              <w:bottom w:val="single" w:sz="8" w:color="0077C0"/>
            </w:tcBorders>
          </w:tcPr>
          <w:p>
            <w:pPr>
              <w:spacing w:after="0"/>
              <w:rPr>
                <w:sz w:val="10"/>
                <w:szCs w:val="10"/>
                <w:color w:val="auto"/>
              </w:rPr>
            </w:pPr>
          </w:p>
        </w:tc>
        <w:tc>
          <w:tcPr>
            <w:tcW w:w="800" w:type="dxa"/>
            <w:vAlign w:val="bottom"/>
            <w:tcBorders>
              <w:top w:val="single" w:sz="8" w:color="0077C0"/>
              <w:bottom w:val="single" w:sz="8" w:color="0077C0"/>
              <w:right w:val="single" w:sz="8" w:color="0077C0"/>
            </w:tcBorders>
          </w:tcPr>
          <w:p>
            <w:pPr>
              <w:spacing w:after="0"/>
              <w:rPr>
                <w:sz w:val="10"/>
                <w:szCs w:val="10"/>
                <w:color w:val="auto"/>
              </w:rPr>
            </w:pPr>
          </w:p>
        </w:tc>
        <w:tc>
          <w:tcPr>
            <w:tcW w:w="460" w:type="dxa"/>
            <w:vAlign w:val="bottom"/>
            <w:tcBorders>
              <w:top w:val="single" w:sz="8" w:color="0077C0"/>
              <w:bottom w:val="single" w:sz="8" w:color="0077C0"/>
            </w:tcBorders>
          </w:tcPr>
          <w:p>
            <w:pPr>
              <w:spacing w:after="0"/>
              <w:rPr>
                <w:sz w:val="10"/>
                <w:szCs w:val="10"/>
                <w:color w:val="auto"/>
              </w:rPr>
            </w:pPr>
          </w:p>
        </w:tc>
        <w:tc>
          <w:tcPr>
            <w:tcW w:w="800" w:type="dxa"/>
            <w:vAlign w:val="bottom"/>
            <w:tcBorders>
              <w:top w:val="single" w:sz="8" w:color="0077C0"/>
              <w:bottom w:val="single" w:sz="8" w:color="0077C0"/>
            </w:tcBorders>
          </w:tcPr>
          <w:p>
            <w:pPr>
              <w:spacing w:after="0"/>
              <w:rPr>
                <w:sz w:val="10"/>
                <w:szCs w:val="10"/>
                <w:color w:val="auto"/>
              </w:rPr>
            </w:pPr>
          </w:p>
        </w:tc>
        <w:tc>
          <w:tcPr>
            <w:tcW w:w="580" w:type="dxa"/>
            <w:vAlign w:val="bottom"/>
            <w:tcBorders>
              <w:top w:val="single" w:sz="8" w:color="0077C0"/>
              <w:bottom w:val="single" w:sz="8" w:color="0077C0"/>
            </w:tcBorders>
          </w:tcPr>
          <w:p>
            <w:pPr>
              <w:spacing w:after="0"/>
              <w:rPr>
                <w:sz w:val="10"/>
                <w:szCs w:val="10"/>
                <w:color w:val="auto"/>
              </w:rPr>
            </w:pPr>
          </w:p>
        </w:tc>
        <w:tc>
          <w:tcPr>
            <w:tcW w:w="440" w:type="dxa"/>
            <w:vAlign w:val="bottom"/>
            <w:tcBorders>
              <w:top w:val="single" w:sz="8" w:color="0077C0"/>
              <w:bottom w:val="single" w:sz="8" w:color="0077C0"/>
            </w:tcBorders>
          </w:tcPr>
          <w:p>
            <w:pPr>
              <w:spacing w:after="0"/>
              <w:rPr>
                <w:sz w:val="10"/>
                <w:szCs w:val="10"/>
                <w:color w:val="auto"/>
              </w:rPr>
            </w:pPr>
          </w:p>
        </w:tc>
        <w:tc>
          <w:tcPr>
            <w:tcW w:w="20" w:type="dxa"/>
            <w:vAlign w:val="bottom"/>
          </w:tcPr>
          <w:p>
            <w:pPr>
              <w:spacing w:after="0"/>
              <w:rPr>
                <w:sz w:val="10"/>
                <w:szCs w:val="10"/>
                <w:color w:val="auto"/>
              </w:rPr>
            </w:pPr>
          </w:p>
        </w:tc>
      </w:tr>
      <w:tr>
        <w:trPr>
          <w:trHeight w:val="114"/>
        </w:trPr>
        <w:tc>
          <w:tcPr>
            <w:tcW w:w="530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color w:val="auto"/>
              </w:rPr>
              <w:t>Earnings available to common stockholders – Diluted*</w:t>
            </w:r>
          </w:p>
        </w:tc>
        <w:tc>
          <w:tcPr>
            <w:tcW w:w="29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0077C0"/>
              <w:right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26,895</w:t>
            </w:r>
          </w:p>
        </w:tc>
        <w:tc>
          <w:tcPr>
            <w:tcW w:w="46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0077C0"/>
            </w:tcBorders>
          </w:tcPr>
          <w:p>
            <w:pPr>
              <w:jc w:val="right"/>
              <w:ind w:right="289"/>
              <w:spacing w:after="0" w:line="105" w:lineRule="exact"/>
              <w:rPr>
                <w:sz w:val="20"/>
                <w:szCs w:val="20"/>
                <w:color w:val="auto"/>
              </w:rPr>
            </w:pPr>
            <w:r>
              <w:rPr>
                <w:rFonts w:ascii="Arial" w:cs="Arial" w:eastAsia="Arial" w:hAnsi="Arial"/>
                <w:sz w:val="10"/>
                <w:szCs w:val="10"/>
                <w:color w:val="auto"/>
              </w:rPr>
              <w:t>19,024</w:t>
            </w:r>
          </w:p>
        </w:tc>
        <w:tc>
          <w:tcPr>
            <w:tcW w:w="58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10,483</w:t>
            </w:r>
          </w:p>
        </w:tc>
        <w:tc>
          <w:tcPr>
            <w:tcW w:w="20" w:type="dxa"/>
            <w:vAlign w:val="bottom"/>
            <w:tcBorders>
              <w:bottom w:val="single" w:sz="8" w:color="0077C0"/>
            </w:tcBorders>
          </w:tcPr>
          <w:p>
            <w:pPr>
              <w:spacing w:after="0"/>
              <w:rPr>
                <w:sz w:val="9"/>
                <w:szCs w:val="9"/>
                <w:color w:val="auto"/>
              </w:rPr>
            </w:pPr>
          </w:p>
        </w:tc>
      </w:tr>
      <w:tr>
        <w:trPr>
          <w:trHeight w:val="101"/>
        </w:trPr>
        <w:tc>
          <w:tcPr>
            <w:tcW w:w="5300" w:type="dxa"/>
            <w:vAlign w:val="bottom"/>
            <w:gridSpan w:val="2"/>
          </w:tcPr>
          <w:p>
            <w:pPr>
              <w:spacing w:after="0" w:line="101" w:lineRule="exact"/>
              <w:rPr>
                <w:sz w:val="20"/>
                <w:szCs w:val="20"/>
                <w:color w:val="auto"/>
              </w:rPr>
            </w:pPr>
            <w:r>
              <w:rPr>
                <w:rFonts w:ascii="Arial" w:cs="Arial" w:eastAsia="Arial" w:hAnsi="Arial"/>
                <w:sz w:val="10"/>
                <w:szCs w:val="10"/>
                <w:color w:val="auto"/>
              </w:rPr>
              <w:t>Weighted-average number of common shares outstanding</w:t>
            </w:r>
          </w:p>
        </w:tc>
        <w:tc>
          <w:tcPr>
            <w:tcW w:w="2980" w:type="dxa"/>
            <w:vAlign w:val="bottom"/>
          </w:tcPr>
          <w:p>
            <w:pPr>
              <w:spacing w:after="0"/>
              <w:rPr>
                <w:sz w:val="8"/>
                <w:szCs w:val="8"/>
                <w:color w:val="auto"/>
              </w:rPr>
            </w:pPr>
          </w:p>
        </w:tc>
        <w:tc>
          <w:tcPr>
            <w:tcW w:w="800" w:type="dxa"/>
            <w:vAlign w:val="bottom"/>
            <w:tcBorders>
              <w:right w:val="single" w:sz="8" w:color="0077C0"/>
            </w:tcBorders>
          </w:tcPr>
          <w:p>
            <w:pPr>
              <w:jc w:val="right"/>
              <w:ind w:right="289"/>
              <w:spacing w:after="0" w:line="101" w:lineRule="exact"/>
              <w:rPr>
                <w:sz w:val="20"/>
                <w:szCs w:val="20"/>
                <w:color w:val="auto"/>
              </w:rPr>
            </w:pPr>
            <w:r>
              <w:rPr>
                <w:rFonts w:ascii="Arial" w:cs="Arial" w:eastAsia="Arial" w:hAnsi="Arial"/>
                <w:sz w:val="10"/>
                <w:szCs w:val="10"/>
                <w:b w:val="1"/>
                <w:bCs w:val="1"/>
                <w:color w:val="auto"/>
              </w:rPr>
              <w:t>1,986</w:t>
            </w:r>
          </w:p>
        </w:tc>
        <w:tc>
          <w:tcPr>
            <w:tcW w:w="460" w:type="dxa"/>
            <w:vAlign w:val="bottom"/>
          </w:tcPr>
          <w:p>
            <w:pPr>
              <w:spacing w:after="0"/>
              <w:rPr>
                <w:sz w:val="8"/>
                <w:szCs w:val="8"/>
                <w:color w:val="auto"/>
              </w:rPr>
            </w:pPr>
          </w:p>
        </w:tc>
        <w:tc>
          <w:tcPr>
            <w:tcW w:w="800" w:type="dxa"/>
            <w:vAlign w:val="bottom"/>
          </w:tcPr>
          <w:p>
            <w:pPr>
              <w:jc w:val="right"/>
              <w:ind w:right="289"/>
              <w:spacing w:after="0" w:line="101" w:lineRule="exact"/>
              <w:rPr>
                <w:sz w:val="20"/>
                <w:szCs w:val="20"/>
                <w:color w:val="auto"/>
              </w:rPr>
            </w:pPr>
            <w:r>
              <w:rPr>
                <w:rFonts w:ascii="Arial" w:cs="Arial" w:eastAsia="Arial" w:hAnsi="Arial"/>
                <w:sz w:val="10"/>
                <w:szCs w:val="10"/>
                <w:color w:val="auto"/>
              </w:rPr>
              <w:t>1,996</w:t>
            </w:r>
          </w:p>
        </w:tc>
        <w:tc>
          <w:tcPr>
            <w:tcW w:w="58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Arial" w:cs="Arial" w:eastAsia="Arial" w:hAnsi="Arial"/>
                <w:sz w:val="10"/>
                <w:szCs w:val="10"/>
                <w:color w:val="auto"/>
              </w:rPr>
              <w:t>1,991</w:t>
            </w:r>
          </w:p>
        </w:tc>
      </w:tr>
      <w:tr>
        <w:trPr>
          <w:trHeight w:val="106"/>
        </w:trPr>
        <w:tc>
          <w:tcPr>
            <w:tcW w:w="20" w:type="dxa"/>
            <w:vAlign w:val="bottom"/>
          </w:tcPr>
          <w:p>
            <w:pPr>
              <w:spacing w:after="0"/>
              <w:rPr>
                <w:sz w:val="9"/>
                <w:szCs w:val="9"/>
                <w:color w:val="auto"/>
              </w:rPr>
            </w:pPr>
          </w:p>
        </w:tc>
        <w:tc>
          <w:tcPr>
            <w:tcW w:w="5280" w:type="dxa"/>
            <w:vAlign w:val="bottom"/>
          </w:tcPr>
          <w:p>
            <w:pPr>
              <w:ind w:left="120"/>
              <w:spacing w:after="0" w:line="106" w:lineRule="exact"/>
              <w:rPr>
                <w:sz w:val="20"/>
                <w:szCs w:val="20"/>
                <w:color w:val="auto"/>
              </w:rPr>
            </w:pPr>
            <w:r>
              <w:rPr>
                <w:rFonts w:ascii="Arial" w:cs="Arial" w:eastAsia="Arial" w:hAnsi="Arial"/>
                <w:sz w:val="10"/>
                <w:szCs w:val="10"/>
                <w:color w:val="auto"/>
              </w:rPr>
              <w:t>Add: Deferred awards held as stock units</w:t>
            </w:r>
          </w:p>
        </w:tc>
        <w:tc>
          <w:tcPr>
            <w:tcW w:w="2980" w:type="dxa"/>
            <w:vAlign w:val="bottom"/>
          </w:tcPr>
          <w:p>
            <w:pPr>
              <w:spacing w:after="0"/>
              <w:rPr>
                <w:sz w:val="9"/>
                <w:szCs w:val="9"/>
                <w:color w:val="auto"/>
              </w:rPr>
            </w:pPr>
          </w:p>
        </w:tc>
        <w:tc>
          <w:tcPr>
            <w:tcW w:w="800" w:type="dxa"/>
            <w:vAlign w:val="bottom"/>
            <w:tcBorders>
              <w:right w:val="single" w:sz="8" w:color="0077C0"/>
            </w:tcBorders>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460" w:type="dxa"/>
            <w:vAlign w:val="bottom"/>
          </w:tcPr>
          <w:p>
            <w:pPr>
              <w:spacing w:after="0"/>
              <w:rPr>
                <w:sz w:val="9"/>
                <w:szCs w:val="9"/>
                <w:color w:val="auto"/>
              </w:rPr>
            </w:pPr>
          </w:p>
        </w:tc>
        <w:tc>
          <w:tcPr>
            <w:tcW w:w="80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w:t>
            </w:r>
          </w:p>
        </w:tc>
        <w:tc>
          <w:tcPr>
            <w:tcW w:w="5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528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Add: Dilutive effect of employee stock-based awards</w:t>
            </w:r>
          </w:p>
        </w:tc>
        <w:tc>
          <w:tcPr>
            <w:tcW w:w="2980" w:type="dxa"/>
            <w:vAlign w:val="bottom"/>
            <w:tcBorders>
              <w:bottom w:val="single" w:sz="8" w:color="0077C0"/>
            </w:tcBorders>
          </w:tcPr>
          <w:p>
            <w:pPr>
              <w:spacing w:after="0"/>
              <w:rPr>
                <w:sz w:val="11"/>
                <w:szCs w:val="11"/>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15</w:t>
            </w:r>
          </w:p>
        </w:tc>
        <w:tc>
          <w:tcPr>
            <w:tcW w:w="460" w:type="dxa"/>
            <w:vAlign w:val="bottom"/>
            <w:tcBorders>
              <w:bottom w:val="single" w:sz="8" w:color="0077C0"/>
            </w:tcBorders>
          </w:tcPr>
          <w:p>
            <w:pPr>
              <w:spacing w:after="0"/>
              <w:rPr>
                <w:sz w:val="11"/>
                <w:szCs w:val="11"/>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10</w:t>
            </w:r>
          </w:p>
        </w:tc>
        <w:tc>
          <w:tcPr>
            <w:tcW w:w="580" w:type="dxa"/>
            <w:vAlign w:val="bottom"/>
            <w:tcBorders>
              <w:bottom w:val="single" w:sz="8" w:color="0077C0"/>
            </w:tcBorders>
          </w:tcPr>
          <w:p>
            <w:pPr>
              <w:spacing w:after="0"/>
              <w:rPr>
                <w:sz w:val="11"/>
                <w:szCs w:val="11"/>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1"/>
                <w:szCs w:val="11"/>
                <w:color w:val="auto"/>
              </w:rPr>
            </w:pPr>
          </w:p>
        </w:tc>
      </w:tr>
      <w:tr>
        <w:trPr>
          <w:trHeight w:val="124"/>
        </w:trPr>
        <w:tc>
          <w:tcPr>
            <w:tcW w:w="20" w:type="dxa"/>
            <w:vAlign w:val="bottom"/>
            <w:tcBorders>
              <w:bottom w:val="single" w:sz="8" w:color="0077C0"/>
            </w:tcBorders>
          </w:tcPr>
          <w:p>
            <w:pPr>
              <w:spacing w:after="0"/>
              <w:rPr>
                <w:sz w:val="10"/>
                <w:szCs w:val="10"/>
                <w:color w:val="auto"/>
              </w:rPr>
            </w:pPr>
          </w:p>
        </w:tc>
        <w:tc>
          <w:tcPr>
            <w:tcW w:w="528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Total weighted-average number of common shares outstanding</w:t>
            </w:r>
          </w:p>
        </w:tc>
        <w:tc>
          <w:tcPr>
            <w:tcW w:w="298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2,001</w:t>
            </w:r>
          </w:p>
        </w:tc>
        <w:tc>
          <w:tcPr>
            <w:tcW w:w="460" w:type="dxa"/>
            <w:vAlign w:val="bottom"/>
            <w:tcBorders>
              <w:bottom w:val="single" w:sz="8" w:color="0077C0"/>
            </w:tcBorders>
          </w:tcPr>
          <w:p>
            <w:pPr>
              <w:spacing w:after="0"/>
              <w:rPr>
                <w:sz w:val="10"/>
                <w:szCs w:val="10"/>
                <w:color w:val="auto"/>
              </w:rPr>
            </w:pP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2,007</w:t>
            </w:r>
          </w:p>
        </w:tc>
        <w:tc>
          <w:tcPr>
            <w:tcW w:w="580" w:type="dxa"/>
            <w:vAlign w:val="bottom"/>
            <w:tcBorders>
              <w:bottom w:val="single" w:sz="8" w:color="0077C0"/>
            </w:tcBorders>
          </w:tcPr>
          <w:p>
            <w:pPr>
              <w:spacing w:after="0"/>
              <w:rPr>
                <w:sz w:val="10"/>
                <w:szCs w:val="10"/>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2,001</w:t>
            </w:r>
          </w:p>
        </w:tc>
        <w:tc>
          <w:tcPr>
            <w:tcW w:w="20" w:type="dxa"/>
            <w:vAlign w:val="bottom"/>
            <w:tcBorders>
              <w:bottom w:val="single" w:sz="8" w:color="0077C0"/>
            </w:tcBorders>
          </w:tcPr>
          <w:p>
            <w:pPr>
              <w:spacing w:after="0"/>
              <w:rPr>
                <w:sz w:val="10"/>
                <w:szCs w:val="10"/>
                <w:color w:val="auto"/>
              </w:rPr>
            </w:pPr>
          </w:p>
        </w:tc>
      </w:tr>
      <w:tr>
        <w:trPr>
          <w:trHeight w:val="134"/>
        </w:trPr>
        <w:tc>
          <w:tcPr>
            <w:tcW w:w="530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Earnings per share of common stock – Diluted</w:t>
            </w:r>
          </w:p>
        </w:tc>
        <w:tc>
          <w:tcPr>
            <w:tcW w:w="29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0077C0"/>
              <w:right w:val="single" w:sz="8" w:color="0077C0"/>
            </w:tcBorders>
          </w:tcPr>
          <w:p>
            <w:pPr>
              <w:jc w:val="right"/>
              <w:ind w:right="289"/>
              <w:spacing w:after="0"/>
              <w:rPr>
                <w:sz w:val="20"/>
                <w:szCs w:val="20"/>
                <w:color w:val="auto"/>
              </w:rPr>
            </w:pPr>
            <w:r>
              <w:rPr>
                <w:rFonts w:ascii="Arial" w:cs="Arial" w:eastAsia="Arial" w:hAnsi="Arial"/>
                <w:sz w:val="10"/>
                <w:szCs w:val="10"/>
                <w:b w:val="1"/>
                <w:bCs w:val="1"/>
                <w:color w:val="auto"/>
              </w:rPr>
              <w:t>13.44</w:t>
            </w:r>
          </w:p>
        </w:tc>
        <w:tc>
          <w:tcPr>
            <w:tcW w:w="46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0077C0"/>
            </w:tcBorders>
          </w:tcPr>
          <w:p>
            <w:pPr>
              <w:jc w:val="right"/>
              <w:ind w:right="289"/>
              <w:spacing w:after="0"/>
              <w:rPr>
                <w:sz w:val="20"/>
                <w:szCs w:val="20"/>
                <w:color w:val="auto"/>
              </w:rPr>
            </w:pPr>
            <w:r>
              <w:rPr>
                <w:rFonts w:ascii="Arial" w:cs="Arial" w:eastAsia="Arial" w:hAnsi="Arial"/>
                <w:sz w:val="10"/>
                <w:szCs w:val="10"/>
                <w:color w:val="auto"/>
              </w:rPr>
              <w:t>9.48</w:t>
            </w:r>
          </w:p>
        </w:tc>
        <w:tc>
          <w:tcPr>
            <w:tcW w:w="580" w:type="dxa"/>
            <w:vAlign w:val="bottom"/>
            <w:tcBorders>
              <w:bottom w:val="single" w:sz="8" w:color="0077C0"/>
            </w:tcBorders>
          </w:tcPr>
          <w:p>
            <w:pPr>
              <w:jc w:val="right"/>
              <w:ind w:right="129"/>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5.24</w:t>
            </w:r>
          </w:p>
        </w:tc>
      </w:tr>
    </w:tbl>
    <w:p>
      <w:pPr>
        <w:spacing w:after="0" w:line="27" w:lineRule="exact"/>
        <w:rPr>
          <w:sz w:val="20"/>
          <w:szCs w:val="20"/>
          <w:color w:val="auto"/>
        </w:rPr>
      </w:pPr>
    </w:p>
    <w:p>
      <w:pPr>
        <w:spacing w:after="0"/>
        <w:tabs>
          <w:tab w:leader="none" w:pos="100" w:val="left"/>
        </w:tabs>
        <w:rPr>
          <w:sz w:val="20"/>
          <w:szCs w:val="20"/>
          <w:color w:val="auto"/>
        </w:rPr>
      </w:pPr>
      <w:r>
        <w:rPr>
          <w:rFonts w:ascii="Arial" w:cs="Arial" w:eastAsia="Arial" w:hAnsi="Arial"/>
          <w:sz w:val="9"/>
          <w:szCs w:val="9"/>
          <w:color w:val="auto"/>
        </w:rPr>
        <w:t>*</w:t>
      </w:r>
      <w:r>
        <w:rPr>
          <w:sz w:val="20"/>
          <w:szCs w:val="20"/>
          <w:color w:val="auto"/>
        </w:rPr>
        <w:tab/>
      </w:r>
      <w:r>
        <w:rPr>
          <w:rFonts w:ascii="Arial" w:cs="Arial" w:eastAsia="Arial" w:hAnsi="Arial"/>
          <w:sz w:val="8"/>
          <w:szCs w:val="8"/>
          <w:color w:val="auto"/>
        </w:rPr>
        <w:t>There was no effect of dividend equivalents paid on stock units or dilutive impact of employee stock-based awards on earnings.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3259"/>
        <w:spacing w:after="0"/>
        <w:rPr>
          <w:sz w:val="20"/>
          <w:szCs w:val="20"/>
          <w:color w:val="auto"/>
        </w:rPr>
      </w:pPr>
      <w:r>
        <w:rPr>
          <w:rFonts w:ascii="Arial" w:cs="Arial" w:eastAsia="Arial" w:hAnsi="Arial"/>
          <w:sz w:val="13"/>
          <w:szCs w:val="13"/>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FS-60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239"/>
          </w:cols>
          <w:pgMar w:left="220" w:top="338"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Five-Year Financial Summary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0" w:type="dxa"/>
            <w:vAlign w:val="bottom"/>
            <w:tcBorders>
              <w:bottom w:val="single" w:sz="8" w:color="E8EFF9"/>
            </w:tcBorders>
            <w:shd w:val="clear" w:color="auto" w:fill="E8EFF9"/>
          </w:tcPr>
          <w:p>
            <w:pPr>
              <w:spacing w:after="0"/>
              <w:rPr>
                <w:sz w:val="24"/>
                <w:szCs w:val="24"/>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9"/>
                <w:szCs w:val="9"/>
                <w:i w:val="1"/>
                <w:iCs w:val="1"/>
                <w:color w:val="auto"/>
              </w:rPr>
              <w:t>Millions of dollars, except per-share amounts</w:t>
            </w:r>
          </w:p>
        </w:tc>
        <w:tc>
          <w:tcPr>
            <w:tcW w:w="152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right w:val="single" w:sz="8" w:color="E8EFF9"/>
            </w:tcBorders>
            <w:shd w:val="clear" w:color="auto" w:fill="E8EFF9"/>
          </w:tcPr>
          <w:p>
            <w:pPr>
              <w:jc w:val="right"/>
              <w:ind w:right="284"/>
              <w:spacing w:after="0"/>
              <w:rPr>
                <w:sz w:val="20"/>
                <w:szCs w:val="20"/>
                <w:color w:val="auto"/>
              </w:rPr>
            </w:pPr>
            <w:r>
              <w:rPr>
                <w:rFonts w:ascii="Arial" w:cs="Arial" w:eastAsia="Arial" w:hAnsi="Arial"/>
                <w:sz w:val="9"/>
                <w:szCs w:val="9"/>
                <w:b w:val="1"/>
                <w:bCs w:val="1"/>
                <w:color w:val="auto"/>
              </w:rPr>
              <w:t>2011</w:t>
            </w:r>
          </w:p>
        </w:tc>
        <w:tc>
          <w:tcPr>
            <w:tcW w:w="46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9"/>
                <w:szCs w:val="9"/>
                <w:color w:val="auto"/>
              </w:rPr>
              <w:t>2010</w:t>
            </w:r>
          </w:p>
        </w:tc>
        <w:tc>
          <w:tcPr>
            <w:tcW w:w="58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9"/>
                <w:szCs w:val="9"/>
                <w:color w:val="auto"/>
              </w:rPr>
              <w:t>2009</w:t>
            </w:r>
          </w:p>
        </w:tc>
        <w:tc>
          <w:tcPr>
            <w:tcW w:w="600" w:type="dxa"/>
            <w:vAlign w:val="bottom"/>
            <w:tcBorders>
              <w:bottom w:val="single" w:sz="8" w:color="0077C0"/>
            </w:tcBorders>
            <w:shd w:val="clear" w:color="auto" w:fill="E8EFF9"/>
          </w:tcPr>
          <w:p>
            <w:pPr>
              <w:spacing w:after="0"/>
              <w:rPr>
                <w:sz w:val="24"/>
                <w:szCs w:val="24"/>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9"/>
                <w:szCs w:val="9"/>
                <w:color w:val="auto"/>
              </w:rPr>
              <w:t>2008</w:t>
            </w:r>
          </w:p>
        </w:tc>
        <w:tc>
          <w:tcPr>
            <w:tcW w:w="580" w:type="dxa"/>
            <w:vAlign w:val="bottom"/>
            <w:tcBorders>
              <w:bottom w:val="single" w:sz="8" w:color="0077C0"/>
            </w:tcBorders>
            <w:shd w:val="clear" w:color="auto" w:fill="E8EFF9"/>
          </w:tcPr>
          <w:p>
            <w:pPr>
              <w:spacing w:after="0"/>
              <w:rPr>
                <w:sz w:val="24"/>
                <w:szCs w:val="24"/>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9"/>
                <w:szCs w:val="9"/>
                <w:color w:val="auto"/>
              </w:rPr>
              <w:t>2007</w:t>
            </w:r>
          </w:p>
        </w:tc>
        <w:tc>
          <w:tcPr>
            <w:tcW w:w="20" w:type="dxa"/>
            <w:vAlign w:val="bottom"/>
            <w:tcBorders>
              <w:bottom w:val="single" w:sz="8" w:color="E8EFF9"/>
            </w:tcBorders>
            <w:shd w:val="clear" w:color="auto" w:fill="E8EFF9"/>
          </w:tcPr>
          <w:p>
            <w:pPr>
              <w:spacing w:after="0"/>
              <w:rPr>
                <w:sz w:val="24"/>
                <w:szCs w:val="24"/>
                <w:color w:val="auto"/>
              </w:rPr>
            </w:pPr>
          </w:p>
        </w:tc>
        <w:tc>
          <w:tcPr>
            <w:tcW w:w="6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spacing w:after="0" w:line="134" w:lineRule="exact"/>
              <w:rPr>
                <w:sz w:val="20"/>
                <w:szCs w:val="20"/>
                <w:color w:val="auto"/>
              </w:rPr>
            </w:pPr>
            <w:r>
              <w:rPr>
                <w:rFonts w:ascii="Arial" w:cs="Arial" w:eastAsia="Arial" w:hAnsi="Arial"/>
                <w:sz w:val="12"/>
                <w:szCs w:val="12"/>
                <w:b w:val="1"/>
                <w:bCs w:val="1"/>
                <w:color w:val="0077C0"/>
              </w:rPr>
              <w:t>Statement of Income Data</w:t>
            </w:r>
          </w:p>
        </w:tc>
        <w:tc>
          <w:tcPr>
            <w:tcW w:w="1520" w:type="dxa"/>
            <w:vAlign w:val="bottom"/>
            <w:shd w:val="clear" w:color="auto" w:fill="E8EFF9"/>
          </w:tcPr>
          <w:p>
            <w:pPr>
              <w:spacing w:after="0"/>
              <w:rPr>
                <w:sz w:val="11"/>
                <w:szCs w:val="11"/>
                <w:color w:val="auto"/>
              </w:rPr>
            </w:pPr>
          </w:p>
        </w:tc>
        <w:tc>
          <w:tcPr>
            <w:tcW w:w="800" w:type="dxa"/>
            <w:vAlign w:val="bottom"/>
            <w:tcBorders>
              <w:right w:val="single" w:sz="8" w:color="0077C0"/>
            </w:tcBorders>
            <w:shd w:val="clear" w:color="auto" w:fill="E8EFF9"/>
          </w:tcPr>
          <w:p>
            <w:pPr>
              <w:spacing w:after="0"/>
              <w:rPr>
                <w:sz w:val="11"/>
                <w:szCs w:val="11"/>
                <w:color w:val="auto"/>
              </w:rPr>
            </w:pPr>
          </w:p>
        </w:tc>
        <w:tc>
          <w:tcPr>
            <w:tcW w:w="460" w:type="dxa"/>
            <w:vAlign w:val="bottom"/>
            <w:shd w:val="clear" w:color="auto" w:fill="E8EFF9"/>
          </w:tcPr>
          <w:p>
            <w:pPr>
              <w:spacing w:after="0"/>
              <w:rPr>
                <w:sz w:val="11"/>
                <w:szCs w:val="11"/>
                <w:color w:val="auto"/>
              </w:rPr>
            </w:pPr>
          </w:p>
        </w:tc>
        <w:tc>
          <w:tcPr>
            <w:tcW w:w="800" w:type="dxa"/>
            <w:vAlign w:val="bottom"/>
            <w:shd w:val="clear" w:color="auto" w:fill="E8EFF9"/>
          </w:tcPr>
          <w:p>
            <w:pPr>
              <w:spacing w:after="0"/>
              <w:rPr>
                <w:sz w:val="11"/>
                <w:szCs w:val="11"/>
                <w:color w:val="auto"/>
              </w:rPr>
            </w:pPr>
          </w:p>
        </w:tc>
        <w:tc>
          <w:tcPr>
            <w:tcW w:w="580" w:type="dxa"/>
            <w:vAlign w:val="bottom"/>
            <w:shd w:val="clear" w:color="auto" w:fill="E8EFF9"/>
          </w:tcPr>
          <w:p>
            <w:pPr>
              <w:spacing w:after="0"/>
              <w:rPr>
                <w:sz w:val="11"/>
                <w:szCs w:val="11"/>
                <w:color w:val="auto"/>
              </w:rPr>
            </w:pPr>
          </w:p>
        </w:tc>
        <w:tc>
          <w:tcPr>
            <w:tcW w:w="800" w:type="dxa"/>
            <w:vAlign w:val="bottom"/>
            <w:shd w:val="clear" w:color="auto" w:fill="E8EFF9"/>
          </w:tcPr>
          <w:p>
            <w:pPr>
              <w:spacing w:after="0"/>
              <w:rPr>
                <w:sz w:val="11"/>
                <w:szCs w:val="11"/>
                <w:color w:val="auto"/>
              </w:rPr>
            </w:pPr>
          </w:p>
        </w:tc>
        <w:tc>
          <w:tcPr>
            <w:tcW w:w="600" w:type="dxa"/>
            <w:vAlign w:val="bottom"/>
            <w:shd w:val="clear" w:color="auto" w:fill="E8EFF9"/>
          </w:tcPr>
          <w:p>
            <w:pPr>
              <w:spacing w:after="0"/>
              <w:rPr>
                <w:sz w:val="11"/>
                <w:szCs w:val="11"/>
                <w:color w:val="auto"/>
              </w:rPr>
            </w:pPr>
          </w:p>
        </w:tc>
        <w:tc>
          <w:tcPr>
            <w:tcW w:w="780" w:type="dxa"/>
            <w:vAlign w:val="bottom"/>
            <w:shd w:val="clear" w:color="auto" w:fill="E8EFF9"/>
          </w:tcPr>
          <w:p>
            <w:pPr>
              <w:spacing w:after="0"/>
              <w:rPr>
                <w:sz w:val="11"/>
                <w:szCs w:val="11"/>
                <w:color w:val="auto"/>
              </w:rPr>
            </w:pPr>
          </w:p>
        </w:tc>
        <w:tc>
          <w:tcPr>
            <w:tcW w:w="580" w:type="dxa"/>
            <w:vAlign w:val="bottom"/>
            <w:shd w:val="clear" w:color="auto" w:fill="E8EFF9"/>
          </w:tcPr>
          <w:p>
            <w:pPr>
              <w:spacing w:after="0"/>
              <w:rPr>
                <w:sz w:val="11"/>
                <w:szCs w:val="11"/>
                <w:color w:val="auto"/>
              </w:rPr>
            </w:pPr>
          </w:p>
        </w:tc>
        <w:tc>
          <w:tcPr>
            <w:tcW w:w="440" w:type="dxa"/>
            <w:vAlign w:val="bottom"/>
            <w:shd w:val="clear" w:color="auto" w:fill="E8EFF9"/>
          </w:tcPr>
          <w:p>
            <w:pPr>
              <w:spacing w:after="0"/>
              <w:rPr>
                <w:sz w:val="11"/>
                <w:szCs w:val="11"/>
                <w:color w:val="auto"/>
              </w:rPr>
            </w:pP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Revenues and Other Income</w:t>
            </w:r>
          </w:p>
        </w:tc>
        <w:tc>
          <w:tcPr>
            <w:tcW w:w="1520" w:type="dxa"/>
            <w:vAlign w:val="bottom"/>
            <w:vMerge w:val="restart"/>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right w:val="single" w:sz="8" w:color="0077C0"/>
            </w:tcBorders>
            <w:vMerge w:val="restart"/>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244,371</w:t>
            </w: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spacing w:after="0"/>
              <w:rPr>
                <w:sz w:val="12"/>
                <w:szCs w:val="12"/>
                <w:color w:val="auto"/>
              </w:rPr>
            </w:pP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140"/>
              <w:spacing w:after="0"/>
              <w:rPr>
                <w:sz w:val="20"/>
                <w:szCs w:val="20"/>
                <w:color w:val="auto"/>
              </w:rPr>
            </w:pPr>
            <w:r>
              <w:rPr>
                <w:rFonts w:ascii="Arial" w:cs="Arial" w:eastAsia="Arial" w:hAnsi="Arial"/>
                <w:sz w:val="12"/>
                <w:szCs w:val="12"/>
                <w:color w:val="auto"/>
              </w:rPr>
              <w:t>Total sales and other operating revenues*</w:t>
            </w:r>
          </w:p>
        </w:tc>
        <w:tc>
          <w:tcPr>
            <w:tcW w:w="1520" w:type="dxa"/>
            <w:vAlign w:val="bottom"/>
            <w:vMerge w:val="continue"/>
            <w:shd w:val="clear" w:color="auto" w:fill="E8EFF9"/>
          </w:tcPr>
          <w:p>
            <w:pPr>
              <w:spacing w:after="0"/>
              <w:rPr>
                <w:sz w:val="12"/>
                <w:szCs w:val="12"/>
                <w:color w:val="auto"/>
              </w:rPr>
            </w:pPr>
          </w:p>
        </w:tc>
        <w:tc>
          <w:tcPr>
            <w:tcW w:w="800" w:type="dxa"/>
            <w:vAlign w:val="bottom"/>
            <w:tcBorders>
              <w:right w:val="single" w:sz="8" w:color="0077C0"/>
            </w:tcBorders>
            <w:vMerge w:val="continue"/>
            <w:shd w:val="clear" w:color="auto" w:fill="E8EFF9"/>
          </w:tcPr>
          <w:p>
            <w:pPr>
              <w:spacing w:after="0"/>
              <w:rPr>
                <w:sz w:val="12"/>
                <w:szCs w:val="12"/>
                <w:color w:val="auto"/>
              </w:rPr>
            </w:pPr>
          </w:p>
        </w:tc>
        <w:tc>
          <w:tcPr>
            <w:tcW w:w="46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198,198</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167,402</w:t>
            </w:r>
          </w:p>
        </w:tc>
        <w:tc>
          <w:tcPr>
            <w:tcW w:w="60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w w:val="96"/>
              </w:rPr>
              <w:t>264,958</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shd w:val="clear" w:color="auto" w:fill="E8EFF9"/>
          </w:tcPr>
          <w:p>
            <w:pPr>
              <w:jc w:val="right"/>
              <w:spacing w:after="0"/>
              <w:rPr>
                <w:sz w:val="20"/>
                <w:szCs w:val="20"/>
                <w:color w:val="auto"/>
              </w:rPr>
            </w:pPr>
            <w:r>
              <w:rPr>
                <w:rFonts w:ascii="Arial" w:cs="Arial" w:eastAsia="Arial" w:hAnsi="Arial"/>
                <w:sz w:val="12"/>
                <w:szCs w:val="12"/>
                <w:color w:val="auto"/>
                <w:w w:val="96"/>
              </w:rPr>
              <w:t>214,091</w:t>
            </w: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color w:val="auto"/>
              </w:rPr>
              <w:t>Income from equity affiliates and other income</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9,335</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6,730</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4,234</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8,047</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6,813</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spacing w:after="0" w:line="137" w:lineRule="exact"/>
              <w:rPr>
                <w:sz w:val="20"/>
                <w:szCs w:val="20"/>
                <w:color w:val="auto"/>
              </w:rPr>
            </w:pPr>
            <w:r>
              <w:rPr>
                <w:rFonts w:ascii="Arial" w:cs="Arial" w:eastAsia="Arial" w:hAnsi="Arial"/>
                <w:sz w:val="12"/>
                <w:szCs w:val="12"/>
                <w:b w:val="1"/>
                <w:bCs w:val="1"/>
                <w:color w:val="0077C0"/>
              </w:rPr>
              <w:t>Total Revenues and Other Income</w:t>
            </w:r>
          </w:p>
        </w:tc>
        <w:tc>
          <w:tcPr>
            <w:tcW w:w="1520" w:type="dxa"/>
            <w:vAlign w:val="bottom"/>
            <w:shd w:val="clear" w:color="auto" w:fill="E8EFF9"/>
          </w:tcPr>
          <w:p>
            <w:pPr>
              <w:spacing w:after="0"/>
              <w:rPr>
                <w:sz w:val="11"/>
                <w:szCs w:val="11"/>
                <w:color w:val="auto"/>
              </w:rPr>
            </w:pPr>
          </w:p>
        </w:tc>
        <w:tc>
          <w:tcPr>
            <w:tcW w:w="800" w:type="dxa"/>
            <w:vAlign w:val="bottom"/>
            <w:tcBorders>
              <w:right w:val="single" w:sz="8" w:color="0077C0"/>
            </w:tcBorders>
            <w:shd w:val="clear" w:color="auto" w:fill="E8EFF9"/>
          </w:tcPr>
          <w:p>
            <w:pPr>
              <w:jc w:val="right"/>
              <w:ind w:right="284"/>
              <w:spacing w:after="0" w:line="137" w:lineRule="exact"/>
              <w:rPr>
                <w:sz w:val="20"/>
                <w:szCs w:val="20"/>
                <w:color w:val="auto"/>
              </w:rPr>
            </w:pPr>
            <w:r>
              <w:rPr>
                <w:rFonts w:ascii="Arial" w:cs="Arial" w:eastAsia="Arial" w:hAnsi="Arial"/>
                <w:sz w:val="12"/>
                <w:szCs w:val="12"/>
                <w:b w:val="1"/>
                <w:bCs w:val="1"/>
                <w:color w:val="auto"/>
              </w:rPr>
              <w:t>253,706</w:t>
            </w:r>
          </w:p>
        </w:tc>
        <w:tc>
          <w:tcPr>
            <w:tcW w:w="46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204,928</w:t>
            </w:r>
          </w:p>
        </w:tc>
        <w:tc>
          <w:tcPr>
            <w:tcW w:w="58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171,636</w:t>
            </w:r>
          </w:p>
        </w:tc>
        <w:tc>
          <w:tcPr>
            <w:tcW w:w="600" w:type="dxa"/>
            <w:vAlign w:val="bottom"/>
            <w:shd w:val="clear" w:color="auto" w:fill="E8EFF9"/>
          </w:tcPr>
          <w:p>
            <w:pPr>
              <w:spacing w:after="0"/>
              <w:rPr>
                <w:sz w:val="11"/>
                <w:szCs w:val="11"/>
                <w:color w:val="auto"/>
              </w:rPr>
            </w:pPr>
          </w:p>
        </w:tc>
        <w:tc>
          <w:tcPr>
            <w:tcW w:w="78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w w:val="96"/>
              </w:rPr>
              <w:t>273,005</w:t>
            </w:r>
          </w:p>
        </w:tc>
        <w:tc>
          <w:tcPr>
            <w:tcW w:w="580" w:type="dxa"/>
            <w:vAlign w:val="bottom"/>
            <w:shd w:val="clear" w:color="auto" w:fill="E8EFF9"/>
          </w:tcPr>
          <w:p>
            <w:pPr>
              <w:spacing w:after="0"/>
              <w:rPr>
                <w:sz w:val="11"/>
                <w:szCs w:val="11"/>
                <w:color w:val="auto"/>
              </w:rPr>
            </w:pPr>
          </w:p>
        </w:tc>
        <w:tc>
          <w:tcPr>
            <w:tcW w:w="440" w:type="dxa"/>
            <w:vAlign w:val="bottom"/>
            <w:shd w:val="clear" w:color="auto" w:fill="E8EFF9"/>
          </w:tcPr>
          <w:p>
            <w:pPr>
              <w:jc w:val="right"/>
              <w:spacing w:after="0" w:line="137" w:lineRule="exact"/>
              <w:rPr>
                <w:sz w:val="20"/>
                <w:szCs w:val="20"/>
                <w:color w:val="auto"/>
              </w:rPr>
            </w:pPr>
            <w:r>
              <w:rPr>
                <w:rFonts w:ascii="Arial" w:cs="Arial" w:eastAsia="Arial" w:hAnsi="Arial"/>
                <w:sz w:val="12"/>
                <w:szCs w:val="12"/>
                <w:color w:val="auto"/>
                <w:w w:val="96"/>
              </w:rPr>
              <w:t>220,904</w:t>
            </w: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Total Costs and Other Deductions</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206,072</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172,873</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153,108</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w w:val="96"/>
              </w:rPr>
              <w:t>229,948</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w w:val="96"/>
              </w:rPr>
              <w:t>188,630</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spacing w:after="0" w:line="137" w:lineRule="exact"/>
              <w:rPr>
                <w:sz w:val="20"/>
                <w:szCs w:val="20"/>
                <w:color w:val="auto"/>
              </w:rPr>
            </w:pPr>
            <w:r>
              <w:rPr>
                <w:rFonts w:ascii="Arial" w:cs="Arial" w:eastAsia="Arial" w:hAnsi="Arial"/>
                <w:sz w:val="12"/>
                <w:szCs w:val="12"/>
                <w:b w:val="1"/>
                <w:bCs w:val="1"/>
                <w:color w:val="0077C0"/>
              </w:rPr>
              <w:t>Income Before Income Tax Expense</w:t>
            </w:r>
          </w:p>
        </w:tc>
        <w:tc>
          <w:tcPr>
            <w:tcW w:w="1520" w:type="dxa"/>
            <w:vAlign w:val="bottom"/>
            <w:shd w:val="clear" w:color="auto" w:fill="E8EFF9"/>
          </w:tcPr>
          <w:p>
            <w:pPr>
              <w:spacing w:after="0"/>
              <w:rPr>
                <w:sz w:val="11"/>
                <w:szCs w:val="11"/>
                <w:color w:val="auto"/>
              </w:rPr>
            </w:pPr>
          </w:p>
        </w:tc>
        <w:tc>
          <w:tcPr>
            <w:tcW w:w="800" w:type="dxa"/>
            <w:vAlign w:val="bottom"/>
            <w:tcBorders>
              <w:right w:val="single" w:sz="8" w:color="0077C0"/>
            </w:tcBorders>
            <w:shd w:val="clear" w:color="auto" w:fill="E8EFF9"/>
          </w:tcPr>
          <w:p>
            <w:pPr>
              <w:jc w:val="right"/>
              <w:ind w:right="284"/>
              <w:spacing w:after="0" w:line="137" w:lineRule="exact"/>
              <w:rPr>
                <w:sz w:val="20"/>
                <w:szCs w:val="20"/>
                <w:color w:val="auto"/>
              </w:rPr>
            </w:pPr>
            <w:r>
              <w:rPr>
                <w:rFonts w:ascii="Arial" w:cs="Arial" w:eastAsia="Arial" w:hAnsi="Arial"/>
                <w:sz w:val="12"/>
                <w:szCs w:val="12"/>
                <w:b w:val="1"/>
                <w:bCs w:val="1"/>
                <w:color w:val="auto"/>
              </w:rPr>
              <w:t>47,634</w:t>
            </w:r>
          </w:p>
        </w:tc>
        <w:tc>
          <w:tcPr>
            <w:tcW w:w="46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32,055</w:t>
            </w:r>
          </w:p>
        </w:tc>
        <w:tc>
          <w:tcPr>
            <w:tcW w:w="58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18,528</w:t>
            </w:r>
          </w:p>
        </w:tc>
        <w:tc>
          <w:tcPr>
            <w:tcW w:w="600" w:type="dxa"/>
            <w:vAlign w:val="bottom"/>
            <w:shd w:val="clear" w:color="auto" w:fill="E8EFF9"/>
          </w:tcPr>
          <w:p>
            <w:pPr>
              <w:spacing w:after="0"/>
              <w:rPr>
                <w:sz w:val="11"/>
                <w:szCs w:val="11"/>
                <w:color w:val="auto"/>
              </w:rPr>
            </w:pPr>
          </w:p>
        </w:tc>
        <w:tc>
          <w:tcPr>
            <w:tcW w:w="78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43,057</w:t>
            </w:r>
          </w:p>
        </w:tc>
        <w:tc>
          <w:tcPr>
            <w:tcW w:w="580" w:type="dxa"/>
            <w:vAlign w:val="bottom"/>
            <w:shd w:val="clear" w:color="auto" w:fill="E8EFF9"/>
          </w:tcPr>
          <w:p>
            <w:pPr>
              <w:spacing w:after="0"/>
              <w:rPr>
                <w:sz w:val="11"/>
                <w:szCs w:val="11"/>
                <w:color w:val="auto"/>
              </w:rPr>
            </w:pPr>
          </w:p>
        </w:tc>
        <w:tc>
          <w:tcPr>
            <w:tcW w:w="440" w:type="dxa"/>
            <w:vAlign w:val="bottom"/>
            <w:shd w:val="clear" w:color="auto" w:fill="E8EFF9"/>
          </w:tcPr>
          <w:p>
            <w:pPr>
              <w:jc w:val="right"/>
              <w:spacing w:after="0" w:line="137" w:lineRule="exact"/>
              <w:rPr>
                <w:sz w:val="20"/>
                <w:szCs w:val="20"/>
                <w:color w:val="auto"/>
              </w:rPr>
            </w:pPr>
            <w:r>
              <w:rPr>
                <w:rFonts w:ascii="Arial" w:cs="Arial" w:eastAsia="Arial" w:hAnsi="Arial"/>
                <w:sz w:val="12"/>
                <w:szCs w:val="12"/>
                <w:color w:val="auto"/>
              </w:rPr>
              <w:t>32,274</w:t>
            </w: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Income Tax Expense</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20,626</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12,919</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7,965</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19,026</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13,479</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spacing w:after="0" w:line="137" w:lineRule="exact"/>
              <w:rPr>
                <w:sz w:val="20"/>
                <w:szCs w:val="20"/>
                <w:color w:val="auto"/>
              </w:rPr>
            </w:pPr>
            <w:r>
              <w:rPr>
                <w:rFonts w:ascii="Arial" w:cs="Arial" w:eastAsia="Arial" w:hAnsi="Arial"/>
                <w:sz w:val="12"/>
                <w:szCs w:val="12"/>
                <w:b w:val="1"/>
                <w:bCs w:val="1"/>
                <w:color w:val="0077C0"/>
              </w:rPr>
              <w:t>Net Income</w:t>
            </w:r>
          </w:p>
        </w:tc>
        <w:tc>
          <w:tcPr>
            <w:tcW w:w="1520" w:type="dxa"/>
            <w:vAlign w:val="bottom"/>
            <w:shd w:val="clear" w:color="auto" w:fill="E8EFF9"/>
          </w:tcPr>
          <w:p>
            <w:pPr>
              <w:spacing w:after="0"/>
              <w:rPr>
                <w:sz w:val="11"/>
                <w:szCs w:val="11"/>
                <w:color w:val="auto"/>
              </w:rPr>
            </w:pPr>
          </w:p>
        </w:tc>
        <w:tc>
          <w:tcPr>
            <w:tcW w:w="800" w:type="dxa"/>
            <w:vAlign w:val="bottom"/>
            <w:tcBorders>
              <w:right w:val="single" w:sz="8" w:color="0077C0"/>
            </w:tcBorders>
            <w:shd w:val="clear" w:color="auto" w:fill="E8EFF9"/>
          </w:tcPr>
          <w:p>
            <w:pPr>
              <w:jc w:val="right"/>
              <w:ind w:right="284"/>
              <w:spacing w:after="0" w:line="137" w:lineRule="exact"/>
              <w:rPr>
                <w:sz w:val="20"/>
                <w:szCs w:val="20"/>
                <w:color w:val="auto"/>
              </w:rPr>
            </w:pPr>
            <w:r>
              <w:rPr>
                <w:rFonts w:ascii="Arial" w:cs="Arial" w:eastAsia="Arial" w:hAnsi="Arial"/>
                <w:sz w:val="12"/>
                <w:szCs w:val="12"/>
                <w:b w:val="1"/>
                <w:bCs w:val="1"/>
                <w:color w:val="auto"/>
              </w:rPr>
              <w:t>27,008</w:t>
            </w:r>
          </w:p>
        </w:tc>
        <w:tc>
          <w:tcPr>
            <w:tcW w:w="46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19,136</w:t>
            </w:r>
          </w:p>
        </w:tc>
        <w:tc>
          <w:tcPr>
            <w:tcW w:w="58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10,563</w:t>
            </w:r>
          </w:p>
        </w:tc>
        <w:tc>
          <w:tcPr>
            <w:tcW w:w="600" w:type="dxa"/>
            <w:vAlign w:val="bottom"/>
            <w:shd w:val="clear" w:color="auto" w:fill="E8EFF9"/>
          </w:tcPr>
          <w:p>
            <w:pPr>
              <w:spacing w:after="0"/>
              <w:rPr>
                <w:sz w:val="11"/>
                <w:szCs w:val="11"/>
                <w:color w:val="auto"/>
              </w:rPr>
            </w:pPr>
          </w:p>
        </w:tc>
        <w:tc>
          <w:tcPr>
            <w:tcW w:w="78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24,031</w:t>
            </w:r>
          </w:p>
        </w:tc>
        <w:tc>
          <w:tcPr>
            <w:tcW w:w="580" w:type="dxa"/>
            <w:vAlign w:val="bottom"/>
            <w:shd w:val="clear" w:color="auto" w:fill="E8EFF9"/>
          </w:tcPr>
          <w:p>
            <w:pPr>
              <w:spacing w:after="0"/>
              <w:rPr>
                <w:sz w:val="11"/>
                <w:szCs w:val="11"/>
                <w:color w:val="auto"/>
              </w:rPr>
            </w:pPr>
          </w:p>
        </w:tc>
        <w:tc>
          <w:tcPr>
            <w:tcW w:w="440" w:type="dxa"/>
            <w:vAlign w:val="bottom"/>
            <w:shd w:val="clear" w:color="auto" w:fill="E8EFF9"/>
          </w:tcPr>
          <w:p>
            <w:pPr>
              <w:jc w:val="right"/>
              <w:spacing w:after="0" w:line="137" w:lineRule="exact"/>
              <w:rPr>
                <w:sz w:val="20"/>
                <w:szCs w:val="20"/>
                <w:color w:val="auto"/>
              </w:rPr>
            </w:pPr>
            <w:r>
              <w:rPr>
                <w:rFonts w:ascii="Arial" w:cs="Arial" w:eastAsia="Arial" w:hAnsi="Arial"/>
                <w:sz w:val="12"/>
                <w:szCs w:val="12"/>
                <w:color w:val="auto"/>
              </w:rPr>
              <w:t>18,795</w:t>
            </w: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color w:val="auto"/>
              </w:rPr>
              <w:t>Less: Net income attributable to noncontrolling interests</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113</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112</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80</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100</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107</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Net Income Attributable to Chevron Corporation</w:t>
            </w:r>
          </w:p>
        </w:tc>
        <w:tc>
          <w:tcPr>
            <w:tcW w:w="152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26,895</w:t>
            </w:r>
          </w:p>
        </w:tc>
        <w:tc>
          <w:tcPr>
            <w:tcW w:w="46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19,024</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10,483</w:t>
            </w:r>
          </w:p>
        </w:tc>
        <w:tc>
          <w:tcPr>
            <w:tcW w:w="60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23,931</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18,688</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Per Share of Common Stock</w:t>
            </w:r>
          </w:p>
        </w:tc>
        <w:tc>
          <w:tcPr>
            <w:tcW w:w="1520" w:type="dxa"/>
            <w:vAlign w:val="bottom"/>
            <w:shd w:val="clear" w:color="auto" w:fill="E8EFF9"/>
          </w:tcPr>
          <w:p>
            <w:pPr>
              <w:spacing w:after="0"/>
              <w:rPr>
                <w:sz w:val="12"/>
                <w:szCs w:val="12"/>
                <w:color w:val="auto"/>
              </w:rPr>
            </w:pPr>
          </w:p>
        </w:tc>
        <w:tc>
          <w:tcPr>
            <w:tcW w:w="800" w:type="dxa"/>
            <w:vAlign w:val="bottom"/>
            <w:tcBorders>
              <w:right w:val="single" w:sz="8" w:color="0077C0"/>
            </w:tcBorders>
            <w:shd w:val="clear" w:color="auto" w:fill="E8EFF9"/>
          </w:tcPr>
          <w:p>
            <w:pPr>
              <w:spacing w:after="0"/>
              <w:rPr>
                <w:sz w:val="12"/>
                <w:szCs w:val="12"/>
                <w:color w:val="auto"/>
              </w:rPr>
            </w:pP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spacing w:after="0"/>
              <w:rPr>
                <w:sz w:val="12"/>
                <w:szCs w:val="12"/>
                <w:color w:val="auto"/>
              </w:rPr>
            </w:pP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140"/>
              <w:spacing w:after="0"/>
              <w:rPr>
                <w:sz w:val="20"/>
                <w:szCs w:val="20"/>
                <w:color w:val="auto"/>
              </w:rPr>
            </w:pPr>
            <w:r>
              <w:rPr>
                <w:rFonts w:ascii="Arial" w:cs="Arial" w:eastAsia="Arial" w:hAnsi="Arial"/>
                <w:sz w:val="12"/>
                <w:szCs w:val="12"/>
                <w:b w:val="1"/>
                <w:bCs w:val="1"/>
                <w:color w:val="0077C0"/>
              </w:rPr>
              <w:t>Net Income Attributable to Chevron</w:t>
            </w:r>
          </w:p>
        </w:tc>
        <w:tc>
          <w:tcPr>
            <w:tcW w:w="1520" w:type="dxa"/>
            <w:vAlign w:val="bottom"/>
            <w:vMerge w:val="restart"/>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right w:val="single" w:sz="8" w:color="0077C0"/>
            </w:tcBorders>
            <w:vMerge w:val="restart"/>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13.54</w:t>
            </w: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spacing w:after="0"/>
              <w:rPr>
                <w:sz w:val="12"/>
                <w:szCs w:val="12"/>
                <w:color w:val="auto"/>
              </w:rPr>
            </w:pP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280"/>
              <w:spacing w:after="0"/>
              <w:rPr>
                <w:sz w:val="20"/>
                <w:szCs w:val="20"/>
                <w:color w:val="auto"/>
              </w:rPr>
            </w:pPr>
            <w:r>
              <w:rPr>
                <w:rFonts w:ascii="Arial" w:cs="Arial" w:eastAsia="Arial" w:hAnsi="Arial"/>
                <w:sz w:val="12"/>
                <w:szCs w:val="12"/>
                <w:color w:val="0077C0"/>
              </w:rPr>
              <w:t>– Basic</w:t>
            </w:r>
          </w:p>
        </w:tc>
        <w:tc>
          <w:tcPr>
            <w:tcW w:w="1520" w:type="dxa"/>
            <w:vAlign w:val="bottom"/>
            <w:vMerge w:val="continue"/>
            <w:shd w:val="clear" w:color="auto" w:fill="E8EFF9"/>
          </w:tcPr>
          <w:p>
            <w:pPr>
              <w:spacing w:after="0"/>
              <w:rPr>
                <w:sz w:val="12"/>
                <w:szCs w:val="12"/>
                <w:color w:val="auto"/>
              </w:rPr>
            </w:pPr>
          </w:p>
        </w:tc>
        <w:tc>
          <w:tcPr>
            <w:tcW w:w="800" w:type="dxa"/>
            <w:vAlign w:val="bottom"/>
            <w:tcBorders>
              <w:right w:val="single" w:sz="8" w:color="0077C0"/>
            </w:tcBorders>
            <w:vMerge w:val="continue"/>
            <w:shd w:val="clear" w:color="auto" w:fill="E8EFF9"/>
          </w:tcPr>
          <w:p>
            <w:pPr>
              <w:spacing w:after="0"/>
              <w:rPr>
                <w:sz w:val="12"/>
                <w:szCs w:val="12"/>
                <w:color w:val="auto"/>
              </w:rPr>
            </w:pPr>
          </w:p>
        </w:tc>
        <w:tc>
          <w:tcPr>
            <w:tcW w:w="46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9.53</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5.26</w:t>
            </w:r>
          </w:p>
        </w:tc>
        <w:tc>
          <w:tcPr>
            <w:tcW w:w="60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11.74</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shd w:val="clear" w:color="auto" w:fill="E8EFF9"/>
          </w:tcPr>
          <w:p>
            <w:pPr>
              <w:jc w:val="right"/>
              <w:spacing w:after="0"/>
              <w:rPr>
                <w:sz w:val="20"/>
                <w:szCs w:val="20"/>
                <w:color w:val="auto"/>
              </w:rPr>
            </w:pPr>
            <w:r>
              <w:rPr>
                <w:rFonts w:ascii="Arial" w:cs="Arial" w:eastAsia="Arial" w:hAnsi="Arial"/>
                <w:sz w:val="12"/>
                <w:szCs w:val="12"/>
                <w:color w:val="auto"/>
              </w:rPr>
              <w:t>8.83</w:t>
            </w: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Borders>
              <w:bottom w:val="single" w:sz="8" w:color="E8EFF9"/>
            </w:tcBorders>
            <w:shd w:val="clear" w:color="auto" w:fill="E8EFF9"/>
          </w:tcPr>
          <w:p>
            <w:pPr>
              <w:spacing w:after="0"/>
              <w:rPr>
                <w:sz w:val="14"/>
                <w:szCs w:val="14"/>
                <w:color w:val="auto"/>
              </w:rPr>
            </w:pPr>
          </w:p>
        </w:tc>
        <w:tc>
          <w:tcPr>
            <w:tcW w:w="4000" w:type="dxa"/>
            <w:vAlign w:val="bottom"/>
            <w:tcBorders>
              <w:bottom w:val="single" w:sz="8" w:color="0077C0"/>
            </w:tcBorders>
            <w:shd w:val="clear" w:color="auto" w:fill="E8EFF9"/>
          </w:tcPr>
          <w:p>
            <w:pPr>
              <w:ind w:left="280"/>
              <w:spacing w:after="0"/>
              <w:rPr>
                <w:sz w:val="20"/>
                <w:szCs w:val="20"/>
                <w:color w:val="auto"/>
              </w:rPr>
            </w:pPr>
            <w:r>
              <w:rPr>
                <w:rFonts w:ascii="Arial" w:cs="Arial" w:eastAsia="Arial" w:hAnsi="Arial"/>
                <w:sz w:val="12"/>
                <w:szCs w:val="12"/>
                <w:color w:val="0077C0"/>
              </w:rPr>
              <w:t>– Diluted</w:t>
            </w:r>
          </w:p>
        </w:tc>
        <w:tc>
          <w:tcPr>
            <w:tcW w:w="152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13.44</w:t>
            </w:r>
          </w:p>
        </w:tc>
        <w:tc>
          <w:tcPr>
            <w:tcW w:w="46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9.48</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5.24</w:t>
            </w:r>
          </w:p>
        </w:tc>
        <w:tc>
          <w:tcPr>
            <w:tcW w:w="60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11.67</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8.77</w:t>
            </w:r>
          </w:p>
        </w:tc>
        <w:tc>
          <w:tcPr>
            <w:tcW w:w="20" w:type="dxa"/>
            <w:vAlign w:val="bottom"/>
            <w:tcBorders>
              <w:bottom w:val="single" w:sz="8" w:color="E8EFF9"/>
            </w:tcBorders>
            <w:shd w:val="clear" w:color="auto" w:fill="E8EFF9"/>
          </w:tcPr>
          <w:p>
            <w:pPr>
              <w:spacing w:after="0"/>
              <w:rPr>
                <w:sz w:val="14"/>
                <w:szCs w:val="14"/>
                <w:color w:val="auto"/>
              </w:rPr>
            </w:pPr>
          </w:p>
        </w:tc>
        <w:tc>
          <w:tcPr>
            <w:tcW w:w="60" w:type="dxa"/>
            <w:vAlign w:val="bottom"/>
            <w:tcBorders>
              <w:bottom w:val="single" w:sz="8" w:color="E8EFF9"/>
            </w:tcBorders>
            <w:shd w:val="clear" w:color="auto" w:fill="E8EFF9"/>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Borders>
              <w:bottom w:val="single" w:sz="8" w:color="E8EFF9"/>
            </w:tcBorders>
            <w:shd w:val="clear" w:color="auto" w:fill="E8EFF9"/>
          </w:tcPr>
          <w:p>
            <w:pPr>
              <w:spacing w:after="0"/>
              <w:rPr>
                <w:sz w:val="14"/>
                <w:szCs w:val="14"/>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Cash Dividends Per Share</w:t>
            </w:r>
          </w:p>
        </w:tc>
        <w:tc>
          <w:tcPr>
            <w:tcW w:w="152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3.09</w:t>
            </w:r>
          </w:p>
        </w:tc>
        <w:tc>
          <w:tcPr>
            <w:tcW w:w="46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2.84</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2.66</w:t>
            </w:r>
          </w:p>
        </w:tc>
        <w:tc>
          <w:tcPr>
            <w:tcW w:w="60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2.53</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2.26</w:t>
            </w:r>
          </w:p>
        </w:tc>
        <w:tc>
          <w:tcPr>
            <w:tcW w:w="20" w:type="dxa"/>
            <w:vAlign w:val="bottom"/>
            <w:tcBorders>
              <w:bottom w:val="single" w:sz="8" w:color="E8EFF9"/>
            </w:tcBorders>
            <w:shd w:val="clear" w:color="auto" w:fill="E8EFF9"/>
          </w:tcPr>
          <w:p>
            <w:pPr>
              <w:spacing w:after="0"/>
              <w:rPr>
                <w:sz w:val="14"/>
                <w:szCs w:val="14"/>
                <w:color w:val="auto"/>
              </w:rPr>
            </w:pPr>
          </w:p>
        </w:tc>
        <w:tc>
          <w:tcPr>
            <w:tcW w:w="60" w:type="dxa"/>
            <w:vAlign w:val="bottom"/>
            <w:tcBorders>
              <w:bottom w:val="single" w:sz="8" w:color="E8EFF9"/>
            </w:tcBorders>
            <w:shd w:val="clear" w:color="auto" w:fill="E8EFF9"/>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spacing w:after="0"/>
              <w:rPr>
                <w:sz w:val="20"/>
                <w:szCs w:val="20"/>
                <w:color w:val="auto"/>
              </w:rPr>
            </w:pPr>
            <w:r>
              <w:rPr>
                <w:rFonts w:ascii="Arial" w:cs="Arial" w:eastAsia="Arial" w:hAnsi="Arial"/>
                <w:sz w:val="12"/>
                <w:szCs w:val="12"/>
                <w:b w:val="1"/>
                <w:bCs w:val="1"/>
                <w:color w:val="0077C0"/>
              </w:rPr>
              <w:t>Balance Sheet Data (at December 31)</w:t>
            </w:r>
          </w:p>
        </w:tc>
        <w:tc>
          <w:tcPr>
            <w:tcW w:w="1520" w:type="dxa"/>
            <w:vAlign w:val="bottom"/>
            <w:vMerge w:val="restart"/>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right w:val="single" w:sz="8" w:color="0077C0"/>
            </w:tcBorders>
            <w:vMerge w:val="restart"/>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53,234</w:t>
            </w: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spacing w:after="0"/>
              <w:rPr>
                <w:sz w:val="12"/>
                <w:szCs w:val="12"/>
                <w:color w:val="auto"/>
              </w:rPr>
            </w:pP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spacing w:after="0"/>
              <w:rPr>
                <w:sz w:val="12"/>
                <w:szCs w:val="12"/>
                <w:color w:val="auto"/>
              </w:rPr>
            </w:pP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spacing w:after="0"/>
              <w:rPr>
                <w:sz w:val="12"/>
                <w:szCs w:val="12"/>
                <w:color w:val="auto"/>
              </w:rPr>
            </w:pP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140"/>
              <w:spacing w:after="0"/>
              <w:rPr>
                <w:sz w:val="20"/>
                <w:szCs w:val="20"/>
                <w:color w:val="auto"/>
              </w:rPr>
            </w:pPr>
            <w:r>
              <w:rPr>
                <w:rFonts w:ascii="Arial" w:cs="Arial" w:eastAsia="Arial" w:hAnsi="Arial"/>
                <w:sz w:val="12"/>
                <w:szCs w:val="12"/>
                <w:color w:val="auto"/>
              </w:rPr>
              <w:t>Current assets</w:t>
            </w:r>
          </w:p>
        </w:tc>
        <w:tc>
          <w:tcPr>
            <w:tcW w:w="1520" w:type="dxa"/>
            <w:vAlign w:val="bottom"/>
            <w:vMerge w:val="continue"/>
            <w:shd w:val="clear" w:color="auto" w:fill="E8EFF9"/>
          </w:tcPr>
          <w:p>
            <w:pPr>
              <w:spacing w:after="0"/>
              <w:rPr>
                <w:sz w:val="12"/>
                <w:szCs w:val="12"/>
                <w:color w:val="auto"/>
              </w:rPr>
            </w:pPr>
          </w:p>
        </w:tc>
        <w:tc>
          <w:tcPr>
            <w:tcW w:w="800" w:type="dxa"/>
            <w:vAlign w:val="bottom"/>
            <w:tcBorders>
              <w:right w:val="single" w:sz="8" w:color="0077C0"/>
            </w:tcBorders>
            <w:vMerge w:val="continue"/>
            <w:shd w:val="clear" w:color="auto" w:fill="E8EFF9"/>
          </w:tcPr>
          <w:p>
            <w:pPr>
              <w:spacing w:after="0"/>
              <w:rPr>
                <w:sz w:val="12"/>
                <w:szCs w:val="12"/>
                <w:color w:val="auto"/>
              </w:rPr>
            </w:pPr>
          </w:p>
        </w:tc>
        <w:tc>
          <w:tcPr>
            <w:tcW w:w="46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48,841</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37,216</w:t>
            </w:r>
          </w:p>
        </w:tc>
        <w:tc>
          <w:tcPr>
            <w:tcW w:w="60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36,470</w:t>
            </w:r>
          </w:p>
        </w:tc>
        <w:tc>
          <w:tcPr>
            <w:tcW w:w="580" w:type="dxa"/>
            <w:vAlign w:val="bottom"/>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shd w:val="clear" w:color="auto" w:fill="E8EFF9"/>
          </w:tcPr>
          <w:p>
            <w:pPr>
              <w:jc w:val="right"/>
              <w:spacing w:after="0"/>
              <w:rPr>
                <w:sz w:val="20"/>
                <w:szCs w:val="20"/>
                <w:color w:val="auto"/>
              </w:rPr>
            </w:pPr>
            <w:r>
              <w:rPr>
                <w:rFonts w:ascii="Arial" w:cs="Arial" w:eastAsia="Arial" w:hAnsi="Arial"/>
                <w:sz w:val="12"/>
                <w:szCs w:val="12"/>
                <w:color w:val="auto"/>
              </w:rPr>
              <w:t>39,377</w:t>
            </w: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color w:val="auto"/>
              </w:rPr>
              <w:t>Noncurrent assets</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156,240</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135,928</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127,405</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w w:val="96"/>
              </w:rPr>
              <w:t>124,695</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w w:val="96"/>
              </w:rPr>
              <w:t>109,409</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 w:type="dxa"/>
            <w:vAlign w:val="bottom"/>
            <w:tcBorders>
              <w:bottom w:val="single" w:sz="8" w:color="E8EFF9"/>
            </w:tcBorders>
            <w:shd w:val="clear" w:color="auto" w:fill="E8EFF9"/>
          </w:tcPr>
          <w:p>
            <w:pPr>
              <w:spacing w:after="0"/>
              <w:rPr>
                <w:sz w:val="12"/>
                <w:szCs w:val="12"/>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Total Assets</w:t>
            </w:r>
          </w:p>
        </w:tc>
        <w:tc>
          <w:tcPr>
            <w:tcW w:w="152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209,474</w:t>
            </w:r>
          </w:p>
        </w:tc>
        <w:tc>
          <w:tcPr>
            <w:tcW w:w="46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184,769</w:t>
            </w:r>
          </w:p>
        </w:tc>
        <w:tc>
          <w:tcPr>
            <w:tcW w:w="58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164,621</w:t>
            </w:r>
          </w:p>
        </w:tc>
        <w:tc>
          <w:tcPr>
            <w:tcW w:w="600" w:type="dxa"/>
            <w:vAlign w:val="bottom"/>
            <w:tcBorders>
              <w:bottom w:val="single" w:sz="8" w:color="0077C0"/>
            </w:tcBorders>
            <w:shd w:val="clear" w:color="auto" w:fill="E8EFF9"/>
          </w:tcPr>
          <w:p>
            <w:pPr>
              <w:spacing w:after="0"/>
              <w:rPr>
                <w:sz w:val="12"/>
                <w:szCs w:val="12"/>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w w:val="96"/>
              </w:rPr>
              <w:t>161,165</w:t>
            </w:r>
          </w:p>
        </w:tc>
        <w:tc>
          <w:tcPr>
            <w:tcW w:w="580" w:type="dxa"/>
            <w:vAlign w:val="bottom"/>
            <w:tcBorders>
              <w:bottom w:val="single" w:sz="8" w:color="0077C0"/>
            </w:tcBorders>
            <w:shd w:val="clear" w:color="auto" w:fill="E8EFF9"/>
          </w:tcPr>
          <w:p>
            <w:pPr>
              <w:spacing w:after="0"/>
              <w:rPr>
                <w:sz w:val="12"/>
                <w:szCs w:val="12"/>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w w:val="96"/>
              </w:rPr>
              <w:t>148,786</w:t>
            </w:r>
          </w:p>
        </w:tc>
        <w:tc>
          <w:tcPr>
            <w:tcW w:w="20" w:type="dxa"/>
            <w:vAlign w:val="bottom"/>
            <w:tcBorders>
              <w:bottom w:val="single" w:sz="8" w:color="E8EFF9"/>
            </w:tcBorders>
            <w:shd w:val="clear" w:color="auto" w:fill="E8EFF9"/>
          </w:tcPr>
          <w:p>
            <w:pPr>
              <w:spacing w:after="0"/>
              <w:rPr>
                <w:sz w:val="12"/>
                <w:szCs w:val="12"/>
                <w:color w:val="auto"/>
              </w:rPr>
            </w:pPr>
          </w:p>
        </w:tc>
        <w:tc>
          <w:tcPr>
            <w:tcW w:w="60" w:type="dxa"/>
            <w:vAlign w:val="bottom"/>
            <w:tcBorders>
              <w:bottom w:val="single" w:sz="8" w:color="E8EFF9"/>
            </w:tcBorders>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ind w:left="140"/>
              <w:spacing w:after="0" w:line="137" w:lineRule="exact"/>
              <w:rPr>
                <w:sz w:val="20"/>
                <w:szCs w:val="20"/>
                <w:color w:val="auto"/>
              </w:rPr>
            </w:pPr>
            <w:r>
              <w:rPr>
                <w:rFonts w:ascii="Arial" w:cs="Arial" w:eastAsia="Arial" w:hAnsi="Arial"/>
                <w:sz w:val="12"/>
                <w:szCs w:val="12"/>
                <w:color w:val="auto"/>
              </w:rPr>
              <w:t>Short-term debt</w:t>
            </w:r>
          </w:p>
        </w:tc>
        <w:tc>
          <w:tcPr>
            <w:tcW w:w="1520" w:type="dxa"/>
            <w:vAlign w:val="bottom"/>
            <w:shd w:val="clear" w:color="auto" w:fill="E8EFF9"/>
          </w:tcPr>
          <w:p>
            <w:pPr>
              <w:spacing w:after="0"/>
              <w:rPr>
                <w:sz w:val="11"/>
                <w:szCs w:val="11"/>
                <w:color w:val="auto"/>
              </w:rPr>
            </w:pPr>
          </w:p>
        </w:tc>
        <w:tc>
          <w:tcPr>
            <w:tcW w:w="800" w:type="dxa"/>
            <w:vAlign w:val="bottom"/>
            <w:tcBorders>
              <w:right w:val="single" w:sz="8" w:color="0077C0"/>
            </w:tcBorders>
            <w:shd w:val="clear" w:color="auto" w:fill="E8EFF9"/>
          </w:tcPr>
          <w:p>
            <w:pPr>
              <w:jc w:val="right"/>
              <w:ind w:right="284"/>
              <w:spacing w:after="0" w:line="137" w:lineRule="exact"/>
              <w:rPr>
                <w:sz w:val="20"/>
                <w:szCs w:val="20"/>
                <w:color w:val="auto"/>
              </w:rPr>
            </w:pPr>
            <w:r>
              <w:rPr>
                <w:rFonts w:ascii="Arial" w:cs="Arial" w:eastAsia="Arial" w:hAnsi="Arial"/>
                <w:sz w:val="12"/>
                <w:szCs w:val="12"/>
                <w:b w:val="1"/>
                <w:bCs w:val="1"/>
                <w:color w:val="auto"/>
              </w:rPr>
              <w:t>340</w:t>
            </w:r>
          </w:p>
        </w:tc>
        <w:tc>
          <w:tcPr>
            <w:tcW w:w="46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187</w:t>
            </w:r>
          </w:p>
        </w:tc>
        <w:tc>
          <w:tcPr>
            <w:tcW w:w="580" w:type="dxa"/>
            <w:vAlign w:val="bottom"/>
            <w:shd w:val="clear" w:color="auto" w:fill="E8EFF9"/>
          </w:tcPr>
          <w:p>
            <w:pPr>
              <w:spacing w:after="0"/>
              <w:rPr>
                <w:sz w:val="11"/>
                <w:szCs w:val="11"/>
                <w:color w:val="auto"/>
              </w:rPr>
            </w:pP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384</w:t>
            </w:r>
          </w:p>
        </w:tc>
        <w:tc>
          <w:tcPr>
            <w:tcW w:w="600" w:type="dxa"/>
            <w:vAlign w:val="bottom"/>
            <w:shd w:val="clear" w:color="auto" w:fill="E8EFF9"/>
          </w:tcPr>
          <w:p>
            <w:pPr>
              <w:spacing w:after="0"/>
              <w:rPr>
                <w:sz w:val="11"/>
                <w:szCs w:val="11"/>
                <w:color w:val="auto"/>
              </w:rPr>
            </w:pPr>
          </w:p>
        </w:tc>
        <w:tc>
          <w:tcPr>
            <w:tcW w:w="78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2,818</w:t>
            </w:r>
          </w:p>
        </w:tc>
        <w:tc>
          <w:tcPr>
            <w:tcW w:w="580" w:type="dxa"/>
            <w:vAlign w:val="bottom"/>
            <w:shd w:val="clear" w:color="auto" w:fill="E8EFF9"/>
          </w:tcPr>
          <w:p>
            <w:pPr>
              <w:spacing w:after="0"/>
              <w:rPr>
                <w:sz w:val="11"/>
                <w:szCs w:val="11"/>
                <w:color w:val="auto"/>
              </w:rPr>
            </w:pPr>
          </w:p>
        </w:tc>
        <w:tc>
          <w:tcPr>
            <w:tcW w:w="440" w:type="dxa"/>
            <w:vAlign w:val="bottom"/>
            <w:shd w:val="clear" w:color="auto" w:fill="E8EFF9"/>
          </w:tcPr>
          <w:p>
            <w:pPr>
              <w:jc w:val="right"/>
              <w:spacing w:after="0" w:line="137" w:lineRule="exact"/>
              <w:rPr>
                <w:sz w:val="20"/>
                <w:szCs w:val="20"/>
                <w:color w:val="auto"/>
              </w:rPr>
            </w:pPr>
            <w:r>
              <w:rPr>
                <w:rFonts w:ascii="Arial" w:cs="Arial" w:eastAsia="Arial" w:hAnsi="Arial"/>
                <w:sz w:val="12"/>
                <w:szCs w:val="12"/>
                <w:color w:val="auto"/>
              </w:rPr>
              <w:t>1,162</w:t>
            </w: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140"/>
              <w:spacing w:after="0"/>
              <w:rPr>
                <w:sz w:val="20"/>
                <w:szCs w:val="20"/>
                <w:color w:val="auto"/>
              </w:rPr>
            </w:pPr>
            <w:r>
              <w:rPr>
                <w:rFonts w:ascii="Arial" w:cs="Arial" w:eastAsia="Arial" w:hAnsi="Arial"/>
                <w:sz w:val="12"/>
                <w:szCs w:val="12"/>
                <w:color w:val="auto"/>
              </w:rPr>
              <w:t>Other current liabilities</w:t>
            </w:r>
          </w:p>
        </w:tc>
        <w:tc>
          <w:tcPr>
            <w:tcW w:w="1520" w:type="dxa"/>
            <w:vAlign w:val="bottom"/>
            <w:shd w:val="clear" w:color="auto" w:fill="E8EFF9"/>
          </w:tcPr>
          <w:p>
            <w:pPr>
              <w:spacing w:after="0"/>
              <w:rPr>
                <w:sz w:val="12"/>
                <w:szCs w:val="12"/>
                <w:color w:val="auto"/>
              </w:rPr>
            </w:pPr>
          </w:p>
        </w:tc>
        <w:tc>
          <w:tcPr>
            <w:tcW w:w="800" w:type="dxa"/>
            <w:vAlign w:val="bottom"/>
            <w:tcBorders>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33,260</w:t>
            </w: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28,825</w:t>
            </w: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25,827</w:t>
            </w: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29,205</w:t>
            </w: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jc w:val="right"/>
              <w:spacing w:after="0"/>
              <w:rPr>
                <w:sz w:val="20"/>
                <w:szCs w:val="20"/>
                <w:color w:val="auto"/>
              </w:rPr>
            </w:pPr>
            <w:r>
              <w:rPr>
                <w:rFonts w:ascii="Arial" w:cs="Arial" w:eastAsia="Arial" w:hAnsi="Arial"/>
                <w:sz w:val="12"/>
                <w:szCs w:val="12"/>
                <w:color w:val="auto"/>
              </w:rPr>
              <w:t>32,636</w:t>
            </w: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E8EFF9"/>
          </w:tcPr>
          <w:p>
            <w:pPr>
              <w:spacing w:after="0"/>
              <w:rPr>
                <w:sz w:val="12"/>
                <w:szCs w:val="12"/>
                <w:color w:val="auto"/>
              </w:rPr>
            </w:pPr>
          </w:p>
        </w:tc>
        <w:tc>
          <w:tcPr>
            <w:tcW w:w="4000" w:type="dxa"/>
            <w:vAlign w:val="bottom"/>
            <w:shd w:val="clear" w:color="auto" w:fill="E8EFF9"/>
          </w:tcPr>
          <w:p>
            <w:pPr>
              <w:ind w:left="140"/>
              <w:spacing w:after="0"/>
              <w:rPr>
                <w:sz w:val="20"/>
                <w:szCs w:val="20"/>
                <w:color w:val="auto"/>
              </w:rPr>
            </w:pPr>
            <w:r>
              <w:rPr>
                <w:rFonts w:ascii="Arial" w:cs="Arial" w:eastAsia="Arial" w:hAnsi="Arial"/>
                <w:sz w:val="12"/>
                <w:szCs w:val="12"/>
                <w:color w:val="auto"/>
              </w:rPr>
              <w:t>Long-term debt and capital lease obligations</w:t>
            </w:r>
          </w:p>
        </w:tc>
        <w:tc>
          <w:tcPr>
            <w:tcW w:w="1520" w:type="dxa"/>
            <w:vAlign w:val="bottom"/>
            <w:shd w:val="clear" w:color="auto" w:fill="E8EFF9"/>
          </w:tcPr>
          <w:p>
            <w:pPr>
              <w:spacing w:after="0"/>
              <w:rPr>
                <w:sz w:val="12"/>
                <w:szCs w:val="12"/>
                <w:color w:val="auto"/>
              </w:rPr>
            </w:pPr>
          </w:p>
        </w:tc>
        <w:tc>
          <w:tcPr>
            <w:tcW w:w="800" w:type="dxa"/>
            <w:vAlign w:val="bottom"/>
            <w:tcBorders>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9,812</w:t>
            </w:r>
          </w:p>
        </w:tc>
        <w:tc>
          <w:tcPr>
            <w:tcW w:w="460" w:type="dxa"/>
            <w:vAlign w:val="bottom"/>
            <w:shd w:val="clear" w:color="auto" w:fill="E8EFF9"/>
          </w:tcPr>
          <w:p>
            <w:pPr>
              <w:spacing w:after="0"/>
              <w:rPr>
                <w:sz w:val="12"/>
                <w:szCs w:val="12"/>
                <w:color w:val="auto"/>
              </w:rPr>
            </w:pP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11,289</w:t>
            </w:r>
          </w:p>
        </w:tc>
        <w:tc>
          <w:tcPr>
            <w:tcW w:w="580" w:type="dxa"/>
            <w:vAlign w:val="bottom"/>
            <w:shd w:val="clear" w:color="auto" w:fill="E8EFF9"/>
          </w:tcPr>
          <w:p>
            <w:pPr>
              <w:spacing w:after="0"/>
              <w:rPr>
                <w:sz w:val="12"/>
                <w:szCs w:val="12"/>
                <w:color w:val="auto"/>
              </w:rPr>
            </w:pP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10,130</w:t>
            </w:r>
          </w:p>
        </w:tc>
        <w:tc>
          <w:tcPr>
            <w:tcW w:w="600" w:type="dxa"/>
            <w:vAlign w:val="bottom"/>
            <w:shd w:val="clear" w:color="auto" w:fill="E8EFF9"/>
          </w:tcPr>
          <w:p>
            <w:pPr>
              <w:spacing w:after="0"/>
              <w:rPr>
                <w:sz w:val="12"/>
                <w:szCs w:val="12"/>
                <w:color w:val="auto"/>
              </w:rPr>
            </w:pP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12"/>
                <w:szCs w:val="12"/>
                <w:color w:val="auto"/>
              </w:rPr>
              <w:t>6,083</w:t>
            </w:r>
          </w:p>
        </w:tc>
        <w:tc>
          <w:tcPr>
            <w:tcW w:w="580" w:type="dxa"/>
            <w:vAlign w:val="bottom"/>
            <w:shd w:val="clear" w:color="auto" w:fill="E8EFF9"/>
          </w:tcPr>
          <w:p>
            <w:pPr>
              <w:spacing w:after="0"/>
              <w:rPr>
                <w:sz w:val="12"/>
                <w:szCs w:val="12"/>
                <w:color w:val="auto"/>
              </w:rPr>
            </w:pPr>
          </w:p>
        </w:tc>
        <w:tc>
          <w:tcPr>
            <w:tcW w:w="440" w:type="dxa"/>
            <w:vAlign w:val="bottom"/>
            <w:shd w:val="clear" w:color="auto" w:fill="E8EFF9"/>
          </w:tcPr>
          <w:p>
            <w:pPr>
              <w:jc w:val="right"/>
              <w:spacing w:after="0"/>
              <w:rPr>
                <w:sz w:val="20"/>
                <w:szCs w:val="20"/>
                <w:color w:val="auto"/>
              </w:rPr>
            </w:pPr>
            <w:r>
              <w:rPr>
                <w:rFonts w:ascii="Arial" w:cs="Arial" w:eastAsia="Arial" w:hAnsi="Arial"/>
                <w:sz w:val="12"/>
                <w:szCs w:val="12"/>
                <w:color w:val="auto"/>
              </w:rPr>
              <w:t>6,070</w:t>
            </w:r>
          </w:p>
        </w:tc>
        <w:tc>
          <w:tcPr>
            <w:tcW w:w="20" w:type="dxa"/>
            <w:vAlign w:val="bottom"/>
            <w:shd w:val="clear" w:color="auto" w:fill="E8EFF9"/>
          </w:tcPr>
          <w:p>
            <w:pPr>
              <w:spacing w:after="0"/>
              <w:rPr>
                <w:sz w:val="12"/>
                <w:szCs w:val="12"/>
                <w:color w:val="auto"/>
              </w:rPr>
            </w:pPr>
          </w:p>
        </w:tc>
        <w:tc>
          <w:tcPr>
            <w:tcW w:w="60" w:type="dxa"/>
            <w:vAlign w:val="bottom"/>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color w:val="auto"/>
              </w:rPr>
              <w:t>Other noncurrent liabilities</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43,881</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38,657</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35,719</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35,942</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31,626</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 w:type="dxa"/>
            <w:vAlign w:val="bottom"/>
            <w:tcBorders>
              <w:bottom w:val="single" w:sz="8" w:color="E8EFF9"/>
            </w:tcBorders>
            <w:shd w:val="clear" w:color="auto" w:fill="E8EFF9"/>
          </w:tcPr>
          <w:p>
            <w:pPr>
              <w:spacing w:after="0"/>
              <w:rPr>
                <w:sz w:val="12"/>
                <w:szCs w:val="12"/>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Total Liabilities</w:t>
            </w:r>
          </w:p>
        </w:tc>
        <w:tc>
          <w:tcPr>
            <w:tcW w:w="152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87,293</w:t>
            </w:r>
          </w:p>
        </w:tc>
        <w:tc>
          <w:tcPr>
            <w:tcW w:w="46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78,958</w:t>
            </w:r>
          </w:p>
        </w:tc>
        <w:tc>
          <w:tcPr>
            <w:tcW w:w="580" w:type="dxa"/>
            <w:vAlign w:val="bottom"/>
            <w:tcBorders>
              <w:bottom w:val="single" w:sz="8" w:color="0077C0"/>
            </w:tcBorders>
            <w:shd w:val="clear" w:color="auto" w:fill="E8EFF9"/>
          </w:tcPr>
          <w:p>
            <w:pPr>
              <w:spacing w:after="0"/>
              <w:rPr>
                <w:sz w:val="12"/>
                <w:szCs w:val="12"/>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72,060</w:t>
            </w:r>
          </w:p>
        </w:tc>
        <w:tc>
          <w:tcPr>
            <w:tcW w:w="600" w:type="dxa"/>
            <w:vAlign w:val="bottom"/>
            <w:tcBorders>
              <w:bottom w:val="single" w:sz="8" w:color="0077C0"/>
            </w:tcBorders>
            <w:shd w:val="clear" w:color="auto" w:fill="E8EFF9"/>
          </w:tcPr>
          <w:p>
            <w:pPr>
              <w:spacing w:after="0"/>
              <w:rPr>
                <w:sz w:val="12"/>
                <w:szCs w:val="12"/>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74,048</w:t>
            </w:r>
          </w:p>
        </w:tc>
        <w:tc>
          <w:tcPr>
            <w:tcW w:w="580" w:type="dxa"/>
            <w:vAlign w:val="bottom"/>
            <w:tcBorders>
              <w:bottom w:val="single" w:sz="8" w:color="0077C0"/>
            </w:tcBorders>
            <w:shd w:val="clear" w:color="auto" w:fill="E8EFF9"/>
          </w:tcPr>
          <w:p>
            <w:pPr>
              <w:spacing w:after="0"/>
              <w:rPr>
                <w:sz w:val="12"/>
                <w:szCs w:val="12"/>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71,494</w:t>
            </w:r>
          </w:p>
        </w:tc>
        <w:tc>
          <w:tcPr>
            <w:tcW w:w="20" w:type="dxa"/>
            <w:vAlign w:val="bottom"/>
            <w:tcBorders>
              <w:bottom w:val="single" w:sz="8" w:color="E8EFF9"/>
            </w:tcBorders>
            <w:shd w:val="clear" w:color="auto" w:fill="E8EFF9"/>
          </w:tcPr>
          <w:p>
            <w:pPr>
              <w:spacing w:after="0"/>
              <w:rPr>
                <w:sz w:val="12"/>
                <w:szCs w:val="12"/>
                <w:color w:val="auto"/>
              </w:rPr>
            </w:pPr>
          </w:p>
        </w:tc>
        <w:tc>
          <w:tcPr>
            <w:tcW w:w="60" w:type="dxa"/>
            <w:vAlign w:val="bottom"/>
            <w:tcBorders>
              <w:bottom w:val="single" w:sz="8" w:color="E8EFF9"/>
            </w:tcBorders>
            <w:shd w:val="clear" w:color="auto" w:fill="E8EFF9"/>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0" w:type="dxa"/>
            <w:vAlign w:val="bottom"/>
            <w:shd w:val="clear" w:color="auto" w:fill="E8EFF9"/>
          </w:tcPr>
          <w:p>
            <w:pPr>
              <w:spacing w:after="0"/>
              <w:rPr>
                <w:sz w:val="11"/>
                <w:szCs w:val="11"/>
                <w:color w:val="auto"/>
              </w:rPr>
            </w:pPr>
          </w:p>
        </w:tc>
        <w:tc>
          <w:tcPr>
            <w:tcW w:w="4000" w:type="dxa"/>
            <w:vAlign w:val="bottom"/>
            <w:shd w:val="clear" w:color="auto" w:fill="E8EFF9"/>
          </w:tcPr>
          <w:p>
            <w:pPr>
              <w:spacing w:after="0" w:line="137" w:lineRule="exact"/>
              <w:rPr>
                <w:sz w:val="20"/>
                <w:szCs w:val="20"/>
                <w:color w:val="auto"/>
              </w:rPr>
            </w:pPr>
            <w:r>
              <w:rPr>
                <w:rFonts w:ascii="Arial" w:cs="Arial" w:eastAsia="Arial" w:hAnsi="Arial"/>
                <w:sz w:val="12"/>
                <w:szCs w:val="12"/>
                <w:b w:val="1"/>
                <w:bCs w:val="1"/>
                <w:color w:val="0077C0"/>
              </w:rPr>
              <w:t>Total Chevron Corporation Stockholders’ Equity</w:t>
            </w:r>
          </w:p>
        </w:tc>
        <w:tc>
          <w:tcPr>
            <w:tcW w:w="1520" w:type="dxa"/>
            <w:vAlign w:val="bottom"/>
            <w:shd w:val="clear" w:color="auto" w:fill="E8EFF9"/>
          </w:tcPr>
          <w:p>
            <w:pPr>
              <w:jc w:val="right"/>
              <w:ind w:right="124"/>
              <w:spacing w:after="0" w:line="137" w:lineRule="exact"/>
              <w:rPr>
                <w:sz w:val="20"/>
                <w:szCs w:val="20"/>
                <w:color w:val="auto"/>
              </w:rPr>
            </w:pPr>
            <w:r>
              <w:rPr>
                <w:rFonts w:ascii="Arial" w:cs="Arial" w:eastAsia="Arial" w:hAnsi="Arial"/>
                <w:sz w:val="12"/>
                <w:szCs w:val="12"/>
                <w:b w:val="1"/>
                <w:bCs w:val="1"/>
                <w:color w:val="auto"/>
              </w:rPr>
              <w:t>$</w:t>
            </w:r>
          </w:p>
        </w:tc>
        <w:tc>
          <w:tcPr>
            <w:tcW w:w="800" w:type="dxa"/>
            <w:vAlign w:val="bottom"/>
            <w:tcBorders>
              <w:right w:val="single" w:sz="8" w:color="0077C0"/>
            </w:tcBorders>
            <w:shd w:val="clear" w:color="auto" w:fill="E8EFF9"/>
          </w:tcPr>
          <w:p>
            <w:pPr>
              <w:jc w:val="right"/>
              <w:ind w:right="284"/>
              <w:spacing w:after="0" w:line="137" w:lineRule="exact"/>
              <w:rPr>
                <w:sz w:val="20"/>
                <w:szCs w:val="20"/>
                <w:color w:val="auto"/>
              </w:rPr>
            </w:pPr>
            <w:r>
              <w:rPr>
                <w:rFonts w:ascii="Arial" w:cs="Arial" w:eastAsia="Arial" w:hAnsi="Arial"/>
                <w:sz w:val="12"/>
                <w:szCs w:val="12"/>
                <w:b w:val="1"/>
                <w:bCs w:val="1"/>
                <w:color w:val="auto"/>
              </w:rPr>
              <w:t>121,382</w:t>
            </w:r>
          </w:p>
        </w:tc>
        <w:tc>
          <w:tcPr>
            <w:tcW w:w="460" w:type="dxa"/>
            <w:vAlign w:val="bottom"/>
            <w:shd w:val="clear" w:color="auto" w:fill="E8EFF9"/>
          </w:tcPr>
          <w:p>
            <w:pPr>
              <w:jc w:val="right"/>
              <w:ind w:right="124"/>
              <w:spacing w:after="0" w:line="137" w:lineRule="exact"/>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105,081</w:t>
            </w:r>
          </w:p>
        </w:tc>
        <w:tc>
          <w:tcPr>
            <w:tcW w:w="580" w:type="dxa"/>
            <w:vAlign w:val="bottom"/>
            <w:shd w:val="clear" w:color="auto" w:fill="E8EFF9"/>
          </w:tcPr>
          <w:p>
            <w:pPr>
              <w:jc w:val="right"/>
              <w:ind w:right="124"/>
              <w:spacing w:after="0" w:line="137" w:lineRule="exact"/>
              <w:rPr>
                <w:sz w:val="20"/>
                <w:szCs w:val="20"/>
                <w:color w:val="auto"/>
              </w:rPr>
            </w:pPr>
            <w:r>
              <w:rPr>
                <w:rFonts w:ascii="Arial" w:cs="Arial" w:eastAsia="Arial" w:hAnsi="Arial"/>
                <w:sz w:val="12"/>
                <w:szCs w:val="12"/>
                <w:color w:val="auto"/>
              </w:rPr>
              <w:t>$</w:t>
            </w:r>
          </w:p>
        </w:tc>
        <w:tc>
          <w:tcPr>
            <w:tcW w:w="80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91,914</w:t>
            </w:r>
          </w:p>
        </w:tc>
        <w:tc>
          <w:tcPr>
            <w:tcW w:w="600" w:type="dxa"/>
            <w:vAlign w:val="bottom"/>
            <w:shd w:val="clear" w:color="auto" w:fill="E8EFF9"/>
          </w:tcPr>
          <w:p>
            <w:pPr>
              <w:jc w:val="right"/>
              <w:ind w:right="124"/>
              <w:spacing w:after="0" w:line="137" w:lineRule="exact"/>
              <w:rPr>
                <w:sz w:val="20"/>
                <w:szCs w:val="20"/>
                <w:color w:val="auto"/>
              </w:rPr>
            </w:pPr>
            <w:r>
              <w:rPr>
                <w:rFonts w:ascii="Arial" w:cs="Arial" w:eastAsia="Arial" w:hAnsi="Arial"/>
                <w:sz w:val="12"/>
                <w:szCs w:val="12"/>
                <w:color w:val="auto"/>
              </w:rPr>
              <w:t>$</w:t>
            </w:r>
          </w:p>
        </w:tc>
        <w:tc>
          <w:tcPr>
            <w:tcW w:w="780" w:type="dxa"/>
            <w:vAlign w:val="bottom"/>
            <w:shd w:val="clear" w:color="auto" w:fill="E8EFF9"/>
          </w:tcPr>
          <w:p>
            <w:pPr>
              <w:jc w:val="right"/>
              <w:ind w:right="283"/>
              <w:spacing w:after="0" w:line="137" w:lineRule="exact"/>
              <w:rPr>
                <w:sz w:val="20"/>
                <w:szCs w:val="20"/>
                <w:color w:val="auto"/>
              </w:rPr>
            </w:pPr>
            <w:r>
              <w:rPr>
                <w:rFonts w:ascii="Arial" w:cs="Arial" w:eastAsia="Arial" w:hAnsi="Arial"/>
                <w:sz w:val="12"/>
                <w:szCs w:val="12"/>
                <w:color w:val="auto"/>
              </w:rPr>
              <w:t>86,648</w:t>
            </w:r>
          </w:p>
        </w:tc>
        <w:tc>
          <w:tcPr>
            <w:tcW w:w="580" w:type="dxa"/>
            <w:vAlign w:val="bottom"/>
            <w:shd w:val="clear" w:color="auto" w:fill="E8EFF9"/>
          </w:tcPr>
          <w:p>
            <w:pPr>
              <w:jc w:val="right"/>
              <w:ind w:right="124"/>
              <w:spacing w:after="0" w:line="137" w:lineRule="exact"/>
              <w:rPr>
                <w:sz w:val="20"/>
                <w:szCs w:val="20"/>
                <w:color w:val="auto"/>
              </w:rPr>
            </w:pPr>
            <w:r>
              <w:rPr>
                <w:rFonts w:ascii="Arial" w:cs="Arial" w:eastAsia="Arial" w:hAnsi="Arial"/>
                <w:sz w:val="12"/>
                <w:szCs w:val="12"/>
                <w:color w:val="auto"/>
              </w:rPr>
              <w:t>$</w:t>
            </w:r>
          </w:p>
        </w:tc>
        <w:tc>
          <w:tcPr>
            <w:tcW w:w="440" w:type="dxa"/>
            <w:vAlign w:val="bottom"/>
            <w:shd w:val="clear" w:color="auto" w:fill="E8EFF9"/>
          </w:tcPr>
          <w:p>
            <w:pPr>
              <w:jc w:val="right"/>
              <w:spacing w:after="0" w:line="137" w:lineRule="exact"/>
              <w:rPr>
                <w:sz w:val="20"/>
                <w:szCs w:val="20"/>
                <w:color w:val="auto"/>
              </w:rPr>
            </w:pPr>
            <w:r>
              <w:rPr>
                <w:rFonts w:ascii="Arial" w:cs="Arial" w:eastAsia="Arial" w:hAnsi="Arial"/>
                <w:sz w:val="12"/>
                <w:szCs w:val="12"/>
                <w:color w:val="auto"/>
              </w:rPr>
              <w:t>77,088</w:t>
            </w:r>
          </w:p>
        </w:tc>
        <w:tc>
          <w:tcPr>
            <w:tcW w:w="20" w:type="dxa"/>
            <w:vAlign w:val="bottom"/>
            <w:shd w:val="clear" w:color="auto" w:fill="E8EFF9"/>
          </w:tcPr>
          <w:p>
            <w:pPr>
              <w:spacing w:after="0"/>
              <w:rPr>
                <w:sz w:val="11"/>
                <w:szCs w:val="11"/>
                <w:color w:val="auto"/>
              </w:rPr>
            </w:pPr>
          </w:p>
        </w:tc>
        <w:tc>
          <w:tcPr>
            <w:tcW w:w="60" w:type="dxa"/>
            <w:vAlign w:val="bottom"/>
            <w:shd w:val="clear" w:color="auto" w:fill="E8EFF9"/>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E8EFF9"/>
            </w:tcBorders>
            <w:shd w:val="clear" w:color="auto" w:fill="E8EFF9"/>
          </w:tcPr>
          <w:p>
            <w:pPr>
              <w:spacing w:after="0"/>
              <w:rPr>
                <w:sz w:val="13"/>
                <w:szCs w:val="13"/>
                <w:color w:val="auto"/>
              </w:rPr>
            </w:pPr>
          </w:p>
        </w:tc>
        <w:tc>
          <w:tcPr>
            <w:tcW w:w="4000" w:type="dxa"/>
            <w:vAlign w:val="bottom"/>
            <w:tcBorders>
              <w:bottom w:val="single" w:sz="8" w:color="0077C0"/>
            </w:tcBorders>
            <w:shd w:val="clear" w:color="auto" w:fill="E8EFF9"/>
          </w:tcPr>
          <w:p>
            <w:pPr>
              <w:ind w:left="140"/>
              <w:spacing w:after="0"/>
              <w:rPr>
                <w:sz w:val="20"/>
                <w:szCs w:val="20"/>
                <w:color w:val="auto"/>
              </w:rPr>
            </w:pPr>
            <w:r>
              <w:rPr>
                <w:rFonts w:ascii="Arial" w:cs="Arial" w:eastAsia="Arial" w:hAnsi="Arial"/>
                <w:sz w:val="12"/>
                <w:szCs w:val="12"/>
                <w:color w:val="auto"/>
              </w:rPr>
              <w:t>Noncontrolling interests</w:t>
            </w:r>
          </w:p>
        </w:tc>
        <w:tc>
          <w:tcPr>
            <w:tcW w:w="152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799</w:t>
            </w:r>
          </w:p>
        </w:tc>
        <w:tc>
          <w:tcPr>
            <w:tcW w:w="46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730</w:t>
            </w:r>
          </w:p>
        </w:tc>
        <w:tc>
          <w:tcPr>
            <w:tcW w:w="580" w:type="dxa"/>
            <w:vAlign w:val="bottom"/>
            <w:tcBorders>
              <w:bottom w:val="single" w:sz="8" w:color="0077C0"/>
            </w:tcBorders>
            <w:shd w:val="clear" w:color="auto" w:fill="E8EFF9"/>
          </w:tcPr>
          <w:p>
            <w:pPr>
              <w:spacing w:after="0"/>
              <w:rPr>
                <w:sz w:val="13"/>
                <w:szCs w:val="13"/>
                <w:color w:val="auto"/>
              </w:rPr>
            </w:pP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647</w:t>
            </w:r>
          </w:p>
        </w:tc>
        <w:tc>
          <w:tcPr>
            <w:tcW w:w="600" w:type="dxa"/>
            <w:vAlign w:val="bottom"/>
            <w:tcBorders>
              <w:bottom w:val="single" w:sz="8" w:color="0077C0"/>
            </w:tcBorders>
            <w:shd w:val="clear" w:color="auto" w:fill="E8EFF9"/>
          </w:tcPr>
          <w:p>
            <w:pPr>
              <w:spacing w:after="0"/>
              <w:rPr>
                <w:sz w:val="13"/>
                <w:szCs w:val="13"/>
                <w:color w:val="auto"/>
              </w:rPr>
            </w:pP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469</w:t>
            </w:r>
          </w:p>
        </w:tc>
        <w:tc>
          <w:tcPr>
            <w:tcW w:w="580" w:type="dxa"/>
            <w:vAlign w:val="bottom"/>
            <w:tcBorders>
              <w:bottom w:val="single" w:sz="8" w:color="0077C0"/>
            </w:tcBorders>
            <w:shd w:val="clear" w:color="auto" w:fill="E8EFF9"/>
          </w:tcPr>
          <w:p>
            <w:pPr>
              <w:spacing w:after="0"/>
              <w:rPr>
                <w:sz w:val="13"/>
                <w:szCs w:val="13"/>
                <w:color w:val="auto"/>
              </w:rPr>
            </w:pP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204</w:t>
            </w:r>
          </w:p>
        </w:tc>
        <w:tc>
          <w:tcPr>
            <w:tcW w:w="20" w:type="dxa"/>
            <w:vAlign w:val="bottom"/>
            <w:tcBorders>
              <w:bottom w:val="single" w:sz="8" w:color="E8EFF9"/>
            </w:tcBorders>
            <w:shd w:val="clear" w:color="auto" w:fill="E8EFF9"/>
          </w:tcPr>
          <w:p>
            <w:pPr>
              <w:spacing w:after="0"/>
              <w:rPr>
                <w:sz w:val="13"/>
                <w:szCs w:val="13"/>
                <w:color w:val="auto"/>
              </w:rPr>
            </w:pPr>
          </w:p>
        </w:tc>
        <w:tc>
          <w:tcPr>
            <w:tcW w:w="60" w:type="dxa"/>
            <w:vAlign w:val="bottom"/>
            <w:tcBorders>
              <w:bottom w:val="single" w:sz="8" w:color="E8EFF9"/>
            </w:tcBorders>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tcBorders>
              <w:bottom w:val="single" w:sz="8" w:color="E8EFF9"/>
            </w:tcBorders>
            <w:shd w:val="clear" w:color="auto" w:fill="E8EFF9"/>
          </w:tcPr>
          <w:p>
            <w:pPr>
              <w:spacing w:after="0"/>
              <w:rPr>
                <w:sz w:val="14"/>
                <w:szCs w:val="14"/>
                <w:color w:val="auto"/>
              </w:rPr>
            </w:pPr>
          </w:p>
        </w:tc>
        <w:tc>
          <w:tcPr>
            <w:tcW w:w="4000" w:type="dxa"/>
            <w:vAlign w:val="bottom"/>
            <w:tcBorders>
              <w:bottom w:val="single" w:sz="8" w:color="0077C0"/>
            </w:tcBorders>
            <w:shd w:val="clear" w:color="auto" w:fill="E8EFF9"/>
          </w:tcPr>
          <w:p>
            <w:pPr>
              <w:spacing w:after="0"/>
              <w:rPr>
                <w:sz w:val="20"/>
                <w:szCs w:val="20"/>
                <w:color w:val="auto"/>
              </w:rPr>
            </w:pPr>
            <w:r>
              <w:rPr>
                <w:rFonts w:ascii="Arial" w:cs="Arial" w:eastAsia="Arial" w:hAnsi="Arial"/>
                <w:sz w:val="12"/>
                <w:szCs w:val="12"/>
                <w:b w:val="1"/>
                <w:bCs w:val="1"/>
                <w:color w:val="0077C0"/>
              </w:rPr>
              <w:t>Total Equity</w:t>
            </w:r>
          </w:p>
        </w:tc>
        <w:tc>
          <w:tcPr>
            <w:tcW w:w="152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0077C0"/>
              <w:right w:val="single" w:sz="8" w:color="0077C0"/>
            </w:tcBorders>
            <w:shd w:val="clear" w:color="auto" w:fill="E8EFF9"/>
          </w:tcPr>
          <w:p>
            <w:pPr>
              <w:jc w:val="right"/>
              <w:ind w:right="284"/>
              <w:spacing w:after="0"/>
              <w:rPr>
                <w:sz w:val="20"/>
                <w:szCs w:val="20"/>
                <w:color w:val="auto"/>
              </w:rPr>
            </w:pPr>
            <w:r>
              <w:rPr>
                <w:rFonts w:ascii="Arial" w:cs="Arial" w:eastAsia="Arial" w:hAnsi="Arial"/>
                <w:sz w:val="12"/>
                <w:szCs w:val="12"/>
                <w:b w:val="1"/>
                <w:bCs w:val="1"/>
                <w:color w:val="auto"/>
              </w:rPr>
              <w:t>122,181</w:t>
            </w:r>
          </w:p>
        </w:tc>
        <w:tc>
          <w:tcPr>
            <w:tcW w:w="46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105,811</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92,561</w:t>
            </w:r>
          </w:p>
        </w:tc>
        <w:tc>
          <w:tcPr>
            <w:tcW w:w="60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0077C0"/>
            </w:tcBorders>
            <w:shd w:val="clear" w:color="auto" w:fill="E8EFF9"/>
          </w:tcPr>
          <w:p>
            <w:pPr>
              <w:jc w:val="right"/>
              <w:ind w:right="283"/>
              <w:spacing w:after="0"/>
              <w:rPr>
                <w:sz w:val="20"/>
                <w:szCs w:val="20"/>
                <w:color w:val="auto"/>
              </w:rPr>
            </w:pPr>
            <w:r>
              <w:rPr>
                <w:rFonts w:ascii="Arial" w:cs="Arial" w:eastAsia="Arial" w:hAnsi="Arial"/>
                <w:sz w:val="12"/>
                <w:szCs w:val="12"/>
                <w:color w:val="auto"/>
              </w:rPr>
              <w:t>87,117</w:t>
            </w:r>
          </w:p>
        </w:tc>
        <w:tc>
          <w:tcPr>
            <w:tcW w:w="580" w:type="dxa"/>
            <w:vAlign w:val="bottom"/>
            <w:tcBorders>
              <w:bottom w:val="single" w:sz="8" w:color="0077C0"/>
            </w:tcBorders>
            <w:shd w:val="clear" w:color="auto" w:fill="E8EFF9"/>
          </w:tcPr>
          <w:p>
            <w:pPr>
              <w:jc w:val="right"/>
              <w:ind w:right="124"/>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2"/>
                <w:szCs w:val="12"/>
                <w:color w:val="auto"/>
              </w:rPr>
              <w:t>77,292</w:t>
            </w:r>
          </w:p>
        </w:tc>
        <w:tc>
          <w:tcPr>
            <w:tcW w:w="20" w:type="dxa"/>
            <w:vAlign w:val="bottom"/>
            <w:tcBorders>
              <w:bottom w:val="single" w:sz="8" w:color="E8EFF9"/>
            </w:tcBorders>
            <w:shd w:val="clear" w:color="auto" w:fill="E8EFF9"/>
          </w:tcPr>
          <w:p>
            <w:pPr>
              <w:spacing w:after="0"/>
              <w:rPr>
                <w:sz w:val="14"/>
                <w:szCs w:val="14"/>
                <w:color w:val="auto"/>
              </w:rPr>
            </w:pPr>
          </w:p>
        </w:tc>
        <w:tc>
          <w:tcPr>
            <w:tcW w:w="60" w:type="dxa"/>
            <w:vAlign w:val="bottom"/>
            <w:tcBorders>
              <w:bottom w:val="single" w:sz="8" w:color="E8EFF9"/>
            </w:tcBorders>
            <w:shd w:val="clear" w:color="auto" w:fill="E8EFF9"/>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shd w:val="clear" w:color="auto" w:fill="E8EFF9"/>
          </w:tcPr>
          <w:p>
            <w:pPr>
              <w:spacing w:after="0"/>
              <w:rPr>
                <w:sz w:val="14"/>
                <w:szCs w:val="14"/>
                <w:color w:val="auto"/>
              </w:rPr>
            </w:pPr>
          </w:p>
        </w:tc>
        <w:tc>
          <w:tcPr>
            <w:tcW w:w="4000" w:type="dxa"/>
            <w:vAlign w:val="bottom"/>
            <w:shd w:val="clear" w:color="auto" w:fill="E8EFF9"/>
          </w:tcPr>
          <w:p>
            <w:pPr>
              <w:spacing w:after="0"/>
              <w:rPr>
                <w:sz w:val="20"/>
                <w:szCs w:val="20"/>
                <w:color w:val="auto"/>
              </w:rPr>
            </w:pPr>
            <w:r>
              <w:rPr>
                <w:rFonts w:ascii="Arial" w:cs="Arial" w:eastAsia="Arial" w:hAnsi="Arial"/>
                <w:sz w:val="8"/>
                <w:szCs w:val="8"/>
                <w:color w:val="auto"/>
              </w:rPr>
              <w:t>* Includes excise, value-added and similar taxes:</w:t>
            </w:r>
          </w:p>
        </w:tc>
        <w:tc>
          <w:tcPr>
            <w:tcW w:w="1520" w:type="dxa"/>
            <w:vAlign w:val="bottom"/>
            <w:shd w:val="clear" w:color="auto" w:fill="E8EFF9"/>
          </w:tcPr>
          <w:p>
            <w:pPr>
              <w:jc w:val="right"/>
              <w:ind w:right="24"/>
              <w:spacing w:after="0"/>
              <w:rPr>
                <w:sz w:val="20"/>
                <w:szCs w:val="20"/>
                <w:color w:val="auto"/>
              </w:rPr>
            </w:pPr>
            <w:r>
              <w:rPr>
                <w:rFonts w:ascii="Arial" w:cs="Arial" w:eastAsia="Arial" w:hAnsi="Arial"/>
                <w:sz w:val="9"/>
                <w:szCs w:val="9"/>
                <w:b w:val="1"/>
                <w:bCs w:val="1"/>
                <w:color w:val="auto"/>
              </w:rPr>
              <w:t>$</w:t>
            </w:r>
          </w:p>
        </w:tc>
        <w:tc>
          <w:tcPr>
            <w:tcW w:w="800" w:type="dxa"/>
            <w:vAlign w:val="bottom"/>
            <w:tcBorders>
              <w:right w:val="single" w:sz="8" w:color="E8EFF9"/>
            </w:tcBorders>
            <w:shd w:val="clear" w:color="auto" w:fill="E8EFF9"/>
          </w:tcPr>
          <w:p>
            <w:pPr>
              <w:jc w:val="right"/>
              <w:ind w:right="284"/>
              <w:spacing w:after="0"/>
              <w:rPr>
                <w:sz w:val="20"/>
                <w:szCs w:val="20"/>
                <w:color w:val="auto"/>
              </w:rPr>
            </w:pPr>
            <w:r>
              <w:rPr>
                <w:rFonts w:ascii="Arial" w:cs="Arial" w:eastAsia="Arial" w:hAnsi="Arial"/>
                <w:sz w:val="9"/>
                <w:szCs w:val="9"/>
                <w:b w:val="1"/>
                <w:bCs w:val="1"/>
                <w:color w:val="auto"/>
              </w:rPr>
              <w:t>8,085</w:t>
            </w:r>
          </w:p>
        </w:tc>
        <w:tc>
          <w:tcPr>
            <w:tcW w:w="460" w:type="dxa"/>
            <w:vAlign w:val="bottom"/>
            <w:shd w:val="clear" w:color="auto" w:fill="E8EFF9"/>
          </w:tcPr>
          <w:p>
            <w:pPr>
              <w:jc w:val="right"/>
              <w:ind w:right="24"/>
              <w:spacing w:after="0"/>
              <w:rPr>
                <w:sz w:val="20"/>
                <w:szCs w:val="20"/>
                <w:color w:val="auto"/>
              </w:rPr>
            </w:pPr>
            <w:r>
              <w:rPr>
                <w:rFonts w:ascii="Arial" w:cs="Arial" w:eastAsia="Arial" w:hAnsi="Arial"/>
                <w:sz w:val="9"/>
                <w:szCs w:val="9"/>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9"/>
                <w:szCs w:val="9"/>
                <w:color w:val="auto"/>
              </w:rPr>
              <w:t>8,591</w:t>
            </w:r>
          </w:p>
        </w:tc>
        <w:tc>
          <w:tcPr>
            <w:tcW w:w="580" w:type="dxa"/>
            <w:vAlign w:val="bottom"/>
            <w:shd w:val="clear" w:color="auto" w:fill="E8EFF9"/>
          </w:tcPr>
          <w:p>
            <w:pPr>
              <w:jc w:val="right"/>
              <w:ind w:right="4"/>
              <w:spacing w:after="0"/>
              <w:rPr>
                <w:sz w:val="20"/>
                <w:szCs w:val="20"/>
                <w:color w:val="auto"/>
              </w:rPr>
            </w:pPr>
            <w:r>
              <w:rPr>
                <w:rFonts w:ascii="Arial" w:cs="Arial" w:eastAsia="Arial" w:hAnsi="Arial"/>
                <w:sz w:val="9"/>
                <w:szCs w:val="9"/>
                <w:color w:val="auto"/>
              </w:rPr>
              <w:t>$</w:t>
            </w:r>
          </w:p>
        </w:tc>
        <w:tc>
          <w:tcPr>
            <w:tcW w:w="800" w:type="dxa"/>
            <w:vAlign w:val="bottom"/>
            <w:shd w:val="clear" w:color="auto" w:fill="E8EFF9"/>
          </w:tcPr>
          <w:p>
            <w:pPr>
              <w:jc w:val="right"/>
              <w:ind w:right="283"/>
              <w:spacing w:after="0"/>
              <w:rPr>
                <w:sz w:val="20"/>
                <w:szCs w:val="20"/>
                <w:color w:val="auto"/>
              </w:rPr>
            </w:pPr>
            <w:r>
              <w:rPr>
                <w:rFonts w:ascii="Arial" w:cs="Arial" w:eastAsia="Arial" w:hAnsi="Arial"/>
                <w:sz w:val="9"/>
                <w:szCs w:val="9"/>
                <w:color w:val="auto"/>
              </w:rPr>
              <w:t>8,109</w:t>
            </w:r>
          </w:p>
        </w:tc>
        <w:tc>
          <w:tcPr>
            <w:tcW w:w="600" w:type="dxa"/>
            <w:vAlign w:val="bottom"/>
            <w:shd w:val="clear" w:color="auto" w:fill="E8EFF9"/>
          </w:tcPr>
          <w:p>
            <w:pPr>
              <w:jc w:val="right"/>
              <w:ind w:right="24"/>
              <w:spacing w:after="0"/>
              <w:rPr>
                <w:sz w:val="20"/>
                <w:szCs w:val="20"/>
                <w:color w:val="auto"/>
              </w:rPr>
            </w:pPr>
            <w:r>
              <w:rPr>
                <w:rFonts w:ascii="Arial" w:cs="Arial" w:eastAsia="Arial" w:hAnsi="Arial"/>
                <w:sz w:val="9"/>
                <w:szCs w:val="9"/>
                <w:color w:val="auto"/>
              </w:rPr>
              <w:t>$</w:t>
            </w:r>
          </w:p>
        </w:tc>
        <w:tc>
          <w:tcPr>
            <w:tcW w:w="780" w:type="dxa"/>
            <w:vAlign w:val="bottom"/>
            <w:shd w:val="clear" w:color="auto" w:fill="E8EFF9"/>
          </w:tcPr>
          <w:p>
            <w:pPr>
              <w:jc w:val="right"/>
              <w:ind w:right="283"/>
              <w:spacing w:after="0"/>
              <w:rPr>
                <w:sz w:val="20"/>
                <w:szCs w:val="20"/>
                <w:color w:val="auto"/>
              </w:rPr>
            </w:pPr>
            <w:r>
              <w:rPr>
                <w:rFonts w:ascii="Arial" w:cs="Arial" w:eastAsia="Arial" w:hAnsi="Arial"/>
                <w:sz w:val="9"/>
                <w:szCs w:val="9"/>
                <w:color w:val="auto"/>
              </w:rPr>
              <w:t>9,846</w:t>
            </w:r>
          </w:p>
        </w:tc>
        <w:tc>
          <w:tcPr>
            <w:tcW w:w="580" w:type="dxa"/>
            <w:vAlign w:val="bottom"/>
            <w:shd w:val="clear" w:color="auto" w:fill="E8EFF9"/>
          </w:tcPr>
          <w:p>
            <w:pPr>
              <w:jc w:val="right"/>
              <w:ind w:right="24"/>
              <w:spacing w:after="0"/>
              <w:rPr>
                <w:sz w:val="20"/>
                <w:szCs w:val="20"/>
                <w:color w:val="auto"/>
              </w:rPr>
            </w:pPr>
            <w:r>
              <w:rPr>
                <w:rFonts w:ascii="Arial" w:cs="Arial" w:eastAsia="Arial" w:hAnsi="Arial"/>
                <w:sz w:val="9"/>
                <w:szCs w:val="9"/>
                <w:color w:val="auto"/>
              </w:rPr>
              <w:t>$</w:t>
            </w:r>
          </w:p>
        </w:tc>
        <w:tc>
          <w:tcPr>
            <w:tcW w:w="440" w:type="dxa"/>
            <w:vAlign w:val="bottom"/>
            <w:shd w:val="clear" w:color="auto" w:fill="E8EFF9"/>
          </w:tcPr>
          <w:p>
            <w:pPr>
              <w:jc w:val="right"/>
              <w:spacing w:after="0"/>
              <w:rPr>
                <w:sz w:val="20"/>
                <w:szCs w:val="20"/>
                <w:color w:val="auto"/>
              </w:rPr>
            </w:pPr>
            <w:r>
              <w:rPr>
                <w:rFonts w:ascii="Arial" w:cs="Arial" w:eastAsia="Arial" w:hAnsi="Arial"/>
                <w:sz w:val="9"/>
                <w:szCs w:val="9"/>
                <w:color w:val="auto"/>
              </w:rPr>
              <w:t>10,121</w:t>
            </w:r>
          </w:p>
        </w:tc>
        <w:tc>
          <w:tcPr>
            <w:tcW w:w="20" w:type="dxa"/>
            <w:vAlign w:val="bottom"/>
            <w:shd w:val="clear" w:color="auto" w:fill="E8EFF9"/>
          </w:tcPr>
          <w:p>
            <w:pPr>
              <w:spacing w:after="0"/>
              <w:rPr>
                <w:sz w:val="14"/>
                <w:szCs w:val="14"/>
                <w:color w:val="auto"/>
              </w:rPr>
            </w:pPr>
          </w:p>
        </w:tc>
        <w:tc>
          <w:tcPr>
            <w:tcW w:w="60" w:type="dxa"/>
            <w:vAlign w:val="bottom"/>
            <w:shd w:val="clear" w:color="auto" w:fill="E8EFF9"/>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E8EFF9"/>
          </w:tcPr>
          <w:p>
            <w:pPr>
              <w:spacing w:after="0"/>
              <w:rPr>
                <w:sz w:val="17"/>
                <w:szCs w:val="17"/>
                <w:color w:val="auto"/>
              </w:rPr>
            </w:pPr>
          </w:p>
        </w:tc>
        <w:tc>
          <w:tcPr>
            <w:tcW w:w="4000" w:type="dxa"/>
            <w:vAlign w:val="bottom"/>
            <w:shd w:val="clear" w:color="auto" w:fill="E8EFF9"/>
          </w:tcPr>
          <w:p>
            <w:pPr>
              <w:spacing w:after="0"/>
              <w:rPr>
                <w:sz w:val="17"/>
                <w:szCs w:val="17"/>
                <w:color w:val="auto"/>
              </w:rPr>
            </w:pPr>
          </w:p>
        </w:tc>
        <w:tc>
          <w:tcPr>
            <w:tcW w:w="1520" w:type="dxa"/>
            <w:vAlign w:val="bottom"/>
            <w:shd w:val="clear" w:color="auto" w:fill="E8EFF9"/>
          </w:tcPr>
          <w:p>
            <w:pPr>
              <w:spacing w:after="0"/>
              <w:rPr>
                <w:sz w:val="17"/>
                <w:szCs w:val="17"/>
                <w:color w:val="auto"/>
              </w:rPr>
            </w:pPr>
          </w:p>
        </w:tc>
        <w:tc>
          <w:tcPr>
            <w:tcW w:w="800" w:type="dxa"/>
            <w:vAlign w:val="bottom"/>
            <w:tcBorders>
              <w:right w:val="single" w:sz="8" w:color="E8EFF9"/>
            </w:tcBorders>
            <w:shd w:val="clear" w:color="auto" w:fill="E8EFF9"/>
          </w:tcPr>
          <w:p>
            <w:pPr>
              <w:jc w:val="right"/>
              <w:ind w:right="404"/>
              <w:spacing w:after="0"/>
              <w:rPr>
                <w:sz w:val="20"/>
                <w:szCs w:val="20"/>
                <w:color w:val="auto"/>
              </w:rPr>
            </w:pPr>
            <w:r>
              <w:rPr>
                <w:rFonts w:ascii="Arial" w:cs="Arial" w:eastAsia="Arial" w:hAnsi="Arial"/>
                <w:sz w:val="10"/>
                <w:szCs w:val="10"/>
                <w:color w:val="auto"/>
              </w:rPr>
              <w:t>FS-61</w:t>
            </w:r>
          </w:p>
        </w:tc>
        <w:tc>
          <w:tcPr>
            <w:tcW w:w="460" w:type="dxa"/>
            <w:vAlign w:val="bottom"/>
            <w:shd w:val="clear" w:color="auto" w:fill="E8EFF9"/>
          </w:tcPr>
          <w:p>
            <w:pPr>
              <w:spacing w:after="0"/>
              <w:rPr>
                <w:sz w:val="17"/>
                <w:szCs w:val="17"/>
                <w:color w:val="auto"/>
              </w:rPr>
            </w:pPr>
          </w:p>
        </w:tc>
        <w:tc>
          <w:tcPr>
            <w:tcW w:w="800" w:type="dxa"/>
            <w:vAlign w:val="bottom"/>
            <w:shd w:val="clear" w:color="auto" w:fill="E8EFF9"/>
          </w:tcPr>
          <w:p>
            <w:pPr>
              <w:spacing w:after="0"/>
              <w:rPr>
                <w:sz w:val="17"/>
                <w:szCs w:val="17"/>
                <w:color w:val="auto"/>
              </w:rPr>
            </w:pPr>
          </w:p>
        </w:tc>
        <w:tc>
          <w:tcPr>
            <w:tcW w:w="580" w:type="dxa"/>
            <w:vAlign w:val="bottom"/>
            <w:shd w:val="clear" w:color="auto" w:fill="E8EFF9"/>
          </w:tcPr>
          <w:p>
            <w:pPr>
              <w:spacing w:after="0"/>
              <w:rPr>
                <w:sz w:val="17"/>
                <w:szCs w:val="17"/>
                <w:color w:val="auto"/>
              </w:rPr>
            </w:pPr>
          </w:p>
        </w:tc>
        <w:tc>
          <w:tcPr>
            <w:tcW w:w="800" w:type="dxa"/>
            <w:vAlign w:val="bottom"/>
            <w:shd w:val="clear" w:color="auto" w:fill="E8EFF9"/>
          </w:tcPr>
          <w:p>
            <w:pPr>
              <w:spacing w:after="0"/>
              <w:rPr>
                <w:sz w:val="17"/>
                <w:szCs w:val="17"/>
                <w:color w:val="auto"/>
              </w:rPr>
            </w:pPr>
          </w:p>
        </w:tc>
        <w:tc>
          <w:tcPr>
            <w:tcW w:w="600" w:type="dxa"/>
            <w:vAlign w:val="bottom"/>
            <w:shd w:val="clear" w:color="auto" w:fill="E8EFF9"/>
          </w:tcPr>
          <w:p>
            <w:pPr>
              <w:spacing w:after="0"/>
              <w:rPr>
                <w:sz w:val="17"/>
                <w:szCs w:val="17"/>
                <w:color w:val="auto"/>
              </w:rPr>
            </w:pPr>
          </w:p>
        </w:tc>
        <w:tc>
          <w:tcPr>
            <w:tcW w:w="780" w:type="dxa"/>
            <w:vAlign w:val="bottom"/>
            <w:shd w:val="clear" w:color="auto" w:fill="E8EFF9"/>
          </w:tcPr>
          <w:p>
            <w:pPr>
              <w:spacing w:after="0"/>
              <w:rPr>
                <w:sz w:val="17"/>
                <w:szCs w:val="17"/>
                <w:color w:val="auto"/>
              </w:rPr>
            </w:pPr>
          </w:p>
        </w:tc>
        <w:tc>
          <w:tcPr>
            <w:tcW w:w="580" w:type="dxa"/>
            <w:vAlign w:val="bottom"/>
            <w:shd w:val="clear" w:color="auto" w:fill="E8EFF9"/>
          </w:tcPr>
          <w:p>
            <w:pPr>
              <w:spacing w:after="0"/>
              <w:rPr>
                <w:sz w:val="17"/>
                <w:szCs w:val="17"/>
                <w:color w:val="auto"/>
              </w:rPr>
            </w:pPr>
          </w:p>
        </w:tc>
        <w:tc>
          <w:tcPr>
            <w:tcW w:w="440" w:type="dxa"/>
            <w:vAlign w:val="bottom"/>
            <w:shd w:val="clear" w:color="auto" w:fill="E8EFF9"/>
          </w:tcPr>
          <w:p>
            <w:pPr>
              <w:spacing w:after="0"/>
              <w:rPr>
                <w:sz w:val="17"/>
                <w:szCs w:val="17"/>
                <w:color w:val="auto"/>
              </w:rPr>
            </w:pPr>
          </w:p>
        </w:tc>
        <w:tc>
          <w:tcPr>
            <w:tcW w:w="20" w:type="dxa"/>
            <w:vAlign w:val="bottom"/>
            <w:shd w:val="clear" w:color="auto" w:fill="E8EFF9"/>
          </w:tcPr>
          <w:p>
            <w:pPr>
              <w:spacing w:after="0"/>
              <w:rPr>
                <w:sz w:val="17"/>
                <w:szCs w:val="17"/>
                <w:color w:val="auto"/>
              </w:rPr>
            </w:pPr>
          </w:p>
        </w:tc>
        <w:tc>
          <w:tcPr>
            <w:tcW w:w="60" w:type="dxa"/>
            <w:vAlign w:val="bottom"/>
            <w:shd w:val="clear" w:color="auto" w:fill="E8EFF9"/>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0" w:type="dxa"/>
            <w:vAlign w:val="bottom"/>
            <w:shd w:val="clear" w:color="auto" w:fill="E8EFF9"/>
          </w:tcPr>
          <w:p>
            <w:pPr>
              <w:spacing w:after="0"/>
              <w:rPr>
                <w:sz w:val="16"/>
                <w:szCs w:val="16"/>
                <w:color w:val="auto"/>
              </w:rPr>
            </w:pPr>
          </w:p>
        </w:tc>
        <w:tc>
          <w:tcPr>
            <w:tcW w:w="4000" w:type="dxa"/>
            <w:vAlign w:val="bottom"/>
            <w:shd w:val="clear" w:color="auto" w:fill="E8EFF9"/>
          </w:tcPr>
          <w:p>
            <w:pPr>
              <w:spacing w:after="0"/>
              <w:rPr>
                <w:sz w:val="16"/>
                <w:szCs w:val="16"/>
                <w:color w:val="auto"/>
              </w:rPr>
            </w:pPr>
          </w:p>
        </w:tc>
        <w:tc>
          <w:tcPr>
            <w:tcW w:w="1520" w:type="dxa"/>
            <w:vAlign w:val="bottom"/>
            <w:shd w:val="clear" w:color="auto" w:fill="E8EFF9"/>
          </w:tcPr>
          <w:p>
            <w:pPr>
              <w:spacing w:after="0"/>
              <w:rPr>
                <w:sz w:val="16"/>
                <w:szCs w:val="16"/>
                <w:color w:val="auto"/>
              </w:rPr>
            </w:pPr>
          </w:p>
        </w:tc>
        <w:tc>
          <w:tcPr>
            <w:tcW w:w="800" w:type="dxa"/>
            <w:vAlign w:val="bottom"/>
            <w:tcBorders>
              <w:right w:val="single" w:sz="8" w:color="E8EFF9"/>
            </w:tcBorders>
            <w:shd w:val="clear" w:color="auto" w:fill="E8EFF9"/>
          </w:tcPr>
          <w:p>
            <w:pPr>
              <w:spacing w:after="0"/>
              <w:rPr>
                <w:sz w:val="16"/>
                <w:szCs w:val="16"/>
                <w:color w:val="auto"/>
              </w:rPr>
            </w:pPr>
          </w:p>
        </w:tc>
        <w:tc>
          <w:tcPr>
            <w:tcW w:w="460" w:type="dxa"/>
            <w:vAlign w:val="bottom"/>
            <w:shd w:val="clear" w:color="auto" w:fill="E8EFF9"/>
          </w:tcPr>
          <w:p>
            <w:pPr>
              <w:spacing w:after="0"/>
              <w:rPr>
                <w:sz w:val="16"/>
                <w:szCs w:val="16"/>
                <w:color w:val="auto"/>
              </w:rPr>
            </w:pPr>
          </w:p>
        </w:tc>
        <w:tc>
          <w:tcPr>
            <w:tcW w:w="800" w:type="dxa"/>
            <w:vAlign w:val="bottom"/>
            <w:shd w:val="clear" w:color="auto" w:fill="E8EFF9"/>
          </w:tcPr>
          <w:p>
            <w:pPr>
              <w:spacing w:after="0"/>
              <w:rPr>
                <w:sz w:val="16"/>
                <w:szCs w:val="16"/>
                <w:color w:val="auto"/>
              </w:rPr>
            </w:pPr>
          </w:p>
        </w:tc>
        <w:tc>
          <w:tcPr>
            <w:tcW w:w="580" w:type="dxa"/>
            <w:vAlign w:val="bottom"/>
            <w:shd w:val="clear" w:color="auto" w:fill="E8EFF9"/>
          </w:tcPr>
          <w:p>
            <w:pPr>
              <w:spacing w:after="0"/>
              <w:rPr>
                <w:sz w:val="16"/>
                <w:szCs w:val="16"/>
                <w:color w:val="auto"/>
              </w:rPr>
            </w:pPr>
          </w:p>
        </w:tc>
        <w:tc>
          <w:tcPr>
            <w:tcW w:w="800" w:type="dxa"/>
            <w:vAlign w:val="bottom"/>
            <w:shd w:val="clear" w:color="auto" w:fill="E8EFF9"/>
          </w:tcPr>
          <w:p>
            <w:pPr>
              <w:spacing w:after="0"/>
              <w:rPr>
                <w:sz w:val="16"/>
                <w:szCs w:val="16"/>
                <w:color w:val="auto"/>
              </w:rPr>
            </w:pPr>
          </w:p>
        </w:tc>
        <w:tc>
          <w:tcPr>
            <w:tcW w:w="600" w:type="dxa"/>
            <w:vAlign w:val="bottom"/>
            <w:shd w:val="clear" w:color="auto" w:fill="E8EFF9"/>
          </w:tcPr>
          <w:p>
            <w:pPr>
              <w:spacing w:after="0"/>
              <w:rPr>
                <w:sz w:val="16"/>
                <w:szCs w:val="16"/>
                <w:color w:val="auto"/>
              </w:rPr>
            </w:pPr>
          </w:p>
        </w:tc>
        <w:tc>
          <w:tcPr>
            <w:tcW w:w="780" w:type="dxa"/>
            <w:vAlign w:val="bottom"/>
            <w:shd w:val="clear" w:color="auto" w:fill="E8EFF9"/>
          </w:tcPr>
          <w:p>
            <w:pPr>
              <w:spacing w:after="0"/>
              <w:rPr>
                <w:sz w:val="16"/>
                <w:szCs w:val="16"/>
                <w:color w:val="auto"/>
              </w:rPr>
            </w:pPr>
          </w:p>
        </w:tc>
        <w:tc>
          <w:tcPr>
            <w:tcW w:w="580" w:type="dxa"/>
            <w:vAlign w:val="bottom"/>
            <w:shd w:val="clear" w:color="auto" w:fill="E8EFF9"/>
          </w:tcPr>
          <w:p>
            <w:pPr>
              <w:spacing w:after="0"/>
              <w:rPr>
                <w:sz w:val="16"/>
                <w:szCs w:val="16"/>
                <w:color w:val="auto"/>
              </w:rPr>
            </w:pPr>
          </w:p>
        </w:tc>
        <w:tc>
          <w:tcPr>
            <w:tcW w:w="440" w:type="dxa"/>
            <w:vAlign w:val="bottom"/>
            <w:shd w:val="clear" w:color="auto" w:fill="E8EFF9"/>
          </w:tcPr>
          <w:p>
            <w:pPr>
              <w:spacing w:after="0"/>
              <w:rPr>
                <w:sz w:val="16"/>
                <w:szCs w:val="16"/>
                <w:color w:val="auto"/>
              </w:rPr>
            </w:pPr>
          </w:p>
        </w:tc>
        <w:tc>
          <w:tcPr>
            <w:tcW w:w="20" w:type="dxa"/>
            <w:vAlign w:val="bottom"/>
            <w:shd w:val="clear" w:color="auto" w:fill="E8EFF9"/>
          </w:tcPr>
          <w:p>
            <w:pPr>
              <w:spacing w:after="0"/>
              <w:rPr>
                <w:sz w:val="16"/>
                <w:szCs w:val="16"/>
                <w:color w:val="auto"/>
              </w:rPr>
            </w:pPr>
          </w:p>
        </w:tc>
        <w:tc>
          <w:tcPr>
            <w:tcW w:w="60" w:type="dxa"/>
            <w:vAlign w:val="bottom"/>
            <w:shd w:val="clear" w:color="auto" w:fill="E8EFF9"/>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808080"/>
            </w:tcBorders>
          </w:tcPr>
          <w:p>
            <w:pPr>
              <w:spacing w:after="0"/>
              <w:rPr>
                <w:sz w:val="13"/>
                <w:szCs w:val="13"/>
                <w:color w:val="auto"/>
              </w:rPr>
            </w:pPr>
          </w:p>
        </w:tc>
        <w:tc>
          <w:tcPr>
            <w:tcW w:w="4000" w:type="dxa"/>
            <w:vAlign w:val="bottom"/>
            <w:tcBorders>
              <w:bottom w:val="single" w:sz="8" w:color="808080"/>
            </w:tcBorders>
          </w:tcPr>
          <w:p>
            <w:pPr>
              <w:spacing w:after="0"/>
              <w:rPr>
                <w:sz w:val="13"/>
                <w:szCs w:val="13"/>
                <w:color w:val="auto"/>
              </w:rPr>
            </w:pPr>
          </w:p>
        </w:tc>
        <w:tc>
          <w:tcPr>
            <w:tcW w:w="15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38" w:right="139" w:bottom="1440" w:gutter="0" w:footer="0" w:header="0"/>
        </w:sectPr>
      </w:pPr>
    </w:p>
    <w:bookmarkStart w:id="102" w:name="page103"/>
    <w:bookmarkEnd w:id="102"/>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883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5990" cy="488315"/>
                    </a:xfrm>
                    <a:prstGeom prst="rect">
                      <a:avLst/>
                    </a:prstGeom>
                    <a:noFill/>
                  </pic:spPr>
                </pic:pic>
              </a:graphicData>
            </a:graphic>
          </wp:anchor>
        </w:drawing>
      </w:r>
    </w:p>
    <w:p>
      <w:pPr>
        <w:spacing w:after="0" w:line="292"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auto"/>
        </w:rPr>
        <w:t>Supplemental Information on Oil and Gas Producing Activities</w:t>
      </w:r>
    </w:p>
    <w:p>
      <w:pPr>
        <w:spacing w:after="0" w:line="36" w:lineRule="exact"/>
        <w:rPr>
          <w:sz w:val="20"/>
          <w:szCs w:val="20"/>
          <w:color w:val="auto"/>
        </w:rPr>
      </w:pPr>
    </w:p>
    <w:p>
      <w:pPr>
        <w:ind w:left="103"/>
        <w:spacing w:after="0"/>
        <w:rPr>
          <w:sz w:val="20"/>
          <w:szCs w:val="20"/>
          <w:color w:val="auto"/>
        </w:rPr>
      </w:pPr>
      <w:r>
        <w:rPr>
          <w:rFonts w:ascii="Arial" w:cs="Arial" w:eastAsia="Arial" w:hAnsi="Arial"/>
          <w:sz w:val="10"/>
          <w:szCs w:val="10"/>
          <w:color w:val="auto"/>
        </w:rPr>
        <w:t>Unaudited</w:t>
      </w:r>
    </w:p>
    <w:p>
      <w:pPr>
        <w:sectPr>
          <w:pgSz w:w="11900" w:h="16838" w:orient="portrait"/>
          <w:cols w:equalWidth="0" w:num="1">
            <w:col w:w="11483"/>
          </w:cols>
          <w:pgMar w:left="217" w:top="338"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 w:right="160"/>
        <w:spacing w:after="0" w:line="256" w:lineRule="auto"/>
        <w:rPr>
          <w:sz w:val="20"/>
          <w:szCs w:val="20"/>
          <w:color w:val="auto"/>
        </w:rPr>
      </w:pPr>
      <w:r>
        <w:rPr>
          <w:rFonts w:ascii="Arial" w:cs="Arial" w:eastAsia="Arial" w:hAnsi="Arial"/>
          <w:sz w:val="13"/>
          <w:szCs w:val="13"/>
          <w:color w:val="auto"/>
        </w:rPr>
        <w:t>In accordance with FASB and SEC disclosure and reporting requirements for oil and gas producing activities, this section provides supplemental information on oil and gas exploration and producing activities of the company in seven separate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40"/>
        <w:spacing w:after="0" w:line="256" w:lineRule="auto"/>
        <w:rPr>
          <w:sz w:val="20"/>
          <w:szCs w:val="20"/>
          <w:color w:val="auto"/>
        </w:rPr>
      </w:pPr>
      <w:r>
        <w:rPr>
          <w:rFonts w:ascii="Arial" w:cs="Arial" w:eastAsia="Arial" w:hAnsi="Arial"/>
          <w:sz w:val="13"/>
          <w:szCs w:val="13"/>
          <w:color w:val="auto"/>
        </w:rPr>
        <w:t>tables. Tables I through IV provide historical cost information pertaining to costs incurred in exploration, property acquisitions and development; capitalized costs; and results of operations. Tables V through VII present information on</w:t>
      </w:r>
    </w:p>
    <w:p>
      <w:pPr>
        <w:spacing w:after="0" w:line="200" w:lineRule="exact"/>
        <w:rPr>
          <w:sz w:val="20"/>
          <w:szCs w:val="20"/>
          <w:color w:val="auto"/>
        </w:rPr>
      </w:pPr>
    </w:p>
    <w:p>
      <w:pPr>
        <w:sectPr>
          <w:pgSz w:w="11900" w:h="16838" w:orient="portrait"/>
          <w:cols w:equalWidth="0" w:num="2">
            <w:col w:w="5243" w:space="720"/>
            <w:col w:w="5520"/>
          </w:cols>
          <w:pgMar w:left="217" w:top="338" w:right="199" w:bottom="1440" w:gutter="0" w:footer="0" w:header="0"/>
          <w:type w:val="continuous"/>
        </w:sectPr>
      </w:pPr>
    </w:p>
    <w:p>
      <w:pPr>
        <w:spacing w:after="0" w:line="107" w:lineRule="exact"/>
        <w:rPr>
          <w:sz w:val="20"/>
          <w:szCs w:val="20"/>
          <w:color w:val="auto"/>
        </w:rPr>
      </w:pPr>
    </w:p>
    <w:p>
      <w:pPr>
        <w:ind w:left="3"/>
        <w:spacing w:after="0"/>
        <w:rPr>
          <w:sz w:val="20"/>
          <w:szCs w:val="20"/>
          <w:color w:val="auto"/>
        </w:rPr>
      </w:pPr>
      <w:r>
        <w:rPr>
          <w:rFonts w:ascii="Arial" w:cs="Arial" w:eastAsia="Arial" w:hAnsi="Arial"/>
          <w:sz w:val="10"/>
          <w:szCs w:val="10"/>
          <w:b w:val="1"/>
          <w:bCs w:val="1"/>
          <w:color w:val="auto"/>
        </w:rPr>
        <w:t>Table I - Costs Incurred in Exploration, Property Acquisitions and Development</w:t>
      </w:r>
      <w:r>
        <w:rPr>
          <w:rFonts w:ascii="Arial" w:cs="Arial" w:eastAsia="Arial" w:hAnsi="Arial"/>
          <w:sz w:val="17"/>
          <w:szCs w:val="17"/>
          <w:b w:val="1"/>
          <w:bCs w:val="1"/>
          <w:color w:val="auto"/>
          <w:vertAlign w:val="superscript"/>
        </w:rPr>
        <w:t>1</w:t>
      </w:r>
    </w:p>
    <w:p>
      <w:pPr>
        <w:spacing w:after="0" w:line="30" w:lineRule="exact"/>
        <w:rPr>
          <w:sz w:val="20"/>
          <w:szCs w:val="20"/>
          <w:color w:val="auto"/>
        </w:rPr>
      </w:pPr>
    </w:p>
    <w:tbl>
      <w:tblPr>
        <w:tblLayout w:type="fixed"/>
        <w:tblInd w:w="3"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9"/>
                <w:szCs w:val="9"/>
                <w:color w:val="auto"/>
                <w:w w:val="93"/>
              </w:rPr>
              <w:t>Consolidated Companies</w:t>
            </w: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gridSpan w:val="2"/>
          </w:tcPr>
          <w:p>
            <w:pPr>
              <w:jc w:val="right"/>
              <w:spacing w:after="0"/>
              <w:rPr>
                <w:sz w:val="20"/>
                <w:szCs w:val="20"/>
                <w:color w:val="auto"/>
              </w:rPr>
            </w:pPr>
            <w:r>
              <w:rPr>
                <w:rFonts w:ascii="Arial" w:cs="Arial" w:eastAsia="Arial" w:hAnsi="Arial"/>
                <w:sz w:val="9"/>
                <w:szCs w:val="9"/>
                <w:color w:val="auto"/>
              </w:rPr>
              <w:t>Affiliated Companies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jc w:val="right"/>
              <w:ind w:right="169"/>
              <w:spacing w:after="0" w:line="75" w:lineRule="exact"/>
              <w:rPr>
                <w:sz w:val="20"/>
                <w:szCs w:val="20"/>
                <w:color w:val="auto"/>
              </w:rPr>
            </w:pPr>
            <w:r>
              <w:rPr>
                <w:rFonts w:ascii="Arial" w:cs="Arial" w:eastAsia="Arial" w:hAnsi="Arial"/>
                <w:sz w:val="8"/>
                <w:szCs w:val="8"/>
                <w:color w:val="auto"/>
              </w:rPr>
              <w:t>Other</w:t>
            </w:r>
          </w:p>
        </w:tc>
        <w:tc>
          <w:tcPr>
            <w:tcW w:w="44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44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56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54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940" w:type="dxa"/>
            <w:vAlign w:val="bottom"/>
            <w:tcBorders>
              <w:bottom w:val="single" w:sz="8" w:color="0077C0"/>
            </w:tcBorders>
            <w:gridSpan w:val="2"/>
          </w:tcPr>
          <w:p>
            <w:pPr>
              <w:spacing w:after="0"/>
              <w:rPr>
                <w:sz w:val="20"/>
                <w:szCs w:val="20"/>
                <w:color w:val="auto"/>
              </w:rPr>
            </w:pPr>
            <w:r>
              <w:rPr>
                <w:rFonts w:ascii="Arial" w:cs="Arial" w:eastAsia="Arial" w:hAnsi="Arial"/>
                <w:sz w:val="9"/>
                <w:szCs w:val="9"/>
                <w:i w:val="1"/>
                <w:iCs w:val="1"/>
                <w:color w:val="auto"/>
              </w:rPr>
              <w:t>Millions of dollars</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9"/>
                <w:szCs w:val="9"/>
                <w:color w:val="auto"/>
              </w:rPr>
              <w:t>Americas</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9"/>
                <w:szCs w:val="9"/>
                <w:color w:val="auto"/>
              </w:rPr>
              <w:t>Africa</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9"/>
                <w:szCs w:val="9"/>
                <w:color w:val="auto"/>
              </w:rPr>
              <w:t>Asia</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9"/>
                <w:szCs w:val="9"/>
                <w:color w:val="auto"/>
              </w:rPr>
              <w:t>Australia</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9"/>
                <w:szCs w:val="9"/>
                <w:color w:val="auto"/>
              </w:rPr>
              <w:t>Europe</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9"/>
                <w:szCs w:val="9"/>
                <w:color w:val="auto"/>
              </w:rPr>
              <w:t>Total</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9"/>
                <w:szCs w:val="9"/>
                <w:color w:val="auto"/>
              </w:rPr>
              <w:t>TCO</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Other</w:t>
            </w:r>
          </w:p>
        </w:tc>
        <w:tc>
          <w:tcPr>
            <w:tcW w:w="0" w:type="dxa"/>
            <w:vAlign w:val="bottom"/>
          </w:tcPr>
          <w:p>
            <w:pPr>
              <w:spacing w:after="0"/>
              <w:rPr>
                <w:sz w:val="1"/>
                <w:szCs w:val="1"/>
                <w:color w:val="auto"/>
              </w:rPr>
            </w:pPr>
          </w:p>
        </w:tc>
      </w:tr>
      <w:tr>
        <w:trPr>
          <w:trHeight w:val="92"/>
        </w:trPr>
        <w:tc>
          <w:tcPr>
            <w:tcW w:w="1940" w:type="dxa"/>
            <w:vAlign w:val="bottom"/>
            <w:gridSpan w:val="2"/>
          </w:tcPr>
          <w:p>
            <w:pPr>
              <w:spacing w:after="0" w:line="92" w:lineRule="exact"/>
              <w:rPr>
                <w:sz w:val="20"/>
                <w:szCs w:val="20"/>
                <w:color w:val="auto"/>
              </w:rPr>
            </w:pPr>
            <w:r>
              <w:rPr>
                <w:rFonts w:ascii="Arial" w:cs="Arial" w:eastAsia="Arial" w:hAnsi="Arial"/>
                <w:sz w:val="10"/>
                <w:szCs w:val="10"/>
                <w:b w:val="1"/>
                <w:bCs w:val="1"/>
                <w:color w:val="0077C0"/>
              </w:rPr>
              <w:t>Year Ended December 31, 2011</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94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321</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71</w:t>
            </w:r>
          </w:p>
        </w:tc>
        <w:tc>
          <w:tcPr>
            <w:tcW w:w="44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w:t>
            </w:r>
          </w:p>
        </w:tc>
        <w:tc>
          <w:tcPr>
            <w:tcW w:w="6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104</w:t>
            </w:r>
          </w:p>
        </w:tc>
        <w:tc>
          <w:tcPr>
            <w:tcW w:w="44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w:t>
            </w:r>
          </w:p>
        </w:tc>
        <w:tc>
          <w:tcPr>
            <w:tcW w:w="6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146</w:t>
            </w:r>
          </w:p>
        </w:tc>
        <w:tc>
          <w:tcPr>
            <w:tcW w:w="38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242</w:t>
            </w:r>
          </w:p>
        </w:tc>
        <w:tc>
          <w:tcPr>
            <w:tcW w:w="4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w:t>
            </w:r>
          </w:p>
        </w:tc>
        <w:tc>
          <w:tcPr>
            <w:tcW w:w="46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188</w:t>
            </w:r>
          </w:p>
        </w:tc>
        <w:tc>
          <w:tcPr>
            <w:tcW w:w="560" w:type="dxa"/>
            <w:vAlign w:val="bottom"/>
            <w:vMerge w:val="restart"/>
          </w:tcPr>
          <w:p>
            <w:pPr>
              <w:jc w:val="right"/>
              <w:ind w:right="7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1,072</w:t>
            </w:r>
          </w:p>
        </w:tc>
        <w:tc>
          <w:tcPr>
            <w:tcW w:w="240" w:type="dxa"/>
            <w:vAlign w:val="bottom"/>
            <w:vMerge w:val="restart"/>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20" w:type="dxa"/>
            <w:vAlign w:val="bottom"/>
          </w:tcPr>
          <w:p>
            <w:pPr>
              <w:ind w:left="120"/>
              <w:spacing w:after="0" w:line="104" w:lineRule="exact"/>
              <w:rPr>
                <w:sz w:val="20"/>
                <w:szCs w:val="20"/>
                <w:color w:val="auto"/>
              </w:rPr>
            </w:pPr>
            <w:r>
              <w:rPr>
                <w:rFonts w:ascii="Arial" w:cs="Arial" w:eastAsia="Arial" w:hAnsi="Arial"/>
                <w:sz w:val="10"/>
                <w:szCs w:val="10"/>
                <w:color w:val="auto"/>
              </w:rPr>
              <w:t>Wells</w:t>
            </w:r>
          </w:p>
        </w:tc>
        <w:tc>
          <w:tcPr>
            <w:tcW w:w="7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Geological and geophysical</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76</w:t>
            </w:r>
          </w:p>
        </w:tc>
        <w:tc>
          <w:tcPr>
            <w:tcW w:w="36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59</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65</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121</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23</w:t>
            </w:r>
          </w:p>
        </w:tc>
        <w:tc>
          <w:tcPr>
            <w:tcW w:w="420" w:type="dxa"/>
            <w:vAlign w:val="bottom"/>
          </w:tcPr>
          <w:p>
            <w:pPr>
              <w:spacing w:after="0"/>
              <w:rPr>
                <w:sz w:val="9"/>
                <w:szCs w:val="9"/>
                <w:color w:val="auto"/>
              </w:rPr>
            </w:pP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43</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387</w:t>
            </w:r>
          </w:p>
        </w:tc>
        <w:tc>
          <w:tcPr>
            <w:tcW w:w="24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Rentals and other</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109</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45</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83</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67</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71</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78</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b w:val="1"/>
                <w:bCs w:val="1"/>
                <w:color w:val="auto"/>
              </w:rPr>
              <w:t>453</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exploration</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506</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175</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252</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334</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336</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309</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1,912</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2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1,174</w:t>
            </w:r>
          </w:p>
        </w:tc>
        <w:tc>
          <w:tcPr>
            <w:tcW w:w="360" w:type="dxa"/>
            <w:vAlign w:val="bottom"/>
          </w:tcPr>
          <w:p>
            <w:pPr>
              <w:spacing w:after="0"/>
              <w:rPr>
                <w:sz w:val="8"/>
                <w:szCs w:val="8"/>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16</w:t>
            </w:r>
          </w:p>
        </w:tc>
        <w:tc>
          <w:tcPr>
            <w:tcW w:w="440" w:type="dxa"/>
            <w:vAlign w:val="bottom"/>
          </w:tcPr>
          <w:p>
            <w:pPr>
              <w:spacing w:after="0"/>
              <w:rPr>
                <w:sz w:val="8"/>
                <w:szCs w:val="8"/>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spacing w:after="0"/>
              <w:rPr>
                <w:sz w:val="8"/>
                <w:szCs w:val="8"/>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w:t>
            </w:r>
          </w:p>
        </w:tc>
        <w:tc>
          <w:tcPr>
            <w:tcW w:w="380" w:type="dxa"/>
            <w:vAlign w:val="bottom"/>
          </w:tcPr>
          <w:p>
            <w:pPr>
              <w:spacing w:after="0"/>
              <w:rPr>
                <w:sz w:val="8"/>
                <w:szCs w:val="8"/>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8"/>
                <w:szCs w:val="8"/>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1,191</w:t>
            </w:r>
          </w:p>
        </w:tc>
        <w:tc>
          <w:tcPr>
            <w:tcW w:w="240" w:type="dxa"/>
            <w:vAlign w:val="bottom"/>
          </w:tcPr>
          <w:p>
            <w:pPr>
              <w:spacing w:after="0"/>
              <w:rPr>
                <w:sz w:val="8"/>
                <w:szCs w:val="8"/>
                <w:color w:val="auto"/>
              </w:rPr>
            </w:pPr>
          </w:p>
        </w:tc>
        <w:tc>
          <w:tcPr>
            <w:tcW w:w="46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54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20" w:type="dxa"/>
            <w:vAlign w:val="bottom"/>
          </w:tcPr>
          <w:p>
            <w:pPr>
              <w:ind w:left="120"/>
              <w:spacing w:after="0" w:line="104" w:lineRule="exact"/>
              <w:rPr>
                <w:sz w:val="20"/>
                <w:szCs w:val="20"/>
                <w:color w:val="auto"/>
              </w:rPr>
            </w:pPr>
            <w:r>
              <w:rPr>
                <w:rFonts w:ascii="Arial" w:cs="Arial" w:eastAsia="Arial" w:hAnsi="Arial"/>
                <w:sz w:val="10"/>
                <w:szCs w:val="10"/>
                <w:color w:val="auto"/>
              </w:rPr>
              <w:t>Proved</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Unproved</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7,404</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228</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25</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b w:val="1"/>
                <w:bCs w:val="1"/>
                <w:color w:val="auto"/>
              </w:rPr>
              <w:t>7,657</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property acquisitions</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8,578</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244</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25</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8,848</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5,517</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1,537</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2,698</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2,867</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2,638</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633</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15,890</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379</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368</w:t>
            </w:r>
          </w:p>
        </w:tc>
        <w:tc>
          <w:tcPr>
            <w:tcW w:w="0" w:type="dxa"/>
            <w:vAlign w:val="bottom"/>
          </w:tcPr>
          <w:p>
            <w:pPr>
              <w:spacing w:after="0"/>
              <w:rPr>
                <w:sz w:val="1"/>
                <w:szCs w:val="1"/>
                <w:color w:val="auto"/>
              </w:rPr>
            </w:pPr>
          </w:p>
        </w:tc>
      </w:tr>
      <w:tr>
        <w:trPr>
          <w:trHeight w:val="114"/>
        </w:trPr>
        <w:tc>
          <w:tcPr>
            <w:tcW w:w="194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r>
              <w:rPr>
                <w:rFonts w:ascii="Arial" w:cs="Arial" w:eastAsia="Arial" w:hAnsi="Arial"/>
                <w:sz w:val="8"/>
                <w:szCs w:val="8"/>
                <w:b w:val="1"/>
                <w:bCs w:val="1"/>
                <w:color w:val="0077C0"/>
              </w:rPr>
              <w:t>4</w:t>
            </w:r>
          </w:p>
        </w:tc>
        <w:tc>
          <w:tcPr>
            <w:tcW w:w="7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14,601</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1,956</w:t>
            </w:r>
          </w:p>
        </w:tc>
        <w:tc>
          <w:tcPr>
            <w:tcW w:w="4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2,950</w:t>
            </w:r>
          </w:p>
        </w:tc>
        <w:tc>
          <w:tcPr>
            <w:tcW w:w="4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3,202</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2,974</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967</w:t>
            </w:r>
          </w:p>
        </w:tc>
        <w:tc>
          <w:tcPr>
            <w:tcW w:w="560" w:type="dxa"/>
            <w:vAlign w:val="bottom"/>
            <w:tcBorders>
              <w:bottom w:val="single" w:sz="8" w:color="0077C0"/>
            </w:tcBorders>
          </w:tcPr>
          <w:p>
            <w:pPr>
              <w:jc w:val="right"/>
              <w:ind w:right="70"/>
              <w:spacing w:after="0" w:line="105" w:lineRule="exact"/>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26,650</w:t>
            </w:r>
          </w:p>
        </w:tc>
        <w:tc>
          <w:tcPr>
            <w:tcW w:w="2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379</w:t>
            </w:r>
          </w:p>
        </w:tc>
        <w:tc>
          <w:tcPr>
            <w:tcW w:w="5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368</w:t>
            </w:r>
          </w:p>
        </w:tc>
        <w:tc>
          <w:tcPr>
            <w:tcW w:w="0" w:type="dxa"/>
            <w:vAlign w:val="bottom"/>
          </w:tcPr>
          <w:p>
            <w:pPr>
              <w:spacing w:after="0"/>
              <w:rPr>
                <w:sz w:val="1"/>
                <w:szCs w:val="1"/>
                <w:color w:val="auto"/>
              </w:rPr>
            </w:pPr>
          </w:p>
        </w:tc>
      </w:tr>
      <w:tr>
        <w:trPr>
          <w:trHeight w:val="103"/>
        </w:trPr>
        <w:tc>
          <w:tcPr>
            <w:tcW w:w="194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December 31, 2010</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94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Wells</w:t>
            </w:r>
          </w:p>
        </w:tc>
        <w:tc>
          <w:tcPr>
            <w:tcW w:w="7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99</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118</w:t>
            </w:r>
          </w:p>
        </w:tc>
        <w:tc>
          <w:tcPr>
            <w:tcW w:w="44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94</w:t>
            </w:r>
          </w:p>
        </w:tc>
        <w:tc>
          <w:tcPr>
            <w:tcW w:w="4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244</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293</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61</w:t>
            </w:r>
          </w:p>
        </w:tc>
        <w:tc>
          <w:tcPr>
            <w:tcW w:w="560" w:type="dxa"/>
            <w:vAlign w:val="bottom"/>
          </w:tcPr>
          <w:p>
            <w:pPr>
              <w:jc w:val="right"/>
              <w:ind w:right="70"/>
              <w:spacing w:after="0" w:line="106"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909</w:t>
            </w:r>
          </w:p>
        </w:tc>
        <w:tc>
          <w:tcPr>
            <w:tcW w:w="24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Geological and geophysical</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67</w:t>
            </w:r>
          </w:p>
        </w:tc>
        <w:tc>
          <w:tcPr>
            <w:tcW w:w="36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46</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87</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w:t>
            </w:r>
          </w:p>
        </w:tc>
        <w:tc>
          <w:tcPr>
            <w:tcW w:w="420" w:type="dxa"/>
            <w:vAlign w:val="bottom"/>
          </w:tcPr>
          <w:p>
            <w:pPr>
              <w:spacing w:after="0"/>
              <w:rPr>
                <w:sz w:val="9"/>
                <w:szCs w:val="9"/>
                <w:color w:val="auto"/>
              </w:rPr>
            </w:pP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18</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255</w:t>
            </w:r>
          </w:p>
        </w:tc>
        <w:tc>
          <w:tcPr>
            <w:tcW w:w="24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Rentals and other</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121</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39</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55</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47</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95</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57</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414</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exploration</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287</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203</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236</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320</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396</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136</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1,578</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2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Proved</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24</w:t>
            </w:r>
          </w:p>
        </w:tc>
        <w:tc>
          <w:tcPr>
            <w:tcW w:w="36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129</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153</w:t>
            </w:r>
          </w:p>
        </w:tc>
        <w:tc>
          <w:tcPr>
            <w:tcW w:w="24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Unproved</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359</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429</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160</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187</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10</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1,145</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property acquisitions</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383</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429</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160</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316</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10</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1,298</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4,446</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1,611</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2,985</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3,325</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2,623</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411</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15,401</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230</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343</w:t>
            </w:r>
          </w:p>
        </w:tc>
        <w:tc>
          <w:tcPr>
            <w:tcW w:w="0" w:type="dxa"/>
            <w:vAlign w:val="bottom"/>
          </w:tcPr>
          <w:p>
            <w:pPr>
              <w:spacing w:after="0"/>
              <w:rPr>
                <w:sz w:val="1"/>
                <w:szCs w:val="1"/>
                <w:color w:val="auto"/>
              </w:rPr>
            </w:pPr>
          </w:p>
        </w:tc>
      </w:tr>
      <w:tr>
        <w:trPr>
          <w:trHeight w:val="114"/>
        </w:trPr>
        <w:tc>
          <w:tcPr>
            <w:tcW w:w="194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p>
        </w:tc>
        <w:tc>
          <w:tcPr>
            <w:tcW w:w="7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5,116</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2,243</w:t>
            </w:r>
          </w:p>
        </w:tc>
        <w:tc>
          <w:tcPr>
            <w:tcW w:w="4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3,381</w:t>
            </w:r>
          </w:p>
        </w:tc>
        <w:tc>
          <w:tcPr>
            <w:tcW w:w="4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3,961</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3,019</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557</w:t>
            </w:r>
          </w:p>
        </w:tc>
        <w:tc>
          <w:tcPr>
            <w:tcW w:w="560" w:type="dxa"/>
            <w:vAlign w:val="bottom"/>
            <w:tcBorders>
              <w:bottom w:val="single" w:sz="8" w:color="0077C0"/>
            </w:tcBorders>
          </w:tcPr>
          <w:p>
            <w:pPr>
              <w:jc w:val="right"/>
              <w:ind w:right="70"/>
              <w:spacing w:after="0" w:line="105"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18,277</w:t>
            </w:r>
          </w:p>
        </w:tc>
        <w:tc>
          <w:tcPr>
            <w:tcW w:w="2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230</w:t>
            </w:r>
          </w:p>
        </w:tc>
        <w:tc>
          <w:tcPr>
            <w:tcW w:w="5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343</w:t>
            </w:r>
          </w:p>
        </w:tc>
        <w:tc>
          <w:tcPr>
            <w:tcW w:w="0" w:type="dxa"/>
            <w:vAlign w:val="bottom"/>
          </w:tcPr>
          <w:p>
            <w:pPr>
              <w:spacing w:after="0"/>
              <w:rPr>
                <w:sz w:val="1"/>
                <w:szCs w:val="1"/>
                <w:color w:val="auto"/>
              </w:rPr>
            </w:pPr>
          </w:p>
        </w:tc>
      </w:tr>
      <w:tr>
        <w:trPr>
          <w:trHeight w:val="103"/>
        </w:trPr>
        <w:tc>
          <w:tcPr>
            <w:tcW w:w="194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December 31, 2009</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940" w:type="dxa"/>
            <w:vAlign w:val="bottom"/>
            <w:gridSpan w:val="2"/>
          </w:tcPr>
          <w:p>
            <w:pPr>
              <w:spacing w:after="0" w:line="106" w:lineRule="exact"/>
              <w:rPr>
                <w:sz w:val="20"/>
                <w:szCs w:val="20"/>
                <w:color w:val="auto"/>
              </w:rPr>
            </w:pPr>
            <w:r>
              <w:rPr>
                <w:rFonts w:ascii="Arial" w:cs="Arial" w:eastAsia="Arial" w:hAnsi="Arial"/>
                <w:sz w:val="10"/>
                <w:szCs w:val="10"/>
                <w:color w:val="auto"/>
              </w:rPr>
              <w:t>Exploration</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Wells</w:t>
            </w:r>
          </w:p>
        </w:tc>
        <w:tc>
          <w:tcPr>
            <w:tcW w:w="7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361</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w:t>
            </w:r>
          </w:p>
        </w:tc>
        <w:tc>
          <w:tcPr>
            <w:tcW w:w="44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140</w:t>
            </w:r>
          </w:p>
        </w:tc>
        <w:tc>
          <w:tcPr>
            <w:tcW w:w="440" w:type="dxa"/>
            <w:vAlign w:val="bottom"/>
          </w:tcPr>
          <w:p>
            <w:pPr>
              <w:jc w:val="right"/>
              <w:ind w:right="10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45</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275</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84</w:t>
            </w:r>
          </w:p>
        </w:tc>
        <w:tc>
          <w:tcPr>
            <w:tcW w:w="560" w:type="dxa"/>
            <w:vAlign w:val="bottom"/>
          </w:tcPr>
          <w:p>
            <w:pPr>
              <w:jc w:val="right"/>
              <w:ind w:right="70"/>
              <w:spacing w:after="0" w:line="106"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975</w:t>
            </w:r>
          </w:p>
        </w:tc>
        <w:tc>
          <w:tcPr>
            <w:tcW w:w="240" w:type="dxa"/>
            <w:vAlign w:val="bottom"/>
          </w:tcPr>
          <w:p>
            <w:pPr>
              <w:jc w:val="right"/>
              <w:ind w:right="129"/>
              <w:spacing w:after="0" w:line="106"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10"/>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Geological and geophysical</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62</w:t>
            </w:r>
          </w:p>
        </w:tc>
        <w:tc>
          <w:tcPr>
            <w:tcW w:w="36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114</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49</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17</w:t>
            </w:r>
          </w:p>
        </w:tc>
        <w:tc>
          <w:tcPr>
            <w:tcW w:w="420" w:type="dxa"/>
            <w:vAlign w:val="bottom"/>
          </w:tcPr>
          <w:p>
            <w:pPr>
              <w:spacing w:after="0"/>
              <w:rPr>
                <w:sz w:val="9"/>
                <w:szCs w:val="9"/>
                <w:color w:val="auto"/>
              </w:rPr>
            </w:pP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16</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328</w:t>
            </w:r>
          </w:p>
        </w:tc>
        <w:tc>
          <w:tcPr>
            <w:tcW w:w="24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Rentals and other</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153</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146</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92</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60</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127</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43</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621</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exploration</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576</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286</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346</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154</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419</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143</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1,924</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920" w:type="dxa"/>
            <w:vAlign w:val="bottom"/>
          </w:tcPr>
          <w:p>
            <w:pPr>
              <w:spacing w:after="0" w:line="92" w:lineRule="exact"/>
              <w:rPr>
                <w:sz w:val="20"/>
                <w:szCs w:val="20"/>
                <w:color w:val="auto"/>
              </w:rPr>
            </w:pPr>
            <w:r>
              <w:rPr>
                <w:rFonts w:ascii="Arial" w:cs="Arial" w:eastAsia="Arial" w:hAnsi="Arial"/>
                <w:sz w:val="10"/>
                <w:szCs w:val="10"/>
                <w:color w:val="auto"/>
              </w:rPr>
              <w:t>Property acquisitions</w:t>
            </w:r>
            <w:r>
              <w:rPr>
                <w:rFonts w:ascii="Arial" w:cs="Arial" w:eastAsia="Arial" w:hAnsi="Arial"/>
                <w:sz w:val="8"/>
                <w:szCs w:val="8"/>
                <w:color w:val="auto"/>
              </w:rPr>
              <w:t>2</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20" w:type="dxa"/>
            <w:vAlign w:val="bottom"/>
          </w:tcPr>
          <w:p>
            <w:pPr>
              <w:ind w:left="120"/>
              <w:spacing w:after="0" w:line="106" w:lineRule="exact"/>
              <w:rPr>
                <w:sz w:val="20"/>
                <w:szCs w:val="20"/>
                <w:color w:val="auto"/>
              </w:rPr>
            </w:pPr>
            <w:r>
              <w:rPr>
                <w:rFonts w:ascii="Arial" w:cs="Arial" w:eastAsia="Arial" w:hAnsi="Arial"/>
                <w:sz w:val="10"/>
                <w:szCs w:val="10"/>
                <w:color w:val="auto"/>
              </w:rPr>
              <w:t>Proved</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w:t>
            </w:r>
          </w:p>
        </w:tc>
        <w:tc>
          <w:tcPr>
            <w:tcW w:w="36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60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460" w:type="dxa"/>
            <w:vAlign w:val="bottom"/>
          </w:tcPr>
          <w:p>
            <w:pPr>
              <w:jc w:val="right"/>
              <w:ind w:right="9"/>
              <w:spacing w:after="0" w:line="106"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3</w:t>
            </w:r>
          </w:p>
        </w:tc>
        <w:tc>
          <w:tcPr>
            <w:tcW w:w="240" w:type="dxa"/>
            <w:vAlign w:val="bottom"/>
          </w:tcPr>
          <w:p>
            <w:pPr>
              <w:spacing w:after="0"/>
              <w:rPr>
                <w:sz w:val="9"/>
                <w:szCs w:val="9"/>
                <w:color w:val="auto"/>
              </w:rPr>
            </w:pPr>
          </w:p>
        </w:tc>
        <w:tc>
          <w:tcPr>
            <w:tcW w:w="46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Unproved</w:t>
            </w:r>
          </w:p>
        </w:tc>
        <w:tc>
          <w:tcPr>
            <w:tcW w:w="5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29</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29</w:t>
            </w:r>
          </w:p>
        </w:tc>
        <w:tc>
          <w:tcPr>
            <w:tcW w:w="240" w:type="dxa"/>
            <w:vAlign w:val="bottom"/>
            <w:tcBorders>
              <w:bottom w:val="single" w:sz="8" w:color="0077C0"/>
            </w:tcBorders>
          </w:tcPr>
          <w:p>
            <w:pPr>
              <w:spacing w:after="0"/>
              <w:rPr>
                <w:sz w:val="10"/>
                <w:szCs w:val="10"/>
                <w:color w:val="auto"/>
              </w:rPr>
            </w:pPr>
          </w:p>
        </w:tc>
        <w:tc>
          <w:tcPr>
            <w:tcW w:w="46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20" w:type="dxa"/>
            <w:vAlign w:val="bottom"/>
            <w:tcBorders>
              <w:bottom w:val="single" w:sz="8" w:color="0077C0"/>
            </w:tcBorders>
          </w:tcPr>
          <w:p>
            <w:pPr>
              <w:ind w:left="120"/>
              <w:spacing w:after="0" w:line="105" w:lineRule="exact"/>
              <w:rPr>
                <w:sz w:val="20"/>
                <w:szCs w:val="20"/>
                <w:color w:val="auto"/>
              </w:rPr>
            </w:pPr>
            <w:r>
              <w:rPr>
                <w:rFonts w:ascii="Arial" w:cs="Arial" w:eastAsia="Arial" w:hAnsi="Arial"/>
                <w:sz w:val="10"/>
                <w:szCs w:val="10"/>
                <w:color w:val="auto"/>
              </w:rPr>
              <w:t>Total property acquisitions</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32</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32</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192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color w:val="auto"/>
              </w:rPr>
              <w:t>Development</w:t>
            </w:r>
            <w:r>
              <w:rPr>
                <w:rFonts w:ascii="Arial" w:cs="Arial" w:eastAsia="Arial" w:hAnsi="Arial"/>
                <w:sz w:val="8"/>
                <w:szCs w:val="8"/>
                <w:color w:val="auto"/>
              </w:rPr>
              <w:t>3</w:t>
            </w:r>
          </w:p>
        </w:tc>
        <w:tc>
          <w:tcPr>
            <w:tcW w:w="5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3,338</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1,515</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3,426</w:t>
            </w:r>
          </w:p>
        </w:tc>
        <w:tc>
          <w:tcPr>
            <w:tcW w:w="44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2,698</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565</w:t>
            </w:r>
          </w:p>
        </w:tc>
        <w:tc>
          <w:tcPr>
            <w:tcW w:w="42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285</w:t>
            </w:r>
          </w:p>
        </w:tc>
        <w:tc>
          <w:tcPr>
            <w:tcW w:w="560" w:type="dxa"/>
            <w:vAlign w:val="bottom"/>
            <w:tcBorders>
              <w:bottom w:val="single" w:sz="8" w:color="0077C0"/>
            </w:tcBorders>
          </w:tcPr>
          <w:p>
            <w:pPr>
              <w:spacing w:after="0"/>
              <w:rPr>
                <w:sz w:val="9"/>
                <w:szCs w:val="9"/>
                <w:color w:val="auto"/>
              </w:rPr>
            </w:pP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11,827</w:t>
            </w:r>
          </w:p>
        </w:tc>
        <w:tc>
          <w:tcPr>
            <w:tcW w:w="240" w:type="dxa"/>
            <w:vAlign w:val="bottom"/>
            <w:tcBorders>
              <w:bottom w:val="single" w:sz="8" w:color="0077C0"/>
            </w:tcBorders>
          </w:tcPr>
          <w:p>
            <w:pPr>
              <w:spacing w:after="0"/>
              <w:rPr>
                <w:sz w:val="9"/>
                <w:szCs w:val="9"/>
                <w:color w:val="auto"/>
              </w:rPr>
            </w:pP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265</w:t>
            </w:r>
          </w:p>
        </w:tc>
        <w:tc>
          <w:tcPr>
            <w:tcW w:w="540" w:type="dxa"/>
            <w:vAlign w:val="bottom"/>
            <w:tcBorders>
              <w:bottom w:val="single" w:sz="8" w:color="0077C0"/>
            </w:tcBorders>
          </w:tcPr>
          <w:p>
            <w:pPr>
              <w:spacing w:after="0"/>
              <w:rPr>
                <w:sz w:val="9"/>
                <w:szCs w:val="9"/>
                <w:color w:val="auto"/>
              </w:rPr>
            </w:pP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114"/>
        </w:trPr>
        <w:tc>
          <w:tcPr>
            <w:tcW w:w="194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Total Costs Incurred</w:t>
            </w:r>
          </w:p>
        </w:tc>
        <w:tc>
          <w:tcPr>
            <w:tcW w:w="7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3,946</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1,801</w:t>
            </w:r>
          </w:p>
        </w:tc>
        <w:tc>
          <w:tcPr>
            <w:tcW w:w="44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3,772</w:t>
            </w:r>
          </w:p>
        </w:tc>
        <w:tc>
          <w:tcPr>
            <w:tcW w:w="440" w:type="dxa"/>
            <w:vAlign w:val="bottom"/>
            <w:tcBorders>
              <w:bottom w:val="single" w:sz="8" w:color="0077C0"/>
            </w:tcBorders>
          </w:tcPr>
          <w:p>
            <w:pPr>
              <w:jc w:val="right"/>
              <w:ind w:right="10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2,852</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984</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6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428</w:t>
            </w:r>
          </w:p>
        </w:tc>
        <w:tc>
          <w:tcPr>
            <w:tcW w:w="560" w:type="dxa"/>
            <w:vAlign w:val="bottom"/>
            <w:tcBorders>
              <w:bottom w:val="single" w:sz="8" w:color="0077C0"/>
            </w:tcBorders>
          </w:tcPr>
          <w:p>
            <w:pPr>
              <w:jc w:val="right"/>
              <w:ind w:right="70"/>
              <w:spacing w:after="0" w:line="105"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13,783</w:t>
            </w:r>
          </w:p>
        </w:tc>
        <w:tc>
          <w:tcPr>
            <w:tcW w:w="240" w:type="dxa"/>
            <w:vAlign w:val="bottom"/>
            <w:tcBorders>
              <w:bottom w:val="single" w:sz="8" w:color="0077C0"/>
            </w:tcBorders>
          </w:tcPr>
          <w:p>
            <w:pPr>
              <w:jc w:val="right"/>
              <w:ind w:right="129"/>
              <w:spacing w:after="0" w:line="105" w:lineRule="exact"/>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265</w:t>
            </w:r>
          </w:p>
        </w:tc>
        <w:tc>
          <w:tcPr>
            <w:tcW w:w="540" w:type="dxa"/>
            <w:vAlign w:val="bottom"/>
            <w:tcBorders>
              <w:bottom w:val="single" w:sz="8" w:color="0077C0"/>
            </w:tcBorders>
          </w:tcPr>
          <w:p>
            <w:pPr>
              <w:jc w:val="right"/>
              <w:ind w:right="110"/>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3" w:right="5060" w:hanging="103"/>
        <w:spacing w:after="0" w:line="254" w:lineRule="auto"/>
        <w:tabs>
          <w:tab w:leader="none" w:pos="103" w:val="left"/>
        </w:tabs>
        <w:numPr>
          <w:ilvl w:val="0"/>
          <w:numId w:val="47"/>
        </w:numPr>
        <w:rPr>
          <w:rFonts w:ascii="Arial" w:cs="Arial" w:eastAsia="Arial" w:hAnsi="Arial"/>
          <w:sz w:val="8"/>
          <w:szCs w:val="8"/>
          <w:color w:val="auto"/>
        </w:rPr>
      </w:pPr>
      <w:r>
        <w:rPr>
          <w:rFonts w:ascii="Arial" w:cs="Arial" w:eastAsia="Arial" w:hAnsi="Arial"/>
          <w:sz w:val="9"/>
          <w:szCs w:val="9"/>
          <w:color w:val="auto"/>
        </w:rPr>
        <w:t>Includes costs incurred whether capitalized or expensed. Excludes general support equipment expenditures. Includes capitalized amounts related to asset retirement obligations. See Note 25, “Asset Retirement Obligations,” on page FS-58.</w:t>
      </w:r>
    </w:p>
    <w:p>
      <w:pPr>
        <w:ind w:left="103" w:hanging="103"/>
        <w:spacing w:after="0"/>
        <w:tabs>
          <w:tab w:leader="none" w:pos="103" w:val="left"/>
        </w:tabs>
        <w:numPr>
          <w:ilvl w:val="0"/>
          <w:numId w:val="48"/>
        </w:numPr>
        <w:rPr>
          <w:rFonts w:ascii="Arial" w:cs="Arial" w:eastAsia="Arial" w:hAnsi="Arial"/>
          <w:sz w:val="8"/>
          <w:szCs w:val="8"/>
          <w:color w:val="auto"/>
        </w:rPr>
      </w:pPr>
      <w:r>
        <w:rPr>
          <w:rFonts w:ascii="Arial" w:cs="Arial" w:eastAsia="Arial" w:hAnsi="Arial"/>
          <w:sz w:val="9"/>
          <w:szCs w:val="9"/>
          <w:color w:val="auto"/>
        </w:rPr>
        <w:t>Includes wells, equipment and facilities associated with proved reserves. Does not include properties acquired in nonmonetary transactions.</w:t>
      </w:r>
    </w:p>
    <w:p>
      <w:pPr>
        <w:spacing w:after="0" w:line="2" w:lineRule="exact"/>
        <w:rPr>
          <w:sz w:val="20"/>
          <w:szCs w:val="20"/>
          <w:color w:val="auto"/>
        </w:rPr>
      </w:pPr>
    </w:p>
    <w:p>
      <w:pPr>
        <w:ind w:left="103" w:hanging="103"/>
        <w:spacing w:after="0"/>
        <w:tabs>
          <w:tab w:leader="none" w:pos="103" w:val="left"/>
        </w:tabs>
        <w:numPr>
          <w:ilvl w:val="0"/>
          <w:numId w:val="49"/>
        </w:numPr>
        <w:rPr>
          <w:rFonts w:ascii="Arial" w:cs="Arial" w:eastAsia="Arial" w:hAnsi="Arial"/>
          <w:sz w:val="8"/>
          <w:szCs w:val="8"/>
          <w:color w:val="auto"/>
        </w:rPr>
      </w:pPr>
      <w:r>
        <w:rPr>
          <w:rFonts w:ascii="Arial" w:cs="Arial" w:eastAsia="Arial" w:hAnsi="Arial"/>
          <w:sz w:val="9"/>
          <w:szCs w:val="9"/>
          <w:color w:val="auto"/>
        </w:rPr>
        <w:t>Includes $1,035, $745 and $121 costs incurred prior to assignment of proved reserves for consolidated companies in 2011, 2010 and 2009, respectively.</w:t>
      </w:r>
    </w:p>
    <w:p>
      <w:pPr>
        <w:spacing w:after="0" w:line="2"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4  Reconciliation of consolidated and affiliated companies total cost incurred to Upstream capital and exploratory (C&amp;E) expenditures – $ billions.</w:t>
      </w:r>
    </w:p>
    <w:tbl>
      <w:tblPr>
        <w:tblLayout w:type="fixed"/>
        <w:tblInd w:w="3" w:type="dxa"/>
        <w:tblCellMar>
          <w:top w:w="0" w:type="dxa"/>
          <w:left w:w="0" w:type="dxa"/>
          <w:bottom w:w="0" w:type="dxa"/>
          <w:right w:w="0" w:type="dxa"/>
        </w:tblCellMar>
      </w:tblPr>
      <w:tr>
        <w:trPr>
          <w:trHeight w:val="102"/>
        </w:trPr>
        <w:tc>
          <w:tcPr>
            <w:tcW w:w="2360" w:type="dxa"/>
            <w:vAlign w:val="bottom"/>
          </w:tcPr>
          <w:p>
            <w:pPr>
              <w:ind w:left="240"/>
              <w:spacing w:after="0" w:line="102" w:lineRule="exact"/>
              <w:rPr>
                <w:sz w:val="20"/>
                <w:szCs w:val="20"/>
                <w:color w:val="auto"/>
              </w:rPr>
            </w:pPr>
            <w:r>
              <w:rPr>
                <w:rFonts w:ascii="Arial" w:cs="Arial" w:eastAsia="Arial" w:hAnsi="Arial"/>
                <w:sz w:val="9"/>
                <w:szCs w:val="9"/>
                <w:color w:val="auto"/>
              </w:rPr>
              <w:t>Total cost incurred for 2011</w:t>
            </w: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220" w:type="dxa"/>
            <w:vAlign w:val="bottom"/>
          </w:tcPr>
          <w:p>
            <w:pPr>
              <w:jc w:val="right"/>
              <w:spacing w:after="0" w:line="102" w:lineRule="exact"/>
              <w:rPr>
                <w:sz w:val="20"/>
                <w:szCs w:val="20"/>
                <w:color w:val="auto"/>
              </w:rPr>
            </w:pPr>
            <w:r>
              <w:rPr>
                <w:rFonts w:ascii="Arial" w:cs="Arial" w:eastAsia="Arial" w:hAnsi="Arial"/>
                <w:sz w:val="9"/>
                <w:szCs w:val="9"/>
                <w:color w:val="auto"/>
              </w:rPr>
              <w:t>27.4</w:t>
            </w:r>
          </w:p>
        </w:tc>
        <w:tc>
          <w:tcPr>
            <w:tcW w:w="360" w:type="dxa"/>
            <w:vAlign w:val="bottom"/>
          </w:tcPr>
          <w:p>
            <w:pPr>
              <w:spacing w:after="0"/>
              <w:rPr>
                <w:sz w:val="8"/>
                <w:szCs w:val="8"/>
                <w:color w:val="auto"/>
              </w:rPr>
            </w:pPr>
          </w:p>
        </w:tc>
        <w:tc>
          <w:tcPr>
            <w:tcW w:w="8440" w:type="dxa"/>
            <w:vAlign w:val="bottom"/>
          </w:tcPr>
          <w:p>
            <w:pPr>
              <w:spacing w:after="0"/>
              <w:rPr>
                <w:sz w:val="8"/>
                <w:szCs w:val="8"/>
                <w:color w:val="auto"/>
              </w:rPr>
            </w:pPr>
          </w:p>
        </w:tc>
      </w:tr>
      <w:tr>
        <w:trPr>
          <w:trHeight w:val="96"/>
        </w:trPr>
        <w:tc>
          <w:tcPr>
            <w:tcW w:w="2360" w:type="dxa"/>
            <w:vAlign w:val="bottom"/>
          </w:tcPr>
          <w:p>
            <w:pPr>
              <w:ind w:left="280"/>
              <w:spacing w:after="0" w:line="96" w:lineRule="exact"/>
              <w:rPr>
                <w:sz w:val="20"/>
                <w:szCs w:val="20"/>
                <w:color w:val="auto"/>
              </w:rPr>
            </w:pPr>
            <w:r>
              <w:rPr>
                <w:rFonts w:ascii="Arial" w:cs="Arial" w:eastAsia="Arial" w:hAnsi="Arial"/>
                <w:sz w:val="9"/>
                <w:szCs w:val="9"/>
                <w:color w:val="auto"/>
              </w:rPr>
              <w:t>Non oil and gas activities</w:t>
            </w:r>
          </w:p>
        </w:tc>
        <w:tc>
          <w:tcPr>
            <w:tcW w:w="100" w:type="dxa"/>
            <w:vAlign w:val="bottom"/>
          </w:tcPr>
          <w:p>
            <w:pPr>
              <w:spacing w:after="0"/>
              <w:rPr>
                <w:sz w:val="8"/>
                <w:szCs w:val="8"/>
                <w:color w:val="auto"/>
              </w:rPr>
            </w:pPr>
          </w:p>
        </w:tc>
        <w:tc>
          <w:tcPr>
            <w:tcW w:w="220" w:type="dxa"/>
            <w:vAlign w:val="bottom"/>
          </w:tcPr>
          <w:p>
            <w:pPr>
              <w:jc w:val="right"/>
              <w:spacing w:after="0" w:line="96" w:lineRule="exact"/>
              <w:rPr>
                <w:sz w:val="20"/>
                <w:szCs w:val="20"/>
                <w:color w:val="auto"/>
              </w:rPr>
            </w:pPr>
            <w:r>
              <w:rPr>
                <w:rFonts w:ascii="Arial" w:cs="Arial" w:eastAsia="Arial" w:hAnsi="Arial"/>
                <w:sz w:val="9"/>
                <w:szCs w:val="9"/>
                <w:color w:val="auto"/>
              </w:rPr>
              <w:t>5.4</w:t>
            </w:r>
          </w:p>
        </w:tc>
        <w:tc>
          <w:tcPr>
            <w:tcW w:w="360" w:type="dxa"/>
            <w:vAlign w:val="bottom"/>
          </w:tcPr>
          <w:p>
            <w:pPr>
              <w:spacing w:after="0"/>
              <w:rPr>
                <w:sz w:val="8"/>
                <w:szCs w:val="8"/>
                <w:color w:val="auto"/>
              </w:rPr>
            </w:pPr>
          </w:p>
        </w:tc>
        <w:tc>
          <w:tcPr>
            <w:tcW w:w="8440" w:type="dxa"/>
            <w:vAlign w:val="bottom"/>
          </w:tcPr>
          <w:p>
            <w:pPr>
              <w:ind w:left="320"/>
              <w:spacing w:after="0" w:line="96" w:lineRule="exact"/>
              <w:rPr>
                <w:sz w:val="20"/>
                <w:szCs w:val="20"/>
                <w:color w:val="auto"/>
              </w:rPr>
            </w:pPr>
            <w:r>
              <w:rPr>
                <w:rFonts w:ascii="Arial" w:cs="Arial" w:eastAsia="Arial" w:hAnsi="Arial"/>
                <w:sz w:val="9"/>
                <w:szCs w:val="9"/>
                <w:color w:val="auto"/>
              </w:rPr>
              <w:t>(Includes LNG and gas-to-liquids $4.3, transportation $0.5, affiliate $0.5, other $0.1)</w:t>
            </w:r>
          </w:p>
        </w:tc>
      </w:tr>
      <w:tr>
        <w:trPr>
          <w:trHeight w:val="96"/>
        </w:trPr>
        <w:tc>
          <w:tcPr>
            <w:tcW w:w="2360" w:type="dxa"/>
            <w:vAlign w:val="bottom"/>
          </w:tcPr>
          <w:p>
            <w:pPr>
              <w:ind w:left="280"/>
              <w:spacing w:after="0" w:line="96" w:lineRule="exact"/>
              <w:rPr>
                <w:sz w:val="20"/>
                <w:szCs w:val="20"/>
                <w:color w:val="auto"/>
              </w:rPr>
            </w:pPr>
            <w:r>
              <w:rPr>
                <w:rFonts w:ascii="Arial" w:cs="Arial" w:eastAsia="Arial" w:hAnsi="Arial"/>
                <w:sz w:val="9"/>
                <w:szCs w:val="9"/>
                <w:color w:val="auto"/>
              </w:rPr>
              <w:t>Atlas properties</w:t>
            </w:r>
          </w:p>
        </w:tc>
        <w:tc>
          <w:tcPr>
            <w:tcW w:w="100" w:type="dxa"/>
            <w:vAlign w:val="bottom"/>
          </w:tcPr>
          <w:p>
            <w:pPr>
              <w:spacing w:after="0"/>
              <w:rPr>
                <w:sz w:val="8"/>
                <w:szCs w:val="8"/>
                <w:color w:val="auto"/>
              </w:rPr>
            </w:pPr>
          </w:p>
        </w:tc>
        <w:tc>
          <w:tcPr>
            <w:tcW w:w="580" w:type="dxa"/>
            <w:vAlign w:val="bottom"/>
            <w:gridSpan w:val="2"/>
          </w:tcPr>
          <w:p>
            <w:pPr>
              <w:jc w:val="right"/>
              <w:ind w:right="340"/>
              <w:spacing w:after="0" w:line="96" w:lineRule="exact"/>
              <w:rPr>
                <w:sz w:val="20"/>
                <w:szCs w:val="20"/>
                <w:color w:val="auto"/>
              </w:rPr>
            </w:pPr>
            <w:r>
              <w:rPr>
                <w:rFonts w:ascii="Arial" w:cs="Arial" w:eastAsia="Arial" w:hAnsi="Arial"/>
                <w:sz w:val="9"/>
                <w:szCs w:val="9"/>
                <w:color w:val="auto"/>
              </w:rPr>
              <w:t>(6.1)</w:t>
            </w:r>
          </w:p>
        </w:tc>
        <w:tc>
          <w:tcPr>
            <w:tcW w:w="8440" w:type="dxa"/>
            <w:vAlign w:val="bottom"/>
          </w:tcPr>
          <w:p>
            <w:pPr>
              <w:spacing w:after="0"/>
              <w:rPr>
                <w:sz w:val="8"/>
                <w:szCs w:val="8"/>
                <w:color w:val="auto"/>
              </w:rPr>
            </w:pPr>
          </w:p>
        </w:tc>
      </w:tr>
      <w:tr>
        <w:trPr>
          <w:trHeight w:val="107"/>
        </w:trPr>
        <w:tc>
          <w:tcPr>
            <w:tcW w:w="2360" w:type="dxa"/>
            <w:vAlign w:val="bottom"/>
          </w:tcPr>
          <w:p>
            <w:pPr>
              <w:ind w:left="280"/>
              <w:spacing w:after="0"/>
              <w:rPr>
                <w:sz w:val="20"/>
                <w:szCs w:val="20"/>
                <w:color w:val="auto"/>
              </w:rPr>
            </w:pPr>
            <w:r>
              <w:rPr>
                <w:rFonts w:ascii="Arial" w:cs="Arial" w:eastAsia="Arial" w:hAnsi="Arial"/>
                <w:sz w:val="9"/>
                <w:szCs w:val="9"/>
                <w:color w:val="auto"/>
              </w:rPr>
              <w:t>ARO</w:t>
            </w:r>
          </w:p>
        </w:tc>
        <w:tc>
          <w:tcPr>
            <w:tcW w:w="100" w:type="dxa"/>
            <w:vAlign w:val="bottom"/>
          </w:tcPr>
          <w:p>
            <w:pPr>
              <w:spacing w:after="0"/>
              <w:rPr>
                <w:sz w:val="9"/>
                <w:szCs w:val="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9"/>
                <w:szCs w:val="9"/>
                <w:color w:val="auto"/>
              </w:rPr>
              <w:t>(0.8)</w:t>
            </w:r>
          </w:p>
        </w:tc>
        <w:tc>
          <w:tcPr>
            <w:tcW w:w="8440" w:type="dxa"/>
            <w:vAlign w:val="bottom"/>
          </w:tcPr>
          <w:p>
            <w:pPr>
              <w:spacing w:after="0"/>
              <w:rPr>
                <w:sz w:val="9"/>
                <w:szCs w:val="9"/>
                <w:color w:val="auto"/>
              </w:rPr>
            </w:pPr>
          </w:p>
        </w:tc>
      </w:tr>
      <w:tr>
        <w:trPr>
          <w:trHeight w:val="103"/>
        </w:trPr>
        <w:tc>
          <w:tcPr>
            <w:tcW w:w="2360" w:type="dxa"/>
            <w:vAlign w:val="bottom"/>
          </w:tcPr>
          <w:p>
            <w:pPr>
              <w:ind w:left="240"/>
              <w:spacing w:after="0" w:line="94" w:lineRule="exact"/>
              <w:rPr>
                <w:sz w:val="20"/>
                <w:szCs w:val="20"/>
                <w:color w:val="auto"/>
              </w:rPr>
            </w:pPr>
            <w:r>
              <w:rPr>
                <w:rFonts w:ascii="Arial" w:cs="Arial" w:eastAsia="Arial" w:hAnsi="Arial"/>
                <w:sz w:val="9"/>
                <w:szCs w:val="9"/>
                <w:color w:val="auto"/>
              </w:rPr>
              <w:t>Upstream C&amp;E</w:t>
            </w:r>
          </w:p>
        </w:tc>
        <w:tc>
          <w:tcPr>
            <w:tcW w:w="100" w:type="dxa"/>
            <w:vAlign w:val="bottom"/>
            <w:tcBorders>
              <w:top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25.9</w:t>
            </w:r>
          </w:p>
        </w:tc>
        <w:tc>
          <w:tcPr>
            <w:tcW w:w="360" w:type="dxa"/>
            <w:vAlign w:val="bottom"/>
          </w:tcPr>
          <w:p>
            <w:pPr>
              <w:spacing w:after="0"/>
              <w:rPr>
                <w:sz w:val="9"/>
                <w:szCs w:val="9"/>
                <w:color w:val="auto"/>
              </w:rPr>
            </w:pPr>
          </w:p>
        </w:tc>
        <w:tc>
          <w:tcPr>
            <w:tcW w:w="8440" w:type="dxa"/>
            <w:vAlign w:val="bottom"/>
          </w:tcPr>
          <w:p>
            <w:pPr>
              <w:ind w:left="320"/>
              <w:spacing w:after="0" w:line="94" w:lineRule="exact"/>
              <w:rPr>
                <w:sz w:val="20"/>
                <w:szCs w:val="20"/>
                <w:color w:val="auto"/>
              </w:rPr>
            </w:pPr>
            <w:r>
              <w:rPr>
                <w:rFonts w:ascii="Arial" w:cs="Arial" w:eastAsia="Arial" w:hAnsi="Arial"/>
                <w:sz w:val="9"/>
                <w:szCs w:val="9"/>
                <w:color w:val="auto"/>
              </w:rPr>
              <w:t>Reference Page FS-11 upstream total</w:t>
            </w:r>
          </w:p>
        </w:tc>
      </w:tr>
      <w:tr>
        <w:trPr>
          <w:trHeight w:val="224"/>
        </w:trPr>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40" w:type="dxa"/>
            <w:vAlign w:val="bottom"/>
          </w:tcPr>
          <w:p>
            <w:pPr>
              <w:ind w:left="2560"/>
              <w:spacing w:after="0"/>
              <w:rPr>
                <w:sz w:val="20"/>
                <w:szCs w:val="20"/>
                <w:color w:val="auto"/>
              </w:rPr>
            </w:pPr>
            <w:r>
              <w:rPr>
                <w:rFonts w:ascii="Arial" w:cs="Arial" w:eastAsia="Arial" w:hAnsi="Arial"/>
                <w:sz w:val="10"/>
                <w:szCs w:val="10"/>
                <w:color w:val="auto"/>
              </w:rPr>
              <w:t>FS-62</w:t>
            </w:r>
          </w:p>
        </w:tc>
      </w:tr>
      <w:tr>
        <w:trPr>
          <w:trHeight w:val="147"/>
        </w:trPr>
        <w:tc>
          <w:tcPr>
            <w:tcW w:w="2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4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3"/>
          </w:cols>
          <w:pgMar w:left="217" w:top="338" w:right="199" w:bottom="1440" w:gutter="0" w:footer="0" w:header="0"/>
          <w:type w:val="continuous"/>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635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II </w:t>
      </w:r>
      <w:r>
        <w:rPr>
          <w:rFonts w:ascii="Arial" w:cs="Arial" w:eastAsia="Arial" w:hAnsi="Arial"/>
          <w:sz w:val="10"/>
          <w:szCs w:val="10"/>
          <w:color w:val="000000"/>
        </w:rPr>
        <w:t>Capitalized Costs Related to Oil and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0"/>
          <w:szCs w:val="10"/>
          <w:color w:val="auto"/>
        </w:rPr>
        <w:t>Gas Producing Activities</w:t>
      </w:r>
    </w:p>
    <w:p>
      <w:pPr>
        <w:sectPr>
          <w:pgSz w:w="11900" w:h="16838" w:orient="portrait"/>
          <w:cols w:equalWidth="0" w:num="1">
            <w:col w:w="11480"/>
          </w:cols>
          <w:pgMar w:left="220" w:top="338" w:right="199" w:bottom="1440" w:gutter="0" w:footer="0" w:header="0"/>
        </w:sectPr>
      </w:pPr>
    </w:p>
    <w:p>
      <w:pPr>
        <w:spacing w:after="0" w:line="315"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the company’s estimated net proved-reserve quantities, standardized measure of estimated discounted future net cash flows related to proved reserves, and changes in estimated discounted future net cash flows. The Africa geographic area includes activities principally in Angola, Chad, Democratic Republic of the Congo, Nigeria, and Republic of the Congo. The Asia geographic area includes activities principally in Azerbaijan, Bangladesh, China, Indonesia, Kazakhstan, Myanmar, the Partitioned Zone between Kuwait and Saudi Arabia, the Philippines and Thailand. The Europe geographic area includes activity in Denmark,</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140"/>
        <w:spacing w:after="0" w:line="275" w:lineRule="auto"/>
        <w:rPr>
          <w:sz w:val="20"/>
          <w:szCs w:val="20"/>
          <w:color w:val="auto"/>
        </w:rPr>
      </w:pPr>
      <w:r>
        <w:rPr>
          <w:rFonts w:ascii="Arial" w:cs="Arial" w:eastAsia="Arial" w:hAnsi="Arial"/>
          <w:sz w:val="12"/>
          <w:szCs w:val="12"/>
          <w:color w:val="auto"/>
        </w:rPr>
        <w:t>the Netherlands, Norway and the United Kingdom. The Other Americas geographic region includes activities in Argentina, Brazil, Canada, Colombia, and Trinidad and Tobago. Amounts for TCO represent Chevron’s 50 percent equity share of Tengizchevroil, an exploration and production partnership in the Republic of Kazakhstan. The affiliated companies Other amounts are composed of the company’s equity interests in Venezuela and Angola. Refer to Note 12, beginning on page FS-39, for a discussion of the company’s major equity affiliates.</w:t>
      </w:r>
    </w:p>
    <w:p>
      <w:pPr>
        <w:spacing w:after="0" w:line="215" w:lineRule="exact"/>
        <w:rPr>
          <w:sz w:val="20"/>
          <w:szCs w:val="20"/>
          <w:color w:val="auto"/>
        </w:rPr>
      </w:pPr>
    </w:p>
    <w:p>
      <w:pPr>
        <w:sectPr>
          <w:pgSz w:w="11900" w:h="16838" w:orient="portrait"/>
          <w:cols w:equalWidth="0" w:num="2">
            <w:col w:w="5480" w:space="480"/>
            <w:col w:w="5520"/>
          </w:cols>
          <w:pgMar w:left="220" w:top="338" w:right="19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Table II - Capitalized Costs Related to Oil and Gas Producing Activities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9"/>
                <w:szCs w:val="9"/>
                <w:color w:val="auto"/>
                <w:w w:val="93"/>
              </w:rPr>
              <w:t>Consolidated Companies</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9"/>
                <w:szCs w:val="9"/>
                <w:color w:val="auto"/>
              </w:rPr>
              <w:t>Affiliated Companies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jc w:val="right"/>
              <w:ind w:right="170"/>
              <w:spacing w:after="0" w:line="75" w:lineRule="exact"/>
              <w:rPr>
                <w:sz w:val="20"/>
                <w:szCs w:val="20"/>
                <w:color w:val="auto"/>
              </w:rPr>
            </w:pPr>
            <w:r>
              <w:rPr>
                <w:rFonts w:ascii="Arial" w:cs="Arial" w:eastAsia="Arial" w:hAnsi="Arial"/>
                <w:sz w:val="8"/>
                <w:szCs w:val="8"/>
                <w:color w:val="auto"/>
              </w:rPr>
              <w:t>Other</w:t>
            </w:r>
          </w:p>
        </w:tc>
        <w:tc>
          <w:tcPr>
            <w:tcW w:w="4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5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80" w:type="dxa"/>
            <w:vAlign w:val="bottom"/>
            <w:tcBorders>
              <w:top w:val="single" w:sz="8" w:color="0077C0"/>
            </w:tcBorders>
          </w:tcPr>
          <w:p>
            <w:pPr>
              <w:spacing w:after="0"/>
              <w:rPr>
                <w:sz w:val="6"/>
                <w:szCs w:val="6"/>
                <w:color w:val="auto"/>
              </w:rPr>
            </w:pPr>
          </w:p>
        </w:tc>
        <w:tc>
          <w:tcPr>
            <w:tcW w:w="54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20"/>
                <w:szCs w:val="20"/>
                <w:color w:val="auto"/>
              </w:rPr>
            </w:pPr>
            <w:r>
              <w:rPr>
                <w:rFonts w:ascii="Arial" w:cs="Arial" w:eastAsia="Arial" w:hAnsi="Arial"/>
                <w:sz w:val="9"/>
                <w:szCs w:val="9"/>
                <w:i w:val="1"/>
                <w:iCs w:val="1"/>
                <w:color w:val="auto"/>
              </w:rPr>
              <w:t>Millions of dollars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Pr>
          <w:p>
            <w:pPr>
              <w:spacing w:after="0"/>
              <w:rPr>
                <w:sz w:val="9"/>
                <w:szCs w:val="9"/>
                <w:color w:val="auto"/>
              </w:rPr>
            </w:pPr>
          </w:p>
        </w:tc>
        <w:tc>
          <w:tcPr>
            <w:tcW w:w="660" w:type="dxa"/>
            <w:vAlign w:val="bottom"/>
          </w:tcPr>
          <w:p>
            <w:pPr>
              <w:jc w:val="right"/>
              <w:ind w:right="170"/>
              <w:spacing w:after="0"/>
              <w:rPr>
                <w:sz w:val="20"/>
                <w:szCs w:val="20"/>
                <w:color w:val="auto"/>
              </w:rPr>
            </w:pPr>
            <w:r>
              <w:rPr>
                <w:rFonts w:ascii="Arial" w:cs="Arial" w:eastAsia="Arial" w:hAnsi="Arial"/>
                <w:sz w:val="9"/>
                <w:szCs w:val="9"/>
                <w:color w:val="auto"/>
              </w:rPr>
              <w:t>Americas</w:t>
            </w:r>
          </w:p>
        </w:tc>
        <w:tc>
          <w:tcPr>
            <w:tcW w:w="420" w:type="dxa"/>
            <w:vAlign w:val="bottom"/>
          </w:tcPr>
          <w:p>
            <w:pPr>
              <w:spacing w:after="0"/>
              <w:rPr>
                <w:sz w:val="9"/>
                <w:szCs w:val="9"/>
                <w:color w:val="auto"/>
              </w:rPr>
            </w:pPr>
          </w:p>
        </w:tc>
        <w:tc>
          <w:tcPr>
            <w:tcW w:w="600" w:type="dxa"/>
            <w:vAlign w:val="bottom"/>
          </w:tcPr>
          <w:p>
            <w:pPr>
              <w:jc w:val="right"/>
              <w:ind w:right="149"/>
              <w:spacing w:after="0"/>
              <w:rPr>
                <w:sz w:val="20"/>
                <w:szCs w:val="20"/>
                <w:color w:val="auto"/>
              </w:rPr>
            </w:pPr>
            <w:r>
              <w:rPr>
                <w:rFonts w:ascii="Arial" w:cs="Arial" w:eastAsia="Arial" w:hAnsi="Arial"/>
                <w:sz w:val="9"/>
                <w:szCs w:val="9"/>
                <w:color w:val="auto"/>
              </w:rPr>
              <w:t>Africa</w:t>
            </w:r>
          </w:p>
        </w:tc>
        <w:tc>
          <w:tcPr>
            <w:tcW w:w="520" w:type="dxa"/>
            <w:vAlign w:val="bottom"/>
          </w:tcPr>
          <w:p>
            <w:pPr>
              <w:spacing w:after="0"/>
              <w:rPr>
                <w:sz w:val="9"/>
                <w:szCs w:val="9"/>
                <w:color w:val="auto"/>
              </w:rPr>
            </w:pPr>
          </w:p>
        </w:tc>
        <w:tc>
          <w:tcPr>
            <w:tcW w:w="540" w:type="dxa"/>
            <w:vAlign w:val="bottom"/>
          </w:tcPr>
          <w:p>
            <w:pPr>
              <w:jc w:val="right"/>
              <w:ind w:right="169"/>
              <w:spacing w:after="0"/>
              <w:rPr>
                <w:sz w:val="20"/>
                <w:szCs w:val="20"/>
                <w:color w:val="auto"/>
              </w:rPr>
            </w:pPr>
            <w:r>
              <w:rPr>
                <w:rFonts w:ascii="Arial" w:cs="Arial" w:eastAsia="Arial" w:hAnsi="Arial"/>
                <w:sz w:val="9"/>
                <w:szCs w:val="9"/>
                <w:color w:val="auto"/>
              </w:rPr>
              <w:t>Asia</w:t>
            </w:r>
          </w:p>
        </w:tc>
        <w:tc>
          <w:tcPr>
            <w:tcW w:w="380" w:type="dxa"/>
            <w:vAlign w:val="bottom"/>
          </w:tcPr>
          <w:p>
            <w:pPr>
              <w:spacing w:after="0"/>
              <w:rPr>
                <w:sz w:val="9"/>
                <w:szCs w:val="9"/>
                <w:color w:val="auto"/>
              </w:rPr>
            </w:pPr>
          </w:p>
        </w:tc>
        <w:tc>
          <w:tcPr>
            <w:tcW w:w="660" w:type="dxa"/>
            <w:vAlign w:val="bottom"/>
          </w:tcPr>
          <w:p>
            <w:pPr>
              <w:jc w:val="right"/>
              <w:ind w:right="169"/>
              <w:spacing w:after="0"/>
              <w:rPr>
                <w:sz w:val="20"/>
                <w:szCs w:val="20"/>
                <w:color w:val="auto"/>
              </w:rPr>
            </w:pPr>
            <w:r>
              <w:rPr>
                <w:rFonts w:ascii="Arial" w:cs="Arial" w:eastAsia="Arial" w:hAnsi="Arial"/>
                <w:sz w:val="9"/>
                <w:szCs w:val="9"/>
                <w:color w:val="auto"/>
              </w:rPr>
              <w:t>Australia</w:t>
            </w:r>
          </w:p>
        </w:tc>
        <w:tc>
          <w:tcPr>
            <w:tcW w:w="400" w:type="dxa"/>
            <w:vAlign w:val="bottom"/>
          </w:tcPr>
          <w:p>
            <w:pPr>
              <w:spacing w:after="0"/>
              <w:rPr>
                <w:sz w:val="9"/>
                <w:szCs w:val="9"/>
                <w:color w:val="auto"/>
              </w:rPr>
            </w:pPr>
          </w:p>
        </w:tc>
        <w:tc>
          <w:tcPr>
            <w:tcW w:w="480" w:type="dxa"/>
            <w:vAlign w:val="bottom"/>
          </w:tcPr>
          <w:p>
            <w:pPr>
              <w:jc w:val="right"/>
              <w:ind w:right="9"/>
              <w:spacing w:after="0"/>
              <w:rPr>
                <w:sz w:val="20"/>
                <w:szCs w:val="20"/>
                <w:color w:val="auto"/>
              </w:rPr>
            </w:pPr>
            <w:r>
              <w:rPr>
                <w:rFonts w:ascii="Arial" w:cs="Arial" w:eastAsia="Arial" w:hAnsi="Arial"/>
                <w:sz w:val="9"/>
                <w:szCs w:val="9"/>
                <w:color w:val="auto"/>
              </w:rPr>
              <w:t>Europe</w:t>
            </w:r>
          </w:p>
        </w:tc>
        <w:tc>
          <w:tcPr>
            <w:tcW w:w="540" w:type="dxa"/>
            <w:vAlign w:val="bottom"/>
          </w:tcPr>
          <w:p>
            <w:pPr>
              <w:spacing w:after="0"/>
              <w:rPr>
                <w:sz w:val="9"/>
                <w:szCs w:val="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200" w:type="dxa"/>
            <w:vAlign w:val="bottom"/>
          </w:tcPr>
          <w:p>
            <w:pPr>
              <w:spacing w:after="0"/>
              <w:rPr>
                <w:sz w:val="9"/>
                <w:szCs w:val="9"/>
                <w:color w:val="auto"/>
              </w:rPr>
            </w:pPr>
          </w:p>
        </w:tc>
        <w:tc>
          <w:tcPr>
            <w:tcW w:w="500" w:type="dxa"/>
            <w:vAlign w:val="bottom"/>
          </w:tcPr>
          <w:p>
            <w:pPr>
              <w:jc w:val="right"/>
              <w:ind w:right="69"/>
              <w:spacing w:after="0"/>
              <w:rPr>
                <w:sz w:val="20"/>
                <w:szCs w:val="20"/>
                <w:color w:val="auto"/>
              </w:rPr>
            </w:pPr>
            <w:r>
              <w:rPr>
                <w:rFonts w:ascii="Arial" w:cs="Arial" w:eastAsia="Arial" w:hAnsi="Arial"/>
                <w:sz w:val="9"/>
                <w:szCs w:val="9"/>
                <w:color w:val="auto"/>
              </w:rPr>
              <w:t>TCO</w:t>
            </w:r>
          </w:p>
        </w:tc>
        <w:tc>
          <w:tcPr>
            <w:tcW w:w="520" w:type="dxa"/>
            <w:vAlign w:val="bottom"/>
          </w:tcPr>
          <w:p>
            <w:pPr>
              <w:spacing w:after="0"/>
              <w:rPr>
                <w:sz w:val="9"/>
                <w:szCs w:val="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Other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18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420" w:type="dxa"/>
            <w:vAlign w:val="bottom"/>
            <w:shd w:val="clear" w:color="auto" w:fill="0077C0"/>
          </w:tcPr>
          <w:p>
            <w:pPr>
              <w:spacing w:after="0" w:line="20" w:lineRule="exact"/>
              <w:rPr>
                <w:sz w:val="1"/>
                <w:szCs w:val="1"/>
                <w:color w:val="auto"/>
              </w:rPr>
            </w:pPr>
          </w:p>
        </w:tc>
        <w:tc>
          <w:tcPr>
            <w:tcW w:w="60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400" w:type="dxa"/>
            <w:vAlign w:val="bottom"/>
            <w:shd w:val="clear" w:color="auto" w:fill="0077C0"/>
          </w:tcPr>
          <w:p>
            <w:pPr>
              <w:spacing w:after="0" w:line="20" w:lineRule="exact"/>
              <w:rPr>
                <w:sz w:val="1"/>
                <w:szCs w:val="1"/>
                <w:color w:val="auto"/>
              </w:rPr>
            </w:pPr>
          </w:p>
        </w:tc>
        <w:tc>
          <w:tcPr>
            <w:tcW w:w="48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420" w:type="dxa"/>
            <w:vAlign w:val="bottom"/>
            <w:shd w:val="clear" w:color="auto" w:fill="0077C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77C0"/>
          </w:tcPr>
          <w:p>
            <w:pPr>
              <w:spacing w:after="0" w:line="20" w:lineRule="exact"/>
              <w:rPr>
                <w:sz w:val="1"/>
                <w:szCs w:val="1"/>
                <w:color w:val="auto"/>
              </w:rPr>
            </w:pPr>
          </w:p>
        </w:tc>
        <w:tc>
          <w:tcPr>
            <w:tcW w:w="50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360" w:type="dxa"/>
            <w:vAlign w:val="bottom"/>
            <w:shd w:val="clear" w:color="auto" w:fill="0077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40" w:type="dxa"/>
            <w:vAlign w:val="bottom"/>
          </w:tcPr>
          <w:p>
            <w:pPr>
              <w:spacing w:after="0" w:line="92" w:lineRule="exact"/>
              <w:rPr>
                <w:sz w:val="20"/>
                <w:szCs w:val="20"/>
                <w:color w:val="auto"/>
              </w:rPr>
            </w:pPr>
            <w:r>
              <w:rPr>
                <w:rFonts w:ascii="Arial" w:cs="Arial" w:eastAsia="Arial" w:hAnsi="Arial"/>
                <w:sz w:val="10"/>
                <w:szCs w:val="10"/>
                <w:b w:val="1"/>
                <w:bCs w:val="1"/>
                <w:color w:val="0077C0"/>
              </w:rPr>
              <w:t>At December 31, 2011</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9,806</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1,417</w:t>
            </w:r>
          </w:p>
        </w:tc>
        <w:tc>
          <w:tcPr>
            <w:tcW w:w="42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60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368</w:t>
            </w:r>
          </w:p>
        </w:tc>
        <w:tc>
          <w:tcPr>
            <w:tcW w:w="5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w:t>
            </w: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2,408</w:t>
            </w:r>
          </w:p>
        </w:tc>
        <w:tc>
          <w:tcPr>
            <w:tcW w:w="38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6</w:t>
            </w:r>
          </w:p>
        </w:tc>
        <w:tc>
          <w:tcPr>
            <w:tcW w:w="4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33</w:t>
            </w:r>
          </w:p>
        </w:tc>
        <w:tc>
          <w:tcPr>
            <w:tcW w:w="540" w:type="dxa"/>
            <w:vAlign w:val="bottom"/>
            <w:vMerge w:val="restart"/>
          </w:tcPr>
          <w:p>
            <w:pPr>
              <w:jc w:val="right"/>
              <w:ind w:right="50"/>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14,038</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109</w:t>
            </w:r>
          </w:p>
        </w:tc>
        <w:tc>
          <w:tcPr>
            <w:tcW w:w="52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Unproved properties</w:t>
            </w:r>
          </w:p>
        </w:tc>
        <w:tc>
          <w:tcPr>
            <w:tcW w:w="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properties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57,674</w:t>
            </w:r>
          </w:p>
        </w:tc>
        <w:tc>
          <w:tcPr>
            <w:tcW w:w="360" w:type="dxa"/>
            <w:vAlign w:val="bottom"/>
          </w:tcPr>
          <w:p>
            <w:pPr>
              <w:spacing w:after="0"/>
              <w:rPr>
                <w:sz w:val="9"/>
                <w:szCs w:val="9"/>
                <w:color w:val="auto"/>
              </w:rPr>
            </w:pPr>
          </w:p>
        </w:tc>
        <w:tc>
          <w:tcPr>
            <w:tcW w:w="6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11,029</w:t>
            </w:r>
          </w:p>
        </w:tc>
        <w:tc>
          <w:tcPr>
            <w:tcW w:w="420" w:type="dxa"/>
            <w:vAlign w:val="bottom"/>
          </w:tcPr>
          <w:p>
            <w:pPr>
              <w:spacing w:after="0"/>
              <w:rPr>
                <w:sz w:val="9"/>
                <w:szCs w:val="9"/>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25,549</w:t>
            </w:r>
          </w:p>
        </w:tc>
        <w:tc>
          <w:tcPr>
            <w:tcW w:w="520" w:type="dxa"/>
            <w:vAlign w:val="bottom"/>
          </w:tcPr>
          <w:p>
            <w:pPr>
              <w:spacing w:after="0"/>
              <w:rPr>
                <w:sz w:val="9"/>
                <w:szCs w:val="9"/>
                <w:color w:val="auto"/>
              </w:rPr>
            </w:pP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7"/>
              </w:rPr>
              <w:t>36,740</w:t>
            </w:r>
          </w:p>
        </w:tc>
        <w:tc>
          <w:tcPr>
            <w:tcW w:w="380" w:type="dxa"/>
            <w:vAlign w:val="bottom"/>
          </w:tcPr>
          <w:p>
            <w:pPr>
              <w:spacing w:after="0"/>
              <w:rPr>
                <w:sz w:val="9"/>
                <w:szCs w:val="9"/>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2,244</w:t>
            </w:r>
          </w:p>
        </w:tc>
        <w:tc>
          <w:tcPr>
            <w:tcW w:w="400" w:type="dxa"/>
            <w:vAlign w:val="bottom"/>
          </w:tcPr>
          <w:p>
            <w:pPr>
              <w:spacing w:after="0"/>
              <w:rPr>
                <w:sz w:val="9"/>
                <w:szCs w:val="9"/>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9,549</w:t>
            </w:r>
          </w:p>
        </w:tc>
        <w:tc>
          <w:tcPr>
            <w:tcW w:w="540" w:type="dxa"/>
            <w:vAlign w:val="bottom"/>
          </w:tcPr>
          <w:p>
            <w:pPr>
              <w:spacing w:after="0"/>
              <w:rPr>
                <w:sz w:val="9"/>
                <w:szCs w:val="9"/>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142,785</w:t>
            </w:r>
          </w:p>
        </w:tc>
        <w:tc>
          <w:tcPr>
            <w:tcW w:w="200" w:type="dxa"/>
            <w:vAlign w:val="bottom"/>
          </w:tcPr>
          <w:p>
            <w:pPr>
              <w:spacing w:after="0"/>
              <w:rPr>
                <w:sz w:val="9"/>
                <w:szCs w:val="9"/>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6,583</w:t>
            </w:r>
          </w:p>
        </w:tc>
        <w:tc>
          <w:tcPr>
            <w:tcW w:w="520" w:type="dxa"/>
            <w:vAlign w:val="bottom"/>
          </w:tcPr>
          <w:p>
            <w:pPr>
              <w:spacing w:after="0"/>
              <w:rPr>
                <w:sz w:val="9"/>
                <w:szCs w:val="9"/>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1,607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ind w:left="140"/>
              <w:spacing w:after="0" w:line="104" w:lineRule="exact"/>
              <w:rPr>
                <w:sz w:val="20"/>
                <w:szCs w:val="20"/>
                <w:color w:val="auto"/>
              </w:rPr>
            </w:pPr>
            <w:r>
              <w:rPr>
                <w:rFonts w:ascii="Arial" w:cs="Arial" w:eastAsia="Arial" w:hAnsi="Arial"/>
                <w:sz w:val="10"/>
                <w:szCs w:val="10"/>
                <w:color w:val="auto"/>
              </w:rPr>
              <w:t>related producing assets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Support equipment</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1,071</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292</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1,362</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1,544</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533</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169</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4,971</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b w:val="1"/>
                <w:bCs w:val="1"/>
                <w:color w:val="auto"/>
              </w:rPr>
              <w:t>1,018</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Deferred exploratory wells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565</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63</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629</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260</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709</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208</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2,434</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b w:val="1"/>
                <w:bCs w:val="1"/>
                <w:color w:val="auto"/>
              </w:rPr>
              <w:t>–</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uncompleted projects</w:t>
            </w:r>
          </w:p>
        </w:tc>
        <w:tc>
          <w:tcPr>
            <w:tcW w:w="2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4,887</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2,408</w:t>
            </w:r>
          </w:p>
        </w:tc>
        <w:tc>
          <w:tcPr>
            <w:tcW w:w="4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b w:val="1"/>
                <w:bCs w:val="1"/>
                <w:color w:val="auto"/>
              </w:rPr>
              <w:t>4,773</w:t>
            </w:r>
          </w:p>
        </w:tc>
        <w:tc>
          <w:tcPr>
            <w:tcW w:w="52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3,109</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6,076</w:t>
            </w:r>
          </w:p>
        </w:tc>
        <w:tc>
          <w:tcPr>
            <w:tcW w:w="4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492</w:t>
            </w:r>
          </w:p>
        </w:tc>
        <w:tc>
          <w:tcPr>
            <w:tcW w:w="540" w:type="dxa"/>
            <w:vAlign w:val="bottom"/>
            <w:tcBorders>
              <w:bottom w:val="single" w:sz="8" w:color="0077C0"/>
            </w:tcBorders>
          </w:tcPr>
          <w:p>
            <w:pPr>
              <w:spacing w:after="0"/>
              <w:rPr>
                <w:sz w:val="10"/>
                <w:szCs w:val="10"/>
                <w:color w:val="auto"/>
              </w:rPr>
            </w:pPr>
          </w:p>
        </w:tc>
        <w:tc>
          <w:tcPr>
            <w:tcW w:w="88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b w:val="1"/>
                <w:bCs w:val="1"/>
                <w:color w:val="auto"/>
              </w:rPr>
              <w:t>21,745</w:t>
            </w:r>
          </w:p>
        </w:tc>
        <w:tc>
          <w:tcPr>
            <w:tcW w:w="20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605</w:t>
            </w:r>
          </w:p>
        </w:tc>
        <w:tc>
          <w:tcPr>
            <w:tcW w:w="52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b w:val="1"/>
                <w:bCs w:val="1"/>
                <w:color w:val="auto"/>
              </w:rPr>
              <w:t>1,466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b w:val="1"/>
                <w:bCs w:val="1"/>
                <w:color w:val="0077C0"/>
              </w:rPr>
              <w:t>Gross Capitalized Costs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5" w:lineRule="exact"/>
              <w:rPr>
                <w:sz w:val="20"/>
                <w:szCs w:val="20"/>
                <w:color w:val="auto"/>
              </w:rPr>
            </w:pPr>
            <w:r>
              <w:rPr>
                <w:rFonts w:ascii="Arial" w:cs="Arial" w:eastAsia="Arial" w:hAnsi="Arial"/>
                <w:sz w:val="10"/>
                <w:szCs w:val="10"/>
                <w:b w:val="1"/>
                <w:bCs w:val="1"/>
                <w:color w:val="auto"/>
              </w:rPr>
              <w:t>74,003</w:t>
            </w:r>
          </w:p>
        </w:tc>
        <w:tc>
          <w:tcPr>
            <w:tcW w:w="360" w:type="dxa"/>
            <w:vAlign w:val="bottom"/>
          </w:tcPr>
          <w:p>
            <w:pPr>
              <w:spacing w:after="0"/>
              <w:rPr>
                <w:sz w:val="9"/>
                <w:szCs w:val="9"/>
                <w:color w:val="auto"/>
              </w:rPr>
            </w:pPr>
          </w:p>
        </w:tc>
        <w:tc>
          <w:tcPr>
            <w:tcW w:w="660" w:type="dxa"/>
            <w:vAlign w:val="bottom"/>
          </w:tcPr>
          <w:p>
            <w:pPr>
              <w:jc w:val="right"/>
              <w:ind w:right="170"/>
              <w:spacing w:after="0" w:line="105" w:lineRule="exact"/>
              <w:rPr>
                <w:sz w:val="20"/>
                <w:szCs w:val="20"/>
                <w:color w:val="auto"/>
              </w:rPr>
            </w:pPr>
            <w:r>
              <w:rPr>
                <w:rFonts w:ascii="Arial" w:cs="Arial" w:eastAsia="Arial" w:hAnsi="Arial"/>
                <w:sz w:val="10"/>
                <w:szCs w:val="10"/>
                <w:b w:val="1"/>
                <w:bCs w:val="1"/>
                <w:color w:val="auto"/>
              </w:rPr>
              <w:t>15,209</w:t>
            </w:r>
          </w:p>
        </w:tc>
        <w:tc>
          <w:tcPr>
            <w:tcW w:w="420" w:type="dxa"/>
            <w:vAlign w:val="bottom"/>
          </w:tcPr>
          <w:p>
            <w:pPr>
              <w:spacing w:after="0"/>
              <w:rPr>
                <w:sz w:val="9"/>
                <w:szCs w:val="9"/>
                <w:color w:val="auto"/>
              </w:rPr>
            </w:pPr>
          </w:p>
        </w:tc>
        <w:tc>
          <w:tcPr>
            <w:tcW w:w="600" w:type="dxa"/>
            <w:vAlign w:val="bottom"/>
          </w:tcPr>
          <w:p>
            <w:pPr>
              <w:jc w:val="right"/>
              <w:ind w:right="149"/>
              <w:spacing w:after="0" w:line="105" w:lineRule="exact"/>
              <w:rPr>
                <w:sz w:val="20"/>
                <w:szCs w:val="20"/>
                <w:color w:val="auto"/>
              </w:rPr>
            </w:pPr>
            <w:r>
              <w:rPr>
                <w:rFonts w:ascii="Arial" w:cs="Arial" w:eastAsia="Arial" w:hAnsi="Arial"/>
                <w:sz w:val="10"/>
                <w:szCs w:val="10"/>
                <w:b w:val="1"/>
                <w:bCs w:val="1"/>
                <w:color w:val="auto"/>
              </w:rPr>
              <w:t>32,681</w:t>
            </w:r>
          </w:p>
        </w:tc>
        <w:tc>
          <w:tcPr>
            <w:tcW w:w="520" w:type="dxa"/>
            <w:vAlign w:val="bottom"/>
          </w:tcPr>
          <w:p>
            <w:pPr>
              <w:spacing w:after="0"/>
              <w:rPr>
                <w:sz w:val="9"/>
                <w:szCs w:val="9"/>
                <w:color w:val="auto"/>
              </w:rPr>
            </w:pPr>
          </w:p>
        </w:tc>
        <w:tc>
          <w:tcPr>
            <w:tcW w:w="540" w:type="dxa"/>
            <w:vAlign w:val="bottom"/>
          </w:tcPr>
          <w:p>
            <w:pPr>
              <w:jc w:val="right"/>
              <w:ind w:right="169"/>
              <w:spacing w:after="0" w:line="105" w:lineRule="exact"/>
              <w:rPr>
                <w:sz w:val="20"/>
                <w:szCs w:val="20"/>
                <w:color w:val="auto"/>
              </w:rPr>
            </w:pPr>
            <w:r>
              <w:rPr>
                <w:rFonts w:ascii="Arial" w:cs="Arial" w:eastAsia="Arial" w:hAnsi="Arial"/>
                <w:sz w:val="10"/>
                <w:szCs w:val="10"/>
                <w:b w:val="1"/>
                <w:bCs w:val="1"/>
                <w:color w:val="auto"/>
                <w:w w:val="97"/>
              </w:rPr>
              <w:t>44,061</w:t>
            </w:r>
          </w:p>
        </w:tc>
        <w:tc>
          <w:tcPr>
            <w:tcW w:w="380" w:type="dxa"/>
            <w:vAlign w:val="bottom"/>
          </w:tcPr>
          <w:p>
            <w:pPr>
              <w:spacing w:after="0"/>
              <w:rPr>
                <w:sz w:val="9"/>
                <w:szCs w:val="9"/>
                <w:color w:val="auto"/>
              </w:rPr>
            </w:pPr>
          </w:p>
        </w:tc>
        <w:tc>
          <w:tcPr>
            <w:tcW w:w="660" w:type="dxa"/>
            <w:vAlign w:val="bottom"/>
          </w:tcPr>
          <w:p>
            <w:pPr>
              <w:jc w:val="right"/>
              <w:ind w:right="169"/>
              <w:spacing w:after="0" w:line="105" w:lineRule="exact"/>
              <w:rPr>
                <w:sz w:val="20"/>
                <w:szCs w:val="20"/>
                <w:color w:val="auto"/>
              </w:rPr>
            </w:pPr>
            <w:r>
              <w:rPr>
                <w:rFonts w:ascii="Arial" w:cs="Arial" w:eastAsia="Arial" w:hAnsi="Arial"/>
                <w:sz w:val="10"/>
                <w:szCs w:val="10"/>
                <w:b w:val="1"/>
                <w:bCs w:val="1"/>
                <w:color w:val="auto"/>
              </w:rPr>
              <w:t>9,568</w:t>
            </w:r>
          </w:p>
        </w:tc>
        <w:tc>
          <w:tcPr>
            <w:tcW w:w="400" w:type="dxa"/>
            <w:vAlign w:val="bottom"/>
          </w:tcPr>
          <w:p>
            <w:pPr>
              <w:spacing w:after="0"/>
              <w:rPr>
                <w:sz w:val="9"/>
                <w:szCs w:val="9"/>
                <w:color w:val="auto"/>
              </w:rPr>
            </w:pPr>
          </w:p>
        </w:tc>
        <w:tc>
          <w:tcPr>
            <w:tcW w:w="48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10,451</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185,973</w:t>
            </w:r>
          </w:p>
        </w:tc>
        <w:tc>
          <w:tcPr>
            <w:tcW w:w="200" w:type="dxa"/>
            <w:vAlign w:val="bottom"/>
          </w:tcPr>
          <w:p>
            <w:pPr>
              <w:spacing w:after="0"/>
              <w:rPr>
                <w:sz w:val="9"/>
                <w:szCs w:val="9"/>
                <w:color w:val="auto"/>
              </w:rPr>
            </w:pPr>
          </w:p>
        </w:tc>
        <w:tc>
          <w:tcPr>
            <w:tcW w:w="500" w:type="dxa"/>
            <w:vAlign w:val="bottom"/>
          </w:tcPr>
          <w:p>
            <w:pPr>
              <w:jc w:val="right"/>
              <w:ind w:right="69"/>
              <w:spacing w:after="0" w:line="105" w:lineRule="exact"/>
              <w:rPr>
                <w:sz w:val="20"/>
                <w:szCs w:val="20"/>
                <w:color w:val="auto"/>
              </w:rPr>
            </w:pPr>
            <w:r>
              <w:rPr>
                <w:rFonts w:ascii="Arial" w:cs="Arial" w:eastAsia="Arial" w:hAnsi="Arial"/>
                <w:sz w:val="10"/>
                <w:szCs w:val="10"/>
                <w:b w:val="1"/>
                <w:bCs w:val="1"/>
                <w:color w:val="auto"/>
              </w:rPr>
              <w:t>8,315</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3,073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2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28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b w:val="1"/>
                <w:bCs w:val="1"/>
                <w:color w:val="auto"/>
              </w:rPr>
              <w:t>1,085</w:t>
            </w:r>
          </w:p>
        </w:tc>
        <w:tc>
          <w:tcPr>
            <w:tcW w:w="3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jc w:val="right"/>
              <w:ind w:right="170"/>
              <w:spacing w:after="0" w:line="92" w:lineRule="exact"/>
              <w:rPr>
                <w:sz w:val="20"/>
                <w:szCs w:val="20"/>
                <w:color w:val="auto"/>
              </w:rPr>
            </w:pPr>
            <w:r>
              <w:rPr>
                <w:rFonts w:ascii="Arial" w:cs="Arial" w:eastAsia="Arial" w:hAnsi="Arial"/>
                <w:sz w:val="10"/>
                <w:szCs w:val="10"/>
                <w:b w:val="1"/>
                <w:bCs w:val="1"/>
                <w:color w:val="auto"/>
              </w:rPr>
              <w:t>498</w:t>
            </w:r>
          </w:p>
        </w:tc>
        <w:tc>
          <w:tcPr>
            <w:tcW w:w="4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b w:val="1"/>
                <w:bCs w:val="1"/>
                <w:color w:val="auto"/>
              </w:rPr>
              <w:t>178</w:t>
            </w:r>
          </w:p>
        </w:tc>
        <w:tc>
          <w:tcPr>
            <w:tcW w:w="52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b w:val="1"/>
                <w:bCs w:val="1"/>
                <w:color w:val="auto"/>
              </w:rPr>
              <w:t>262</w:t>
            </w:r>
          </w:p>
        </w:tc>
        <w:tc>
          <w:tcPr>
            <w:tcW w:w="38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b w:val="1"/>
                <w:bCs w:val="1"/>
                <w:color w:val="auto"/>
              </w:rPr>
              <w:t>2</w:t>
            </w: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9"/>
              <w:spacing w:after="0" w:line="92" w:lineRule="exact"/>
              <w:rPr>
                <w:sz w:val="20"/>
                <w:szCs w:val="20"/>
                <w:color w:val="auto"/>
              </w:rPr>
            </w:pPr>
            <w:r>
              <w:rPr>
                <w:rFonts w:ascii="Arial" w:cs="Arial" w:eastAsia="Arial" w:hAnsi="Arial"/>
                <w:sz w:val="10"/>
                <w:szCs w:val="10"/>
                <w:b w:val="1"/>
                <w:bCs w:val="1"/>
                <w:color w:val="auto"/>
              </w:rPr>
              <w:t>13</w:t>
            </w:r>
          </w:p>
        </w:tc>
        <w:tc>
          <w:tcPr>
            <w:tcW w:w="54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gridSpan w:val="2"/>
          </w:tcPr>
          <w:p>
            <w:pPr>
              <w:jc w:val="right"/>
              <w:ind w:right="460"/>
              <w:spacing w:after="0" w:line="92" w:lineRule="exact"/>
              <w:rPr>
                <w:sz w:val="20"/>
                <w:szCs w:val="20"/>
                <w:color w:val="auto"/>
              </w:rPr>
            </w:pPr>
            <w:r>
              <w:rPr>
                <w:rFonts w:ascii="Arial" w:cs="Arial" w:eastAsia="Arial" w:hAnsi="Arial"/>
                <w:sz w:val="10"/>
                <w:szCs w:val="10"/>
                <w:b w:val="1"/>
                <w:bCs w:val="1"/>
                <w:color w:val="auto"/>
              </w:rPr>
              <w:t>2,038</w:t>
            </w:r>
          </w:p>
        </w:tc>
        <w:tc>
          <w:tcPr>
            <w:tcW w:w="2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69"/>
              <w:spacing w:after="0" w:line="92" w:lineRule="exact"/>
              <w:rPr>
                <w:sz w:val="20"/>
                <w:szCs w:val="20"/>
                <w:color w:val="auto"/>
              </w:rPr>
            </w:pPr>
            <w:r>
              <w:rPr>
                <w:rFonts w:ascii="Arial" w:cs="Arial" w:eastAsia="Arial" w:hAnsi="Arial"/>
                <w:sz w:val="10"/>
                <w:szCs w:val="10"/>
                <w:b w:val="1"/>
                <w:bCs w:val="1"/>
                <w:color w:val="auto"/>
              </w:rPr>
              <w:t>38</w:t>
            </w:r>
          </w:p>
        </w:tc>
        <w:tc>
          <w:tcPr>
            <w:tcW w:w="52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producing properties – Depreciation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39,210</w:t>
            </w:r>
          </w:p>
        </w:tc>
        <w:tc>
          <w:tcPr>
            <w:tcW w:w="360" w:type="dxa"/>
            <w:vAlign w:val="bottom"/>
          </w:tcPr>
          <w:p>
            <w:pPr>
              <w:spacing w:after="0"/>
              <w:rPr>
                <w:sz w:val="9"/>
                <w:szCs w:val="9"/>
                <w:color w:val="auto"/>
              </w:rPr>
            </w:pPr>
          </w:p>
        </w:tc>
        <w:tc>
          <w:tcPr>
            <w:tcW w:w="6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4,826</w:t>
            </w:r>
          </w:p>
        </w:tc>
        <w:tc>
          <w:tcPr>
            <w:tcW w:w="420" w:type="dxa"/>
            <w:vAlign w:val="bottom"/>
          </w:tcPr>
          <w:p>
            <w:pPr>
              <w:spacing w:after="0"/>
              <w:rPr>
                <w:sz w:val="9"/>
                <w:szCs w:val="9"/>
                <w:color w:val="auto"/>
              </w:rPr>
            </w:pPr>
          </w:p>
        </w:tc>
        <w:tc>
          <w:tcPr>
            <w:tcW w:w="60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13,173</w:t>
            </w:r>
          </w:p>
        </w:tc>
        <w:tc>
          <w:tcPr>
            <w:tcW w:w="520" w:type="dxa"/>
            <w:vAlign w:val="bottom"/>
          </w:tcPr>
          <w:p>
            <w:pPr>
              <w:spacing w:after="0"/>
              <w:rPr>
                <w:sz w:val="9"/>
                <w:szCs w:val="9"/>
                <w:color w:val="auto"/>
              </w:rPr>
            </w:pPr>
          </w:p>
        </w:tc>
        <w:tc>
          <w:tcPr>
            <w:tcW w:w="5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7"/>
              </w:rPr>
              <w:t>20,991</w:t>
            </w:r>
          </w:p>
        </w:tc>
        <w:tc>
          <w:tcPr>
            <w:tcW w:w="380" w:type="dxa"/>
            <w:vAlign w:val="bottom"/>
          </w:tcPr>
          <w:p>
            <w:pPr>
              <w:spacing w:after="0"/>
              <w:rPr>
                <w:sz w:val="9"/>
                <w:szCs w:val="9"/>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1,574</w:t>
            </w:r>
          </w:p>
        </w:tc>
        <w:tc>
          <w:tcPr>
            <w:tcW w:w="400" w:type="dxa"/>
            <w:vAlign w:val="bottom"/>
          </w:tcPr>
          <w:p>
            <w:pPr>
              <w:spacing w:after="0"/>
              <w:rPr>
                <w:sz w:val="9"/>
                <w:szCs w:val="9"/>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7,742</w:t>
            </w:r>
          </w:p>
        </w:tc>
        <w:tc>
          <w:tcPr>
            <w:tcW w:w="540" w:type="dxa"/>
            <w:vAlign w:val="bottom"/>
          </w:tcPr>
          <w:p>
            <w:pPr>
              <w:spacing w:after="0"/>
              <w:rPr>
                <w:sz w:val="9"/>
                <w:szCs w:val="9"/>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87,516</w:t>
            </w:r>
          </w:p>
        </w:tc>
        <w:tc>
          <w:tcPr>
            <w:tcW w:w="200" w:type="dxa"/>
            <w:vAlign w:val="bottom"/>
          </w:tcPr>
          <w:p>
            <w:pPr>
              <w:spacing w:after="0"/>
              <w:rPr>
                <w:sz w:val="9"/>
                <w:szCs w:val="9"/>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1,910</w:t>
            </w:r>
          </w:p>
        </w:tc>
        <w:tc>
          <w:tcPr>
            <w:tcW w:w="52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436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Pr>
          <w:p>
            <w:pPr>
              <w:ind w:left="140"/>
              <w:spacing w:after="0" w:line="104" w:lineRule="exact"/>
              <w:rPr>
                <w:sz w:val="20"/>
                <w:szCs w:val="20"/>
                <w:color w:val="auto"/>
              </w:rPr>
            </w:pPr>
            <w:r>
              <w:rPr>
                <w:rFonts w:ascii="Arial" w:cs="Arial" w:eastAsia="Arial" w:hAnsi="Arial"/>
                <w:sz w:val="10"/>
                <w:szCs w:val="10"/>
                <w:color w:val="auto"/>
              </w:rPr>
              <w:t>depletion</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40" w:type="dxa"/>
            <w:vAlign w:val="bottom"/>
          </w:tcPr>
          <w:p>
            <w:pPr>
              <w:spacing w:after="0"/>
              <w:rPr>
                <w:sz w:val="20"/>
                <w:szCs w:val="20"/>
                <w:color w:val="auto"/>
              </w:rPr>
            </w:pPr>
            <w:r>
              <w:rPr>
                <w:rFonts w:ascii="Arial" w:cs="Arial" w:eastAsia="Arial" w:hAnsi="Arial"/>
                <w:sz w:val="10"/>
                <w:szCs w:val="10"/>
                <w:color w:val="auto"/>
              </w:rPr>
              <w:t>Support equipment depreciation</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530</w:t>
            </w:r>
          </w:p>
        </w:tc>
        <w:tc>
          <w:tcPr>
            <w:tcW w:w="360" w:type="dxa"/>
            <w:vAlign w:val="bottom"/>
          </w:tcPr>
          <w:p>
            <w:pPr>
              <w:spacing w:after="0"/>
              <w:rPr>
                <w:sz w:val="10"/>
                <w:szCs w:val="10"/>
                <w:color w:val="auto"/>
              </w:rPr>
            </w:pPr>
          </w:p>
        </w:tc>
        <w:tc>
          <w:tcPr>
            <w:tcW w:w="660" w:type="dxa"/>
            <w:vAlign w:val="bottom"/>
          </w:tcPr>
          <w:p>
            <w:pPr>
              <w:jc w:val="right"/>
              <w:ind w:right="170"/>
              <w:spacing w:after="0"/>
              <w:rPr>
                <w:sz w:val="20"/>
                <w:szCs w:val="20"/>
                <w:color w:val="auto"/>
              </w:rPr>
            </w:pPr>
            <w:r>
              <w:rPr>
                <w:rFonts w:ascii="Arial" w:cs="Arial" w:eastAsia="Arial" w:hAnsi="Arial"/>
                <w:sz w:val="10"/>
                <w:szCs w:val="10"/>
                <w:b w:val="1"/>
                <w:bCs w:val="1"/>
                <w:color w:val="auto"/>
              </w:rPr>
              <w:t>175</w:t>
            </w:r>
          </w:p>
        </w:tc>
        <w:tc>
          <w:tcPr>
            <w:tcW w:w="420" w:type="dxa"/>
            <w:vAlign w:val="bottom"/>
          </w:tcPr>
          <w:p>
            <w:pPr>
              <w:spacing w:after="0"/>
              <w:rPr>
                <w:sz w:val="10"/>
                <w:szCs w:val="10"/>
                <w:color w:val="auto"/>
              </w:rPr>
            </w:pPr>
          </w:p>
        </w:tc>
        <w:tc>
          <w:tcPr>
            <w:tcW w:w="600" w:type="dxa"/>
            <w:vAlign w:val="bottom"/>
          </w:tcPr>
          <w:p>
            <w:pPr>
              <w:jc w:val="right"/>
              <w:ind w:right="149"/>
              <w:spacing w:after="0"/>
              <w:rPr>
                <w:sz w:val="20"/>
                <w:szCs w:val="20"/>
                <w:color w:val="auto"/>
              </w:rPr>
            </w:pPr>
            <w:r>
              <w:rPr>
                <w:rFonts w:ascii="Arial" w:cs="Arial" w:eastAsia="Arial" w:hAnsi="Arial"/>
                <w:sz w:val="10"/>
                <w:szCs w:val="10"/>
                <w:b w:val="1"/>
                <w:bCs w:val="1"/>
                <w:color w:val="auto"/>
              </w:rPr>
              <w:t>715</w:t>
            </w:r>
          </w:p>
        </w:tc>
        <w:tc>
          <w:tcPr>
            <w:tcW w:w="52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b w:val="1"/>
                <w:bCs w:val="1"/>
                <w:color w:val="auto"/>
              </w:rPr>
              <w:t>1,192</w:t>
            </w:r>
          </w:p>
        </w:tc>
        <w:tc>
          <w:tcPr>
            <w:tcW w:w="380" w:type="dxa"/>
            <w:vAlign w:val="bottom"/>
          </w:tcPr>
          <w:p>
            <w:pPr>
              <w:spacing w:after="0"/>
              <w:rPr>
                <w:sz w:val="10"/>
                <w:szCs w:val="10"/>
                <w:color w:val="auto"/>
              </w:rPr>
            </w:pPr>
          </w:p>
        </w:tc>
        <w:tc>
          <w:tcPr>
            <w:tcW w:w="660" w:type="dxa"/>
            <w:vAlign w:val="bottom"/>
          </w:tcPr>
          <w:p>
            <w:pPr>
              <w:jc w:val="right"/>
              <w:ind w:right="169"/>
              <w:spacing w:after="0"/>
              <w:rPr>
                <w:sz w:val="20"/>
                <w:szCs w:val="20"/>
                <w:color w:val="auto"/>
              </w:rPr>
            </w:pPr>
            <w:r>
              <w:rPr>
                <w:rFonts w:ascii="Arial" w:cs="Arial" w:eastAsia="Arial" w:hAnsi="Arial"/>
                <w:sz w:val="10"/>
                <w:szCs w:val="10"/>
                <w:b w:val="1"/>
                <w:bCs w:val="1"/>
                <w:color w:val="auto"/>
              </w:rPr>
              <w:t>238</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b w:val="1"/>
                <w:bCs w:val="1"/>
                <w:color w:val="auto"/>
              </w:rPr>
              <w:t>129</w:t>
            </w:r>
          </w:p>
        </w:tc>
        <w:tc>
          <w:tcPr>
            <w:tcW w:w="54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2,979</w:t>
            </w:r>
          </w:p>
        </w:tc>
        <w:tc>
          <w:tcPr>
            <w:tcW w:w="200" w:type="dxa"/>
            <w:vAlign w:val="bottom"/>
          </w:tcPr>
          <w:p>
            <w:pPr>
              <w:spacing w:after="0"/>
              <w:rPr>
                <w:sz w:val="10"/>
                <w:szCs w:val="10"/>
                <w:color w:val="auto"/>
              </w:rPr>
            </w:pPr>
          </w:p>
        </w:tc>
        <w:tc>
          <w:tcPr>
            <w:tcW w:w="500" w:type="dxa"/>
            <w:vAlign w:val="bottom"/>
          </w:tcPr>
          <w:p>
            <w:pPr>
              <w:jc w:val="right"/>
              <w:ind w:right="69"/>
              <w:spacing w:after="0"/>
              <w:rPr>
                <w:sz w:val="20"/>
                <w:szCs w:val="20"/>
                <w:color w:val="auto"/>
              </w:rPr>
            </w:pPr>
            <w:r>
              <w:rPr>
                <w:rFonts w:ascii="Arial" w:cs="Arial" w:eastAsia="Arial" w:hAnsi="Arial"/>
                <w:sz w:val="10"/>
                <w:szCs w:val="10"/>
                <w:b w:val="1"/>
                <w:bCs w:val="1"/>
                <w:color w:val="auto"/>
              </w:rPr>
              <w:t>451</w:t>
            </w:r>
          </w:p>
        </w:tc>
        <w:tc>
          <w:tcPr>
            <w:tcW w:w="52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Accumulated provisions</w:t>
            </w:r>
          </w:p>
        </w:tc>
        <w:tc>
          <w:tcPr>
            <w:tcW w:w="280" w:type="dxa"/>
            <w:vAlign w:val="bottom"/>
            <w:tcBorders>
              <w:top w:val="single" w:sz="8" w:color="0077C0"/>
              <w:bottom w:val="single" w:sz="8" w:color="0077C0"/>
            </w:tcBorders>
          </w:tcPr>
          <w:p>
            <w:pPr>
              <w:spacing w:after="0"/>
              <w:rPr>
                <w:sz w:val="9"/>
                <w:szCs w:val="9"/>
                <w:color w:val="auto"/>
              </w:rPr>
            </w:pPr>
          </w:p>
        </w:tc>
        <w:tc>
          <w:tcPr>
            <w:tcW w:w="1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40,825</w:t>
            </w:r>
          </w:p>
        </w:tc>
        <w:tc>
          <w:tcPr>
            <w:tcW w:w="36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5,499</w:t>
            </w:r>
          </w:p>
        </w:tc>
        <w:tc>
          <w:tcPr>
            <w:tcW w:w="4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14,066</w:t>
            </w:r>
          </w:p>
        </w:tc>
        <w:tc>
          <w:tcPr>
            <w:tcW w:w="52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7"/>
              </w:rPr>
              <w:t>22,445</w:t>
            </w:r>
          </w:p>
        </w:tc>
        <w:tc>
          <w:tcPr>
            <w:tcW w:w="38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1,814</w:t>
            </w:r>
          </w:p>
        </w:tc>
        <w:tc>
          <w:tcPr>
            <w:tcW w:w="4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7,884</w:t>
            </w:r>
          </w:p>
        </w:tc>
        <w:tc>
          <w:tcPr>
            <w:tcW w:w="540" w:type="dxa"/>
            <w:vAlign w:val="bottom"/>
            <w:tcBorders>
              <w:top w:val="single" w:sz="8" w:color="0077C0"/>
              <w:bottom w:val="single" w:sz="8" w:color="0077C0"/>
            </w:tcBorders>
          </w:tcPr>
          <w:p>
            <w:pPr>
              <w:spacing w:after="0"/>
              <w:rPr>
                <w:sz w:val="9"/>
                <w:szCs w:val="9"/>
                <w:color w:val="auto"/>
              </w:rPr>
            </w:pPr>
          </w:p>
        </w:tc>
        <w:tc>
          <w:tcPr>
            <w:tcW w:w="88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92,533</w:t>
            </w:r>
          </w:p>
        </w:tc>
        <w:tc>
          <w:tcPr>
            <w:tcW w:w="20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2,399</w:t>
            </w:r>
          </w:p>
        </w:tc>
        <w:tc>
          <w:tcPr>
            <w:tcW w:w="52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436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4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33,178</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b w:val="1"/>
                <w:bCs w:val="1"/>
                <w:color w:val="auto"/>
              </w:rPr>
              <w:t>9,710</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b w:val="1"/>
                <w:bCs w:val="1"/>
                <w:color w:val="auto"/>
              </w:rPr>
              <w:t>18,615</w:t>
            </w: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w w:val="97"/>
              </w:rPr>
              <w:t>21,616</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b w:val="1"/>
                <w:bCs w:val="1"/>
                <w:color w:val="auto"/>
              </w:rPr>
              <w:t>7,754</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b w:val="1"/>
                <w:bCs w:val="1"/>
                <w:color w:val="auto"/>
              </w:rPr>
              <w:t>2,567</w:t>
            </w:r>
          </w:p>
        </w:tc>
        <w:tc>
          <w:tcPr>
            <w:tcW w:w="540" w:type="dxa"/>
            <w:vAlign w:val="bottom"/>
            <w:tcBorders>
              <w:bottom w:val="single" w:sz="8" w:color="0077C0"/>
            </w:tcBorders>
          </w:tcPr>
          <w:p>
            <w:pPr>
              <w:jc w:val="right"/>
              <w:ind w:right="50"/>
              <w:spacing w:after="0" w:line="105" w:lineRule="exact"/>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93,440</w:t>
            </w:r>
          </w:p>
        </w:tc>
        <w:tc>
          <w:tcPr>
            <w:tcW w:w="20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5,916</w:t>
            </w:r>
          </w:p>
        </w:tc>
        <w:tc>
          <w:tcPr>
            <w:tcW w:w="520" w:type="dxa"/>
            <w:vAlign w:val="bottom"/>
            <w:tcBorders>
              <w:bottom w:val="single" w:sz="8" w:color="0077C0"/>
            </w:tcBorders>
          </w:tcPr>
          <w:p>
            <w:pPr>
              <w:jc w:val="right"/>
              <w:ind w:right="90"/>
              <w:spacing w:after="0" w:line="105" w:lineRule="exact"/>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2,637</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240" w:type="dxa"/>
            <w:vAlign w:val="bottom"/>
          </w:tcPr>
          <w:p>
            <w:pPr>
              <w:spacing w:after="0" w:line="103" w:lineRule="exact"/>
              <w:rPr>
                <w:sz w:val="20"/>
                <w:szCs w:val="20"/>
                <w:color w:val="auto"/>
              </w:rPr>
            </w:pPr>
            <w:r>
              <w:rPr>
                <w:rFonts w:ascii="Arial" w:cs="Arial" w:eastAsia="Arial" w:hAnsi="Arial"/>
                <w:sz w:val="10"/>
                <w:szCs w:val="10"/>
                <w:b w:val="1"/>
                <w:bCs w:val="1"/>
                <w:color w:val="0077C0"/>
              </w:rPr>
              <w:t>At December 31, 2010</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Unproved properties</w:t>
            </w:r>
          </w:p>
        </w:tc>
        <w:tc>
          <w:tcPr>
            <w:tcW w:w="4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2,553</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1,349</w:t>
            </w:r>
          </w:p>
        </w:tc>
        <w:tc>
          <w:tcPr>
            <w:tcW w:w="42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359</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2,561</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w:t>
            </w:r>
          </w:p>
        </w:tc>
        <w:tc>
          <w:tcPr>
            <w:tcW w:w="4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8</w:t>
            </w:r>
          </w:p>
        </w:tc>
        <w:tc>
          <w:tcPr>
            <w:tcW w:w="540" w:type="dxa"/>
            <w:vAlign w:val="bottom"/>
          </w:tcPr>
          <w:p>
            <w:pPr>
              <w:jc w:val="right"/>
              <w:ind w:right="50"/>
              <w:spacing w:after="0" w:line="106"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6,836</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108</w:t>
            </w:r>
          </w:p>
        </w:tc>
        <w:tc>
          <w:tcPr>
            <w:tcW w:w="52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properties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ind w:left="140"/>
              <w:spacing w:after="0" w:line="106" w:lineRule="exact"/>
              <w:rPr>
                <w:sz w:val="20"/>
                <w:szCs w:val="20"/>
                <w:color w:val="auto"/>
              </w:rPr>
            </w:pPr>
            <w:r>
              <w:rPr>
                <w:rFonts w:ascii="Arial" w:cs="Arial" w:eastAsia="Arial" w:hAnsi="Arial"/>
                <w:sz w:val="10"/>
                <w:szCs w:val="10"/>
                <w:color w:val="auto"/>
              </w:rPr>
              <w:t>related producing assets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55,601</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7,747</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23,683</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33,316</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2,585</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9,035</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131,967</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6,512</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1,594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Support equipment</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975</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265</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1,282</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1,421</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259</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165</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4,367</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985</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Deferred exploratory wells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743</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210</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611</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224</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732</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198</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2,718</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uncompleted projects</w:t>
            </w:r>
          </w:p>
        </w:tc>
        <w:tc>
          <w:tcPr>
            <w:tcW w:w="2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2,299</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3,844</w:t>
            </w:r>
          </w:p>
        </w:tc>
        <w:tc>
          <w:tcPr>
            <w:tcW w:w="4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4,061</w:t>
            </w:r>
          </w:p>
        </w:tc>
        <w:tc>
          <w:tcPr>
            <w:tcW w:w="52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3,627</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3,631</w:t>
            </w:r>
          </w:p>
        </w:tc>
        <w:tc>
          <w:tcPr>
            <w:tcW w:w="4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362</w:t>
            </w:r>
          </w:p>
        </w:tc>
        <w:tc>
          <w:tcPr>
            <w:tcW w:w="540" w:type="dxa"/>
            <w:vAlign w:val="bottom"/>
            <w:tcBorders>
              <w:bottom w:val="single" w:sz="8" w:color="0077C0"/>
            </w:tcBorders>
          </w:tcPr>
          <w:p>
            <w:pPr>
              <w:spacing w:after="0"/>
              <w:rPr>
                <w:sz w:val="10"/>
                <w:szCs w:val="10"/>
                <w:color w:val="auto"/>
              </w:rPr>
            </w:pPr>
          </w:p>
        </w:tc>
        <w:tc>
          <w:tcPr>
            <w:tcW w:w="88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17,824</w:t>
            </w:r>
          </w:p>
        </w:tc>
        <w:tc>
          <w:tcPr>
            <w:tcW w:w="20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357</w:t>
            </w:r>
          </w:p>
        </w:tc>
        <w:tc>
          <w:tcPr>
            <w:tcW w:w="520" w:type="dxa"/>
            <w:vAlign w:val="bottom"/>
            <w:tcBorders>
              <w:bottom w:val="single" w:sz="8" w:color="0077C0"/>
            </w:tcBorders>
          </w:tcPr>
          <w:p>
            <w:pPr>
              <w:spacing w:after="0"/>
              <w:rPr>
                <w:sz w:val="10"/>
                <w:szCs w:val="10"/>
                <w:color w:val="auto"/>
              </w:rPr>
            </w:pPr>
          </w:p>
        </w:tc>
        <w:tc>
          <w:tcPr>
            <w:tcW w:w="3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0"/>
                <w:szCs w:val="10"/>
                <w:color w:val="auto"/>
              </w:rPr>
              <w:t>1,001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line="105" w:lineRule="exact"/>
              <w:rPr>
                <w:sz w:val="20"/>
                <w:szCs w:val="20"/>
                <w:color w:val="auto"/>
              </w:rPr>
            </w:pPr>
            <w:r>
              <w:rPr>
                <w:rFonts w:ascii="Arial" w:cs="Arial" w:eastAsia="Arial" w:hAnsi="Arial"/>
                <w:sz w:val="10"/>
                <w:szCs w:val="10"/>
                <w:b w:val="1"/>
                <w:bCs w:val="1"/>
                <w:color w:val="0077C0"/>
              </w:rPr>
              <w:t>Gross Capitalized Costs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5" w:lineRule="exact"/>
              <w:rPr>
                <w:sz w:val="20"/>
                <w:szCs w:val="20"/>
                <w:color w:val="auto"/>
              </w:rPr>
            </w:pPr>
            <w:r>
              <w:rPr>
                <w:rFonts w:ascii="Arial" w:cs="Arial" w:eastAsia="Arial" w:hAnsi="Arial"/>
                <w:sz w:val="10"/>
                <w:szCs w:val="10"/>
                <w:color w:val="auto"/>
              </w:rPr>
              <w:t>62,171</w:t>
            </w:r>
          </w:p>
        </w:tc>
        <w:tc>
          <w:tcPr>
            <w:tcW w:w="360" w:type="dxa"/>
            <w:vAlign w:val="bottom"/>
          </w:tcPr>
          <w:p>
            <w:pPr>
              <w:spacing w:after="0"/>
              <w:rPr>
                <w:sz w:val="9"/>
                <w:szCs w:val="9"/>
                <w:color w:val="auto"/>
              </w:rPr>
            </w:pPr>
          </w:p>
        </w:tc>
        <w:tc>
          <w:tcPr>
            <w:tcW w:w="660" w:type="dxa"/>
            <w:vAlign w:val="bottom"/>
          </w:tcPr>
          <w:p>
            <w:pPr>
              <w:jc w:val="right"/>
              <w:ind w:right="170"/>
              <w:spacing w:after="0" w:line="105" w:lineRule="exact"/>
              <w:rPr>
                <w:sz w:val="20"/>
                <w:szCs w:val="20"/>
                <w:color w:val="auto"/>
              </w:rPr>
            </w:pPr>
            <w:r>
              <w:rPr>
                <w:rFonts w:ascii="Arial" w:cs="Arial" w:eastAsia="Arial" w:hAnsi="Arial"/>
                <w:sz w:val="10"/>
                <w:szCs w:val="10"/>
                <w:color w:val="auto"/>
              </w:rPr>
              <w:t>13,415</w:t>
            </w:r>
          </w:p>
        </w:tc>
        <w:tc>
          <w:tcPr>
            <w:tcW w:w="420" w:type="dxa"/>
            <w:vAlign w:val="bottom"/>
          </w:tcPr>
          <w:p>
            <w:pPr>
              <w:spacing w:after="0"/>
              <w:rPr>
                <w:sz w:val="9"/>
                <w:szCs w:val="9"/>
                <w:color w:val="auto"/>
              </w:rPr>
            </w:pPr>
          </w:p>
        </w:tc>
        <w:tc>
          <w:tcPr>
            <w:tcW w:w="600" w:type="dxa"/>
            <w:vAlign w:val="bottom"/>
          </w:tcPr>
          <w:p>
            <w:pPr>
              <w:jc w:val="right"/>
              <w:ind w:right="149"/>
              <w:spacing w:after="0" w:line="105" w:lineRule="exact"/>
              <w:rPr>
                <w:sz w:val="20"/>
                <w:szCs w:val="20"/>
                <w:color w:val="auto"/>
              </w:rPr>
            </w:pPr>
            <w:r>
              <w:rPr>
                <w:rFonts w:ascii="Arial" w:cs="Arial" w:eastAsia="Arial" w:hAnsi="Arial"/>
                <w:sz w:val="10"/>
                <w:szCs w:val="10"/>
                <w:color w:val="auto"/>
              </w:rPr>
              <w:t>29,996</w:t>
            </w:r>
          </w:p>
        </w:tc>
        <w:tc>
          <w:tcPr>
            <w:tcW w:w="520" w:type="dxa"/>
            <w:vAlign w:val="bottom"/>
          </w:tcPr>
          <w:p>
            <w:pPr>
              <w:spacing w:after="0"/>
              <w:rPr>
                <w:sz w:val="9"/>
                <w:szCs w:val="9"/>
                <w:color w:val="auto"/>
              </w:rPr>
            </w:pPr>
          </w:p>
        </w:tc>
        <w:tc>
          <w:tcPr>
            <w:tcW w:w="540" w:type="dxa"/>
            <w:vAlign w:val="bottom"/>
          </w:tcPr>
          <w:p>
            <w:pPr>
              <w:jc w:val="right"/>
              <w:ind w:right="169"/>
              <w:spacing w:after="0" w:line="105" w:lineRule="exact"/>
              <w:rPr>
                <w:sz w:val="20"/>
                <w:szCs w:val="20"/>
                <w:color w:val="auto"/>
              </w:rPr>
            </w:pPr>
            <w:r>
              <w:rPr>
                <w:rFonts w:ascii="Arial" w:cs="Arial" w:eastAsia="Arial" w:hAnsi="Arial"/>
                <w:sz w:val="10"/>
                <w:szCs w:val="10"/>
                <w:color w:val="auto"/>
                <w:w w:val="97"/>
              </w:rPr>
              <w:t>41,149</w:t>
            </w:r>
          </w:p>
        </w:tc>
        <w:tc>
          <w:tcPr>
            <w:tcW w:w="380" w:type="dxa"/>
            <w:vAlign w:val="bottom"/>
          </w:tcPr>
          <w:p>
            <w:pPr>
              <w:spacing w:after="0"/>
              <w:rPr>
                <w:sz w:val="9"/>
                <w:szCs w:val="9"/>
                <w:color w:val="auto"/>
              </w:rPr>
            </w:pPr>
          </w:p>
        </w:tc>
        <w:tc>
          <w:tcPr>
            <w:tcW w:w="660" w:type="dxa"/>
            <w:vAlign w:val="bottom"/>
          </w:tcPr>
          <w:p>
            <w:pPr>
              <w:jc w:val="right"/>
              <w:ind w:right="169"/>
              <w:spacing w:after="0" w:line="105" w:lineRule="exact"/>
              <w:rPr>
                <w:sz w:val="20"/>
                <w:szCs w:val="20"/>
                <w:color w:val="auto"/>
              </w:rPr>
            </w:pPr>
            <w:r>
              <w:rPr>
                <w:rFonts w:ascii="Arial" w:cs="Arial" w:eastAsia="Arial" w:hAnsi="Arial"/>
                <w:sz w:val="10"/>
                <w:szCs w:val="10"/>
                <w:color w:val="auto"/>
              </w:rPr>
              <w:t>7,213</w:t>
            </w:r>
          </w:p>
        </w:tc>
        <w:tc>
          <w:tcPr>
            <w:tcW w:w="400" w:type="dxa"/>
            <w:vAlign w:val="bottom"/>
          </w:tcPr>
          <w:p>
            <w:pPr>
              <w:spacing w:after="0"/>
              <w:rPr>
                <w:sz w:val="9"/>
                <w:szCs w:val="9"/>
                <w:color w:val="auto"/>
              </w:rPr>
            </w:pPr>
          </w:p>
        </w:tc>
        <w:tc>
          <w:tcPr>
            <w:tcW w:w="480" w:type="dxa"/>
            <w:vAlign w:val="bottom"/>
          </w:tcPr>
          <w:p>
            <w:pPr>
              <w:jc w:val="right"/>
              <w:ind w:right="9"/>
              <w:spacing w:after="0" w:line="105" w:lineRule="exact"/>
              <w:rPr>
                <w:sz w:val="20"/>
                <w:szCs w:val="20"/>
                <w:color w:val="auto"/>
              </w:rPr>
            </w:pPr>
            <w:r>
              <w:rPr>
                <w:rFonts w:ascii="Arial" w:cs="Arial" w:eastAsia="Arial" w:hAnsi="Arial"/>
                <w:sz w:val="10"/>
                <w:szCs w:val="10"/>
                <w:color w:val="auto"/>
              </w:rPr>
              <w:t>9,768</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5" w:lineRule="exact"/>
              <w:rPr>
                <w:sz w:val="20"/>
                <w:szCs w:val="20"/>
                <w:color w:val="auto"/>
              </w:rPr>
            </w:pPr>
            <w:r>
              <w:rPr>
                <w:rFonts w:ascii="Arial" w:cs="Arial" w:eastAsia="Arial" w:hAnsi="Arial"/>
                <w:sz w:val="10"/>
                <w:szCs w:val="10"/>
                <w:color w:val="auto"/>
              </w:rPr>
              <w:t>163,712</w:t>
            </w:r>
          </w:p>
        </w:tc>
        <w:tc>
          <w:tcPr>
            <w:tcW w:w="200" w:type="dxa"/>
            <w:vAlign w:val="bottom"/>
          </w:tcPr>
          <w:p>
            <w:pPr>
              <w:spacing w:after="0"/>
              <w:rPr>
                <w:sz w:val="9"/>
                <w:szCs w:val="9"/>
                <w:color w:val="auto"/>
              </w:rPr>
            </w:pPr>
          </w:p>
        </w:tc>
        <w:tc>
          <w:tcPr>
            <w:tcW w:w="500" w:type="dxa"/>
            <w:vAlign w:val="bottom"/>
          </w:tcPr>
          <w:p>
            <w:pPr>
              <w:jc w:val="right"/>
              <w:ind w:right="69"/>
              <w:spacing w:after="0" w:line="105" w:lineRule="exact"/>
              <w:rPr>
                <w:sz w:val="20"/>
                <w:szCs w:val="20"/>
                <w:color w:val="auto"/>
              </w:rPr>
            </w:pPr>
            <w:r>
              <w:rPr>
                <w:rFonts w:ascii="Arial" w:cs="Arial" w:eastAsia="Arial" w:hAnsi="Arial"/>
                <w:sz w:val="10"/>
                <w:szCs w:val="10"/>
                <w:color w:val="auto"/>
              </w:rPr>
              <w:t>7,962</w:t>
            </w:r>
          </w:p>
        </w:tc>
        <w:tc>
          <w:tcPr>
            <w:tcW w:w="520" w:type="dxa"/>
            <w:vAlign w:val="bottom"/>
          </w:tcPr>
          <w:p>
            <w:pPr>
              <w:spacing w:after="0"/>
              <w:rPr>
                <w:sz w:val="9"/>
                <w:szCs w:val="9"/>
                <w:color w:val="auto"/>
              </w:rPr>
            </w:pPr>
          </w:p>
        </w:tc>
        <w:tc>
          <w:tcPr>
            <w:tcW w:w="380" w:type="dxa"/>
            <w:vAlign w:val="bottom"/>
            <w:gridSpan w:val="2"/>
          </w:tcPr>
          <w:p>
            <w:pPr>
              <w:jc w:val="right"/>
              <w:ind w:right="20"/>
              <w:spacing w:after="0" w:line="105" w:lineRule="exact"/>
              <w:rPr>
                <w:sz w:val="20"/>
                <w:szCs w:val="20"/>
                <w:color w:val="auto"/>
              </w:rPr>
            </w:pPr>
            <w:r>
              <w:rPr>
                <w:rFonts w:ascii="Arial" w:cs="Arial" w:eastAsia="Arial" w:hAnsi="Arial"/>
                <w:sz w:val="10"/>
                <w:szCs w:val="10"/>
                <w:color w:val="auto"/>
              </w:rPr>
              <w:t>2,595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2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28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967</w:t>
            </w:r>
          </w:p>
        </w:tc>
        <w:tc>
          <w:tcPr>
            <w:tcW w:w="3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jc w:val="right"/>
              <w:ind w:right="170"/>
              <w:spacing w:after="0" w:line="92" w:lineRule="exact"/>
              <w:rPr>
                <w:sz w:val="20"/>
                <w:szCs w:val="20"/>
                <w:color w:val="auto"/>
              </w:rPr>
            </w:pPr>
            <w:r>
              <w:rPr>
                <w:rFonts w:ascii="Arial" w:cs="Arial" w:eastAsia="Arial" w:hAnsi="Arial"/>
                <w:sz w:val="10"/>
                <w:szCs w:val="10"/>
                <w:color w:val="auto"/>
              </w:rPr>
              <w:t>436</w:t>
            </w:r>
          </w:p>
        </w:tc>
        <w:tc>
          <w:tcPr>
            <w:tcW w:w="4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jc w:val="right"/>
              <w:ind w:right="149"/>
              <w:spacing w:after="0" w:line="92" w:lineRule="exact"/>
              <w:rPr>
                <w:sz w:val="20"/>
                <w:szCs w:val="20"/>
                <w:color w:val="auto"/>
              </w:rPr>
            </w:pPr>
            <w:r>
              <w:rPr>
                <w:rFonts w:ascii="Arial" w:cs="Arial" w:eastAsia="Arial" w:hAnsi="Arial"/>
                <w:sz w:val="10"/>
                <w:szCs w:val="10"/>
                <w:color w:val="auto"/>
              </w:rPr>
              <w:t>150</w:t>
            </w:r>
          </w:p>
        </w:tc>
        <w:tc>
          <w:tcPr>
            <w:tcW w:w="52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200</w:t>
            </w:r>
          </w:p>
        </w:tc>
        <w:tc>
          <w:tcPr>
            <w:tcW w:w="38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jc w:val="right"/>
              <w:ind w:right="169"/>
              <w:spacing w:after="0" w:line="92" w:lineRule="exact"/>
              <w:rPr>
                <w:sz w:val="20"/>
                <w:szCs w:val="20"/>
                <w:color w:val="auto"/>
              </w:rPr>
            </w:pPr>
            <w:r>
              <w:rPr>
                <w:rFonts w:ascii="Arial" w:cs="Arial" w:eastAsia="Arial" w:hAnsi="Arial"/>
                <w:sz w:val="10"/>
                <w:szCs w:val="10"/>
                <w:color w:val="auto"/>
              </w:rPr>
              <w:t>2</w:t>
            </w: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9"/>
              <w:spacing w:after="0" w:line="92"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gridSpan w:val="2"/>
          </w:tcPr>
          <w:p>
            <w:pPr>
              <w:jc w:val="right"/>
              <w:ind w:right="460"/>
              <w:spacing w:after="0" w:line="92" w:lineRule="exact"/>
              <w:rPr>
                <w:sz w:val="20"/>
                <w:szCs w:val="20"/>
                <w:color w:val="auto"/>
              </w:rPr>
            </w:pPr>
            <w:r>
              <w:rPr>
                <w:rFonts w:ascii="Arial" w:cs="Arial" w:eastAsia="Arial" w:hAnsi="Arial"/>
                <w:sz w:val="10"/>
                <w:szCs w:val="10"/>
                <w:color w:val="auto"/>
              </w:rPr>
              <w:t>1,755</w:t>
            </w:r>
          </w:p>
        </w:tc>
        <w:tc>
          <w:tcPr>
            <w:tcW w:w="2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jc w:val="right"/>
              <w:ind w:right="69"/>
              <w:spacing w:after="0" w:line="92" w:lineRule="exact"/>
              <w:rPr>
                <w:sz w:val="20"/>
                <w:szCs w:val="20"/>
                <w:color w:val="auto"/>
              </w:rPr>
            </w:pPr>
            <w:r>
              <w:rPr>
                <w:rFonts w:ascii="Arial" w:cs="Arial" w:eastAsia="Arial" w:hAnsi="Arial"/>
                <w:sz w:val="10"/>
                <w:szCs w:val="10"/>
                <w:color w:val="auto"/>
              </w:rPr>
              <w:t>34</w:t>
            </w:r>
          </w:p>
        </w:tc>
        <w:tc>
          <w:tcPr>
            <w:tcW w:w="52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producing properties – Depreciation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40" w:type="dxa"/>
            <w:vAlign w:val="bottom"/>
          </w:tcPr>
          <w:p>
            <w:pPr>
              <w:ind w:left="140"/>
              <w:spacing w:after="0" w:line="106" w:lineRule="exact"/>
              <w:rPr>
                <w:sz w:val="20"/>
                <w:szCs w:val="20"/>
                <w:color w:val="auto"/>
              </w:rPr>
            </w:pPr>
            <w:r>
              <w:rPr>
                <w:rFonts w:ascii="Arial" w:cs="Arial" w:eastAsia="Arial" w:hAnsi="Arial"/>
                <w:sz w:val="10"/>
                <w:szCs w:val="10"/>
                <w:color w:val="auto"/>
              </w:rPr>
              <w:t>depletion</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37,682</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3,986</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10,986</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18,197</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1,718</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7,162</w:t>
            </w:r>
          </w:p>
        </w:tc>
        <w:tc>
          <w:tcPr>
            <w:tcW w:w="54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79,731</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1,530</w:t>
            </w:r>
          </w:p>
        </w:tc>
        <w:tc>
          <w:tcPr>
            <w:tcW w:w="5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249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20"/>
                <w:szCs w:val="20"/>
                <w:color w:val="auto"/>
              </w:rPr>
            </w:pPr>
            <w:r>
              <w:rPr>
                <w:rFonts w:ascii="Arial" w:cs="Arial" w:eastAsia="Arial" w:hAnsi="Arial"/>
                <w:sz w:val="10"/>
                <w:szCs w:val="10"/>
                <w:color w:val="auto"/>
              </w:rPr>
              <w:t>Support equipment depreciation</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518</w:t>
            </w:r>
          </w:p>
        </w:tc>
        <w:tc>
          <w:tcPr>
            <w:tcW w:w="360" w:type="dxa"/>
            <w:vAlign w:val="bottom"/>
          </w:tcPr>
          <w:p>
            <w:pPr>
              <w:spacing w:after="0"/>
              <w:rPr>
                <w:sz w:val="10"/>
                <w:szCs w:val="10"/>
                <w:color w:val="auto"/>
              </w:rPr>
            </w:pPr>
          </w:p>
        </w:tc>
        <w:tc>
          <w:tcPr>
            <w:tcW w:w="660" w:type="dxa"/>
            <w:vAlign w:val="bottom"/>
          </w:tcPr>
          <w:p>
            <w:pPr>
              <w:jc w:val="right"/>
              <w:ind w:right="170"/>
              <w:spacing w:after="0"/>
              <w:rPr>
                <w:sz w:val="20"/>
                <w:szCs w:val="20"/>
                <w:color w:val="auto"/>
              </w:rPr>
            </w:pPr>
            <w:r>
              <w:rPr>
                <w:rFonts w:ascii="Arial" w:cs="Arial" w:eastAsia="Arial" w:hAnsi="Arial"/>
                <w:sz w:val="10"/>
                <w:szCs w:val="10"/>
                <w:color w:val="auto"/>
              </w:rPr>
              <w:t>153</w:t>
            </w:r>
          </w:p>
        </w:tc>
        <w:tc>
          <w:tcPr>
            <w:tcW w:w="420" w:type="dxa"/>
            <w:vAlign w:val="bottom"/>
          </w:tcPr>
          <w:p>
            <w:pPr>
              <w:spacing w:after="0"/>
              <w:rPr>
                <w:sz w:val="10"/>
                <w:szCs w:val="10"/>
                <w:color w:val="auto"/>
              </w:rPr>
            </w:pPr>
          </w:p>
        </w:tc>
        <w:tc>
          <w:tcPr>
            <w:tcW w:w="600" w:type="dxa"/>
            <w:vAlign w:val="bottom"/>
          </w:tcPr>
          <w:p>
            <w:pPr>
              <w:jc w:val="right"/>
              <w:ind w:right="149"/>
              <w:spacing w:after="0"/>
              <w:rPr>
                <w:sz w:val="20"/>
                <w:szCs w:val="20"/>
                <w:color w:val="auto"/>
              </w:rPr>
            </w:pPr>
            <w:r>
              <w:rPr>
                <w:rFonts w:ascii="Arial" w:cs="Arial" w:eastAsia="Arial" w:hAnsi="Arial"/>
                <w:sz w:val="10"/>
                <w:szCs w:val="10"/>
                <w:color w:val="auto"/>
              </w:rPr>
              <w:t>600</w:t>
            </w:r>
          </w:p>
        </w:tc>
        <w:tc>
          <w:tcPr>
            <w:tcW w:w="52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1,126</w:t>
            </w:r>
          </w:p>
        </w:tc>
        <w:tc>
          <w:tcPr>
            <w:tcW w:w="380" w:type="dxa"/>
            <w:vAlign w:val="bottom"/>
          </w:tcPr>
          <w:p>
            <w:pPr>
              <w:spacing w:after="0"/>
              <w:rPr>
                <w:sz w:val="10"/>
                <w:szCs w:val="10"/>
                <w:color w:val="auto"/>
              </w:rPr>
            </w:pPr>
          </w:p>
        </w:tc>
        <w:tc>
          <w:tcPr>
            <w:tcW w:w="660" w:type="dxa"/>
            <w:vAlign w:val="bottom"/>
          </w:tcPr>
          <w:p>
            <w:pPr>
              <w:jc w:val="right"/>
              <w:ind w:right="169"/>
              <w:spacing w:after="0"/>
              <w:rPr>
                <w:sz w:val="20"/>
                <w:szCs w:val="20"/>
                <w:color w:val="auto"/>
              </w:rPr>
            </w:pPr>
            <w:r>
              <w:rPr>
                <w:rFonts w:ascii="Arial" w:cs="Arial" w:eastAsia="Arial" w:hAnsi="Arial"/>
                <w:sz w:val="10"/>
                <w:szCs w:val="10"/>
                <w:color w:val="auto"/>
              </w:rPr>
              <w:t>84</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color w:val="auto"/>
              </w:rPr>
              <w:t>114</w:t>
            </w:r>
          </w:p>
        </w:tc>
        <w:tc>
          <w:tcPr>
            <w:tcW w:w="54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color w:val="auto"/>
              </w:rPr>
              <w:t>2,595</w:t>
            </w:r>
          </w:p>
        </w:tc>
        <w:tc>
          <w:tcPr>
            <w:tcW w:w="200" w:type="dxa"/>
            <w:vAlign w:val="bottom"/>
          </w:tcPr>
          <w:p>
            <w:pPr>
              <w:spacing w:after="0"/>
              <w:rPr>
                <w:sz w:val="10"/>
                <w:szCs w:val="10"/>
                <w:color w:val="auto"/>
              </w:rPr>
            </w:pPr>
          </w:p>
        </w:tc>
        <w:tc>
          <w:tcPr>
            <w:tcW w:w="500" w:type="dxa"/>
            <w:vAlign w:val="bottom"/>
          </w:tcPr>
          <w:p>
            <w:pPr>
              <w:jc w:val="right"/>
              <w:ind w:right="69"/>
              <w:spacing w:after="0"/>
              <w:rPr>
                <w:sz w:val="20"/>
                <w:szCs w:val="20"/>
                <w:color w:val="auto"/>
              </w:rPr>
            </w:pPr>
            <w:r>
              <w:rPr>
                <w:rFonts w:ascii="Arial" w:cs="Arial" w:eastAsia="Arial" w:hAnsi="Arial"/>
                <w:sz w:val="10"/>
                <w:szCs w:val="10"/>
                <w:color w:val="auto"/>
              </w:rPr>
              <w:t>402</w:t>
            </w:r>
          </w:p>
        </w:tc>
        <w:tc>
          <w:tcPr>
            <w:tcW w:w="52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Accumulated provisions</w:t>
            </w:r>
          </w:p>
        </w:tc>
        <w:tc>
          <w:tcPr>
            <w:tcW w:w="280" w:type="dxa"/>
            <w:vAlign w:val="bottom"/>
            <w:tcBorders>
              <w:top w:val="single" w:sz="8" w:color="0077C0"/>
              <w:bottom w:val="single" w:sz="8" w:color="0077C0"/>
            </w:tcBorders>
          </w:tcPr>
          <w:p>
            <w:pPr>
              <w:spacing w:after="0"/>
              <w:rPr>
                <w:sz w:val="9"/>
                <w:szCs w:val="9"/>
                <w:color w:val="auto"/>
              </w:rPr>
            </w:pPr>
          </w:p>
        </w:tc>
        <w:tc>
          <w:tcPr>
            <w:tcW w:w="1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39,167</w:t>
            </w:r>
          </w:p>
        </w:tc>
        <w:tc>
          <w:tcPr>
            <w:tcW w:w="36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4,575</w:t>
            </w:r>
          </w:p>
        </w:tc>
        <w:tc>
          <w:tcPr>
            <w:tcW w:w="4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11,736</w:t>
            </w:r>
          </w:p>
        </w:tc>
        <w:tc>
          <w:tcPr>
            <w:tcW w:w="52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19,523</w:t>
            </w:r>
          </w:p>
        </w:tc>
        <w:tc>
          <w:tcPr>
            <w:tcW w:w="38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1,804</w:t>
            </w:r>
          </w:p>
        </w:tc>
        <w:tc>
          <w:tcPr>
            <w:tcW w:w="40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7,276</w:t>
            </w:r>
          </w:p>
        </w:tc>
        <w:tc>
          <w:tcPr>
            <w:tcW w:w="540" w:type="dxa"/>
            <w:vAlign w:val="bottom"/>
            <w:tcBorders>
              <w:top w:val="single" w:sz="8" w:color="0077C0"/>
              <w:bottom w:val="single" w:sz="8" w:color="0077C0"/>
            </w:tcBorders>
          </w:tcPr>
          <w:p>
            <w:pPr>
              <w:spacing w:after="0"/>
              <w:rPr>
                <w:sz w:val="9"/>
                <w:szCs w:val="9"/>
                <w:color w:val="auto"/>
              </w:rPr>
            </w:pPr>
          </w:p>
        </w:tc>
        <w:tc>
          <w:tcPr>
            <w:tcW w:w="88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84,081</w:t>
            </w:r>
          </w:p>
        </w:tc>
        <w:tc>
          <w:tcPr>
            <w:tcW w:w="20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1,966</w:t>
            </w:r>
          </w:p>
        </w:tc>
        <w:tc>
          <w:tcPr>
            <w:tcW w:w="52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249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4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23,004</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8,840</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18,260</w:t>
            </w: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21,626</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5,409</w:t>
            </w:r>
          </w:p>
        </w:tc>
        <w:tc>
          <w:tcPr>
            <w:tcW w:w="4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9"/>
              <w:spacing w:after="0" w:line="105" w:lineRule="exact"/>
              <w:rPr>
                <w:sz w:val="20"/>
                <w:szCs w:val="20"/>
                <w:color w:val="auto"/>
              </w:rPr>
            </w:pPr>
            <w:r>
              <w:rPr>
                <w:rFonts w:ascii="Arial" w:cs="Arial" w:eastAsia="Arial" w:hAnsi="Arial"/>
                <w:sz w:val="10"/>
                <w:szCs w:val="10"/>
                <w:color w:val="auto"/>
              </w:rPr>
              <w:t>2,492</w:t>
            </w:r>
          </w:p>
        </w:tc>
        <w:tc>
          <w:tcPr>
            <w:tcW w:w="540" w:type="dxa"/>
            <w:vAlign w:val="bottom"/>
            <w:tcBorders>
              <w:bottom w:val="single" w:sz="8" w:color="0077C0"/>
            </w:tcBorders>
          </w:tcPr>
          <w:p>
            <w:pPr>
              <w:jc w:val="right"/>
              <w:ind w:right="50"/>
              <w:spacing w:after="0" w:line="105"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79,631</w:t>
            </w:r>
          </w:p>
        </w:tc>
        <w:tc>
          <w:tcPr>
            <w:tcW w:w="20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5,996</w:t>
            </w:r>
          </w:p>
        </w:tc>
        <w:tc>
          <w:tcPr>
            <w:tcW w:w="520" w:type="dxa"/>
            <w:vAlign w:val="bottom"/>
            <w:tcBorders>
              <w:bottom w:val="single" w:sz="8" w:color="0077C0"/>
            </w:tcBorders>
          </w:tcPr>
          <w:p>
            <w:pPr>
              <w:jc w:val="right"/>
              <w:ind w:right="90"/>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2,346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FS-63</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2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type w:val="continuous"/>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635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II </w:t>
      </w:r>
      <w:r>
        <w:rPr>
          <w:rFonts w:ascii="Arial" w:cs="Arial" w:eastAsia="Arial" w:hAnsi="Arial"/>
          <w:sz w:val="10"/>
          <w:szCs w:val="10"/>
          <w:color w:val="000000"/>
        </w:rPr>
        <w:t>Capitalized Costs Related to Oil and</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0"/>
          <w:szCs w:val="10"/>
          <w:color w:val="auto"/>
        </w:rPr>
        <w:t>Gas Producing Activities - 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9"/>
                <w:szCs w:val="9"/>
                <w:color w:val="auto"/>
                <w:w w:val="91"/>
              </w:rPr>
              <w:t>Consolidated Companies</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9"/>
                <w:szCs w:val="9"/>
                <w:color w:val="auto"/>
              </w:rPr>
              <w:t>Affiliated Companies</w:t>
            </w:r>
          </w:p>
        </w:tc>
      </w:tr>
      <w:tr>
        <w:trPr>
          <w:trHeight w:val="75"/>
        </w:trPr>
        <w:tc>
          <w:tcPr>
            <w:tcW w:w="2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jc w:val="right"/>
              <w:ind w:right="170"/>
              <w:spacing w:after="0" w:line="75" w:lineRule="exact"/>
              <w:rPr>
                <w:sz w:val="20"/>
                <w:szCs w:val="20"/>
                <w:color w:val="auto"/>
              </w:rPr>
            </w:pPr>
            <w:r>
              <w:rPr>
                <w:rFonts w:ascii="Arial" w:cs="Arial" w:eastAsia="Arial" w:hAnsi="Arial"/>
                <w:sz w:val="8"/>
                <w:szCs w:val="8"/>
                <w:color w:val="auto"/>
              </w:rPr>
              <w:t>Other</w:t>
            </w:r>
          </w:p>
        </w:tc>
        <w:tc>
          <w:tcPr>
            <w:tcW w:w="4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54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120" w:type="dxa"/>
            <w:vAlign w:val="bottom"/>
          </w:tcPr>
          <w:p>
            <w:pPr>
              <w:spacing w:after="0"/>
              <w:rPr>
                <w:sz w:val="6"/>
                <w:szCs w:val="6"/>
                <w:color w:val="auto"/>
              </w:rPr>
            </w:pPr>
          </w:p>
        </w:tc>
      </w:tr>
      <w:tr>
        <w:trPr>
          <w:trHeight w:val="107"/>
        </w:trPr>
        <w:tc>
          <w:tcPr>
            <w:tcW w:w="2240" w:type="dxa"/>
            <w:vAlign w:val="bottom"/>
          </w:tcPr>
          <w:p>
            <w:pPr>
              <w:spacing w:after="0"/>
              <w:rPr>
                <w:sz w:val="20"/>
                <w:szCs w:val="20"/>
                <w:color w:val="auto"/>
              </w:rPr>
            </w:pPr>
            <w:r>
              <w:rPr>
                <w:rFonts w:ascii="Arial" w:cs="Arial" w:eastAsia="Arial" w:hAnsi="Arial"/>
                <w:sz w:val="9"/>
                <w:szCs w:val="9"/>
                <w:i w:val="1"/>
                <w:iCs w:val="1"/>
                <w:color w:val="auto"/>
              </w:rPr>
              <w:t>Millions of dollars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Pr>
          <w:p>
            <w:pPr>
              <w:spacing w:after="0"/>
              <w:rPr>
                <w:sz w:val="9"/>
                <w:szCs w:val="9"/>
                <w:color w:val="auto"/>
              </w:rPr>
            </w:pPr>
          </w:p>
        </w:tc>
        <w:tc>
          <w:tcPr>
            <w:tcW w:w="660" w:type="dxa"/>
            <w:vAlign w:val="bottom"/>
          </w:tcPr>
          <w:p>
            <w:pPr>
              <w:jc w:val="right"/>
              <w:ind w:right="170"/>
              <w:spacing w:after="0"/>
              <w:rPr>
                <w:sz w:val="20"/>
                <w:szCs w:val="20"/>
                <w:color w:val="auto"/>
              </w:rPr>
            </w:pPr>
            <w:r>
              <w:rPr>
                <w:rFonts w:ascii="Arial" w:cs="Arial" w:eastAsia="Arial" w:hAnsi="Arial"/>
                <w:sz w:val="9"/>
                <w:szCs w:val="9"/>
                <w:color w:val="auto"/>
              </w:rPr>
              <w:t>Americas</w:t>
            </w:r>
          </w:p>
        </w:tc>
        <w:tc>
          <w:tcPr>
            <w:tcW w:w="420" w:type="dxa"/>
            <w:vAlign w:val="bottom"/>
          </w:tcPr>
          <w:p>
            <w:pPr>
              <w:spacing w:after="0"/>
              <w:rPr>
                <w:sz w:val="9"/>
                <w:szCs w:val="9"/>
                <w:color w:val="auto"/>
              </w:rPr>
            </w:pPr>
          </w:p>
        </w:tc>
        <w:tc>
          <w:tcPr>
            <w:tcW w:w="600" w:type="dxa"/>
            <w:vAlign w:val="bottom"/>
          </w:tcPr>
          <w:p>
            <w:pPr>
              <w:jc w:val="right"/>
              <w:ind w:right="149"/>
              <w:spacing w:after="0"/>
              <w:rPr>
                <w:sz w:val="20"/>
                <w:szCs w:val="20"/>
                <w:color w:val="auto"/>
              </w:rPr>
            </w:pPr>
            <w:r>
              <w:rPr>
                <w:rFonts w:ascii="Arial" w:cs="Arial" w:eastAsia="Arial" w:hAnsi="Arial"/>
                <w:sz w:val="9"/>
                <w:szCs w:val="9"/>
                <w:color w:val="auto"/>
              </w:rPr>
              <w:t>Africa</w:t>
            </w:r>
          </w:p>
        </w:tc>
        <w:tc>
          <w:tcPr>
            <w:tcW w:w="520" w:type="dxa"/>
            <w:vAlign w:val="bottom"/>
          </w:tcPr>
          <w:p>
            <w:pPr>
              <w:spacing w:after="0"/>
              <w:rPr>
                <w:sz w:val="9"/>
                <w:szCs w:val="9"/>
                <w:color w:val="auto"/>
              </w:rPr>
            </w:pPr>
          </w:p>
        </w:tc>
        <w:tc>
          <w:tcPr>
            <w:tcW w:w="540" w:type="dxa"/>
            <w:vAlign w:val="bottom"/>
          </w:tcPr>
          <w:p>
            <w:pPr>
              <w:jc w:val="right"/>
              <w:ind w:right="169"/>
              <w:spacing w:after="0"/>
              <w:rPr>
                <w:sz w:val="20"/>
                <w:szCs w:val="20"/>
                <w:color w:val="auto"/>
              </w:rPr>
            </w:pPr>
            <w:r>
              <w:rPr>
                <w:rFonts w:ascii="Arial" w:cs="Arial" w:eastAsia="Arial" w:hAnsi="Arial"/>
                <w:sz w:val="9"/>
                <w:szCs w:val="9"/>
                <w:color w:val="auto"/>
              </w:rPr>
              <w:t>Asia</w:t>
            </w:r>
          </w:p>
        </w:tc>
        <w:tc>
          <w:tcPr>
            <w:tcW w:w="380" w:type="dxa"/>
            <w:vAlign w:val="bottom"/>
          </w:tcPr>
          <w:p>
            <w:pPr>
              <w:spacing w:after="0"/>
              <w:rPr>
                <w:sz w:val="9"/>
                <w:szCs w:val="9"/>
                <w:color w:val="auto"/>
              </w:rPr>
            </w:pPr>
          </w:p>
        </w:tc>
        <w:tc>
          <w:tcPr>
            <w:tcW w:w="660" w:type="dxa"/>
            <w:vAlign w:val="bottom"/>
          </w:tcPr>
          <w:p>
            <w:pPr>
              <w:jc w:val="right"/>
              <w:ind w:right="169"/>
              <w:spacing w:after="0"/>
              <w:rPr>
                <w:sz w:val="20"/>
                <w:szCs w:val="20"/>
                <w:color w:val="auto"/>
              </w:rPr>
            </w:pPr>
            <w:r>
              <w:rPr>
                <w:rFonts w:ascii="Arial" w:cs="Arial" w:eastAsia="Arial" w:hAnsi="Arial"/>
                <w:sz w:val="9"/>
                <w:szCs w:val="9"/>
                <w:color w:val="auto"/>
              </w:rPr>
              <w:t>Australia</w:t>
            </w:r>
          </w:p>
        </w:tc>
        <w:tc>
          <w:tcPr>
            <w:tcW w:w="420" w:type="dxa"/>
            <w:vAlign w:val="bottom"/>
          </w:tcPr>
          <w:p>
            <w:pPr>
              <w:spacing w:after="0"/>
              <w:rPr>
                <w:sz w:val="9"/>
                <w:szCs w:val="9"/>
                <w:color w:val="auto"/>
              </w:rPr>
            </w:pPr>
          </w:p>
        </w:tc>
        <w:tc>
          <w:tcPr>
            <w:tcW w:w="480" w:type="dxa"/>
            <w:vAlign w:val="bottom"/>
          </w:tcPr>
          <w:p>
            <w:pPr>
              <w:jc w:val="right"/>
              <w:ind w:right="29"/>
              <w:spacing w:after="0"/>
              <w:rPr>
                <w:sz w:val="20"/>
                <w:szCs w:val="20"/>
                <w:color w:val="auto"/>
              </w:rPr>
            </w:pPr>
            <w:r>
              <w:rPr>
                <w:rFonts w:ascii="Arial" w:cs="Arial" w:eastAsia="Arial" w:hAnsi="Arial"/>
                <w:sz w:val="9"/>
                <w:szCs w:val="9"/>
                <w:color w:val="auto"/>
              </w:rPr>
              <w:t>Europe</w:t>
            </w:r>
          </w:p>
        </w:tc>
        <w:tc>
          <w:tcPr>
            <w:tcW w:w="520" w:type="dxa"/>
            <w:vAlign w:val="bottom"/>
          </w:tcPr>
          <w:p>
            <w:pPr>
              <w:spacing w:after="0"/>
              <w:rPr>
                <w:sz w:val="9"/>
                <w:szCs w:val="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200" w:type="dxa"/>
            <w:vAlign w:val="bottom"/>
          </w:tcPr>
          <w:p>
            <w:pPr>
              <w:spacing w:after="0"/>
              <w:rPr>
                <w:sz w:val="9"/>
                <w:szCs w:val="9"/>
                <w:color w:val="auto"/>
              </w:rPr>
            </w:pPr>
          </w:p>
        </w:tc>
        <w:tc>
          <w:tcPr>
            <w:tcW w:w="500" w:type="dxa"/>
            <w:vAlign w:val="bottom"/>
          </w:tcPr>
          <w:p>
            <w:pPr>
              <w:jc w:val="right"/>
              <w:ind w:right="69"/>
              <w:spacing w:after="0"/>
              <w:rPr>
                <w:sz w:val="20"/>
                <w:szCs w:val="20"/>
                <w:color w:val="auto"/>
              </w:rPr>
            </w:pPr>
            <w:r>
              <w:rPr>
                <w:rFonts w:ascii="Arial" w:cs="Arial" w:eastAsia="Arial" w:hAnsi="Arial"/>
                <w:sz w:val="9"/>
                <w:szCs w:val="9"/>
                <w:color w:val="auto"/>
              </w:rPr>
              <w:t>TCO</w:t>
            </w:r>
          </w:p>
        </w:tc>
        <w:tc>
          <w:tcPr>
            <w:tcW w:w="52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Other</w:t>
            </w:r>
          </w:p>
        </w:tc>
      </w:tr>
      <w:tr>
        <w:trPr>
          <w:trHeight w:val="92"/>
        </w:trPr>
        <w:tc>
          <w:tcPr>
            <w:tcW w:w="22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At December 31, 2009</w:t>
            </w:r>
          </w:p>
        </w:tc>
        <w:tc>
          <w:tcPr>
            <w:tcW w:w="28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6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120" w:type="dxa"/>
            <w:vAlign w:val="bottom"/>
          </w:tcPr>
          <w:p>
            <w:pPr>
              <w:spacing w:after="0"/>
              <w:rPr>
                <w:sz w:val="8"/>
                <w:szCs w:val="8"/>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Unproved properties</w:t>
            </w:r>
          </w:p>
        </w:tc>
        <w:tc>
          <w:tcPr>
            <w:tcW w:w="46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2,320</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946</w:t>
            </w:r>
          </w:p>
        </w:tc>
        <w:tc>
          <w:tcPr>
            <w:tcW w:w="42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321</w:t>
            </w:r>
          </w:p>
        </w:tc>
        <w:tc>
          <w:tcPr>
            <w:tcW w:w="5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3,355</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10</w:t>
            </w:r>
          </w:p>
        </w:tc>
        <w:tc>
          <w:tcPr>
            <w:tcW w:w="520" w:type="dxa"/>
            <w:vAlign w:val="bottom"/>
          </w:tcPr>
          <w:p>
            <w:pPr>
              <w:jc w:val="right"/>
              <w:ind w:right="51"/>
              <w:spacing w:after="0" w:line="106"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6,959</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113</w:t>
            </w:r>
          </w:p>
        </w:tc>
        <w:tc>
          <w:tcPr>
            <w:tcW w:w="520" w:type="dxa"/>
            <w:vAlign w:val="bottom"/>
          </w:tcPr>
          <w:p>
            <w:pPr>
              <w:jc w:val="right"/>
              <w:ind w:right="91"/>
              <w:spacing w:after="0" w:line="106"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properties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6"/>
        </w:trPr>
        <w:tc>
          <w:tcPr>
            <w:tcW w:w="2240" w:type="dxa"/>
            <w:vAlign w:val="bottom"/>
          </w:tcPr>
          <w:p>
            <w:pPr>
              <w:ind w:left="140"/>
              <w:spacing w:after="0" w:line="106" w:lineRule="exact"/>
              <w:rPr>
                <w:sz w:val="20"/>
                <w:szCs w:val="20"/>
                <w:color w:val="auto"/>
              </w:rPr>
            </w:pPr>
            <w:r>
              <w:rPr>
                <w:rFonts w:ascii="Arial" w:cs="Arial" w:eastAsia="Arial" w:hAnsi="Arial"/>
                <w:sz w:val="10"/>
                <w:szCs w:val="10"/>
                <w:color w:val="auto"/>
              </w:rPr>
              <w:t>related producing assets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51,582</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6,033</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20,967</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29,637</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2,507</w:t>
            </w:r>
          </w:p>
        </w:tc>
        <w:tc>
          <w:tcPr>
            <w:tcW w:w="420" w:type="dxa"/>
            <w:vAlign w:val="bottom"/>
          </w:tcPr>
          <w:p>
            <w:pPr>
              <w:spacing w:after="0"/>
              <w:rPr>
                <w:sz w:val="9"/>
                <w:szCs w:val="9"/>
                <w:color w:val="auto"/>
              </w:rPr>
            </w:pP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8,727</w:t>
            </w:r>
          </w:p>
        </w:tc>
        <w:tc>
          <w:tcPr>
            <w:tcW w:w="52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119,453</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6,404</w:t>
            </w:r>
          </w:p>
        </w:tc>
        <w:tc>
          <w:tcPr>
            <w:tcW w:w="52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1,759</w:t>
            </w: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Support equipment</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810</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323</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1,012</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1,383</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162</w:t>
            </w:r>
          </w:p>
        </w:tc>
        <w:tc>
          <w:tcPr>
            <w:tcW w:w="420" w:type="dxa"/>
            <w:vAlign w:val="bottom"/>
          </w:tcPr>
          <w:p>
            <w:pPr>
              <w:spacing w:after="0"/>
              <w:rPr>
                <w:sz w:val="9"/>
                <w:szCs w:val="9"/>
                <w:color w:val="auto"/>
              </w:rPr>
            </w:pP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163</w:t>
            </w:r>
          </w:p>
        </w:tc>
        <w:tc>
          <w:tcPr>
            <w:tcW w:w="52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3,853</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947</w:t>
            </w:r>
          </w:p>
        </w:tc>
        <w:tc>
          <w:tcPr>
            <w:tcW w:w="52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Deferred exploratory wells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762</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216</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603</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209</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440</w:t>
            </w:r>
          </w:p>
        </w:tc>
        <w:tc>
          <w:tcPr>
            <w:tcW w:w="420" w:type="dxa"/>
            <w:vAlign w:val="bottom"/>
          </w:tcPr>
          <w:p>
            <w:pPr>
              <w:spacing w:after="0"/>
              <w:rPr>
                <w:sz w:val="9"/>
                <w:szCs w:val="9"/>
                <w:color w:val="auto"/>
              </w:rPr>
            </w:pP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205</w:t>
            </w:r>
          </w:p>
        </w:tc>
        <w:tc>
          <w:tcPr>
            <w:tcW w:w="52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2,435</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9"/>
                <w:szCs w:val="9"/>
                <w:color w:val="auto"/>
              </w:rPr>
            </w:pPr>
          </w:p>
        </w:tc>
        <w:tc>
          <w:tcPr>
            <w:tcW w:w="4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r>
      <w:tr>
        <w:trPr>
          <w:trHeight w:val="118"/>
        </w:trPr>
        <w:tc>
          <w:tcPr>
            <w:tcW w:w="224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uncompleted projects</w:t>
            </w:r>
          </w:p>
        </w:tc>
        <w:tc>
          <w:tcPr>
            <w:tcW w:w="28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2,384</w:t>
            </w:r>
          </w:p>
        </w:tc>
        <w:tc>
          <w:tcPr>
            <w:tcW w:w="36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4,106</w:t>
            </w:r>
          </w:p>
        </w:tc>
        <w:tc>
          <w:tcPr>
            <w:tcW w:w="420" w:type="dxa"/>
            <w:vAlign w:val="bottom"/>
            <w:tcBorders>
              <w:bottom w:val="single" w:sz="8" w:color="0077C0"/>
            </w:tcBorders>
          </w:tcPr>
          <w:p>
            <w:pPr>
              <w:spacing w:after="0"/>
              <w:rPr>
                <w:sz w:val="10"/>
                <w:szCs w:val="10"/>
                <w:color w:val="auto"/>
              </w:rPr>
            </w:pPr>
          </w:p>
        </w:tc>
        <w:tc>
          <w:tcPr>
            <w:tcW w:w="60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3,960</w:t>
            </w:r>
          </w:p>
        </w:tc>
        <w:tc>
          <w:tcPr>
            <w:tcW w:w="520" w:type="dxa"/>
            <w:vAlign w:val="bottom"/>
            <w:tcBorders>
              <w:bottom w:val="single" w:sz="8" w:color="0077C0"/>
            </w:tcBorders>
          </w:tcPr>
          <w:p>
            <w:pPr>
              <w:spacing w:after="0"/>
              <w:rPr>
                <w:sz w:val="10"/>
                <w:szCs w:val="10"/>
                <w:color w:val="auto"/>
              </w:rPr>
            </w:pPr>
          </w:p>
        </w:tc>
        <w:tc>
          <w:tcPr>
            <w:tcW w:w="5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2,936</w:t>
            </w:r>
          </w:p>
        </w:tc>
        <w:tc>
          <w:tcPr>
            <w:tcW w:w="380" w:type="dxa"/>
            <w:vAlign w:val="bottom"/>
            <w:tcBorders>
              <w:bottom w:val="single" w:sz="8" w:color="0077C0"/>
            </w:tcBorders>
          </w:tcPr>
          <w:p>
            <w:pPr>
              <w:spacing w:after="0"/>
              <w:rPr>
                <w:sz w:val="10"/>
                <w:szCs w:val="10"/>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1,274</w:t>
            </w:r>
          </w:p>
        </w:tc>
        <w:tc>
          <w:tcPr>
            <w:tcW w:w="42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192</w:t>
            </w:r>
          </w:p>
        </w:tc>
        <w:tc>
          <w:tcPr>
            <w:tcW w:w="520" w:type="dxa"/>
            <w:vAlign w:val="bottom"/>
            <w:tcBorders>
              <w:bottom w:val="single" w:sz="8" w:color="0077C0"/>
            </w:tcBorders>
          </w:tcPr>
          <w:p>
            <w:pPr>
              <w:spacing w:after="0"/>
              <w:rPr>
                <w:sz w:val="10"/>
                <w:szCs w:val="10"/>
                <w:color w:val="auto"/>
              </w:rPr>
            </w:pPr>
          </w:p>
        </w:tc>
        <w:tc>
          <w:tcPr>
            <w:tcW w:w="88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14,852</w:t>
            </w:r>
          </w:p>
        </w:tc>
        <w:tc>
          <w:tcPr>
            <w:tcW w:w="200" w:type="dxa"/>
            <w:vAlign w:val="bottom"/>
            <w:tcBorders>
              <w:bottom w:val="single" w:sz="8" w:color="0077C0"/>
            </w:tcBorders>
          </w:tcPr>
          <w:p>
            <w:pPr>
              <w:spacing w:after="0"/>
              <w:rPr>
                <w:sz w:val="10"/>
                <w:szCs w:val="10"/>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284</w:t>
            </w:r>
          </w:p>
        </w:tc>
        <w:tc>
          <w:tcPr>
            <w:tcW w:w="52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58</w:t>
            </w:r>
          </w:p>
        </w:tc>
        <w:tc>
          <w:tcPr>
            <w:tcW w:w="120" w:type="dxa"/>
            <w:vAlign w:val="bottom"/>
          </w:tcPr>
          <w:p>
            <w:pPr>
              <w:spacing w:after="0"/>
              <w:rPr>
                <w:sz w:val="10"/>
                <w:szCs w:val="10"/>
                <w:color w:val="auto"/>
              </w:rPr>
            </w:pPr>
          </w:p>
        </w:tc>
      </w:tr>
      <w:tr>
        <w:trPr>
          <w:trHeight w:val="105"/>
        </w:trPr>
        <w:tc>
          <w:tcPr>
            <w:tcW w:w="22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Gross Capitalized Costs</w:t>
            </w:r>
          </w:p>
        </w:tc>
        <w:tc>
          <w:tcPr>
            <w:tcW w:w="280" w:type="dxa"/>
            <w:vAlign w:val="bottom"/>
            <w:tcBorders>
              <w:bottom w:val="single" w:sz="8" w:color="0077C0"/>
            </w:tcBorders>
          </w:tcPr>
          <w:p>
            <w:pPr>
              <w:spacing w:after="0"/>
              <w:rPr>
                <w:sz w:val="9"/>
                <w:szCs w:val="9"/>
                <w:color w:val="auto"/>
              </w:rPr>
            </w:pPr>
          </w:p>
        </w:tc>
        <w:tc>
          <w:tcPr>
            <w:tcW w:w="18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57,858</w:t>
            </w:r>
          </w:p>
        </w:tc>
        <w:tc>
          <w:tcPr>
            <w:tcW w:w="3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11,624</w:t>
            </w:r>
          </w:p>
        </w:tc>
        <w:tc>
          <w:tcPr>
            <w:tcW w:w="420" w:type="dxa"/>
            <w:vAlign w:val="bottom"/>
            <w:tcBorders>
              <w:bottom w:val="single" w:sz="8" w:color="0077C0"/>
            </w:tcBorders>
          </w:tcPr>
          <w:p>
            <w:pPr>
              <w:spacing w:after="0"/>
              <w:rPr>
                <w:sz w:val="9"/>
                <w:szCs w:val="9"/>
                <w:color w:val="auto"/>
              </w:rPr>
            </w:pPr>
          </w:p>
        </w:tc>
        <w:tc>
          <w:tcPr>
            <w:tcW w:w="60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26,863</w:t>
            </w:r>
          </w:p>
        </w:tc>
        <w:tc>
          <w:tcPr>
            <w:tcW w:w="520" w:type="dxa"/>
            <w:vAlign w:val="bottom"/>
            <w:tcBorders>
              <w:bottom w:val="single" w:sz="8" w:color="0077C0"/>
            </w:tcBorders>
          </w:tcPr>
          <w:p>
            <w:pPr>
              <w:spacing w:after="0"/>
              <w:rPr>
                <w:sz w:val="9"/>
                <w:szCs w:val="9"/>
                <w:color w:val="auto"/>
              </w:rPr>
            </w:pP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37,520</w:t>
            </w:r>
          </w:p>
        </w:tc>
        <w:tc>
          <w:tcPr>
            <w:tcW w:w="3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4,390</w:t>
            </w:r>
          </w:p>
        </w:tc>
        <w:tc>
          <w:tcPr>
            <w:tcW w:w="420" w:type="dxa"/>
            <w:vAlign w:val="bottom"/>
            <w:tcBorders>
              <w:bottom w:val="single" w:sz="8" w:color="0077C0"/>
            </w:tcBorders>
          </w:tcPr>
          <w:p>
            <w:pPr>
              <w:spacing w:after="0"/>
              <w:rPr>
                <w:sz w:val="9"/>
                <w:szCs w:val="9"/>
                <w:color w:val="auto"/>
              </w:rPr>
            </w:pPr>
          </w:p>
        </w:tc>
        <w:tc>
          <w:tcPr>
            <w:tcW w:w="48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9,297</w:t>
            </w:r>
          </w:p>
        </w:tc>
        <w:tc>
          <w:tcPr>
            <w:tcW w:w="520" w:type="dxa"/>
            <w:vAlign w:val="bottom"/>
            <w:tcBorders>
              <w:bottom w:val="single" w:sz="8" w:color="0077C0"/>
            </w:tcBorders>
          </w:tcPr>
          <w:p>
            <w:pPr>
              <w:spacing w:after="0"/>
              <w:rPr>
                <w:sz w:val="9"/>
                <w:szCs w:val="9"/>
                <w:color w:val="auto"/>
              </w:rPr>
            </w:pPr>
          </w:p>
        </w:tc>
        <w:tc>
          <w:tcPr>
            <w:tcW w:w="88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147,552</w:t>
            </w:r>
          </w:p>
        </w:tc>
        <w:tc>
          <w:tcPr>
            <w:tcW w:w="200" w:type="dxa"/>
            <w:vAlign w:val="bottom"/>
            <w:tcBorders>
              <w:bottom w:val="single" w:sz="8" w:color="0077C0"/>
            </w:tcBorders>
          </w:tcPr>
          <w:p>
            <w:pPr>
              <w:spacing w:after="0"/>
              <w:rPr>
                <w:sz w:val="9"/>
                <w:szCs w:val="9"/>
                <w:color w:val="auto"/>
              </w:rPr>
            </w:pPr>
          </w:p>
        </w:tc>
        <w:tc>
          <w:tcPr>
            <w:tcW w:w="5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7,748</w:t>
            </w:r>
          </w:p>
        </w:tc>
        <w:tc>
          <w:tcPr>
            <w:tcW w:w="520" w:type="dxa"/>
            <w:vAlign w:val="bottom"/>
            <w:tcBorders>
              <w:bottom w:val="single" w:sz="8" w:color="0077C0"/>
            </w:tcBorders>
          </w:tcPr>
          <w:p>
            <w:pPr>
              <w:spacing w:after="0"/>
              <w:rPr>
                <w:sz w:val="9"/>
                <w:szCs w:val="9"/>
                <w:color w:val="auto"/>
              </w:rPr>
            </w:pP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1,817</w:t>
            </w:r>
          </w:p>
        </w:tc>
        <w:tc>
          <w:tcPr>
            <w:tcW w:w="120" w:type="dxa"/>
            <w:vAlign w:val="bottom"/>
          </w:tcPr>
          <w:p>
            <w:pPr>
              <w:spacing w:after="0"/>
              <w:rPr>
                <w:sz w:val="9"/>
                <w:szCs w:val="9"/>
                <w:color w:val="auto"/>
              </w:rPr>
            </w:pPr>
          </w:p>
        </w:tc>
      </w:tr>
      <w:tr>
        <w:trPr>
          <w:trHeight w:val="92"/>
        </w:trPr>
        <w:tc>
          <w:tcPr>
            <w:tcW w:w="2240" w:type="dxa"/>
            <w:vAlign w:val="bottom"/>
          </w:tcPr>
          <w:p>
            <w:pPr>
              <w:spacing w:after="0" w:line="92" w:lineRule="exact"/>
              <w:rPr>
                <w:sz w:val="20"/>
                <w:szCs w:val="20"/>
                <w:color w:val="auto"/>
              </w:rPr>
            </w:pPr>
            <w:r>
              <w:rPr>
                <w:rFonts w:ascii="Arial" w:cs="Arial" w:eastAsia="Arial" w:hAnsi="Arial"/>
                <w:sz w:val="10"/>
                <w:szCs w:val="10"/>
                <w:color w:val="auto"/>
              </w:rPr>
              <w:t>Unproved properties valuation</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915</w:t>
            </w:r>
          </w:p>
        </w:tc>
        <w:tc>
          <w:tcPr>
            <w:tcW w:w="360" w:type="dxa"/>
            <w:vAlign w:val="bottom"/>
          </w:tcPr>
          <w:p>
            <w:pPr>
              <w:spacing w:after="0"/>
              <w:rPr>
                <w:sz w:val="8"/>
                <w:szCs w:val="8"/>
                <w:color w:val="auto"/>
              </w:rPr>
            </w:pPr>
          </w:p>
        </w:tc>
        <w:tc>
          <w:tcPr>
            <w:tcW w:w="660" w:type="dxa"/>
            <w:vAlign w:val="bottom"/>
          </w:tcPr>
          <w:p>
            <w:pPr>
              <w:jc w:val="right"/>
              <w:ind w:right="170"/>
              <w:spacing w:after="0" w:line="92" w:lineRule="exact"/>
              <w:rPr>
                <w:sz w:val="20"/>
                <w:szCs w:val="20"/>
                <w:color w:val="auto"/>
              </w:rPr>
            </w:pPr>
            <w:r>
              <w:rPr>
                <w:rFonts w:ascii="Arial" w:cs="Arial" w:eastAsia="Arial" w:hAnsi="Arial"/>
                <w:sz w:val="10"/>
                <w:szCs w:val="10"/>
                <w:color w:val="auto"/>
              </w:rPr>
              <w:t>391</w:t>
            </w:r>
          </w:p>
        </w:tc>
        <w:tc>
          <w:tcPr>
            <w:tcW w:w="420" w:type="dxa"/>
            <w:vAlign w:val="bottom"/>
          </w:tcPr>
          <w:p>
            <w:pPr>
              <w:spacing w:after="0"/>
              <w:rPr>
                <w:sz w:val="8"/>
                <w:szCs w:val="8"/>
                <w:color w:val="auto"/>
              </w:rPr>
            </w:pPr>
          </w:p>
        </w:tc>
        <w:tc>
          <w:tcPr>
            <w:tcW w:w="600" w:type="dxa"/>
            <w:vAlign w:val="bottom"/>
          </w:tcPr>
          <w:p>
            <w:pPr>
              <w:jc w:val="right"/>
              <w:ind w:right="149"/>
              <w:spacing w:after="0" w:line="92" w:lineRule="exact"/>
              <w:rPr>
                <w:sz w:val="20"/>
                <w:szCs w:val="20"/>
                <w:color w:val="auto"/>
              </w:rPr>
            </w:pPr>
            <w:r>
              <w:rPr>
                <w:rFonts w:ascii="Arial" w:cs="Arial" w:eastAsia="Arial" w:hAnsi="Arial"/>
                <w:sz w:val="10"/>
                <w:szCs w:val="10"/>
                <w:color w:val="auto"/>
              </w:rPr>
              <w:t>163</w:t>
            </w:r>
          </w:p>
        </w:tc>
        <w:tc>
          <w:tcPr>
            <w:tcW w:w="520" w:type="dxa"/>
            <w:vAlign w:val="bottom"/>
          </w:tcPr>
          <w:p>
            <w:pPr>
              <w:spacing w:after="0"/>
              <w:rPr>
                <w:sz w:val="8"/>
                <w:szCs w:val="8"/>
                <w:color w:val="auto"/>
              </w:rPr>
            </w:pPr>
          </w:p>
        </w:tc>
        <w:tc>
          <w:tcPr>
            <w:tcW w:w="540" w:type="dxa"/>
            <w:vAlign w:val="bottom"/>
          </w:tcPr>
          <w:p>
            <w:pPr>
              <w:jc w:val="right"/>
              <w:ind w:right="169"/>
              <w:spacing w:after="0" w:line="92" w:lineRule="exact"/>
              <w:rPr>
                <w:sz w:val="20"/>
                <w:szCs w:val="20"/>
                <w:color w:val="auto"/>
              </w:rPr>
            </w:pPr>
            <w:r>
              <w:rPr>
                <w:rFonts w:ascii="Arial" w:cs="Arial" w:eastAsia="Arial" w:hAnsi="Arial"/>
                <w:sz w:val="10"/>
                <w:szCs w:val="10"/>
                <w:color w:val="auto"/>
              </w:rPr>
              <w:t>170</w:t>
            </w:r>
          </w:p>
        </w:tc>
        <w:tc>
          <w:tcPr>
            <w:tcW w:w="380" w:type="dxa"/>
            <w:vAlign w:val="bottom"/>
          </w:tcPr>
          <w:p>
            <w:pPr>
              <w:spacing w:after="0"/>
              <w:rPr>
                <w:sz w:val="8"/>
                <w:szCs w:val="8"/>
                <w:color w:val="auto"/>
              </w:rPr>
            </w:pPr>
          </w:p>
        </w:tc>
        <w:tc>
          <w:tcPr>
            <w:tcW w:w="660" w:type="dxa"/>
            <w:vAlign w:val="bottom"/>
          </w:tcPr>
          <w:p>
            <w:pPr>
              <w:jc w:val="right"/>
              <w:ind w:right="169"/>
              <w:spacing w:after="0" w:line="92" w:lineRule="exact"/>
              <w:rPr>
                <w:sz w:val="20"/>
                <w:szCs w:val="20"/>
                <w:color w:val="auto"/>
              </w:rPr>
            </w:pPr>
            <w:r>
              <w:rPr>
                <w:rFonts w:ascii="Arial" w:cs="Arial" w:eastAsia="Arial" w:hAnsi="Arial"/>
                <w:sz w:val="10"/>
                <w:szCs w:val="10"/>
                <w:color w:val="auto"/>
              </w:rPr>
              <w:t>1</w:t>
            </w:r>
          </w:p>
        </w:tc>
        <w:tc>
          <w:tcPr>
            <w:tcW w:w="420" w:type="dxa"/>
            <w:vAlign w:val="bottom"/>
          </w:tcPr>
          <w:p>
            <w:pPr>
              <w:spacing w:after="0"/>
              <w:rPr>
                <w:sz w:val="8"/>
                <w:szCs w:val="8"/>
                <w:color w:val="auto"/>
              </w:rPr>
            </w:pPr>
          </w:p>
        </w:tc>
        <w:tc>
          <w:tcPr>
            <w:tcW w:w="480" w:type="dxa"/>
            <w:vAlign w:val="bottom"/>
          </w:tcPr>
          <w:p>
            <w:pPr>
              <w:jc w:val="right"/>
              <w:ind w:right="9"/>
              <w:spacing w:after="0" w:line="92" w:lineRule="exact"/>
              <w:rPr>
                <w:sz w:val="20"/>
                <w:szCs w:val="20"/>
                <w:color w:val="auto"/>
              </w:rPr>
            </w:pPr>
            <w:r>
              <w:rPr>
                <w:rFonts w:ascii="Arial" w:cs="Arial" w:eastAsia="Arial" w:hAnsi="Arial"/>
                <w:sz w:val="10"/>
                <w:szCs w:val="10"/>
                <w:color w:val="auto"/>
              </w:rPr>
              <w:t>(2)</w:t>
            </w:r>
          </w:p>
        </w:tc>
        <w:tc>
          <w:tcPr>
            <w:tcW w:w="520" w:type="dxa"/>
            <w:vAlign w:val="bottom"/>
          </w:tcPr>
          <w:p>
            <w:pPr>
              <w:spacing w:after="0"/>
              <w:rPr>
                <w:sz w:val="8"/>
                <w:szCs w:val="8"/>
                <w:color w:val="auto"/>
              </w:rPr>
            </w:pPr>
          </w:p>
        </w:tc>
        <w:tc>
          <w:tcPr>
            <w:tcW w:w="880" w:type="dxa"/>
            <w:vAlign w:val="bottom"/>
            <w:gridSpan w:val="2"/>
          </w:tcPr>
          <w:p>
            <w:pPr>
              <w:jc w:val="right"/>
              <w:ind w:right="460"/>
              <w:spacing w:after="0" w:line="92" w:lineRule="exact"/>
              <w:rPr>
                <w:sz w:val="20"/>
                <w:szCs w:val="20"/>
                <w:color w:val="auto"/>
              </w:rPr>
            </w:pPr>
            <w:r>
              <w:rPr>
                <w:rFonts w:ascii="Arial" w:cs="Arial" w:eastAsia="Arial" w:hAnsi="Arial"/>
                <w:sz w:val="10"/>
                <w:szCs w:val="10"/>
                <w:color w:val="auto"/>
              </w:rPr>
              <w:t>1,638</w:t>
            </w:r>
          </w:p>
        </w:tc>
        <w:tc>
          <w:tcPr>
            <w:tcW w:w="200" w:type="dxa"/>
            <w:vAlign w:val="bottom"/>
          </w:tcPr>
          <w:p>
            <w:pPr>
              <w:spacing w:after="0"/>
              <w:rPr>
                <w:sz w:val="8"/>
                <w:szCs w:val="8"/>
                <w:color w:val="auto"/>
              </w:rPr>
            </w:pPr>
          </w:p>
        </w:tc>
        <w:tc>
          <w:tcPr>
            <w:tcW w:w="500" w:type="dxa"/>
            <w:vAlign w:val="bottom"/>
          </w:tcPr>
          <w:p>
            <w:pPr>
              <w:jc w:val="right"/>
              <w:ind w:right="69"/>
              <w:spacing w:after="0" w:line="92" w:lineRule="exact"/>
              <w:rPr>
                <w:sz w:val="20"/>
                <w:szCs w:val="20"/>
                <w:color w:val="auto"/>
              </w:rPr>
            </w:pPr>
            <w:r>
              <w:rPr>
                <w:rFonts w:ascii="Arial" w:cs="Arial" w:eastAsia="Arial" w:hAnsi="Arial"/>
                <w:sz w:val="10"/>
                <w:szCs w:val="10"/>
                <w:color w:val="auto"/>
              </w:rPr>
              <w:t>32</w:t>
            </w:r>
          </w:p>
        </w:tc>
        <w:tc>
          <w:tcPr>
            <w:tcW w:w="520" w:type="dxa"/>
            <w:vAlign w:val="bottom"/>
          </w:tcPr>
          <w:p>
            <w:pPr>
              <w:spacing w:after="0"/>
              <w:rPr>
                <w:sz w:val="8"/>
                <w:szCs w:val="8"/>
                <w:color w:val="auto"/>
              </w:rPr>
            </w:pPr>
          </w:p>
        </w:tc>
        <w:tc>
          <w:tcPr>
            <w:tcW w:w="36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r>
      <w:tr>
        <w:trPr>
          <w:trHeight w:val="106"/>
        </w:trPr>
        <w:tc>
          <w:tcPr>
            <w:tcW w:w="2240" w:type="dxa"/>
            <w:vAlign w:val="bottom"/>
          </w:tcPr>
          <w:p>
            <w:pPr>
              <w:spacing w:after="0" w:line="106" w:lineRule="exact"/>
              <w:rPr>
                <w:sz w:val="20"/>
                <w:szCs w:val="20"/>
                <w:color w:val="auto"/>
              </w:rPr>
            </w:pPr>
            <w:r>
              <w:rPr>
                <w:rFonts w:ascii="Arial" w:cs="Arial" w:eastAsia="Arial" w:hAnsi="Arial"/>
                <w:sz w:val="10"/>
                <w:szCs w:val="10"/>
                <w:color w:val="auto"/>
              </w:rPr>
              <w:t>Proved producing properties – Depreciation and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6"/>
        </w:trPr>
        <w:tc>
          <w:tcPr>
            <w:tcW w:w="2240" w:type="dxa"/>
            <w:vAlign w:val="bottom"/>
          </w:tcPr>
          <w:p>
            <w:pPr>
              <w:ind w:left="140"/>
              <w:spacing w:after="0" w:line="106" w:lineRule="exact"/>
              <w:rPr>
                <w:sz w:val="20"/>
                <w:szCs w:val="20"/>
                <w:color w:val="auto"/>
              </w:rPr>
            </w:pPr>
            <w:r>
              <w:rPr>
                <w:rFonts w:ascii="Arial" w:cs="Arial" w:eastAsia="Arial" w:hAnsi="Arial"/>
                <w:sz w:val="10"/>
                <w:szCs w:val="10"/>
                <w:color w:val="auto"/>
              </w:rPr>
              <w:t>depletion</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34,574</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3,182</w:t>
            </w:r>
          </w:p>
        </w:tc>
        <w:tc>
          <w:tcPr>
            <w:tcW w:w="42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8,823</w:t>
            </w:r>
          </w:p>
        </w:tc>
        <w:tc>
          <w:tcPr>
            <w:tcW w:w="520" w:type="dxa"/>
            <w:vAlign w:val="bottom"/>
          </w:tcPr>
          <w:p>
            <w:pPr>
              <w:spacing w:after="0"/>
              <w:rPr>
                <w:sz w:val="9"/>
                <w:szCs w:val="9"/>
                <w:color w:val="auto"/>
              </w:rPr>
            </w:pPr>
          </w:p>
        </w:tc>
        <w:tc>
          <w:tcPr>
            <w:tcW w:w="540" w:type="dxa"/>
            <w:vAlign w:val="bottom"/>
          </w:tcPr>
          <w:p>
            <w:pPr>
              <w:jc w:val="right"/>
              <w:ind w:right="169"/>
              <w:spacing w:after="0" w:line="106" w:lineRule="exact"/>
              <w:rPr>
                <w:sz w:val="20"/>
                <w:szCs w:val="20"/>
                <w:color w:val="auto"/>
              </w:rPr>
            </w:pPr>
            <w:r>
              <w:rPr>
                <w:rFonts w:ascii="Arial" w:cs="Arial" w:eastAsia="Arial" w:hAnsi="Arial"/>
                <w:sz w:val="10"/>
                <w:szCs w:val="10"/>
                <w:color w:val="auto"/>
                <w:w w:val="97"/>
              </w:rPr>
              <w:t>15,783</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1,579</w:t>
            </w:r>
          </w:p>
        </w:tc>
        <w:tc>
          <w:tcPr>
            <w:tcW w:w="420" w:type="dxa"/>
            <w:vAlign w:val="bottom"/>
          </w:tcPr>
          <w:p>
            <w:pPr>
              <w:spacing w:after="0"/>
              <w:rPr>
                <w:sz w:val="9"/>
                <w:szCs w:val="9"/>
                <w:color w:val="auto"/>
              </w:rPr>
            </w:pP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6,482</w:t>
            </w:r>
          </w:p>
        </w:tc>
        <w:tc>
          <w:tcPr>
            <w:tcW w:w="520" w:type="dxa"/>
            <w:vAlign w:val="bottom"/>
          </w:tcPr>
          <w:p>
            <w:pPr>
              <w:spacing w:after="0"/>
              <w:rPr>
                <w:sz w:val="9"/>
                <w:szCs w:val="9"/>
                <w:color w:val="auto"/>
              </w:rPr>
            </w:pP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70,423</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1,150</w:t>
            </w:r>
          </w:p>
        </w:tc>
        <w:tc>
          <w:tcPr>
            <w:tcW w:w="5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282</w:t>
            </w:r>
          </w:p>
        </w:tc>
        <w:tc>
          <w:tcPr>
            <w:tcW w:w="120" w:type="dxa"/>
            <w:vAlign w:val="bottom"/>
          </w:tcPr>
          <w:p>
            <w:pPr>
              <w:spacing w:after="0"/>
              <w:rPr>
                <w:sz w:val="9"/>
                <w:szCs w:val="9"/>
                <w:color w:val="auto"/>
              </w:rPr>
            </w:pPr>
          </w:p>
        </w:tc>
      </w:tr>
      <w:tr>
        <w:trPr>
          <w:trHeight w:val="118"/>
        </w:trPr>
        <w:tc>
          <w:tcPr>
            <w:tcW w:w="2240" w:type="dxa"/>
            <w:vAlign w:val="bottom"/>
          </w:tcPr>
          <w:p>
            <w:pPr>
              <w:spacing w:after="0"/>
              <w:rPr>
                <w:sz w:val="20"/>
                <w:szCs w:val="20"/>
                <w:color w:val="auto"/>
              </w:rPr>
            </w:pPr>
            <w:r>
              <w:rPr>
                <w:rFonts w:ascii="Arial" w:cs="Arial" w:eastAsia="Arial" w:hAnsi="Arial"/>
                <w:sz w:val="10"/>
                <w:szCs w:val="10"/>
                <w:color w:val="auto"/>
              </w:rPr>
              <w:t>Support equipment depreciation</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424</w:t>
            </w:r>
          </w:p>
        </w:tc>
        <w:tc>
          <w:tcPr>
            <w:tcW w:w="360" w:type="dxa"/>
            <w:vAlign w:val="bottom"/>
          </w:tcPr>
          <w:p>
            <w:pPr>
              <w:spacing w:after="0"/>
              <w:rPr>
                <w:sz w:val="10"/>
                <w:szCs w:val="10"/>
                <w:color w:val="auto"/>
              </w:rPr>
            </w:pPr>
          </w:p>
        </w:tc>
        <w:tc>
          <w:tcPr>
            <w:tcW w:w="660" w:type="dxa"/>
            <w:vAlign w:val="bottom"/>
          </w:tcPr>
          <w:p>
            <w:pPr>
              <w:jc w:val="right"/>
              <w:ind w:right="170"/>
              <w:spacing w:after="0"/>
              <w:rPr>
                <w:sz w:val="20"/>
                <w:szCs w:val="20"/>
                <w:color w:val="auto"/>
              </w:rPr>
            </w:pPr>
            <w:r>
              <w:rPr>
                <w:rFonts w:ascii="Arial" w:cs="Arial" w:eastAsia="Arial" w:hAnsi="Arial"/>
                <w:sz w:val="10"/>
                <w:szCs w:val="10"/>
                <w:color w:val="auto"/>
              </w:rPr>
              <w:t>197</w:t>
            </w:r>
          </w:p>
        </w:tc>
        <w:tc>
          <w:tcPr>
            <w:tcW w:w="420" w:type="dxa"/>
            <w:vAlign w:val="bottom"/>
          </w:tcPr>
          <w:p>
            <w:pPr>
              <w:spacing w:after="0"/>
              <w:rPr>
                <w:sz w:val="10"/>
                <w:szCs w:val="10"/>
                <w:color w:val="auto"/>
              </w:rPr>
            </w:pPr>
          </w:p>
        </w:tc>
        <w:tc>
          <w:tcPr>
            <w:tcW w:w="600" w:type="dxa"/>
            <w:vAlign w:val="bottom"/>
          </w:tcPr>
          <w:p>
            <w:pPr>
              <w:jc w:val="right"/>
              <w:ind w:right="149"/>
              <w:spacing w:after="0"/>
              <w:rPr>
                <w:sz w:val="20"/>
                <w:szCs w:val="20"/>
                <w:color w:val="auto"/>
              </w:rPr>
            </w:pPr>
            <w:r>
              <w:rPr>
                <w:rFonts w:ascii="Arial" w:cs="Arial" w:eastAsia="Arial" w:hAnsi="Arial"/>
                <w:sz w:val="10"/>
                <w:szCs w:val="10"/>
                <w:color w:val="auto"/>
              </w:rPr>
              <w:t>526</w:t>
            </w:r>
          </w:p>
        </w:tc>
        <w:tc>
          <w:tcPr>
            <w:tcW w:w="520" w:type="dxa"/>
            <w:vAlign w:val="bottom"/>
          </w:tcPr>
          <w:p>
            <w:pPr>
              <w:spacing w:after="0"/>
              <w:rPr>
                <w:sz w:val="10"/>
                <w:szCs w:val="10"/>
                <w:color w:val="auto"/>
              </w:rPr>
            </w:pPr>
          </w:p>
        </w:tc>
        <w:tc>
          <w:tcPr>
            <w:tcW w:w="540" w:type="dxa"/>
            <w:vAlign w:val="bottom"/>
          </w:tcPr>
          <w:p>
            <w:pPr>
              <w:jc w:val="right"/>
              <w:ind w:right="169"/>
              <w:spacing w:after="0"/>
              <w:rPr>
                <w:sz w:val="20"/>
                <w:szCs w:val="20"/>
                <w:color w:val="auto"/>
              </w:rPr>
            </w:pPr>
            <w:r>
              <w:rPr>
                <w:rFonts w:ascii="Arial" w:cs="Arial" w:eastAsia="Arial" w:hAnsi="Arial"/>
                <w:sz w:val="10"/>
                <w:szCs w:val="10"/>
                <w:color w:val="auto"/>
              </w:rPr>
              <w:t>773</w:t>
            </w:r>
          </w:p>
        </w:tc>
        <w:tc>
          <w:tcPr>
            <w:tcW w:w="380" w:type="dxa"/>
            <w:vAlign w:val="bottom"/>
          </w:tcPr>
          <w:p>
            <w:pPr>
              <w:spacing w:after="0"/>
              <w:rPr>
                <w:sz w:val="10"/>
                <w:szCs w:val="10"/>
                <w:color w:val="auto"/>
              </w:rPr>
            </w:pPr>
          </w:p>
        </w:tc>
        <w:tc>
          <w:tcPr>
            <w:tcW w:w="660" w:type="dxa"/>
            <w:vAlign w:val="bottom"/>
          </w:tcPr>
          <w:p>
            <w:pPr>
              <w:jc w:val="right"/>
              <w:ind w:right="169"/>
              <w:spacing w:after="0"/>
              <w:rPr>
                <w:sz w:val="20"/>
                <w:szCs w:val="20"/>
                <w:color w:val="auto"/>
              </w:rPr>
            </w:pPr>
            <w:r>
              <w:rPr>
                <w:rFonts w:ascii="Arial" w:cs="Arial" w:eastAsia="Arial" w:hAnsi="Arial"/>
                <w:sz w:val="10"/>
                <w:szCs w:val="10"/>
                <w:color w:val="auto"/>
              </w:rPr>
              <w:t>58</w:t>
            </w:r>
          </w:p>
        </w:tc>
        <w:tc>
          <w:tcPr>
            <w:tcW w:w="420" w:type="dxa"/>
            <w:vAlign w:val="bottom"/>
          </w:tcPr>
          <w:p>
            <w:pPr>
              <w:spacing w:after="0"/>
              <w:rPr>
                <w:sz w:val="10"/>
                <w:szCs w:val="10"/>
                <w:color w:val="auto"/>
              </w:rPr>
            </w:pPr>
          </w:p>
        </w:tc>
        <w:tc>
          <w:tcPr>
            <w:tcW w:w="480" w:type="dxa"/>
            <w:vAlign w:val="bottom"/>
          </w:tcPr>
          <w:p>
            <w:pPr>
              <w:jc w:val="right"/>
              <w:ind w:right="29"/>
              <w:spacing w:after="0"/>
              <w:rPr>
                <w:sz w:val="20"/>
                <w:szCs w:val="20"/>
                <w:color w:val="auto"/>
              </w:rPr>
            </w:pPr>
            <w:r>
              <w:rPr>
                <w:rFonts w:ascii="Arial" w:cs="Arial" w:eastAsia="Arial" w:hAnsi="Arial"/>
                <w:sz w:val="10"/>
                <w:szCs w:val="10"/>
                <w:color w:val="auto"/>
              </w:rPr>
              <w:t>102</w:t>
            </w:r>
          </w:p>
        </w:tc>
        <w:tc>
          <w:tcPr>
            <w:tcW w:w="52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color w:val="auto"/>
              </w:rPr>
              <w:t>2,080</w:t>
            </w:r>
          </w:p>
        </w:tc>
        <w:tc>
          <w:tcPr>
            <w:tcW w:w="200" w:type="dxa"/>
            <w:vAlign w:val="bottom"/>
          </w:tcPr>
          <w:p>
            <w:pPr>
              <w:spacing w:after="0"/>
              <w:rPr>
                <w:sz w:val="10"/>
                <w:szCs w:val="10"/>
                <w:color w:val="auto"/>
              </w:rPr>
            </w:pPr>
          </w:p>
        </w:tc>
        <w:tc>
          <w:tcPr>
            <w:tcW w:w="500" w:type="dxa"/>
            <w:vAlign w:val="bottom"/>
          </w:tcPr>
          <w:p>
            <w:pPr>
              <w:jc w:val="right"/>
              <w:ind w:right="69"/>
              <w:spacing w:after="0"/>
              <w:rPr>
                <w:sz w:val="20"/>
                <w:szCs w:val="20"/>
                <w:color w:val="auto"/>
              </w:rPr>
            </w:pPr>
            <w:r>
              <w:rPr>
                <w:rFonts w:ascii="Arial" w:cs="Arial" w:eastAsia="Arial" w:hAnsi="Arial"/>
                <w:sz w:val="10"/>
                <w:szCs w:val="10"/>
                <w:color w:val="auto"/>
              </w:rPr>
              <w:t>356</w:t>
            </w:r>
          </w:p>
        </w:tc>
        <w:tc>
          <w:tcPr>
            <w:tcW w:w="52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r>
      <w:tr>
        <w:trPr>
          <w:trHeight w:val="105"/>
        </w:trPr>
        <w:tc>
          <w:tcPr>
            <w:tcW w:w="224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Accumulated provisions</w:t>
            </w:r>
          </w:p>
        </w:tc>
        <w:tc>
          <w:tcPr>
            <w:tcW w:w="280" w:type="dxa"/>
            <w:vAlign w:val="bottom"/>
            <w:tcBorders>
              <w:top w:val="single" w:sz="8" w:color="0077C0"/>
              <w:bottom w:val="single" w:sz="8" w:color="0077C0"/>
            </w:tcBorders>
          </w:tcPr>
          <w:p>
            <w:pPr>
              <w:spacing w:after="0"/>
              <w:rPr>
                <w:sz w:val="9"/>
                <w:szCs w:val="9"/>
                <w:color w:val="auto"/>
              </w:rPr>
            </w:pPr>
          </w:p>
        </w:tc>
        <w:tc>
          <w:tcPr>
            <w:tcW w:w="18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35,913</w:t>
            </w:r>
          </w:p>
        </w:tc>
        <w:tc>
          <w:tcPr>
            <w:tcW w:w="36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3,770</w:t>
            </w:r>
          </w:p>
        </w:tc>
        <w:tc>
          <w:tcPr>
            <w:tcW w:w="420" w:type="dxa"/>
            <w:vAlign w:val="bottom"/>
            <w:tcBorders>
              <w:top w:val="single" w:sz="8" w:color="0077C0"/>
              <w:bottom w:val="single" w:sz="8" w:color="0077C0"/>
            </w:tcBorders>
          </w:tcPr>
          <w:p>
            <w:pPr>
              <w:spacing w:after="0"/>
              <w:rPr>
                <w:sz w:val="9"/>
                <w:szCs w:val="9"/>
                <w:color w:val="auto"/>
              </w:rPr>
            </w:pPr>
          </w:p>
        </w:tc>
        <w:tc>
          <w:tcPr>
            <w:tcW w:w="600" w:type="dxa"/>
            <w:vAlign w:val="bottom"/>
            <w:tcBorders>
              <w:top w:val="single" w:sz="8" w:color="0077C0"/>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9,512</w:t>
            </w:r>
          </w:p>
        </w:tc>
        <w:tc>
          <w:tcPr>
            <w:tcW w:w="520" w:type="dxa"/>
            <w:vAlign w:val="bottom"/>
            <w:tcBorders>
              <w:top w:val="single" w:sz="8" w:color="0077C0"/>
              <w:bottom w:val="single" w:sz="8" w:color="0077C0"/>
            </w:tcBorders>
          </w:tcPr>
          <w:p>
            <w:pPr>
              <w:spacing w:after="0"/>
              <w:rPr>
                <w:sz w:val="9"/>
                <w:szCs w:val="9"/>
                <w:color w:val="auto"/>
              </w:rPr>
            </w:pPr>
          </w:p>
        </w:tc>
        <w:tc>
          <w:tcPr>
            <w:tcW w:w="54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16,726</w:t>
            </w:r>
          </w:p>
        </w:tc>
        <w:tc>
          <w:tcPr>
            <w:tcW w:w="38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1,638</w:t>
            </w:r>
          </w:p>
        </w:tc>
        <w:tc>
          <w:tcPr>
            <w:tcW w:w="420" w:type="dxa"/>
            <w:vAlign w:val="bottom"/>
            <w:tcBorders>
              <w:top w:val="single" w:sz="8" w:color="0077C0"/>
              <w:bottom w:val="single" w:sz="8" w:color="0077C0"/>
            </w:tcBorders>
          </w:tcPr>
          <w:p>
            <w:pPr>
              <w:spacing w:after="0"/>
              <w:rPr>
                <w:sz w:val="9"/>
                <w:szCs w:val="9"/>
                <w:color w:val="auto"/>
              </w:rPr>
            </w:pPr>
          </w:p>
        </w:tc>
        <w:tc>
          <w:tcPr>
            <w:tcW w:w="48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6,582</w:t>
            </w:r>
          </w:p>
        </w:tc>
        <w:tc>
          <w:tcPr>
            <w:tcW w:w="520" w:type="dxa"/>
            <w:vAlign w:val="bottom"/>
            <w:tcBorders>
              <w:top w:val="single" w:sz="8" w:color="0077C0"/>
              <w:bottom w:val="single" w:sz="8" w:color="0077C0"/>
            </w:tcBorders>
          </w:tcPr>
          <w:p>
            <w:pPr>
              <w:spacing w:after="0"/>
              <w:rPr>
                <w:sz w:val="9"/>
                <w:szCs w:val="9"/>
                <w:color w:val="auto"/>
              </w:rPr>
            </w:pPr>
          </w:p>
        </w:tc>
        <w:tc>
          <w:tcPr>
            <w:tcW w:w="88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74,141</w:t>
            </w:r>
          </w:p>
        </w:tc>
        <w:tc>
          <w:tcPr>
            <w:tcW w:w="200" w:type="dxa"/>
            <w:vAlign w:val="bottom"/>
            <w:tcBorders>
              <w:top w:val="single" w:sz="8" w:color="0077C0"/>
              <w:bottom w:val="single" w:sz="8" w:color="0077C0"/>
            </w:tcBorders>
          </w:tcPr>
          <w:p>
            <w:pPr>
              <w:spacing w:after="0"/>
              <w:rPr>
                <w:sz w:val="9"/>
                <w:szCs w:val="9"/>
                <w:color w:val="auto"/>
              </w:rPr>
            </w:pPr>
          </w:p>
        </w:tc>
        <w:tc>
          <w:tcPr>
            <w:tcW w:w="5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1,538</w:t>
            </w:r>
          </w:p>
        </w:tc>
        <w:tc>
          <w:tcPr>
            <w:tcW w:w="52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282</w:t>
            </w:r>
          </w:p>
        </w:tc>
        <w:tc>
          <w:tcPr>
            <w:tcW w:w="120" w:type="dxa"/>
            <w:vAlign w:val="bottom"/>
          </w:tcPr>
          <w:p>
            <w:pPr>
              <w:spacing w:after="0"/>
              <w:rPr>
                <w:sz w:val="9"/>
                <w:szCs w:val="9"/>
                <w:color w:val="auto"/>
              </w:rPr>
            </w:pPr>
          </w:p>
        </w:tc>
      </w:tr>
      <w:tr>
        <w:trPr>
          <w:trHeight w:val="114"/>
        </w:trPr>
        <w:tc>
          <w:tcPr>
            <w:tcW w:w="224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Net Capitalized Costs</w:t>
            </w:r>
          </w:p>
        </w:tc>
        <w:tc>
          <w:tcPr>
            <w:tcW w:w="460" w:type="dxa"/>
            <w:vAlign w:val="bottom"/>
            <w:tcBorders>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21,945</w:t>
            </w:r>
          </w:p>
        </w:tc>
        <w:tc>
          <w:tcPr>
            <w:tcW w:w="36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70"/>
              <w:spacing w:after="0" w:line="105" w:lineRule="exact"/>
              <w:rPr>
                <w:sz w:val="20"/>
                <w:szCs w:val="20"/>
                <w:color w:val="auto"/>
              </w:rPr>
            </w:pPr>
            <w:r>
              <w:rPr>
                <w:rFonts w:ascii="Arial" w:cs="Arial" w:eastAsia="Arial" w:hAnsi="Arial"/>
                <w:sz w:val="10"/>
                <w:szCs w:val="10"/>
                <w:color w:val="auto"/>
              </w:rPr>
              <w:t>7,854</w:t>
            </w:r>
          </w:p>
        </w:tc>
        <w:tc>
          <w:tcPr>
            <w:tcW w:w="42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00" w:type="dxa"/>
            <w:vAlign w:val="bottom"/>
            <w:tcBorders>
              <w:bottom w:val="single" w:sz="8" w:color="0077C0"/>
            </w:tcBorders>
          </w:tcPr>
          <w:p>
            <w:pPr>
              <w:jc w:val="right"/>
              <w:ind w:right="149"/>
              <w:spacing w:after="0" w:line="105" w:lineRule="exact"/>
              <w:rPr>
                <w:sz w:val="20"/>
                <w:szCs w:val="20"/>
                <w:color w:val="auto"/>
              </w:rPr>
            </w:pPr>
            <w:r>
              <w:rPr>
                <w:rFonts w:ascii="Arial" w:cs="Arial" w:eastAsia="Arial" w:hAnsi="Arial"/>
                <w:sz w:val="10"/>
                <w:szCs w:val="10"/>
                <w:color w:val="auto"/>
              </w:rPr>
              <w:t>17,351</w:t>
            </w:r>
          </w:p>
        </w:tc>
        <w:tc>
          <w:tcPr>
            <w:tcW w:w="52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w w:val="97"/>
              </w:rPr>
              <w:t>20,794</w:t>
            </w:r>
          </w:p>
        </w:tc>
        <w:tc>
          <w:tcPr>
            <w:tcW w:w="380" w:type="dxa"/>
            <w:vAlign w:val="bottom"/>
            <w:tcBorders>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ind w:right="169"/>
              <w:spacing w:after="0" w:line="105" w:lineRule="exact"/>
              <w:rPr>
                <w:sz w:val="20"/>
                <w:szCs w:val="20"/>
                <w:color w:val="auto"/>
              </w:rPr>
            </w:pPr>
            <w:r>
              <w:rPr>
                <w:rFonts w:ascii="Arial" w:cs="Arial" w:eastAsia="Arial" w:hAnsi="Arial"/>
                <w:sz w:val="10"/>
                <w:szCs w:val="10"/>
                <w:color w:val="auto"/>
              </w:rPr>
              <w:t>2,752</w:t>
            </w:r>
          </w:p>
        </w:tc>
        <w:tc>
          <w:tcPr>
            <w:tcW w:w="42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2,715</w:t>
            </w:r>
          </w:p>
        </w:tc>
        <w:tc>
          <w:tcPr>
            <w:tcW w:w="520" w:type="dxa"/>
            <w:vAlign w:val="bottom"/>
            <w:tcBorders>
              <w:bottom w:val="single" w:sz="8" w:color="0077C0"/>
            </w:tcBorders>
          </w:tcPr>
          <w:p>
            <w:pPr>
              <w:jc w:val="right"/>
              <w:ind w:right="51"/>
              <w:spacing w:after="0" w:line="105"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73,411</w:t>
            </w:r>
          </w:p>
        </w:tc>
        <w:tc>
          <w:tcPr>
            <w:tcW w:w="200" w:type="dxa"/>
            <w:vAlign w:val="bottom"/>
            <w:tcBorders>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6,210</w:t>
            </w:r>
          </w:p>
        </w:tc>
        <w:tc>
          <w:tcPr>
            <w:tcW w:w="520" w:type="dxa"/>
            <w:vAlign w:val="bottom"/>
            <w:tcBorders>
              <w:bottom w:val="single" w:sz="8" w:color="0077C0"/>
            </w:tcBorders>
          </w:tcPr>
          <w:p>
            <w:pPr>
              <w:jc w:val="right"/>
              <w:ind w:right="91"/>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1,535</w:t>
            </w:r>
          </w:p>
        </w:tc>
        <w:tc>
          <w:tcPr>
            <w:tcW w:w="120" w:type="dxa"/>
            <w:vAlign w:val="bottom"/>
          </w:tcPr>
          <w:p>
            <w:pPr>
              <w:spacing w:after="0"/>
              <w:rPr>
                <w:sz w:val="9"/>
                <w:szCs w:val="9"/>
                <w:color w:val="auto"/>
              </w:rPr>
            </w:pPr>
          </w:p>
        </w:tc>
      </w:tr>
      <w:tr>
        <w:trPr>
          <w:trHeight w:val="241"/>
        </w:trPr>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FS-64</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7"/>
        </w:trPr>
        <w:tc>
          <w:tcPr>
            <w:tcW w:w="22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105" w:name="page106"/>
    <w:bookmarkEnd w:id="105"/>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762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Table III </w:t>
      </w:r>
      <w:r>
        <w:rPr>
          <w:rFonts w:ascii="Arial" w:cs="Arial" w:eastAsia="Arial" w:hAnsi="Arial"/>
          <w:sz w:val="10"/>
          <w:szCs w:val="10"/>
          <w:color w:val="000000"/>
        </w:rPr>
        <w:t>Results of Operations for Oil and</w:t>
      </w:r>
    </w:p>
    <w:p>
      <w:pPr>
        <w:ind w:left="523"/>
        <w:spacing w:after="0" w:line="234" w:lineRule="auto"/>
        <w:rPr>
          <w:sz w:val="20"/>
          <w:szCs w:val="20"/>
          <w:color w:val="auto"/>
        </w:rPr>
      </w:pPr>
      <w:r>
        <w:rPr>
          <w:rFonts w:ascii="Arial" w:cs="Arial" w:eastAsia="Arial" w:hAnsi="Arial"/>
          <w:sz w:val="10"/>
          <w:szCs w:val="10"/>
          <w:color w:val="auto"/>
        </w:rPr>
        <w:t>Gas Producing Activities</w:t>
      </w:r>
      <w:r>
        <w:rPr>
          <w:rFonts w:ascii="Arial" w:cs="Arial" w:eastAsia="Arial" w:hAnsi="Arial"/>
          <w:sz w:val="17"/>
          <w:szCs w:val="17"/>
          <w:color w:val="auto"/>
          <w:vertAlign w:val="superscript"/>
        </w:rPr>
        <w:t>1</w:t>
      </w:r>
    </w:p>
    <w:p>
      <w:pPr>
        <w:sectPr>
          <w:pgSz w:w="11900" w:h="16838" w:orient="portrait"/>
          <w:cols w:equalWidth="0" w:num="1">
            <w:col w:w="11403"/>
          </w:cols>
          <w:pgMar w:left="217" w:top="338" w:right="279" w:bottom="1440" w:gutter="0" w:footer="0" w:header="0"/>
        </w:sectPr>
      </w:pPr>
    </w:p>
    <w:p>
      <w:pPr>
        <w:spacing w:after="0" w:line="271" w:lineRule="exact"/>
        <w:rPr>
          <w:sz w:val="20"/>
          <w:szCs w:val="20"/>
          <w:color w:val="auto"/>
        </w:rPr>
      </w:pPr>
    </w:p>
    <w:p>
      <w:pPr>
        <w:jc w:val="both"/>
        <w:ind w:left="3" w:firstLine="158"/>
        <w:spacing w:after="0" w:line="288" w:lineRule="auto"/>
        <w:rPr>
          <w:sz w:val="20"/>
          <w:szCs w:val="20"/>
          <w:color w:val="auto"/>
        </w:rPr>
      </w:pPr>
      <w:r>
        <w:rPr>
          <w:rFonts w:ascii="Arial" w:cs="Arial" w:eastAsia="Arial" w:hAnsi="Arial"/>
          <w:sz w:val="12"/>
          <w:szCs w:val="12"/>
          <w:color w:val="auto"/>
        </w:rPr>
        <w:t>The company’s results of operations from oil and gas producing activities for the years 2011, 2010 and 2009 are shown in the following table. Net income from exploration and production activities as reported on page FS-38 reflects income taxes computed on an effective rate basis.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Income taxes in Table III are based on statutory tax rates, reflecting allowable deductions and tax credits. Interest income and expense are excluded from the results reported in Table III and from the net income amounts on page FS-38.</w:t>
      </w:r>
    </w:p>
    <w:p>
      <w:pPr>
        <w:spacing w:after="0" w:line="218" w:lineRule="exact"/>
        <w:rPr>
          <w:sz w:val="20"/>
          <w:szCs w:val="20"/>
          <w:color w:val="auto"/>
        </w:rPr>
      </w:pPr>
    </w:p>
    <w:p>
      <w:pPr>
        <w:sectPr>
          <w:pgSz w:w="11900" w:h="16838" w:orient="portrait"/>
          <w:cols w:equalWidth="0" w:num="2">
            <w:col w:w="5423" w:space="540"/>
            <w:col w:w="5440"/>
          </w:cols>
          <w:pgMar w:left="217" w:top="338" w:right="279" w:bottom="1440" w:gutter="0" w:footer="0" w:header="0"/>
          <w:type w:val="continuous"/>
        </w:sectPr>
      </w:pPr>
    </w:p>
    <w:p>
      <w:pPr>
        <w:spacing w:after="0" w:line="41"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9"/>
                <w:szCs w:val="9"/>
                <w:color w:val="auto"/>
                <w:w w:val="91"/>
              </w:rPr>
              <w:t>Consolidated Companies</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9"/>
                <w:szCs w:val="9"/>
                <w:color w:val="auto"/>
              </w:rPr>
              <w:t>Affiliated Companies</w:t>
            </w: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jc w:val="right"/>
              <w:ind w:right="189"/>
              <w:spacing w:after="0" w:line="75" w:lineRule="exact"/>
              <w:rPr>
                <w:sz w:val="20"/>
                <w:szCs w:val="20"/>
                <w:color w:val="auto"/>
              </w:rPr>
            </w:pPr>
            <w:r>
              <w:rPr>
                <w:rFonts w:ascii="Arial" w:cs="Arial" w:eastAsia="Arial" w:hAnsi="Arial"/>
                <w:sz w:val="8"/>
                <w:szCs w:val="8"/>
                <w:color w:val="auto"/>
              </w:rPr>
              <w:t>Other</w:t>
            </w:r>
          </w:p>
        </w:tc>
        <w:tc>
          <w:tcPr>
            <w:tcW w:w="4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8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20" w:type="dxa"/>
            <w:vAlign w:val="bottom"/>
          </w:tcPr>
          <w:p>
            <w:pPr>
              <w:spacing w:after="0"/>
              <w:rPr>
                <w:sz w:val="20"/>
                <w:szCs w:val="20"/>
                <w:color w:val="auto"/>
              </w:rPr>
            </w:pPr>
            <w:r>
              <w:rPr>
                <w:rFonts w:ascii="Arial" w:cs="Arial" w:eastAsia="Arial" w:hAnsi="Arial"/>
                <w:sz w:val="9"/>
                <w:szCs w:val="9"/>
                <w:i w:val="1"/>
                <w:iCs w:val="1"/>
                <w:color w:val="auto"/>
              </w:rPr>
              <w:t>Millions of dollars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Pr>
          <w:p>
            <w:pPr>
              <w:spacing w:after="0"/>
              <w:rPr>
                <w:sz w:val="9"/>
                <w:szCs w:val="9"/>
                <w:color w:val="auto"/>
              </w:rPr>
            </w:pPr>
          </w:p>
        </w:tc>
        <w:tc>
          <w:tcPr>
            <w:tcW w:w="680" w:type="dxa"/>
            <w:vAlign w:val="bottom"/>
          </w:tcPr>
          <w:p>
            <w:pPr>
              <w:jc w:val="right"/>
              <w:ind w:right="189"/>
              <w:spacing w:after="0"/>
              <w:rPr>
                <w:sz w:val="20"/>
                <w:szCs w:val="20"/>
                <w:color w:val="auto"/>
              </w:rPr>
            </w:pPr>
            <w:r>
              <w:rPr>
                <w:rFonts w:ascii="Arial" w:cs="Arial" w:eastAsia="Arial" w:hAnsi="Arial"/>
                <w:sz w:val="9"/>
                <w:szCs w:val="9"/>
                <w:color w:val="auto"/>
              </w:rPr>
              <w:t>Americas</w:t>
            </w:r>
          </w:p>
        </w:tc>
        <w:tc>
          <w:tcPr>
            <w:tcW w:w="40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Africa</w:t>
            </w:r>
          </w:p>
        </w:tc>
        <w:tc>
          <w:tcPr>
            <w:tcW w:w="40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Asia</w:t>
            </w:r>
          </w:p>
        </w:tc>
        <w:tc>
          <w:tcPr>
            <w:tcW w:w="360" w:type="dxa"/>
            <w:vAlign w:val="bottom"/>
          </w:tcPr>
          <w:p>
            <w:pPr>
              <w:spacing w:after="0"/>
              <w:rPr>
                <w:sz w:val="9"/>
                <w:szCs w:val="9"/>
                <w:color w:val="auto"/>
              </w:rPr>
            </w:pPr>
          </w:p>
        </w:tc>
        <w:tc>
          <w:tcPr>
            <w:tcW w:w="680" w:type="dxa"/>
            <w:vAlign w:val="bottom"/>
          </w:tcPr>
          <w:p>
            <w:pPr>
              <w:jc w:val="right"/>
              <w:ind w:right="189"/>
              <w:spacing w:after="0"/>
              <w:rPr>
                <w:sz w:val="20"/>
                <w:szCs w:val="20"/>
                <w:color w:val="auto"/>
              </w:rPr>
            </w:pPr>
            <w:r>
              <w:rPr>
                <w:rFonts w:ascii="Arial" w:cs="Arial" w:eastAsia="Arial" w:hAnsi="Arial"/>
                <w:sz w:val="9"/>
                <w:szCs w:val="9"/>
                <w:color w:val="auto"/>
              </w:rPr>
              <w:t>Australia</w:t>
            </w:r>
          </w:p>
        </w:tc>
        <w:tc>
          <w:tcPr>
            <w:tcW w:w="400" w:type="dxa"/>
            <w:vAlign w:val="bottom"/>
          </w:tcPr>
          <w:p>
            <w:pPr>
              <w:spacing w:after="0"/>
              <w:rPr>
                <w:sz w:val="9"/>
                <w:szCs w:val="9"/>
                <w:color w:val="auto"/>
              </w:rPr>
            </w:pPr>
          </w:p>
        </w:tc>
        <w:tc>
          <w:tcPr>
            <w:tcW w:w="480" w:type="dxa"/>
            <w:vAlign w:val="bottom"/>
          </w:tcPr>
          <w:p>
            <w:pPr>
              <w:jc w:val="right"/>
              <w:ind w:right="29"/>
              <w:spacing w:after="0"/>
              <w:rPr>
                <w:sz w:val="20"/>
                <w:szCs w:val="20"/>
                <w:color w:val="auto"/>
              </w:rPr>
            </w:pPr>
            <w:r>
              <w:rPr>
                <w:rFonts w:ascii="Arial" w:cs="Arial" w:eastAsia="Arial" w:hAnsi="Arial"/>
                <w:sz w:val="9"/>
                <w:szCs w:val="9"/>
                <w:color w:val="auto"/>
              </w:rPr>
              <w:t>Europe</w:t>
            </w:r>
          </w:p>
        </w:tc>
        <w:tc>
          <w:tcPr>
            <w:tcW w:w="520" w:type="dxa"/>
            <w:vAlign w:val="bottom"/>
          </w:tcPr>
          <w:p>
            <w:pPr>
              <w:spacing w:after="0"/>
              <w:rPr>
                <w:sz w:val="9"/>
                <w:szCs w:val="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200" w:type="dxa"/>
            <w:vAlign w:val="bottom"/>
          </w:tcPr>
          <w:p>
            <w:pPr>
              <w:spacing w:after="0"/>
              <w:rPr>
                <w:sz w:val="9"/>
                <w:szCs w:val="9"/>
                <w:color w:val="auto"/>
              </w:rPr>
            </w:pPr>
          </w:p>
        </w:tc>
        <w:tc>
          <w:tcPr>
            <w:tcW w:w="520" w:type="dxa"/>
            <w:vAlign w:val="bottom"/>
          </w:tcPr>
          <w:p>
            <w:pPr>
              <w:jc w:val="right"/>
              <w:ind w:right="89"/>
              <w:spacing w:after="0"/>
              <w:rPr>
                <w:sz w:val="20"/>
                <w:szCs w:val="20"/>
                <w:color w:val="auto"/>
              </w:rPr>
            </w:pPr>
            <w:r>
              <w:rPr>
                <w:rFonts w:ascii="Arial" w:cs="Arial" w:eastAsia="Arial" w:hAnsi="Arial"/>
                <w:sz w:val="9"/>
                <w:szCs w:val="9"/>
                <w:color w:val="auto"/>
              </w:rPr>
              <w:t>TCO</w:t>
            </w:r>
          </w:p>
        </w:tc>
        <w:tc>
          <w:tcPr>
            <w:tcW w:w="50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Other</w:t>
            </w:r>
          </w:p>
        </w:tc>
        <w:tc>
          <w:tcPr>
            <w:tcW w:w="0" w:type="dxa"/>
            <w:vAlign w:val="bottom"/>
          </w:tcPr>
          <w:p>
            <w:pPr>
              <w:spacing w:after="0"/>
              <w:rPr>
                <w:sz w:val="1"/>
                <w:szCs w:val="1"/>
                <w:color w:val="auto"/>
              </w:rPr>
            </w:pPr>
          </w:p>
        </w:tc>
      </w:tr>
      <w:tr>
        <w:trPr>
          <w:trHeight w:val="92"/>
        </w:trPr>
        <w:tc>
          <w:tcPr>
            <w:tcW w:w="20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December 31, 2011</w:t>
            </w:r>
          </w:p>
        </w:tc>
        <w:tc>
          <w:tcPr>
            <w:tcW w:w="50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2,508</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1,672</w:t>
            </w:r>
          </w:p>
        </w:tc>
        <w:tc>
          <w:tcPr>
            <w:tcW w:w="4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1,174</w:t>
            </w:r>
          </w:p>
        </w:tc>
        <w:tc>
          <w:tcPr>
            <w:tcW w:w="4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9,431</w:t>
            </w:r>
          </w:p>
        </w:tc>
        <w:tc>
          <w:tcPr>
            <w:tcW w:w="3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8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1,474</w:t>
            </w:r>
          </w:p>
        </w:tc>
        <w:tc>
          <w:tcPr>
            <w:tcW w:w="4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1,868</w:t>
            </w:r>
          </w:p>
        </w:tc>
        <w:tc>
          <w:tcPr>
            <w:tcW w:w="520" w:type="dxa"/>
            <w:vAlign w:val="bottom"/>
            <w:vMerge w:val="restart"/>
          </w:tcPr>
          <w:p>
            <w:pPr>
              <w:jc w:val="right"/>
              <w:ind w:right="50"/>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18,127</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8,581</w:t>
            </w:r>
          </w:p>
        </w:tc>
        <w:tc>
          <w:tcPr>
            <w:tcW w:w="50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0"/>
                <w:szCs w:val="10"/>
                <w:b w:val="1"/>
                <w:bCs w:val="1"/>
                <w:color w:val="auto"/>
              </w:rPr>
              <w:t>1,988</w:t>
            </w:r>
          </w:p>
        </w:tc>
        <w:tc>
          <w:tcPr>
            <w:tcW w:w="0" w:type="dxa"/>
            <w:vAlign w:val="bottom"/>
          </w:tcPr>
          <w:p>
            <w:pPr>
              <w:spacing w:after="0"/>
              <w:rPr>
                <w:sz w:val="1"/>
                <w:szCs w:val="1"/>
                <w:color w:val="auto"/>
              </w:rPr>
            </w:pPr>
          </w:p>
        </w:tc>
      </w:tr>
      <w:tr>
        <w:trPr>
          <w:trHeight w:val="104"/>
        </w:trPr>
        <w:tc>
          <w:tcPr>
            <w:tcW w:w="2020" w:type="dxa"/>
            <w:vAlign w:val="bottom"/>
          </w:tcPr>
          <w:p>
            <w:pPr>
              <w:ind w:left="140"/>
              <w:spacing w:after="0" w:line="104" w:lineRule="exact"/>
              <w:rPr>
                <w:sz w:val="20"/>
                <w:szCs w:val="20"/>
                <w:color w:val="auto"/>
              </w:rPr>
            </w:pPr>
            <w:r>
              <w:rPr>
                <w:rFonts w:ascii="Arial" w:cs="Arial" w:eastAsia="Arial" w:hAnsi="Arial"/>
                <w:sz w:val="10"/>
                <w:szCs w:val="10"/>
                <w:color w:val="auto"/>
              </w:rPr>
              <w:t>Sales</w:t>
            </w:r>
          </w:p>
        </w:tc>
        <w:tc>
          <w:tcPr>
            <w:tcW w:w="6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20" w:type="dxa"/>
            <w:vAlign w:val="bottom"/>
          </w:tcPr>
          <w:p>
            <w:pPr>
              <w:ind w:left="140"/>
              <w:spacing w:after="0"/>
              <w:rPr>
                <w:sz w:val="20"/>
                <w:szCs w:val="20"/>
                <w:color w:val="auto"/>
              </w:rPr>
            </w:pPr>
            <w:r>
              <w:rPr>
                <w:rFonts w:ascii="Arial" w:cs="Arial" w:eastAsia="Arial" w:hAnsi="Arial"/>
                <w:sz w:val="10"/>
                <w:szCs w:val="10"/>
                <w:color w:val="auto"/>
              </w:rPr>
              <w:t>Transfers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15,811</w:t>
            </w:r>
          </w:p>
        </w:tc>
        <w:tc>
          <w:tcPr>
            <w:tcW w:w="36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b w:val="1"/>
                <w:bCs w:val="1"/>
                <w:color w:val="auto"/>
              </w:rPr>
              <w:t>3,724</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15,726</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8,962</w:t>
            </w:r>
          </w:p>
        </w:tc>
        <w:tc>
          <w:tcPr>
            <w:tcW w:w="36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b w:val="1"/>
                <w:bCs w:val="1"/>
                <w:color w:val="auto"/>
              </w:rPr>
              <w:t>1,012</w:t>
            </w:r>
          </w:p>
        </w:tc>
        <w:tc>
          <w:tcPr>
            <w:tcW w:w="400" w:type="dxa"/>
            <w:vAlign w:val="bottom"/>
          </w:tcPr>
          <w:p>
            <w:pPr>
              <w:spacing w:after="0"/>
              <w:rPr>
                <w:sz w:val="10"/>
                <w:szCs w:val="10"/>
                <w:color w:val="auto"/>
              </w:rPr>
            </w:pPr>
          </w:p>
        </w:tc>
        <w:tc>
          <w:tcPr>
            <w:tcW w:w="480" w:type="dxa"/>
            <w:vAlign w:val="bottom"/>
          </w:tcPr>
          <w:p>
            <w:pPr>
              <w:jc w:val="right"/>
              <w:ind w:right="29"/>
              <w:spacing w:after="0"/>
              <w:rPr>
                <w:sz w:val="20"/>
                <w:szCs w:val="20"/>
                <w:color w:val="auto"/>
              </w:rPr>
            </w:pPr>
            <w:r>
              <w:rPr>
                <w:rFonts w:ascii="Arial" w:cs="Arial" w:eastAsia="Arial" w:hAnsi="Arial"/>
                <w:sz w:val="10"/>
                <w:szCs w:val="10"/>
                <w:b w:val="1"/>
                <w:bCs w:val="1"/>
                <w:color w:val="auto"/>
              </w:rPr>
              <w:t>2,672</w:t>
            </w:r>
          </w:p>
        </w:tc>
        <w:tc>
          <w:tcPr>
            <w:tcW w:w="52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47,907</w:t>
            </w:r>
          </w:p>
        </w:tc>
        <w:tc>
          <w:tcPr>
            <w:tcW w:w="200" w:type="dxa"/>
            <w:vAlign w:val="bottom"/>
          </w:tcPr>
          <w:p>
            <w:pPr>
              <w:spacing w:after="0"/>
              <w:rPr>
                <w:sz w:val="10"/>
                <w:szCs w:val="10"/>
                <w:color w:val="auto"/>
              </w:rPr>
            </w:pPr>
          </w:p>
        </w:tc>
        <w:tc>
          <w:tcPr>
            <w:tcW w:w="520" w:type="dxa"/>
            <w:vAlign w:val="bottom"/>
          </w:tcPr>
          <w:p>
            <w:pPr>
              <w:jc w:val="right"/>
              <w:ind w:right="89"/>
              <w:spacing w:after="0"/>
              <w:rPr>
                <w:sz w:val="20"/>
                <w:szCs w:val="20"/>
                <w:color w:val="auto"/>
              </w:rPr>
            </w:pPr>
            <w:r>
              <w:rPr>
                <w:rFonts w:ascii="Arial" w:cs="Arial" w:eastAsia="Arial" w:hAnsi="Arial"/>
                <w:sz w:val="10"/>
                <w:szCs w:val="10"/>
                <w:b w:val="1"/>
                <w:bCs w:val="1"/>
                <w:color w:val="auto"/>
              </w:rPr>
              <w:t>–</w:t>
            </w:r>
          </w:p>
        </w:tc>
        <w:tc>
          <w:tcPr>
            <w:tcW w:w="50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0"/>
        </w:trPr>
        <w:tc>
          <w:tcPr>
            <w:tcW w:w="2020" w:type="dxa"/>
            <w:vAlign w:val="bottom"/>
            <w:tcBorders>
              <w:top w:val="single" w:sz="8" w:color="0077C0"/>
            </w:tcBorders>
          </w:tcPr>
          <w:p>
            <w:pPr>
              <w:ind w:left="140"/>
              <w:spacing w:after="0" w:line="91" w:lineRule="exact"/>
              <w:rPr>
                <w:sz w:val="20"/>
                <w:szCs w:val="20"/>
                <w:color w:val="auto"/>
              </w:rPr>
            </w:pPr>
            <w:r>
              <w:rPr>
                <w:rFonts w:ascii="Arial" w:cs="Arial" w:eastAsia="Arial" w:hAnsi="Arial"/>
                <w:sz w:val="10"/>
                <w:szCs w:val="10"/>
                <w:color w:val="auto"/>
              </w:rPr>
              <w:t>Total</w:t>
            </w:r>
          </w:p>
        </w:tc>
        <w:tc>
          <w:tcPr>
            <w:tcW w:w="500" w:type="dxa"/>
            <w:vAlign w:val="bottom"/>
            <w:tcBorders>
              <w:top w:val="single" w:sz="8" w:color="0077C0"/>
            </w:tcBorders>
          </w:tcPr>
          <w:p>
            <w:pPr>
              <w:spacing w:after="0"/>
              <w:rPr>
                <w:sz w:val="7"/>
                <w:szCs w:val="7"/>
                <w:color w:val="auto"/>
              </w:rPr>
            </w:pPr>
          </w:p>
        </w:tc>
        <w:tc>
          <w:tcPr>
            <w:tcW w:w="18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18,319</w:t>
            </w:r>
          </w:p>
        </w:tc>
        <w:tc>
          <w:tcPr>
            <w:tcW w:w="360" w:type="dxa"/>
            <w:vAlign w:val="bottom"/>
            <w:tcBorders>
              <w:top w:val="single" w:sz="8" w:color="0077C0"/>
            </w:tcBorders>
          </w:tcPr>
          <w:p>
            <w:pPr>
              <w:spacing w:after="0"/>
              <w:rPr>
                <w:sz w:val="7"/>
                <w:szCs w:val="7"/>
                <w:color w:val="auto"/>
              </w:rPr>
            </w:pPr>
          </w:p>
        </w:tc>
        <w:tc>
          <w:tcPr>
            <w:tcW w:w="68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5,396</w:t>
            </w:r>
          </w:p>
        </w:tc>
        <w:tc>
          <w:tcPr>
            <w:tcW w:w="40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16,900</w:t>
            </w:r>
          </w:p>
        </w:tc>
        <w:tc>
          <w:tcPr>
            <w:tcW w:w="40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18,393</w:t>
            </w:r>
          </w:p>
        </w:tc>
        <w:tc>
          <w:tcPr>
            <w:tcW w:w="360" w:type="dxa"/>
            <w:vAlign w:val="bottom"/>
            <w:tcBorders>
              <w:top w:val="single" w:sz="8" w:color="0077C0"/>
            </w:tcBorders>
          </w:tcPr>
          <w:p>
            <w:pPr>
              <w:spacing w:after="0"/>
              <w:rPr>
                <w:sz w:val="7"/>
                <w:szCs w:val="7"/>
                <w:color w:val="auto"/>
              </w:rPr>
            </w:pPr>
          </w:p>
        </w:tc>
        <w:tc>
          <w:tcPr>
            <w:tcW w:w="68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2,486</w:t>
            </w:r>
          </w:p>
        </w:tc>
        <w:tc>
          <w:tcPr>
            <w:tcW w:w="400" w:type="dxa"/>
            <w:vAlign w:val="bottom"/>
            <w:tcBorders>
              <w:top w:val="single" w:sz="8" w:color="0077C0"/>
            </w:tcBorders>
          </w:tcPr>
          <w:p>
            <w:pPr>
              <w:spacing w:after="0"/>
              <w:rPr>
                <w:sz w:val="7"/>
                <w:szCs w:val="7"/>
                <w:color w:val="auto"/>
              </w:rPr>
            </w:pPr>
          </w:p>
        </w:tc>
        <w:tc>
          <w:tcPr>
            <w:tcW w:w="480" w:type="dxa"/>
            <w:vAlign w:val="bottom"/>
            <w:tcBorders>
              <w:top w:val="single" w:sz="8" w:color="0077C0"/>
            </w:tcBorders>
          </w:tcPr>
          <w:p>
            <w:pPr>
              <w:jc w:val="right"/>
              <w:ind w:right="29"/>
              <w:spacing w:after="0" w:line="91" w:lineRule="exact"/>
              <w:rPr>
                <w:sz w:val="20"/>
                <w:szCs w:val="20"/>
                <w:color w:val="auto"/>
              </w:rPr>
            </w:pPr>
            <w:r>
              <w:rPr>
                <w:rFonts w:ascii="Arial" w:cs="Arial" w:eastAsia="Arial" w:hAnsi="Arial"/>
                <w:sz w:val="10"/>
                <w:szCs w:val="10"/>
                <w:b w:val="1"/>
                <w:bCs w:val="1"/>
                <w:color w:val="auto"/>
              </w:rPr>
              <w:t>4,540</w:t>
            </w:r>
          </w:p>
        </w:tc>
        <w:tc>
          <w:tcPr>
            <w:tcW w:w="520" w:type="dxa"/>
            <w:vAlign w:val="bottom"/>
            <w:tcBorders>
              <w:top w:val="single" w:sz="8" w:color="0077C0"/>
            </w:tcBorders>
          </w:tcPr>
          <w:p>
            <w:pPr>
              <w:spacing w:after="0"/>
              <w:rPr>
                <w:sz w:val="7"/>
                <w:szCs w:val="7"/>
                <w:color w:val="auto"/>
              </w:rPr>
            </w:pPr>
          </w:p>
        </w:tc>
        <w:tc>
          <w:tcPr>
            <w:tcW w:w="880" w:type="dxa"/>
            <w:vAlign w:val="bottom"/>
            <w:tcBorders>
              <w:top w:val="single" w:sz="8" w:color="0077C0"/>
            </w:tcBorders>
            <w:gridSpan w:val="2"/>
          </w:tcPr>
          <w:p>
            <w:pPr>
              <w:jc w:val="right"/>
              <w:ind w:right="460"/>
              <w:spacing w:after="0" w:line="91" w:lineRule="exact"/>
              <w:rPr>
                <w:sz w:val="20"/>
                <w:szCs w:val="20"/>
                <w:color w:val="auto"/>
              </w:rPr>
            </w:pPr>
            <w:r>
              <w:rPr>
                <w:rFonts w:ascii="Arial" w:cs="Arial" w:eastAsia="Arial" w:hAnsi="Arial"/>
                <w:sz w:val="10"/>
                <w:szCs w:val="10"/>
                <w:b w:val="1"/>
                <w:bCs w:val="1"/>
                <w:color w:val="auto"/>
              </w:rPr>
              <w:t>66,034</w:t>
            </w:r>
          </w:p>
        </w:tc>
        <w:tc>
          <w:tcPr>
            <w:tcW w:w="20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89"/>
              <w:spacing w:after="0" w:line="91" w:lineRule="exact"/>
              <w:rPr>
                <w:sz w:val="20"/>
                <w:szCs w:val="20"/>
                <w:color w:val="auto"/>
              </w:rPr>
            </w:pPr>
            <w:r>
              <w:rPr>
                <w:rFonts w:ascii="Arial" w:cs="Arial" w:eastAsia="Arial" w:hAnsi="Arial"/>
                <w:sz w:val="10"/>
                <w:szCs w:val="10"/>
                <w:b w:val="1"/>
                <w:bCs w:val="1"/>
                <w:color w:val="auto"/>
              </w:rPr>
              <w:t>8,581</w:t>
            </w:r>
          </w:p>
        </w:tc>
        <w:tc>
          <w:tcPr>
            <w:tcW w:w="50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rPr>
              <w:t>1,988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Production expenses excluding taxes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(3,668)</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(1,061)</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(1,526)</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(4,489)</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(117)</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(564)</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b w:val="1"/>
                <w:bCs w:val="1"/>
                <w:color w:val="auto"/>
              </w:rPr>
              <w:t>(11,425)</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b w:val="1"/>
                <w:bCs w:val="1"/>
                <w:color w:val="auto"/>
              </w:rPr>
              <w:t>(449)</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(235)</w:t>
            </w:r>
          </w:p>
        </w:tc>
        <w:tc>
          <w:tcPr>
            <w:tcW w:w="0" w:type="dxa"/>
            <w:vAlign w:val="bottom"/>
          </w:tcPr>
          <w:p>
            <w:pPr>
              <w:spacing w:after="0"/>
              <w:rPr>
                <w:sz w:val="1"/>
                <w:szCs w:val="1"/>
                <w:color w:val="auto"/>
              </w:rPr>
            </w:pPr>
          </w:p>
        </w:tc>
      </w:tr>
      <w:tr>
        <w:trPr>
          <w:trHeight w:val="108"/>
        </w:trPr>
        <w:tc>
          <w:tcPr>
            <w:tcW w:w="2020" w:type="dxa"/>
            <w:vAlign w:val="bottom"/>
          </w:tcPr>
          <w:p>
            <w:pPr>
              <w:spacing w:after="0" w:line="108" w:lineRule="exact"/>
              <w:rPr>
                <w:sz w:val="20"/>
                <w:szCs w:val="20"/>
                <w:color w:val="auto"/>
              </w:rPr>
            </w:pPr>
            <w:r>
              <w:rPr>
                <w:rFonts w:ascii="Arial" w:cs="Arial" w:eastAsia="Arial" w:hAnsi="Arial"/>
                <w:sz w:val="10"/>
                <w:szCs w:val="10"/>
                <w:color w:val="auto"/>
              </w:rPr>
              <w:t>Taxes other than on income</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(597)</w:t>
            </w:r>
          </w:p>
        </w:tc>
        <w:tc>
          <w:tcPr>
            <w:tcW w:w="360" w:type="dxa"/>
            <w:vAlign w:val="bottom"/>
          </w:tcPr>
          <w:p>
            <w:pPr>
              <w:spacing w:after="0"/>
              <w:rPr>
                <w:sz w:val="9"/>
                <w:szCs w:val="9"/>
                <w:color w:val="auto"/>
              </w:rPr>
            </w:pPr>
          </w:p>
        </w:tc>
        <w:tc>
          <w:tcPr>
            <w:tcW w:w="68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(137)</w:t>
            </w:r>
          </w:p>
        </w:tc>
        <w:tc>
          <w:tcPr>
            <w:tcW w:w="400" w:type="dxa"/>
            <w:vAlign w:val="bottom"/>
          </w:tcPr>
          <w:p>
            <w:pPr>
              <w:spacing w:after="0"/>
              <w:rPr>
                <w:sz w:val="9"/>
                <w:szCs w:val="9"/>
                <w:color w:val="auto"/>
              </w:rPr>
            </w:pPr>
          </w:p>
        </w:tc>
        <w:tc>
          <w:tcPr>
            <w:tcW w:w="640" w:type="dxa"/>
            <w:vAlign w:val="bottom"/>
          </w:tcPr>
          <w:p>
            <w:pPr>
              <w:jc w:val="right"/>
              <w:ind w:right="149"/>
              <w:spacing w:after="0" w:line="108" w:lineRule="exact"/>
              <w:rPr>
                <w:sz w:val="20"/>
                <w:szCs w:val="20"/>
                <w:color w:val="auto"/>
              </w:rPr>
            </w:pPr>
            <w:r>
              <w:rPr>
                <w:rFonts w:ascii="Arial" w:cs="Arial" w:eastAsia="Arial" w:hAnsi="Arial"/>
                <w:sz w:val="10"/>
                <w:szCs w:val="10"/>
                <w:b w:val="1"/>
                <w:bCs w:val="1"/>
                <w:color w:val="auto"/>
              </w:rPr>
              <w:t>(153)</w:t>
            </w:r>
          </w:p>
        </w:tc>
        <w:tc>
          <w:tcPr>
            <w:tcW w:w="400" w:type="dxa"/>
            <w:vAlign w:val="bottom"/>
          </w:tcPr>
          <w:p>
            <w:pPr>
              <w:spacing w:after="0"/>
              <w:rPr>
                <w:sz w:val="9"/>
                <w:szCs w:val="9"/>
                <w:color w:val="auto"/>
              </w:rPr>
            </w:pPr>
          </w:p>
        </w:tc>
        <w:tc>
          <w:tcPr>
            <w:tcW w:w="640" w:type="dxa"/>
            <w:vAlign w:val="bottom"/>
          </w:tcPr>
          <w:p>
            <w:pPr>
              <w:jc w:val="right"/>
              <w:ind w:right="169"/>
              <w:spacing w:after="0" w:line="108" w:lineRule="exact"/>
              <w:rPr>
                <w:sz w:val="20"/>
                <w:szCs w:val="20"/>
                <w:color w:val="auto"/>
              </w:rPr>
            </w:pPr>
            <w:r>
              <w:rPr>
                <w:rFonts w:ascii="Arial" w:cs="Arial" w:eastAsia="Arial" w:hAnsi="Arial"/>
                <w:sz w:val="10"/>
                <w:szCs w:val="10"/>
                <w:b w:val="1"/>
                <w:bCs w:val="1"/>
                <w:color w:val="auto"/>
              </w:rPr>
              <w:t>(242)</w:t>
            </w:r>
          </w:p>
        </w:tc>
        <w:tc>
          <w:tcPr>
            <w:tcW w:w="360" w:type="dxa"/>
            <w:vAlign w:val="bottom"/>
          </w:tcPr>
          <w:p>
            <w:pPr>
              <w:spacing w:after="0"/>
              <w:rPr>
                <w:sz w:val="9"/>
                <w:szCs w:val="9"/>
                <w:color w:val="auto"/>
              </w:rPr>
            </w:pPr>
          </w:p>
        </w:tc>
        <w:tc>
          <w:tcPr>
            <w:tcW w:w="680" w:type="dxa"/>
            <w:vAlign w:val="bottom"/>
          </w:tcPr>
          <w:p>
            <w:pPr>
              <w:jc w:val="right"/>
              <w:ind w:right="169"/>
              <w:spacing w:after="0" w:line="108" w:lineRule="exact"/>
              <w:rPr>
                <w:sz w:val="20"/>
                <w:szCs w:val="20"/>
                <w:color w:val="auto"/>
              </w:rPr>
            </w:pPr>
            <w:r>
              <w:rPr>
                <w:rFonts w:ascii="Arial" w:cs="Arial" w:eastAsia="Arial" w:hAnsi="Arial"/>
                <w:sz w:val="10"/>
                <w:szCs w:val="10"/>
                <w:b w:val="1"/>
                <w:bCs w:val="1"/>
                <w:color w:val="auto"/>
              </w:rPr>
              <w:t>(396)</w:t>
            </w:r>
          </w:p>
        </w:tc>
        <w:tc>
          <w:tcPr>
            <w:tcW w:w="400" w:type="dxa"/>
            <w:vAlign w:val="bottom"/>
          </w:tcPr>
          <w:p>
            <w:pPr>
              <w:spacing w:after="0"/>
              <w:rPr>
                <w:sz w:val="9"/>
                <w:szCs w:val="9"/>
                <w:color w:val="auto"/>
              </w:rPr>
            </w:pPr>
          </w:p>
        </w:tc>
        <w:tc>
          <w:tcPr>
            <w:tcW w:w="480" w:type="dxa"/>
            <w:vAlign w:val="bottom"/>
          </w:tcPr>
          <w:p>
            <w:pPr>
              <w:jc w:val="right"/>
              <w:ind w:right="9"/>
              <w:spacing w:after="0" w:line="108" w:lineRule="exact"/>
              <w:rPr>
                <w:sz w:val="20"/>
                <w:szCs w:val="20"/>
                <w:color w:val="auto"/>
              </w:rPr>
            </w:pPr>
            <w:r>
              <w:rPr>
                <w:rFonts w:ascii="Arial" w:cs="Arial" w:eastAsia="Arial" w:hAnsi="Arial"/>
                <w:sz w:val="10"/>
                <w:szCs w:val="10"/>
                <w:b w:val="1"/>
                <w:bCs w:val="1"/>
                <w:color w:val="auto"/>
              </w:rPr>
              <w:t>(2)</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8" w:lineRule="exact"/>
              <w:rPr>
                <w:sz w:val="20"/>
                <w:szCs w:val="20"/>
                <w:color w:val="auto"/>
              </w:rPr>
            </w:pPr>
            <w:r>
              <w:rPr>
                <w:rFonts w:ascii="Arial" w:cs="Arial" w:eastAsia="Arial" w:hAnsi="Arial"/>
                <w:sz w:val="10"/>
                <w:szCs w:val="10"/>
                <w:b w:val="1"/>
                <w:bCs w:val="1"/>
                <w:color w:val="auto"/>
              </w:rPr>
              <w:t>(1,527)</w:t>
            </w:r>
          </w:p>
        </w:tc>
        <w:tc>
          <w:tcPr>
            <w:tcW w:w="200" w:type="dxa"/>
            <w:vAlign w:val="bottom"/>
          </w:tcPr>
          <w:p>
            <w:pPr>
              <w:spacing w:after="0"/>
              <w:rPr>
                <w:sz w:val="9"/>
                <w:szCs w:val="9"/>
                <w:color w:val="auto"/>
              </w:rPr>
            </w:pPr>
          </w:p>
        </w:tc>
        <w:tc>
          <w:tcPr>
            <w:tcW w:w="520" w:type="dxa"/>
            <w:vAlign w:val="bottom"/>
          </w:tcPr>
          <w:p>
            <w:pPr>
              <w:jc w:val="right"/>
              <w:ind w:right="49"/>
              <w:spacing w:after="0" w:line="108" w:lineRule="exact"/>
              <w:rPr>
                <w:sz w:val="20"/>
                <w:szCs w:val="20"/>
                <w:color w:val="auto"/>
              </w:rPr>
            </w:pPr>
            <w:r>
              <w:rPr>
                <w:rFonts w:ascii="Arial" w:cs="Arial" w:eastAsia="Arial" w:hAnsi="Arial"/>
                <w:sz w:val="10"/>
                <w:szCs w:val="10"/>
                <w:b w:val="1"/>
                <w:bCs w:val="1"/>
                <w:color w:val="auto"/>
              </w:rPr>
              <w:t>(429)</w:t>
            </w:r>
          </w:p>
        </w:tc>
        <w:tc>
          <w:tcPr>
            <w:tcW w:w="500" w:type="dxa"/>
            <w:vAlign w:val="bottom"/>
          </w:tcPr>
          <w:p>
            <w:pPr>
              <w:spacing w:after="0"/>
              <w:rPr>
                <w:sz w:val="9"/>
                <w:szCs w:val="9"/>
                <w:color w:val="auto"/>
              </w:rPr>
            </w:pPr>
          </w:p>
        </w:tc>
        <w:tc>
          <w:tcPr>
            <w:tcW w:w="400" w:type="dxa"/>
            <w:vAlign w:val="bottom"/>
            <w:gridSpan w:val="2"/>
          </w:tcPr>
          <w:p>
            <w:pPr>
              <w:jc w:val="right"/>
              <w:spacing w:after="0" w:line="108" w:lineRule="exact"/>
              <w:rPr>
                <w:sz w:val="20"/>
                <w:szCs w:val="20"/>
                <w:color w:val="auto"/>
              </w:rPr>
            </w:pPr>
            <w:r>
              <w:rPr>
                <w:rFonts w:ascii="Arial" w:cs="Arial" w:eastAsia="Arial" w:hAnsi="Arial"/>
                <w:sz w:val="10"/>
                <w:szCs w:val="10"/>
                <w:b w:val="1"/>
                <w:bCs w:val="1"/>
                <w:color w:val="auto"/>
              </w:rPr>
              <w:t>(815)</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Proved producing properties: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(3,366)</w:t>
            </w:r>
          </w:p>
        </w:tc>
        <w:tc>
          <w:tcPr>
            <w:tcW w:w="360" w:type="dxa"/>
            <w:vAlign w:val="bottom"/>
          </w:tcPr>
          <w:p>
            <w:pPr>
              <w:spacing w:after="0"/>
              <w:rPr>
                <w:sz w:val="9"/>
                <w:szCs w:val="9"/>
                <w:color w:val="auto"/>
              </w:rPr>
            </w:pPr>
          </w:p>
        </w:tc>
        <w:tc>
          <w:tcPr>
            <w:tcW w:w="68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(796)</w:t>
            </w:r>
          </w:p>
        </w:tc>
        <w:tc>
          <w:tcPr>
            <w:tcW w:w="400" w:type="dxa"/>
            <w:vAlign w:val="bottom"/>
          </w:tcPr>
          <w:p>
            <w:pPr>
              <w:spacing w:after="0"/>
              <w:rPr>
                <w:sz w:val="9"/>
                <w:szCs w:val="9"/>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0"/>
                <w:szCs w:val="10"/>
                <w:b w:val="1"/>
                <w:bCs w:val="1"/>
                <w:color w:val="auto"/>
              </w:rPr>
              <w:t>(2,225)</w:t>
            </w:r>
          </w:p>
        </w:tc>
        <w:tc>
          <w:tcPr>
            <w:tcW w:w="400" w:type="dxa"/>
            <w:vAlign w:val="bottom"/>
          </w:tcPr>
          <w:p>
            <w:pPr>
              <w:spacing w:after="0"/>
              <w:rPr>
                <w:sz w:val="9"/>
                <w:szCs w:val="9"/>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(2,923)</w:t>
            </w:r>
          </w:p>
        </w:tc>
        <w:tc>
          <w:tcPr>
            <w:tcW w:w="360" w:type="dxa"/>
            <w:vAlign w:val="bottom"/>
          </w:tcPr>
          <w:p>
            <w:pPr>
              <w:spacing w:after="0"/>
              <w:rPr>
                <w:sz w:val="9"/>
                <w:szCs w:val="9"/>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(136)</w:t>
            </w:r>
          </w:p>
        </w:tc>
        <w:tc>
          <w:tcPr>
            <w:tcW w:w="400" w:type="dxa"/>
            <w:vAlign w:val="bottom"/>
          </w:tcPr>
          <w:p>
            <w:pPr>
              <w:spacing w:after="0"/>
              <w:rPr>
                <w:sz w:val="9"/>
                <w:szCs w:val="9"/>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(580)</w:t>
            </w:r>
          </w:p>
        </w:tc>
        <w:tc>
          <w:tcPr>
            <w:tcW w:w="520" w:type="dxa"/>
            <w:vAlign w:val="bottom"/>
          </w:tcPr>
          <w:p>
            <w:pPr>
              <w:spacing w:after="0"/>
              <w:rPr>
                <w:sz w:val="9"/>
                <w:szCs w:val="9"/>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(10,026)</w:t>
            </w:r>
          </w:p>
        </w:tc>
        <w:tc>
          <w:tcPr>
            <w:tcW w:w="200" w:type="dxa"/>
            <w:vAlign w:val="bottom"/>
          </w:tcPr>
          <w:p>
            <w:pPr>
              <w:spacing w:after="0"/>
              <w:rPr>
                <w:sz w:val="9"/>
                <w:szCs w:val="9"/>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(442)</w:t>
            </w:r>
          </w:p>
        </w:tc>
        <w:tc>
          <w:tcPr>
            <w:tcW w:w="500" w:type="dxa"/>
            <w:vAlign w:val="bottom"/>
          </w:tcPr>
          <w:p>
            <w:pPr>
              <w:spacing w:after="0"/>
              <w:rPr>
                <w:sz w:val="9"/>
                <w:szCs w:val="9"/>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(140)</w:t>
            </w:r>
          </w:p>
        </w:tc>
        <w:tc>
          <w:tcPr>
            <w:tcW w:w="0" w:type="dxa"/>
            <w:vAlign w:val="bottom"/>
          </w:tcPr>
          <w:p>
            <w:pPr>
              <w:spacing w:after="0"/>
              <w:rPr>
                <w:sz w:val="1"/>
                <w:szCs w:val="1"/>
                <w:color w:val="auto"/>
              </w:rPr>
            </w:pPr>
          </w:p>
        </w:tc>
      </w:tr>
      <w:tr>
        <w:trPr>
          <w:trHeight w:val="104"/>
        </w:trPr>
        <w:tc>
          <w:tcPr>
            <w:tcW w:w="2020" w:type="dxa"/>
            <w:vAlign w:val="bottom"/>
          </w:tcPr>
          <w:p>
            <w:pPr>
              <w:ind w:left="140"/>
              <w:spacing w:after="0" w:line="104" w:lineRule="exact"/>
              <w:rPr>
                <w:sz w:val="20"/>
                <w:szCs w:val="20"/>
                <w:color w:val="auto"/>
              </w:rPr>
            </w:pPr>
            <w:r>
              <w:rPr>
                <w:rFonts w:ascii="Arial" w:cs="Arial" w:eastAsia="Arial" w:hAnsi="Arial"/>
                <w:sz w:val="10"/>
                <w:szCs w:val="10"/>
                <w:color w:val="auto"/>
              </w:rPr>
              <w:t>Depreciation and depletion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(291)</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(27)</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(106)</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(81)</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(18)</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(39)</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b w:val="1"/>
                <w:bCs w:val="1"/>
                <w:color w:val="auto"/>
              </w:rPr>
              <w:t>(562)</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b w:val="1"/>
                <w:bCs w:val="1"/>
                <w:color w:val="auto"/>
              </w:rPr>
              <w:t>(8)</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(4)</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Exploration expenses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(207)</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(144)</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(188)</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(271)</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(128)</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(277)</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b w:val="1"/>
                <w:bCs w:val="1"/>
                <w:color w:val="auto"/>
              </w:rPr>
              <w:t>(1,215)</w:t>
            </w:r>
          </w:p>
        </w:tc>
        <w:tc>
          <w:tcPr>
            <w:tcW w:w="200" w:type="dxa"/>
            <w:vAlign w:val="bottom"/>
          </w:tcPr>
          <w:p>
            <w:pPr>
              <w:spacing w:after="0"/>
              <w:rPr>
                <w:sz w:val="9"/>
                <w:szCs w:val="9"/>
                <w:color w:val="auto"/>
              </w:rPr>
            </w:pP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w:t>
            </w:r>
          </w:p>
        </w:tc>
        <w:tc>
          <w:tcPr>
            <w:tcW w:w="500" w:type="dxa"/>
            <w:vAlign w:val="bottom"/>
          </w:tcPr>
          <w:p>
            <w:pPr>
              <w:spacing w:after="0"/>
              <w:rPr>
                <w:sz w:val="9"/>
                <w:szCs w:val="9"/>
                <w:color w:val="auto"/>
              </w:rPr>
            </w:pP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(134)</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(146)</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(27)</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(60)</w:t>
            </w:r>
          </w:p>
        </w:tc>
        <w:tc>
          <w:tcPr>
            <w:tcW w:w="36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(14)</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b w:val="1"/>
                <w:bCs w:val="1"/>
                <w:color w:val="auto"/>
              </w:rPr>
              <w:t>(381)</w:t>
            </w:r>
          </w:p>
        </w:tc>
        <w:tc>
          <w:tcPr>
            <w:tcW w:w="200" w:type="dxa"/>
            <w:vAlign w:val="bottom"/>
          </w:tcPr>
          <w:p>
            <w:pPr>
              <w:spacing w:after="0"/>
              <w:rPr>
                <w:sz w:val="9"/>
                <w:szCs w:val="9"/>
                <w:color w:val="auto"/>
              </w:rPr>
            </w:pP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rPr>
              <w:t>–</w:t>
            </w:r>
          </w:p>
        </w:tc>
        <w:tc>
          <w:tcPr>
            <w:tcW w:w="500" w:type="dxa"/>
            <w:vAlign w:val="bottom"/>
          </w:tcPr>
          <w:p>
            <w:pPr>
              <w:spacing w:after="0"/>
              <w:rPr>
                <w:sz w:val="9"/>
                <w:szCs w:val="9"/>
                <w:color w:val="auto"/>
              </w:rPr>
            </w:pP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0"/>
        </w:trPr>
        <w:tc>
          <w:tcPr>
            <w:tcW w:w="2020" w:type="dxa"/>
            <w:vAlign w:val="bottom"/>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163</w:t>
            </w:r>
          </w:p>
        </w:tc>
        <w:tc>
          <w:tcPr>
            <w:tcW w:w="360" w:type="dxa"/>
            <w:vAlign w:val="bottom"/>
          </w:tcPr>
          <w:p>
            <w:pPr>
              <w:spacing w:after="0"/>
              <w:rPr>
                <w:sz w:val="10"/>
                <w:szCs w:val="10"/>
                <w:color w:val="auto"/>
              </w:rPr>
            </w:pPr>
          </w:p>
        </w:tc>
        <w:tc>
          <w:tcPr>
            <w:tcW w:w="680" w:type="dxa"/>
            <w:vAlign w:val="bottom"/>
          </w:tcPr>
          <w:p>
            <w:pPr>
              <w:jc w:val="right"/>
              <w:ind w:right="149"/>
              <w:spacing w:after="0"/>
              <w:rPr>
                <w:sz w:val="20"/>
                <w:szCs w:val="20"/>
                <w:color w:val="auto"/>
              </w:rPr>
            </w:pPr>
            <w:r>
              <w:rPr>
                <w:rFonts w:ascii="Arial" w:cs="Arial" w:eastAsia="Arial" w:hAnsi="Arial"/>
                <w:sz w:val="10"/>
                <w:szCs w:val="10"/>
                <w:b w:val="1"/>
                <w:bCs w:val="1"/>
                <w:color w:val="auto"/>
              </w:rPr>
              <w:t>(1,191)</w:t>
            </w:r>
          </w:p>
        </w:tc>
        <w:tc>
          <w:tcPr>
            <w:tcW w:w="40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b w:val="1"/>
                <w:bCs w:val="1"/>
                <w:color w:val="auto"/>
              </w:rPr>
              <w:t>(409)</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b w:val="1"/>
                <w:bCs w:val="1"/>
                <w:color w:val="auto"/>
              </w:rPr>
              <w:t>231</w:t>
            </w:r>
          </w:p>
        </w:tc>
        <w:tc>
          <w:tcPr>
            <w:tcW w:w="360" w:type="dxa"/>
            <w:vAlign w:val="bottom"/>
          </w:tcPr>
          <w:p>
            <w:pPr>
              <w:spacing w:after="0"/>
              <w:rPr>
                <w:sz w:val="10"/>
                <w:szCs w:val="10"/>
                <w:color w:val="auto"/>
              </w:rPr>
            </w:pPr>
          </w:p>
        </w:tc>
        <w:tc>
          <w:tcPr>
            <w:tcW w:w="680" w:type="dxa"/>
            <w:vAlign w:val="bottom"/>
          </w:tcPr>
          <w:p>
            <w:pPr>
              <w:jc w:val="right"/>
              <w:ind w:right="169"/>
              <w:spacing w:after="0"/>
              <w:rPr>
                <w:sz w:val="20"/>
                <w:szCs w:val="20"/>
                <w:color w:val="auto"/>
              </w:rPr>
            </w:pPr>
            <w:r>
              <w:rPr>
                <w:rFonts w:ascii="Arial" w:cs="Arial" w:eastAsia="Arial" w:hAnsi="Arial"/>
                <w:sz w:val="10"/>
                <w:szCs w:val="10"/>
                <w:b w:val="1"/>
                <w:bCs w:val="1"/>
                <w:color w:val="auto"/>
              </w:rPr>
              <w:t>(18)</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b w:val="1"/>
                <w:bCs w:val="1"/>
                <w:color w:val="auto"/>
              </w:rPr>
              <w:t>(74)</w:t>
            </w:r>
          </w:p>
        </w:tc>
        <w:tc>
          <w:tcPr>
            <w:tcW w:w="520" w:type="dxa"/>
            <w:vAlign w:val="bottom"/>
          </w:tcPr>
          <w:p>
            <w:pPr>
              <w:spacing w:after="0"/>
              <w:rPr>
                <w:sz w:val="10"/>
                <w:szCs w:val="1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(1,298)</w:t>
            </w:r>
          </w:p>
        </w:tc>
        <w:tc>
          <w:tcPr>
            <w:tcW w:w="200" w:type="dxa"/>
            <w:vAlign w:val="bottom"/>
          </w:tcPr>
          <w:p>
            <w:pPr>
              <w:spacing w:after="0"/>
              <w:rPr>
                <w:sz w:val="10"/>
                <w:szCs w:val="10"/>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b w:val="1"/>
                <w:bCs w:val="1"/>
                <w:color w:val="auto"/>
              </w:rPr>
              <w:t>(8)</w:t>
            </w:r>
          </w:p>
        </w:tc>
        <w:tc>
          <w:tcPr>
            <w:tcW w:w="50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rPr>
              <w:t>(29)</w:t>
            </w:r>
          </w:p>
        </w:tc>
        <w:tc>
          <w:tcPr>
            <w:tcW w:w="0" w:type="dxa"/>
            <w:vAlign w:val="bottom"/>
          </w:tcPr>
          <w:p>
            <w:pPr>
              <w:spacing w:after="0"/>
              <w:rPr>
                <w:sz w:val="1"/>
                <w:szCs w:val="1"/>
                <w:color w:val="auto"/>
              </w:rPr>
            </w:pPr>
          </w:p>
        </w:tc>
      </w:tr>
      <w:tr>
        <w:trPr>
          <w:trHeight w:val="90"/>
        </w:trPr>
        <w:tc>
          <w:tcPr>
            <w:tcW w:w="2020" w:type="dxa"/>
            <w:vAlign w:val="bottom"/>
            <w:tcBorders>
              <w:top w:val="single" w:sz="8" w:color="0077C0"/>
            </w:tcBorders>
          </w:tcPr>
          <w:p>
            <w:pPr>
              <w:ind w:left="140"/>
              <w:spacing w:after="0" w:line="91" w:lineRule="exact"/>
              <w:rPr>
                <w:sz w:val="20"/>
                <w:szCs w:val="20"/>
                <w:color w:val="auto"/>
              </w:rPr>
            </w:pPr>
            <w:r>
              <w:rPr>
                <w:rFonts w:ascii="Arial" w:cs="Arial" w:eastAsia="Arial" w:hAnsi="Arial"/>
                <w:sz w:val="10"/>
                <w:szCs w:val="10"/>
                <w:color w:val="auto"/>
              </w:rPr>
              <w:t>Results before income taxes</w:t>
            </w:r>
          </w:p>
        </w:tc>
        <w:tc>
          <w:tcPr>
            <w:tcW w:w="500" w:type="dxa"/>
            <w:vAlign w:val="bottom"/>
            <w:tcBorders>
              <w:top w:val="single" w:sz="8" w:color="0077C0"/>
            </w:tcBorders>
          </w:tcPr>
          <w:p>
            <w:pPr>
              <w:spacing w:after="0"/>
              <w:rPr>
                <w:sz w:val="7"/>
                <w:szCs w:val="7"/>
                <w:color w:val="auto"/>
              </w:rPr>
            </w:pPr>
          </w:p>
        </w:tc>
        <w:tc>
          <w:tcPr>
            <w:tcW w:w="18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10,219</w:t>
            </w:r>
          </w:p>
        </w:tc>
        <w:tc>
          <w:tcPr>
            <w:tcW w:w="360" w:type="dxa"/>
            <w:vAlign w:val="bottom"/>
            <w:tcBorders>
              <w:top w:val="single" w:sz="8" w:color="0077C0"/>
            </w:tcBorders>
          </w:tcPr>
          <w:p>
            <w:pPr>
              <w:spacing w:after="0"/>
              <w:rPr>
                <w:sz w:val="7"/>
                <w:szCs w:val="7"/>
                <w:color w:val="auto"/>
              </w:rPr>
            </w:pPr>
          </w:p>
        </w:tc>
        <w:tc>
          <w:tcPr>
            <w:tcW w:w="68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1,894</w:t>
            </w:r>
          </w:p>
        </w:tc>
        <w:tc>
          <w:tcPr>
            <w:tcW w:w="40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12,266</w:t>
            </w:r>
          </w:p>
        </w:tc>
        <w:tc>
          <w:tcPr>
            <w:tcW w:w="400" w:type="dxa"/>
            <w:vAlign w:val="bottom"/>
            <w:tcBorders>
              <w:top w:val="single" w:sz="8" w:color="0077C0"/>
            </w:tcBorders>
          </w:tcPr>
          <w:p>
            <w:pPr>
              <w:spacing w:after="0"/>
              <w:rPr>
                <w:sz w:val="7"/>
                <w:szCs w:val="7"/>
                <w:color w:val="auto"/>
              </w:rPr>
            </w:pPr>
          </w:p>
        </w:tc>
        <w:tc>
          <w:tcPr>
            <w:tcW w:w="64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10,558</w:t>
            </w:r>
          </w:p>
        </w:tc>
        <w:tc>
          <w:tcPr>
            <w:tcW w:w="360" w:type="dxa"/>
            <w:vAlign w:val="bottom"/>
            <w:tcBorders>
              <w:top w:val="single" w:sz="8" w:color="0077C0"/>
            </w:tcBorders>
          </w:tcPr>
          <w:p>
            <w:pPr>
              <w:spacing w:after="0"/>
              <w:rPr>
                <w:sz w:val="7"/>
                <w:szCs w:val="7"/>
                <w:color w:val="auto"/>
              </w:rPr>
            </w:pPr>
          </w:p>
        </w:tc>
        <w:tc>
          <w:tcPr>
            <w:tcW w:w="680" w:type="dxa"/>
            <w:vAlign w:val="bottom"/>
            <w:tcBorders>
              <w:top w:val="single" w:sz="8" w:color="0077C0"/>
            </w:tcBorders>
          </w:tcPr>
          <w:p>
            <w:pPr>
              <w:jc w:val="right"/>
              <w:ind w:right="189"/>
              <w:spacing w:after="0" w:line="91" w:lineRule="exact"/>
              <w:rPr>
                <w:sz w:val="20"/>
                <w:szCs w:val="20"/>
                <w:color w:val="auto"/>
              </w:rPr>
            </w:pPr>
            <w:r>
              <w:rPr>
                <w:rFonts w:ascii="Arial" w:cs="Arial" w:eastAsia="Arial" w:hAnsi="Arial"/>
                <w:sz w:val="10"/>
                <w:szCs w:val="10"/>
                <w:b w:val="1"/>
                <w:bCs w:val="1"/>
                <w:color w:val="auto"/>
              </w:rPr>
              <w:t>1,673</w:t>
            </w:r>
          </w:p>
        </w:tc>
        <w:tc>
          <w:tcPr>
            <w:tcW w:w="400" w:type="dxa"/>
            <w:vAlign w:val="bottom"/>
            <w:tcBorders>
              <w:top w:val="single" w:sz="8" w:color="0077C0"/>
            </w:tcBorders>
          </w:tcPr>
          <w:p>
            <w:pPr>
              <w:spacing w:after="0"/>
              <w:rPr>
                <w:sz w:val="7"/>
                <w:szCs w:val="7"/>
                <w:color w:val="auto"/>
              </w:rPr>
            </w:pPr>
          </w:p>
        </w:tc>
        <w:tc>
          <w:tcPr>
            <w:tcW w:w="480" w:type="dxa"/>
            <w:vAlign w:val="bottom"/>
            <w:tcBorders>
              <w:top w:val="single" w:sz="8" w:color="0077C0"/>
            </w:tcBorders>
          </w:tcPr>
          <w:p>
            <w:pPr>
              <w:jc w:val="right"/>
              <w:ind w:right="29"/>
              <w:spacing w:after="0" w:line="91" w:lineRule="exact"/>
              <w:rPr>
                <w:sz w:val="20"/>
                <w:szCs w:val="20"/>
                <w:color w:val="auto"/>
              </w:rPr>
            </w:pPr>
            <w:r>
              <w:rPr>
                <w:rFonts w:ascii="Arial" w:cs="Arial" w:eastAsia="Arial" w:hAnsi="Arial"/>
                <w:sz w:val="10"/>
                <w:szCs w:val="10"/>
                <w:b w:val="1"/>
                <w:bCs w:val="1"/>
                <w:color w:val="auto"/>
              </w:rPr>
              <w:t>2,990</w:t>
            </w:r>
          </w:p>
        </w:tc>
        <w:tc>
          <w:tcPr>
            <w:tcW w:w="520" w:type="dxa"/>
            <w:vAlign w:val="bottom"/>
            <w:tcBorders>
              <w:top w:val="single" w:sz="8" w:color="0077C0"/>
            </w:tcBorders>
          </w:tcPr>
          <w:p>
            <w:pPr>
              <w:spacing w:after="0"/>
              <w:rPr>
                <w:sz w:val="7"/>
                <w:szCs w:val="7"/>
                <w:color w:val="auto"/>
              </w:rPr>
            </w:pPr>
          </w:p>
        </w:tc>
        <w:tc>
          <w:tcPr>
            <w:tcW w:w="880" w:type="dxa"/>
            <w:vAlign w:val="bottom"/>
            <w:tcBorders>
              <w:top w:val="single" w:sz="8" w:color="0077C0"/>
            </w:tcBorders>
            <w:gridSpan w:val="2"/>
          </w:tcPr>
          <w:p>
            <w:pPr>
              <w:jc w:val="right"/>
              <w:ind w:right="460"/>
              <w:spacing w:after="0" w:line="91" w:lineRule="exact"/>
              <w:rPr>
                <w:sz w:val="20"/>
                <w:szCs w:val="20"/>
                <w:color w:val="auto"/>
              </w:rPr>
            </w:pPr>
            <w:r>
              <w:rPr>
                <w:rFonts w:ascii="Arial" w:cs="Arial" w:eastAsia="Arial" w:hAnsi="Arial"/>
                <w:sz w:val="10"/>
                <w:szCs w:val="10"/>
                <w:b w:val="1"/>
                <w:bCs w:val="1"/>
                <w:color w:val="auto"/>
              </w:rPr>
              <w:t>39,600</w:t>
            </w:r>
          </w:p>
        </w:tc>
        <w:tc>
          <w:tcPr>
            <w:tcW w:w="200" w:type="dxa"/>
            <w:vAlign w:val="bottom"/>
            <w:tcBorders>
              <w:top w:val="single" w:sz="8" w:color="0077C0"/>
            </w:tcBorders>
          </w:tcPr>
          <w:p>
            <w:pPr>
              <w:spacing w:after="0"/>
              <w:rPr>
                <w:sz w:val="7"/>
                <w:szCs w:val="7"/>
                <w:color w:val="auto"/>
              </w:rPr>
            </w:pPr>
          </w:p>
        </w:tc>
        <w:tc>
          <w:tcPr>
            <w:tcW w:w="520" w:type="dxa"/>
            <w:vAlign w:val="bottom"/>
            <w:tcBorders>
              <w:top w:val="single" w:sz="8" w:color="0077C0"/>
            </w:tcBorders>
          </w:tcPr>
          <w:p>
            <w:pPr>
              <w:jc w:val="right"/>
              <w:ind w:right="89"/>
              <w:spacing w:after="0" w:line="91" w:lineRule="exact"/>
              <w:rPr>
                <w:sz w:val="20"/>
                <w:szCs w:val="20"/>
                <w:color w:val="auto"/>
              </w:rPr>
            </w:pPr>
            <w:r>
              <w:rPr>
                <w:rFonts w:ascii="Arial" w:cs="Arial" w:eastAsia="Arial" w:hAnsi="Arial"/>
                <w:sz w:val="10"/>
                <w:szCs w:val="10"/>
                <w:b w:val="1"/>
                <w:bCs w:val="1"/>
                <w:color w:val="auto"/>
              </w:rPr>
              <w:t>7,245</w:t>
            </w:r>
          </w:p>
        </w:tc>
        <w:tc>
          <w:tcPr>
            <w:tcW w:w="50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jc w:val="right"/>
              <w:spacing w:after="0" w:line="91" w:lineRule="exact"/>
              <w:rPr>
                <w:sz w:val="20"/>
                <w:szCs w:val="20"/>
                <w:color w:val="auto"/>
              </w:rPr>
            </w:pPr>
            <w:r>
              <w:rPr>
                <w:rFonts w:ascii="Arial" w:cs="Arial" w:eastAsia="Arial" w:hAnsi="Arial"/>
                <w:sz w:val="10"/>
                <w:szCs w:val="10"/>
                <w:b w:val="1"/>
                <w:bCs w:val="1"/>
                <w:color w:val="auto"/>
              </w:rPr>
              <w:t>765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20" w:type="dxa"/>
            <w:vAlign w:val="bottom"/>
          </w:tcPr>
          <w:p>
            <w:pPr>
              <w:spacing w:after="0"/>
              <w:rPr>
                <w:sz w:val="20"/>
                <w:szCs w:val="20"/>
                <w:color w:val="auto"/>
              </w:rPr>
            </w:pPr>
            <w:r>
              <w:rPr>
                <w:rFonts w:ascii="Arial" w:cs="Arial" w:eastAsia="Arial" w:hAnsi="Arial"/>
                <w:sz w:val="10"/>
                <w:szCs w:val="10"/>
                <w:color w:val="auto"/>
              </w:rPr>
              <w:t>Income tax expense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b w:val="1"/>
                <w:bCs w:val="1"/>
                <w:color w:val="auto"/>
              </w:rPr>
              <w:t>(3,728)</w:t>
            </w:r>
          </w:p>
        </w:tc>
        <w:tc>
          <w:tcPr>
            <w:tcW w:w="360" w:type="dxa"/>
            <w:vAlign w:val="bottom"/>
          </w:tcPr>
          <w:p>
            <w:pPr>
              <w:spacing w:after="0"/>
              <w:rPr>
                <w:sz w:val="10"/>
                <w:szCs w:val="10"/>
                <w:color w:val="auto"/>
              </w:rPr>
            </w:pPr>
          </w:p>
        </w:tc>
        <w:tc>
          <w:tcPr>
            <w:tcW w:w="680" w:type="dxa"/>
            <w:vAlign w:val="bottom"/>
          </w:tcPr>
          <w:p>
            <w:pPr>
              <w:jc w:val="right"/>
              <w:ind w:right="149"/>
              <w:spacing w:after="0"/>
              <w:rPr>
                <w:sz w:val="20"/>
                <w:szCs w:val="20"/>
                <w:color w:val="auto"/>
              </w:rPr>
            </w:pPr>
            <w:r>
              <w:rPr>
                <w:rFonts w:ascii="Arial" w:cs="Arial" w:eastAsia="Arial" w:hAnsi="Arial"/>
                <w:sz w:val="10"/>
                <w:szCs w:val="10"/>
                <w:b w:val="1"/>
                <w:bCs w:val="1"/>
                <w:color w:val="auto"/>
              </w:rPr>
              <w:t>(535)</w:t>
            </w:r>
          </w:p>
        </w:tc>
        <w:tc>
          <w:tcPr>
            <w:tcW w:w="40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b w:val="1"/>
                <w:bCs w:val="1"/>
                <w:color w:val="auto"/>
              </w:rPr>
              <w:t>(7,802)</w:t>
            </w:r>
          </w:p>
        </w:tc>
        <w:tc>
          <w:tcPr>
            <w:tcW w:w="400" w:type="dxa"/>
            <w:vAlign w:val="bottom"/>
          </w:tcPr>
          <w:p>
            <w:pPr>
              <w:spacing w:after="0"/>
              <w:rPr>
                <w:sz w:val="10"/>
                <w:szCs w:val="10"/>
                <w:color w:val="auto"/>
              </w:rPr>
            </w:pPr>
          </w:p>
        </w:tc>
        <w:tc>
          <w:tcPr>
            <w:tcW w:w="640" w:type="dxa"/>
            <w:vAlign w:val="bottom"/>
          </w:tcPr>
          <w:p>
            <w:pPr>
              <w:jc w:val="right"/>
              <w:ind w:right="169"/>
              <w:spacing w:after="0"/>
              <w:rPr>
                <w:sz w:val="20"/>
                <w:szCs w:val="20"/>
                <w:color w:val="auto"/>
              </w:rPr>
            </w:pPr>
            <w:r>
              <w:rPr>
                <w:rFonts w:ascii="Arial" w:cs="Arial" w:eastAsia="Arial" w:hAnsi="Arial"/>
                <w:sz w:val="10"/>
                <w:szCs w:val="10"/>
                <w:b w:val="1"/>
                <w:bCs w:val="1"/>
                <w:color w:val="auto"/>
              </w:rPr>
              <w:t>(5,374)</w:t>
            </w:r>
          </w:p>
        </w:tc>
        <w:tc>
          <w:tcPr>
            <w:tcW w:w="360" w:type="dxa"/>
            <w:vAlign w:val="bottom"/>
          </w:tcPr>
          <w:p>
            <w:pPr>
              <w:spacing w:after="0"/>
              <w:rPr>
                <w:sz w:val="10"/>
                <w:szCs w:val="10"/>
                <w:color w:val="auto"/>
              </w:rPr>
            </w:pPr>
          </w:p>
        </w:tc>
        <w:tc>
          <w:tcPr>
            <w:tcW w:w="680" w:type="dxa"/>
            <w:vAlign w:val="bottom"/>
          </w:tcPr>
          <w:p>
            <w:pPr>
              <w:jc w:val="right"/>
              <w:ind w:right="169"/>
              <w:spacing w:after="0"/>
              <w:rPr>
                <w:sz w:val="20"/>
                <w:szCs w:val="20"/>
                <w:color w:val="auto"/>
              </w:rPr>
            </w:pPr>
            <w:r>
              <w:rPr>
                <w:rFonts w:ascii="Arial" w:cs="Arial" w:eastAsia="Arial" w:hAnsi="Arial"/>
                <w:sz w:val="10"/>
                <w:szCs w:val="10"/>
                <w:b w:val="1"/>
                <w:bCs w:val="1"/>
                <w:color w:val="auto"/>
              </w:rPr>
              <w:t>(507)</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b w:val="1"/>
                <w:bCs w:val="1"/>
                <w:color w:val="auto"/>
              </w:rPr>
              <w:t>(1,913)</w:t>
            </w:r>
          </w:p>
        </w:tc>
        <w:tc>
          <w:tcPr>
            <w:tcW w:w="520" w:type="dxa"/>
            <w:vAlign w:val="bottom"/>
          </w:tcPr>
          <w:p>
            <w:pPr>
              <w:spacing w:after="0"/>
              <w:rPr>
                <w:sz w:val="10"/>
                <w:szCs w:val="1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(19,859)</w:t>
            </w:r>
          </w:p>
        </w:tc>
        <w:tc>
          <w:tcPr>
            <w:tcW w:w="200" w:type="dxa"/>
            <w:vAlign w:val="bottom"/>
          </w:tcPr>
          <w:p>
            <w:pPr>
              <w:spacing w:after="0"/>
              <w:rPr>
                <w:sz w:val="10"/>
                <w:szCs w:val="10"/>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b w:val="1"/>
                <w:bCs w:val="1"/>
                <w:color w:val="auto"/>
              </w:rPr>
              <w:t>(2,176)</w:t>
            </w:r>
          </w:p>
        </w:tc>
        <w:tc>
          <w:tcPr>
            <w:tcW w:w="50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rPr>
              <w:t>(392)</w:t>
            </w:r>
          </w:p>
        </w:tc>
        <w:tc>
          <w:tcPr>
            <w:tcW w:w="0" w:type="dxa"/>
            <w:vAlign w:val="bottom"/>
          </w:tcPr>
          <w:p>
            <w:pPr>
              <w:spacing w:after="0"/>
              <w:rPr>
                <w:sz w:val="1"/>
                <w:szCs w:val="1"/>
                <w:color w:val="auto"/>
              </w:rPr>
            </w:pPr>
          </w:p>
        </w:tc>
      </w:tr>
      <w:tr>
        <w:trPr>
          <w:trHeight w:val="114"/>
        </w:trPr>
        <w:tc>
          <w:tcPr>
            <w:tcW w:w="202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68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6,491</w:t>
            </w:r>
          </w:p>
        </w:tc>
        <w:tc>
          <w:tcPr>
            <w:tcW w:w="36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1,359</w:t>
            </w:r>
          </w:p>
        </w:tc>
        <w:tc>
          <w:tcPr>
            <w:tcW w:w="4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4,464</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5,184</w:t>
            </w:r>
          </w:p>
        </w:tc>
        <w:tc>
          <w:tcPr>
            <w:tcW w:w="360" w:type="dxa"/>
            <w:vAlign w:val="bottom"/>
            <w:tcBorders>
              <w:top w:val="single" w:sz="8" w:color="0077C0"/>
              <w:bottom w:val="single" w:sz="8" w:color="0077C0"/>
            </w:tcBorders>
          </w:tcPr>
          <w:p>
            <w:pPr>
              <w:jc w:val="right"/>
              <w:ind w:right="49"/>
              <w:spacing w:after="0" w:line="105" w:lineRule="exact"/>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b w:val="1"/>
                <w:bCs w:val="1"/>
                <w:color w:val="auto"/>
              </w:rPr>
              <w:t>1,166</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w:t>
            </w:r>
          </w:p>
        </w:tc>
        <w:tc>
          <w:tcPr>
            <w:tcW w:w="48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1,077</w:t>
            </w:r>
          </w:p>
        </w:tc>
        <w:tc>
          <w:tcPr>
            <w:tcW w:w="520" w:type="dxa"/>
            <w:vAlign w:val="bottom"/>
            <w:tcBorders>
              <w:top w:val="single" w:sz="8" w:color="0077C0"/>
              <w:bottom w:val="single" w:sz="8" w:color="0077C0"/>
            </w:tcBorders>
          </w:tcPr>
          <w:p>
            <w:pPr>
              <w:jc w:val="right"/>
              <w:ind w:right="50"/>
              <w:spacing w:after="0" w:line="105" w:lineRule="exact"/>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19,741</w:t>
            </w:r>
          </w:p>
        </w:tc>
        <w:tc>
          <w:tcPr>
            <w:tcW w:w="2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b w:val="1"/>
                <w:bCs w:val="1"/>
                <w:color w:val="auto"/>
              </w:rPr>
              <w:t>5,069</w:t>
            </w:r>
          </w:p>
        </w:tc>
        <w:tc>
          <w:tcPr>
            <w:tcW w:w="500" w:type="dxa"/>
            <w:vAlign w:val="bottom"/>
            <w:tcBorders>
              <w:top w:val="single" w:sz="8" w:color="0077C0"/>
              <w:bottom w:val="single" w:sz="8" w:color="0077C0"/>
            </w:tcBorders>
          </w:tcPr>
          <w:p>
            <w:pPr>
              <w:jc w:val="right"/>
              <w:ind w:right="90"/>
              <w:spacing w:after="0" w:line="105" w:lineRule="exact"/>
              <w:rPr>
                <w:sz w:val="20"/>
                <w:szCs w:val="20"/>
                <w:color w:val="auto"/>
              </w:rPr>
            </w:pPr>
            <w:r>
              <w:rPr>
                <w:rFonts w:ascii="Arial" w:cs="Arial" w:eastAsia="Arial" w:hAnsi="Arial"/>
                <w:sz w:val="10"/>
                <w:szCs w:val="10"/>
                <w:b w:val="1"/>
                <w:bCs w:val="1"/>
                <w:color w:val="auto"/>
              </w:rPr>
              <w:t>$</w:t>
            </w: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373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20" w:type="dxa"/>
            <w:vAlign w:val="bottom"/>
          </w:tcPr>
          <w:p>
            <w:pPr>
              <w:spacing w:after="0" w:line="103" w:lineRule="exact"/>
              <w:rPr>
                <w:sz w:val="20"/>
                <w:szCs w:val="20"/>
                <w:color w:val="auto"/>
              </w:rPr>
            </w:pPr>
            <w:r>
              <w:rPr>
                <w:rFonts w:ascii="Arial" w:cs="Arial" w:eastAsia="Arial" w:hAnsi="Arial"/>
                <w:sz w:val="10"/>
                <w:szCs w:val="10"/>
                <w:b w:val="1"/>
                <w:bCs w:val="1"/>
                <w:color w:val="0077C0"/>
              </w:rPr>
              <w:t>Year Ended December 31, 2010</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tcPr>
          <w:p>
            <w:pPr>
              <w:ind w:left="140"/>
              <w:spacing w:after="0" w:line="106" w:lineRule="exact"/>
              <w:rPr>
                <w:sz w:val="20"/>
                <w:szCs w:val="20"/>
                <w:color w:val="auto"/>
              </w:rPr>
            </w:pPr>
            <w:r>
              <w:rPr>
                <w:rFonts w:ascii="Arial" w:cs="Arial" w:eastAsia="Arial" w:hAnsi="Arial"/>
                <w:sz w:val="10"/>
                <w:szCs w:val="10"/>
                <w:color w:val="auto"/>
              </w:rPr>
              <w:t>Sales</w:t>
            </w:r>
          </w:p>
        </w:tc>
        <w:tc>
          <w:tcPr>
            <w:tcW w:w="6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2,540</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2,441</w:t>
            </w:r>
          </w:p>
        </w:tc>
        <w:tc>
          <w:tcPr>
            <w:tcW w:w="4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2,278</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7,221</w:t>
            </w:r>
          </w:p>
        </w:tc>
        <w:tc>
          <w:tcPr>
            <w:tcW w:w="36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994</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1,519</w:t>
            </w:r>
          </w:p>
        </w:tc>
        <w:tc>
          <w:tcPr>
            <w:tcW w:w="520" w:type="dxa"/>
            <w:vAlign w:val="bottom"/>
          </w:tcPr>
          <w:p>
            <w:pPr>
              <w:jc w:val="right"/>
              <w:ind w:right="50"/>
              <w:spacing w:after="0" w:line="106"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16,993</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6,031</w:t>
            </w:r>
          </w:p>
        </w:tc>
        <w:tc>
          <w:tcPr>
            <w:tcW w:w="50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1,307</w:t>
            </w:r>
          </w:p>
        </w:tc>
        <w:tc>
          <w:tcPr>
            <w:tcW w:w="0" w:type="dxa"/>
            <w:vAlign w:val="bottom"/>
          </w:tcPr>
          <w:p>
            <w:pPr>
              <w:spacing w:after="0"/>
              <w:rPr>
                <w:sz w:val="1"/>
                <w:szCs w:val="1"/>
                <w:color w:val="auto"/>
              </w:rPr>
            </w:pPr>
          </w:p>
        </w:tc>
      </w:tr>
      <w:tr>
        <w:trPr>
          <w:trHeight w:val="118"/>
        </w:trPr>
        <w:tc>
          <w:tcPr>
            <w:tcW w:w="2020" w:type="dxa"/>
            <w:vAlign w:val="bottom"/>
          </w:tcPr>
          <w:p>
            <w:pPr>
              <w:ind w:left="140"/>
              <w:spacing w:after="0"/>
              <w:rPr>
                <w:sz w:val="20"/>
                <w:szCs w:val="20"/>
                <w:color w:val="auto"/>
              </w:rPr>
            </w:pPr>
            <w:r>
              <w:rPr>
                <w:rFonts w:ascii="Arial" w:cs="Arial" w:eastAsia="Arial" w:hAnsi="Arial"/>
                <w:sz w:val="10"/>
                <w:szCs w:val="10"/>
                <w:color w:val="auto"/>
              </w:rPr>
              <w:t>Transfers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12,172</w:t>
            </w:r>
          </w:p>
        </w:tc>
        <w:tc>
          <w:tcPr>
            <w:tcW w:w="36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1,038</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10,306</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6,242</w:t>
            </w:r>
          </w:p>
        </w:tc>
        <w:tc>
          <w:tcPr>
            <w:tcW w:w="36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985</w:t>
            </w:r>
          </w:p>
        </w:tc>
        <w:tc>
          <w:tcPr>
            <w:tcW w:w="400" w:type="dxa"/>
            <w:vAlign w:val="bottom"/>
          </w:tcPr>
          <w:p>
            <w:pPr>
              <w:spacing w:after="0"/>
              <w:rPr>
                <w:sz w:val="10"/>
                <w:szCs w:val="10"/>
                <w:color w:val="auto"/>
              </w:rPr>
            </w:pPr>
          </w:p>
        </w:tc>
        <w:tc>
          <w:tcPr>
            <w:tcW w:w="480" w:type="dxa"/>
            <w:vAlign w:val="bottom"/>
          </w:tcPr>
          <w:p>
            <w:pPr>
              <w:jc w:val="right"/>
              <w:ind w:right="29"/>
              <w:spacing w:after="0"/>
              <w:rPr>
                <w:sz w:val="20"/>
                <w:szCs w:val="20"/>
                <w:color w:val="auto"/>
              </w:rPr>
            </w:pPr>
            <w:r>
              <w:rPr>
                <w:rFonts w:ascii="Arial" w:cs="Arial" w:eastAsia="Arial" w:hAnsi="Arial"/>
                <w:sz w:val="10"/>
                <w:szCs w:val="10"/>
                <w:color w:val="auto"/>
              </w:rPr>
              <w:t>2,138</w:t>
            </w:r>
          </w:p>
        </w:tc>
        <w:tc>
          <w:tcPr>
            <w:tcW w:w="52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color w:val="auto"/>
              </w:rPr>
              <w:t>32,881</w:t>
            </w:r>
          </w:p>
        </w:tc>
        <w:tc>
          <w:tcPr>
            <w:tcW w:w="200" w:type="dxa"/>
            <w:vAlign w:val="bottom"/>
          </w:tcPr>
          <w:p>
            <w:pPr>
              <w:spacing w:after="0"/>
              <w:rPr>
                <w:sz w:val="10"/>
                <w:szCs w:val="10"/>
                <w:color w:val="auto"/>
              </w:rPr>
            </w:pPr>
          </w:p>
        </w:tc>
        <w:tc>
          <w:tcPr>
            <w:tcW w:w="5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2020" w:type="dxa"/>
            <w:vAlign w:val="bottom"/>
            <w:tcBorders>
              <w:top w:val="single" w:sz="8" w:color="0077C0"/>
            </w:tcBorders>
          </w:tcPr>
          <w:p>
            <w:pPr>
              <w:ind w:left="140"/>
              <w:spacing w:after="0" w:line="102" w:lineRule="exact"/>
              <w:rPr>
                <w:sz w:val="20"/>
                <w:szCs w:val="20"/>
                <w:color w:val="auto"/>
              </w:rPr>
            </w:pPr>
            <w:r>
              <w:rPr>
                <w:rFonts w:ascii="Arial" w:cs="Arial" w:eastAsia="Arial" w:hAnsi="Arial"/>
                <w:sz w:val="10"/>
                <w:szCs w:val="10"/>
                <w:color w:val="auto"/>
              </w:rPr>
              <w:t>Total</w:t>
            </w:r>
          </w:p>
        </w:tc>
        <w:tc>
          <w:tcPr>
            <w:tcW w:w="50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102" w:lineRule="exact"/>
              <w:rPr>
                <w:sz w:val="20"/>
                <w:szCs w:val="20"/>
                <w:color w:val="auto"/>
              </w:rPr>
            </w:pPr>
            <w:r>
              <w:rPr>
                <w:rFonts w:ascii="Arial" w:cs="Arial" w:eastAsia="Arial" w:hAnsi="Arial"/>
                <w:sz w:val="10"/>
                <w:szCs w:val="10"/>
                <w:color w:val="auto"/>
              </w:rPr>
              <w:t>14,712</w:t>
            </w: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jc w:val="right"/>
              <w:ind w:right="189"/>
              <w:spacing w:after="0" w:line="102" w:lineRule="exact"/>
              <w:rPr>
                <w:sz w:val="20"/>
                <w:szCs w:val="20"/>
                <w:color w:val="auto"/>
              </w:rPr>
            </w:pPr>
            <w:r>
              <w:rPr>
                <w:rFonts w:ascii="Arial" w:cs="Arial" w:eastAsia="Arial" w:hAnsi="Arial"/>
                <w:sz w:val="10"/>
                <w:szCs w:val="10"/>
                <w:color w:val="auto"/>
              </w:rPr>
              <w:t>3,479</w:t>
            </w: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102" w:lineRule="exact"/>
              <w:rPr>
                <w:sz w:val="20"/>
                <w:szCs w:val="20"/>
                <w:color w:val="auto"/>
              </w:rPr>
            </w:pPr>
            <w:r>
              <w:rPr>
                <w:rFonts w:ascii="Arial" w:cs="Arial" w:eastAsia="Arial" w:hAnsi="Arial"/>
                <w:sz w:val="10"/>
                <w:szCs w:val="10"/>
                <w:color w:val="auto"/>
              </w:rPr>
              <w:t>12,584</w:t>
            </w: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102" w:lineRule="exact"/>
              <w:rPr>
                <w:sz w:val="20"/>
                <w:szCs w:val="20"/>
                <w:color w:val="auto"/>
              </w:rPr>
            </w:pPr>
            <w:r>
              <w:rPr>
                <w:rFonts w:ascii="Arial" w:cs="Arial" w:eastAsia="Arial" w:hAnsi="Arial"/>
                <w:sz w:val="10"/>
                <w:szCs w:val="10"/>
                <w:color w:val="auto"/>
              </w:rPr>
              <w:t>13,463</w:t>
            </w: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jc w:val="right"/>
              <w:ind w:right="189"/>
              <w:spacing w:after="0" w:line="102" w:lineRule="exact"/>
              <w:rPr>
                <w:sz w:val="20"/>
                <w:szCs w:val="20"/>
                <w:color w:val="auto"/>
              </w:rPr>
            </w:pPr>
            <w:r>
              <w:rPr>
                <w:rFonts w:ascii="Arial" w:cs="Arial" w:eastAsia="Arial" w:hAnsi="Arial"/>
                <w:sz w:val="10"/>
                <w:szCs w:val="10"/>
                <w:color w:val="auto"/>
              </w:rPr>
              <w:t>1,979</w:t>
            </w: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29"/>
              <w:spacing w:after="0" w:line="102" w:lineRule="exact"/>
              <w:rPr>
                <w:sz w:val="20"/>
                <w:szCs w:val="20"/>
                <w:color w:val="auto"/>
              </w:rPr>
            </w:pPr>
            <w:r>
              <w:rPr>
                <w:rFonts w:ascii="Arial" w:cs="Arial" w:eastAsia="Arial" w:hAnsi="Arial"/>
                <w:sz w:val="10"/>
                <w:szCs w:val="10"/>
                <w:color w:val="auto"/>
              </w:rPr>
              <w:t>3,657</w:t>
            </w:r>
          </w:p>
        </w:tc>
        <w:tc>
          <w:tcPr>
            <w:tcW w:w="520" w:type="dxa"/>
            <w:vAlign w:val="bottom"/>
            <w:tcBorders>
              <w:top w:val="single" w:sz="8" w:color="0077C0"/>
            </w:tcBorders>
          </w:tcPr>
          <w:p>
            <w:pPr>
              <w:spacing w:after="0"/>
              <w:rPr>
                <w:sz w:val="8"/>
                <w:szCs w:val="8"/>
                <w:color w:val="auto"/>
              </w:rPr>
            </w:pPr>
          </w:p>
        </w:tc>
        <w:tc>
          <w:tcPr>
            <w:tcW w:w="880" w:type="dxa"/>
            <w:vAlign w:val="bottom"/>
            <w:tcBorders>
              <w:top w:val="single" w:sz="8" w:color="0077C0"/>
            </w:tcBorders>
            <w:gridSpan w:val="2"/>
          </w:tcPr>
          <w:p>
            <w:pPr>
              <w:jc w:val="right"/>
              <w:ind w:right="460"/>
              <w:spacing w:after="0" w:line="102" w:lineRule="exact"/>
              <w:rPr>
                <w:sz w:val="20"/>
                <w:szCs w:val="20"/>
                <w:color w:val="auto"/>
              </w:rPr>
            </w:pPr>
            <w:r>
              <w:rPr>
                <w:rFonts w:ascii="Arial" w:cs="Arial" w:eastAsia="Arial" w:hAnsi="Arial"/>
                <w:sz w:val="10"/>
                <w:szCs w:val="10"/>
                <w:color w:val="auto"/>
              </w:rPr>
              <w:t>49,874</w:t>
            </w: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89"/>
              <w:spacing w:after="0" w:line="102" w:lineRule="exact"/>
              <w:rPr>
                <w:sz w:val="20"/>
                <w:szCs w:val="20"/>
                <w:color w:val="auto"/>
              </w:rPr>
            </w:pPr>
            <w:r>
              <w:rPr>
                <w:rFonts w:ascii="Arial" w:cs="Arial" w:eastAsia="Arial" w:hAnsi="Arial"/>
                <w:sz w:val="10"/>
                <w:szCs w:val="10"/>
                <w:color w:val="auto"/>
              </w:rPr>
              <w:t>6,031</w:t>
            </w:r>
          </w:p>
        </w:tc>
        <w:tc>
          <w:tcPr>
            <w:tcW w:w="50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jc w:val="right"/>
              <w:spacing w:after="0" w:line="102" w:lineRule="exact"/>
              <w:rPr>
                <w:sz w:val="20"/>
                <w:szCs w:val="20"/>
                <w:color w:val="auto"/>
              </w:rPr>
            </w:pPr>
            <w:r>
              <w:rPr>
                <w:rFonts w:ascii="Arial" w:cs="Arial" w:eastAsia="Arial" w:hAnsi="Arial"/>
                <w:sz w:val="10"/>
                <w:szCs w:val="10"/>
                <w:color w:val="auto"/>
              </w:rPr>
              <w:t>1,307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Production expenses excluding taxes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(3,338)</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(805)</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(1,413)</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(2,996)</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(96)</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(534)</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(9,182)</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(347)</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(152)</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Taxes other than on income</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(542)</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(102)</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(130)</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(85)</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(334)</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(2)</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(1,195)</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(360)</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(101)</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Proved producing properties: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20" w:type="dxa"/>
            <w:vAlign w:val="bottom"/>
          </w:tcPr>
          <w:p>
            <w:pPr>
              <w:ind w:left="140"/>
              <w:spacing w:after="0" w:line="106" w:lineRule="exact"/>
              <w:rPr>
                <w:sz w:val="20"/>
                <w:szCs w:val="20"/>
                <w:color w:val="auto"/>
              </w:rPr>
            </w:pPr>
            <w:r>
              <w:rPr>
                <w:rFonts w:ascii="Arial" w:cs="Arial" w:eastAsia="Arial" w:hAnsi="Arial"/>
                <w:sz w:val="10"/>
                <w:szCs w:val="10"/>
                <w:color w:val="auto"/>
              </w:rPr>
              <w:t>Depreciation and depletion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(3,639)</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(907)</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(2,204)</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(2,816)</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(151)</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(681)</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(10,398)</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(432)</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(131)</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(240)</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(102)</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(35)</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(15)</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(53)</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(468)</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(8)</w:t>
            </w:r>
          </w:p>
        </w:tc>
        <w:tc>
          <w:tcPr>
            <w:tcW w:w="500" w:type="dxa"/>
            <w:vAlign w:val="bottom"/>
          </w:tcPr>
          <w:p>
            <w:pPr>
              <w:spacing w:after="0"/>
              <w:rPr>
                <w:sz w:val="9"/>
                <w:szCs w:val="9"/>
                <w:color w:val="auto"/>
              </w:rPr>
            </w:pPr>
          </w:p>
        </w:tc>
        <w:tc>
          <w:tcPr>
            <w:tcW w:w="4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Exploration expenses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(193)</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(173)</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(242)</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(289)</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(175)</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(75)</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(1,147)</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(5)</w:t>
            </w:r>
          </w:p>
        </w:tc>
        <w:tc>
          <w:tcPr>
            <w:tcW w:w="500" w:type="dxa"/>
            <w:vAlign w:val="bottom"/>
          </w:tcPr>
          <w:p>
            <w:pPr>
              <w:spacing w:after="0"/>
              <w:rPr>
                <w:sz w:val="9"/>
                <w:szCs w:val="9"/>
                <w:color w:val="auto"/>
              </w:rPr>
            </w:pP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(123)</w:t>
            </w:r>
          </w:p>
        </w:tc>
        <w:tc>
          <w:tcPr>
            <w:tcW w:w="360" w:type="dxa"/>
            <w:vAlign w:val="bottom"/>
          </w:tcPr>
          <w:p>
            <w:pPr>
              <w:spacing w:after="0"/>
              <w:rPr>
                <w:sz w:val="9"/>
                <w:szCs w:val="9"/>
                <w:color w:val="auto"/>
              </w:rPr>
            </w:pPr>
          </w:p>
        </w:tc>
        <w:tc>
          <w:tcPr>
            <w:tcW w:w="68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(71)</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(25)</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(33)</w:t>
            </w:r>
          </w:p>
        </w:tc>
        <w:tc>
          <w:tcPr>
            <w:tcW w:w="36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(2)</w:t>
            </w:r>
          </w:p>
        </w:tc>
        <w:tc>
          <w:tcPr>
            <w:tcW w:w="520" w:type="dxa"/>
            <w:vAlign w:val="bottom"/>
          </w:tcPr>
          <w:p>
            <w:pPr>
              <w:spacing w:after="0"/>
              <w:rPr>
                <w:sz w:val="9"/>
                <w:szCs w:val="9"/>
                <w:color w:val="auto"/>
              </w:rPr>
            </w:pPr>
          </w:p>
        </w:tc>
        <w:tc>
          <w:tcPr>
            <w:tcW w:w="88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(254)</w:t>
            </w:r>
          </w:p>
        </w:tc>
        <w:tc>
          <w:tcPr>
            <w:tcW w:w="200" w:type="dxa"/>
            <w:vAlign w:val="bottom"/>
          </w:tcPr>
          <w:p>
            <w:pPr>
              <w:spacing w:after="0"/>
              <w:rPr>
                <w:sz w:val="9"/>
                <w:szCs w:val="9"/>
                <w:color w:val="auto"/>
              </w:rPr>
            </w:pP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40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20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50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(154)</w:t>
            </w:r>
          </w:p>
        </w:tc>
        <w:tc>
          <w:tcPr>
            <w:tcW w:w="3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(818)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49"/>
              <w:spacing w:after="0"/>
              <w:rPr>
                <w:sz w:val="20"/>
                <w:szCs w:val="20"/>
                <w:color w:val="auto"/>
              </w:rPr>
            </w:pPr>
            <w:r>
              <w:rPr>
                <w:rFonts w:ascii="Arial" w:cs="Arial" w:eastAsia="Arial" w:hAnsi="Arial"/>
                <w:sz w:val="10"/>
                <w:szCs w:val="10"/>
                <w:color w:val="auto"/>
              </w:rPr>
              <w:t>(103)</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(282)</w:t>
            </w:r>
          </w:p>
        </w:tc>
        <w:tc>
          <w:tcPr>
            <w:tcW w:w="3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109</w:t>
            </w:r>
          </w:p>
        </w:tc>
        <w:tc>
          <w:tcPr>
            <w:tcW w:w="4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29"/>
              <w:spacing w:after="0"/>
              <w:rPr>
                <w:sz w:val="20"/>
                <w:szCs w:val="20"/>
                <w:color w:val="auto"/>
              </w:rPr>
            </w:pPr>
            <w:r>
              <w:rPr>
                <w:rFonts w:ascii="Arial" w:cs="Arial" w:eastAsia="Arial" w:hAnsi="Arial"/>
                <w:sz w:val="10"/>
                <w:szCs w:val="10"/>
                <w:color w:val="auto"/>
              </w:rPr>
              <w:t>165</w:t>
            </w:r>
          </w:p>
        </w:tc>
        <w:tc>
          <w:tcPr>
            <w:tcW w:w="520" w:type="dxa"/>
            <w:vAlign w:val="bottom"/>
            <w:tcBorders>
              <w:bottom w:val="single" w:sz="8" w:color="0077C0"/>
            </w:tcBorders>
          </w:tcPr>
          <w:p>
            <w:pPr>
              <w:spacing w:after="0"/>
              <w:rPr>
                <w:sz w:val="10"/>
                <w:szCs w:val="10"/>
                <w:color w:val="auto"/>
              </w:rPr>
            </w:pPr>
          </w:p>
        </w:tc>
        <w:tc>
          <w:tcPr>
            <w:tcW w:w="880" w:type="dxa"/>
            <w:vAlign w:val="bottom"/>
            <w:tcBorders>
              <w:bottom w:val="single" w:sz="8" w:color="0077C0"/>
            </w:tcBorders>
            <w:gridSpan w:val="2"/>
          </w:tcPr>
          <w:p>
            <w:pPr>
              <w:jc w:val="right"/>
              <w:ind w:right="420"/>
              <w:spacing w:after="0"/>
              <w:rPr>
                <w:sz w:val="20"/>
                <w:szCs w:val="20"/>
                <w:color w:val="auto"/>
              </w:rPr>
            </w:pPr>
            <w:r>
              <w:rPr>
                <w:rFonts w:ascii="Arial" w:cs="Arial" w:eastAsia="Arial" w:hAnsi="Arial"/>
                <w:sz w:val="10"/>
                <w:szCs w:val="10"/>
                <w:color w:val="auto"/>
              </w:rPr>
              <w:t>(1,083)</w:t>
            </w:r>
          </w:p>
        </w:tc>
        <w:tc>
          <w:tcPr>
            <w:tcW w:w="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(65)</w:t>
            </w:r>
          </w:p>
        </w:tc>
        <w:tc>
          <w:tcPr>
            <w:tcW w:w="500" w:type="dxa"/>
            <w:vAlign w:val="bottom"/>
            <w:tcBorders>
              <w:bottom w:val="single" w:sz="8" w:color="0077C0"/>
            </w:tcBorders>
          </w:tcPr>
          <w:p>
            <w:pPr>
              <w:spacing w:after="0"/>
              <w:rPr>
                <w:sz w:val="10"/>
                <w:szCs w:val="10"/>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20" w:type="dxa"/>
            <w:vAlign w:val="bottom"/>
          </w:tcPr>
          <w:p>
            <w:pPr>
              <w:ind w:left="140"/>
              <w:spacing w:after="0" w:line="92" w:lineRule="exact"/>
              <w:rPr>
                <w:sz w:val="20"/>
                <w:szCs w:val="20"/>
                <w:color w:val="auto"/>
              </w:rPr>
            </w:pPr>
            <w:r>
              <w:rPr>
                <w:rFonts w:ascii="Arial" w:cs="Arial" w:eastAsia="Arial" w:hAnsi="Arial"/>
                <w:sz w:val="10"/>
                <w:szCs w:val="10"/>
                <w:color w:val="auto"/>
              </w:rPr>
              <w:t>Results before income taxes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6,483</w:t>
            </w:r>
          </w:p>
        </w:tc>
        <w:tc>
          <w:tcPr>
            <w:tcW w:w="360" w:type="dxa"/>
            <w:vAlign w:val="bottom"/>
          </w:tcPr>
          <w:p>
            <w:pPr>
              <w:spacing w:after="0"/>
              <w:rPr>
                <w:sz w:val="8"/>
                <w:szCs w:val="8"/>
                <w:color w:val="auto"/>
              </w:rPr>
            </w:pPr>
          </w:p>
        </w:tc>
        <w:tc>
          <w:tcPr>
            <w:tcW w:w="680" w:type="dxa"/>
            <w:vAlign w:val="bottom"/>
          </w:tcPr>
          <w:p>
            <w:pPr>
              <w:jc w:val="right"/>
              <w:ind w:right="189"/>
              <w:spacing w:after="0" w:line="92" w:lineRule="exact"/>
              <w:rPr>
                <w:sz w:val="20"/>
                <w:szCs w:val="20"/>
                <w:color w:val="auto"/>
              </w:rPr>
            </w:pPr>
            <w:r>
              <w:rPr>
                <w:rFonts w:ascii="Arial" w:cs="Arial" w:eastAsia="Arial" w:hAnsi="Arial"/>
                <w:sz w:val="10"/>
                <w:szCs w:val="10"/>
                <w:color w:val="auto"/>
              </w:rPr>
              <w:t>580</w:t>
            </w:r>
          </w:p>
        </w:tc>
        <w:tc>
          <w:tcPr>
            <w:tcW w:w="40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8,365</w:t>
            </w:r>
          </w:p>
        </w:tc>
        <w:tc>
          <w:tcPr>
            <w:tcW w:w="40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6,927</w:t>
            </w:r>
          </w:p>
        </w:tc>
        <w:tc>
          <w:tcPr>
            <w:tcW w:w="360" w:type="dxa"/>
            <w:vAlign w:val="bottom"/>
          </w:tcPr>
          <w:p>
            <w:pPr>
              <w:spacing w:after="0"/>
              <w:rPr>
                <w:sz w:val="8"/>
                <w:szCs w:val="8"/>
                <w:color w:val="auto"/>
              </w:rPr>
            </w:pPr>
          </w:p>
        </w:tc>
        <w:tc>
          <w:tcPr>
            <w:tcW w:w="680" w:type="dxa"/>
            <w:vAlign w:val="bottom"/>
          </w:tcPr>
          <w:p>
            <w:pPr>
              <w:jc w:val="right"/>
              <w:ind w:right="189"/>
              <w:spacing w:after="0" w:line="92" w:lineRule="exact"/>
              <w:rPr>
                <w:sz w:val="20"/>
                <w:szCs w:val="20"/>
                <w:color w:val="auto"/>
              </w:rPr>
            </w:pPr>
            <w:r>
              <w:rPr>
                <w:rFonts w:ascii="Arial" w:cs="Arial" w:eastAsia="Arial" w:hAnsi="Arial"/>
                <w:sz w:val="10"/>
                <w:szCs w:val="10"/>
                <w:color w:val="auto"/>
              </w:rPr>
              <w:t>1,317</w:t>
            </w:r>
          </w:p>
        </w:tc>
        <w:tc>
          <w:tcPr>
            <w:tcW w:w="400" w:type="dxa"/>
            <w:vAlign w:val="bottom"/>
          </w:tcPr>
          <w:p>
            <w:pPr>
              <w:spacing w:after="0"/>
              <w:rPr>
                <w:sz w:val="8"/>
                <w:szCs w:val="8"/>
                <w:color w:val="auto"/>
              </w:rPr>
            </w:pPr>
          </w:p>
        </w:tc>
        <w:tc>
          <w:tcPr>
            <w:tcW w:w="480" w:type="dxa"/>
            <w:vAlign w:val="bottom"/>
          </w:tcPr>
          <w:p>
            <w:pPr>
              <w:jc w:val="right"/>
              <w:ind w:right="29"/>
              <w:spacing w:after="0" w:line="92" w:lineRule="exact"/>
              <w:rPr>
                <w:sz w:val="20"/>
                <w:szCs w:val="20"/>
                <w:color w:val="auto"/>
              </w:rPr>
            </w:pPr>
            <w:r>
              <w:rPr>
                <w:rFonts w:ascii="Arial" w:cs="Arial" w:eastAsia="Arial" w:hAnsi="Arial"/>
                <w:sz w:val="10"/>
                <w:szCs w:val="10"/>
                <w:color w:val="auto"/>
              </w:rPr>
              <w:t>2,475</w:t>
            </w:r>
          </w:p>
        </w:tc>
        <w:tc>
          <w:tcPr>
            <w:tcW w:w="520" w:type="dxa"/>
            <w:vAlign w:val="bottom"/>
          </w:tcPr>
          <w:p>
            <w:pPr>
              <w:spacing w:after="0"/>
              <w:rPr>
                <w:sz w:val="8"/>
                <w:szCs w:val="8"/>
                <w:color w:val="auto"/>
              </w:rPr>
            </w:pPr>
          </w:p>
        </w:tc>
        <w:tc>
          <w:tcPr>
            <w:tcW w:w="880" w:type="dxa"/>
            <w:vAlign w:val="bottom"/>
            <w:gridSpan w:val="2"/>
          </w:tcPr>
          <w:p>
            <w:pPr>
              <w:jc w:val="right"/>
              <w:ind w:right="460"/>
              <w:spacing w:after="0" w:line="92" w:lineRule="exact"/>
              <w:rPr>
                <w:sz w:val="20"/>
                <w:szCs w:val="20"/>
                <w:color w:val="auto"/>
              </w:rPr>
            </w:pPr>
            <w:r>
              <w:rPr>
                <w:rFonts w:ascii="Arial" w:cs="Arial" w:eastAsia="Arial" w:hAnsi="Arial"/>
                <w:sz w:val="10"/>
                <w:szCs w:val="10"/>
                <w:color w:val="auto"/>
              </w:rPr>
              <w:t>26,147</w:t>
            </w:r>
          </w:p>
        </w:tc>
        <w:tc>
          <w:tcPr>
            <w:tcW w:w="200" w:type="dxa"/>
            <w:vAlign w:val="bottom"/>
          </w:tcPr>
          <w:p>
            <w:pPr>
              <w:spacing w:after="0"/>
              <w:rPr>
                <w:sz w:val="8"/>
                <w:szCs w:val="8"/>
                <w:color w:val="auto"/>
              </w:rPr>
            </w:pPr>
          </w:p>
        </w:tc>
        <w:tc>
          <w:tcPr>
            <w:tcW w:w="520" w:type="dxa"/>
            <w:vAlign w:val="bottom"/>
          </w:tcPr>
          <w:p>
            <w:pPr>
              <w:jc w:val="right"/>
              <w:ind w:right="89"/>
              <w:spacing w:after="0" w:line="92" w:lineRule="exact"/>
              <w:rPr>
                <w:sz w:val="20"/>
                <w:szCs w:val="20"/>
                <w:color w:val="auto"/>
              </w:rPr>
            </w:pPr>
            <w:r>
              <w:rPr>
                <w:rFonts w:ascii="Arial" w:cs="Arial" w:eastAsia="Arial" w:hAnsi="Arial"/>
                <w:sz w:val="10"/>
                <w:szCs w:val="10"/>
                <w:color w:val="auto"/>
              </w:rPr>
              <w:t>4,814</w:t>
            </w:r>
          </w:p>
        </w:tc>
        <w:tc>
          <w:tcPr>
            <w:tcW w:w="500" w:type="dxa"/>
            <w:vAlign w:val="bottom"/>
          </w:tcPr>
          <w:p>
            <w:pPr>
              <w:spacing w:after="0"/>
              <w:rPr>
                <w:sz w:val="8"/>
                <w:szCs w:val="8"/>
                <w:color w:val="auto"/>
              </w:rPr>
            </w:pPr>
          </w:p>
        </w:tc>
        <w:tc>
          <w:tcPr>
            <w:tcW w:w="360" w:type="dxa"/>
            <w:vAlign w:val="bottom"/>
          </w:tcPr>
          <w:p>
            <w:pPr>
              <w:jc w:val="right"/>
              <w:spacing w:after="0" w:line="92" w:lineRule="exact"/>
              <w:rPr>
                <w:sz w:val="20"/>
                <w:szCs w:val="20"/>
                <w:color w:val="auto"/>
              </w:rPr>
            </w:pPr>
            <w:r>
              <w:rPr>
                <w:rFonts w:ascii="Arial" w:cs="Arial" w:eastAsia="Arial" w:hAnsi="Arial"/>
                <w:sz w:val="10"/>
                <w:szCs w:val="10"/>
                <w:color w:val="auto"/>
              </w:rPr>
              <w:t>1,109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Income tax expense</w:t>
            </w:r>
            <w:r>
              <w:rPr>
                <w:rFonts w:ascii="Arial" w:cs="Arial" w:eastAsia="Arial" w:hAnsi="Arial"/>
                <w:sz w:val="8"/>
                <w:szCs w:val="8"/>
                <w:color w:val="auto"/>
              </w:rPr>
              <w:t>4</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color w:val="auto"/>
              </w:rPr>
              <w:t>(2,273)</w:t>
            </w:r>
          </w:p>
        </w:tc>
        <w:tc>
          <w:tcPr>
            <w:tcW w:w="360" w:type="dxa"/>
            <w:vAlign w:val="bottom"/>
          </w:tcPr>
          <w:p>
            <w:pPr>
              <w:spacing w:after="0"/>
              <w:rPr>
                <w:sz w:val="10"/>
                <w:szCs w:val="10"/>
                <w:color w:val="auto"/>
              </w:rPr>
            </w:pPr>
          </w:p>
        </w:tc>
        <w:tc>
          <w:tcPr>
            <w:tcW w:w="680" w:type="dxa"/>
            <w:vAlign w:val="bottom"/>
          </w:tcPr>
          <w:p>
            <w:pPr>
              <w:jc w:val="right"/>
              <w:ind w:right="149"/>
              <w:spacing w:after="0"/>
              <w:rPr>
                <w:sz w:val="20"/>
                <w:szCs w:val="20"/>
                <w:color w:val="auto"/>
              </w:rPr>
            </w:pPr>
            <w:r>
              <w:rPr>
                <w:rFonts w:ascii="Arial" w:cs="Arial" w:eastAsia="Arial" w:hAnsi="Arial"/>
                <w:sz w:val="10"/>
                <w:szCs w:val="10"/>
                <w:color w:val="auto"/>
              </w:rPr>
              <w:t>(223)</w:t>
            </w:r>
          </w:p>
        </w:tc>
        <w:tc>
          <w:tcPr>
            <w:tcW w:w="40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color w:val="auto"/>
              </w:rPr>
              <w:t>(4,535)</w:t>
            </w:r>
          </w:p>
        </w:tc>
        <w:tc>
          <w:tcPr>
            <w:tcW w:w="400" w:type="dxa"/>
            <w:vAlign w:val="bottom"/>
          </w:tcPr>
          <w:p>
            <w:pPr>
              <w:spacing w:after="0"/>
              <w:rPr>
                <w:sz w:val="10"/>
                <w:szCs w:val="10"/>
                <w:color w:val="auto"/>
              </w:rPr>
            </w:pPr>
          </w:p>
        </w:tc>
        <w:tc>
          <w:tcPr>
            <w:tcW w:w="640" w:type="dxa"/>
            <w:vAlign w:val="bottom"/>
          </w:tcPr>
          <w:p>
            <w:pPr>
              <w:jc w:val="right"/>
              <w:ind w:right="169"/>
              <w:spacing w:after="0"/>
              <w:rPr>
                <w:sz w:val="20"/>
                <w:szCs w:val="20"/>
                <w:color w:val="auto"/>
              </w:rPr>
            </w:pPr>
            <w:r>
              <w:rPr>
                <w:rFonts w:ascii="Arial" w:cs="Arial" w:eastAsia="Arial" w:hAnsi="Arial"/>
                <w:sz w:val="10"/>
                <w:szCs w:val="10"/>
                <w:color w:val="auto"/>
              </w:rPr>
              <w:t>(3,886)</w:t>
            </w:r>
          </w:p>
        </w:tc>
        <w:tc>
          <w:tcPr>
            <w:tcW w:w="360" w:type="dxa"/>
            <w:vAlign w:val="bottom"/>
          </w:tcPr>
          <w:p>
            <w:pPr>
              <w:spacing w:after="0"/>
              <w:rPr>
                <w:sz w:val="10"/>
                <w:szCs w:val="10"/>
                <w:color w:val="auto"/>
              </w:rPr>
            </w:pPr>
          </w:p>
        </w:tc>
        <w:tc>
          <w:tcPr>
            <w:tcW w:w="680" w:type="dxa"/>
            <w:vAlign w:val="bottom"/>
          </w:tcPr>
          <w:p>
            <w:pPr>
              <w:jc w:val="right"/>
              <w:ind w:right="169"/>
              <w:spacing w:after="0"/>
              <w:rPr>
                <w:sz w:val="20"/>
                <w:szCs w:val="20"/>
                <w:color w:val="auto"/>
              </w:rPr>
            </w:pPr>
            <w:r>
              <w:rPr>
                <w:rFonts w:ascii="Arial" w:cs="Arial" w:eastAsia="Arial" w:hAnsi="Arial"/>
                <w:sz w:val="10"/>
                <w:szCs w:val="10"/>
                <w:color w:val="auto"/>
              </w:rPr>
              <w:t>(325)</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color w:val="auto"/>
              </w:rPr>
              <w:t>(1,455)</w:t>
            </w:r>
          </w:p>
        </w:tc>
        <w:tc>
          <w:tcPr>
            <w:tcW w:w="520" w:type="dxa"/>
            <w:vAlign w:val="bottom"/>
          </w:tcPr>
          <w:p>
            <w:pPr>
              <w:spacing w:after="0"/>
              <w:rPr>
                <w:sz w:val="10"/>
                <w:szCs w:val="1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0"/>
                <w:szCs w:val="10"/>
                <w:color w:val="auto"/>
              </w:rPr>
              <w:t>(12,697)</w:t>
            </w:r>
          </w:p>
        </w:tc>
        <w:tc>
          <w:tcPr>
            <w:tcW w:w="200" w:type="dxa"/>
            <w:vAlign w:val="bottom"/>
          </w:tcPr>
          <w:p>
            <w:pPr>
              <w:spacing w:after="0"/>
              <w:rPr>
                <w:sz w:val="10"/>
                <w:szCs w:val="10"/>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(1,445)</w:t>
            </w:r>
          </w:p>
        </w:tc>
        <w:tc>
          <w:tcPr>
            <w:tcW w:w="50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(615)</w:t>
            </w:r>
          </w:p>
        </w:tc>
        <w:tc>
          <w:tcPr>
            <w:tcW w:w="0" w:type="dxa"/>
            <w:vAlign w:val="bottom"/>
          </w:tcPr>
          <w:p>
            <w:pPr>
              <w:spacing w:after="0"/>
              <w:rPr>
                <w:sz w:val="1"/>
                <w:szCs w:val="1"/>
                <w:color w:val="auto"/>
              </w:rPr>
            </w:pPr>
          </w:p>
        </w:tc>
      </w:tr>
      <w:tr>
        <w:trPr>
          <w:trHeight w:val="114"/>
        </w:trPr>
        <w:tc>
          <w:tcPr>
            <w:tcW w:w="202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68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4,210</w:t>
            </w:r>
          </w:p>
        </w:tc>
        <w:tc>
          <w:tcPr>
            <w:tcW w:w="36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357</w:t>
            </w:r>
          </w:p>
        </w:tc>
        <w:tc>
          <w:tcPr>
            <w:tcW w:w="4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3,830</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3,041</w:t>
            </w:r>
          </w:p>
        </w:tc>
        <w:tc>
          <w:tcPr>
            <w:tcW w:w="360" w:type="dxa"/>
            <w:vAlign w:val="bottom"/>
            <w:tcBorders>
              <w:top w:val="single" w:sz="8" w:color="0077C0"/>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992</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1,020</w:t>
            </w:r>
          </w:p>
        </w:tc>
        <w:tc>
          <w:tcPr>
            <w:tcW w:w="520" w:type="dxa"/>
            <w:vAlign w:val="bottom"/>
            <w:tcBorders>
              <w:top w:val="single" w:sz="8" w:color="0077C0"/>
              <w:bottom w:val="single" w:sz="8" w:color="0077C0"/>
            </w:tcBorders>
          </w:tcPr>
          <w:p>
            <w:pPr>
              <w:jc w:val="right"/>
              <w:ind w:right="50"/>
              <w:spacing w:after="0" w:line="105" w:lineRule="exact"/>
              <w:rPr>
                <w:sz w:val="20"/>
                <w:szCs w:val="20"/>
                <w:color w:val="auto"/>
              </w:rPr>
            </w:pPr>
            <w:r>
              <w:rPr>
                <w:rFonts w:ascii="Arial" w:cs="Arial" w:eastAsia="Arial" w:hAnsi="Arial"/>
                <w:sz w:val="10"/>
                <w:szCs w:val="10"/>
                <w:color w:val="auto"/>
              </w:rPr>
              <w:t>$</w:t>
            </w:r>
          </w:p>
        </w:tc>
        <w:tc>
          <w:tcPr>
            <w:tcW w:w="88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13,450</w:t>
            </w:r>
          </w:p>
        </w:tc>
        <w:tc>
          <w:tcPr>
            <w:tcW w:w="2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3,369</w:t>
            </w:r>
          </w:p>
        </w:tc>
        <w:tc>
          <w:tcPr>
            <w:tcW w:w="500" w:type="dxa"/>
            <w:vAlign w:val="bottom"/>
            <w:tcBorders>
              <w:top w:val="single" w:sz="8" w:color="0077C0"/>
              <w:bottom w:val="single" w:sz="8" w:color="0077C0"/>
            </w:tcBorders>
          </w:tcPr>
          <w:p>
            <w:pPr>
              <w:jc w:val="right"/>
              <w:ind w:right="90"/>
              <w:spacing w:after="0" w:line="105" w:lineRule="exact"/>
              <w:rPr>
                <w:sz w:val="20"/>
                <w:szCs w:val="20"/>
                <w:color w:val="auto"/>
              </w:rPr>
            </w:pPr>
            <w:r>
              <w:rPr>
                <w:rFonts w:ascii="Arial" w:cs="Arial" w:eastAsia="Arial" w:hAnsi="Arial"/>
                <w:sz w:val="10"/>
                <w:szCs w:val="10"/>
                <w:color w:val="auto"/>
              </w:rPr>
              <w:t>$</w:t>
            </w:r>
          </w:p>
        </w:tc>
        <w:tc>
          <w:tcPr>
            <w:tcW w:w="3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494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3" w:hanging="103"/>
        <w:spacing w:after="0"/>
        <w:tabs>
          <w:tab w:leader="none" w:pos="103" w:val="left"/>
        </w:tabs>
        <w:numPr>
          <w:ilvl w:val="0"/>
          <w:numId w:val="50"/>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2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7"/>
          <w:szCs w:val="7"/>
          <w:color w:val="auto"/>
        </w:rPr>
        <w:t xml:space="preserve">2  </w:t>
      </w:r>
      <w:r>
        <w:rPr>
          <w:rFonts w:ascii="Arial" w:cs="Arial" w:eastAsia="Arial" w:hAnsi="Arial"/>
          <w:sz w:val="8"/>
          <w:szCs w:val="8"/>
          <w:color w:val="auto"/>
        </w:rPr>
        <w:t>Represents accretion of ARO liability. Refer to Note 25, “Asset Retirement Obligations,” on page FS-58.</w:t>
      </w:r>
    </w:p>
    <w:p>
      <w:pPr>
        <w:spacing w:after="0" w:line="23" w:lineRule="exact"/>
        <w:rPr>
          <w:rFonts w:ascii="Arial" w:cs="Arial" w:eastAsia="Arial" w:hAnsi="Arial"/>
          <w:sz w:val="7"/>
          <w:szCs w:val="7"/>
          <w:color w:val="auto"/>
        </w:rPr>
      </w:pPr>
    </w:p>
    <w:p>
      <w:pPr>
        <w:ind w:left="3" w:right="6020"/>
        <w:spacing w:after="0" w:line="357" w:lineRule="auto"/>
        <w:rPr>
          <w:rFonts w:ascii="Arial" w:cs="Arial" w:eastAsia="Arial" w:hAnsi="Arial"/>
          <w:sz w:val="7"/>
          <w:szCs w:val="7"/>
          <w:color w:val="auto"/>
        </w:rPr>
      </w:pPr>
      <w:r>
        <w:rPr>
          <w:rFonts w:ascii="Arial" w:cs="Arial" w:eastAsia="Arial" w:hAnsi="Arial"/>
          <w:sz w:val="7"/>
          <w:szCs w:val="7"/>
          <w:color w:val="auto"/>
        </w:rPr>
        <w:t xml:space="preserve">3 </w:t>
      </w:r>
      <w:r>
        <w:rPr>
          <w:rFonts w:ascii="Arial" w:cs="Arial" w:eastAsia="Arial" w:hAnsi="Arial"/>
          <w:sz w:val="8"/>
          <w:szCs w:val="8"/>
          <w:color w:val="auto"/>
        </w:rPr>
        <w:t>Includes foreign currency gains and losses, gains and losses on property dispositions, and income from operating and technical service agreements.</w:t>
      </w:r>
      <w:r>
        <w:rPr>
          <w:rFonts w:ascii="Arial" w:cs="Arial" w:eastAsia="Arial" w:hAnsi="Arial"/>
          <w:sz w:val="7"/>
          <w:szCs w:val="7"/>
          <w:color w:val="auto"/>
        </w:rPr>
        <w:t xml:space="preserve"> 4 </w:t>
      </w:r>
      <w:r>
        <w:rPr>
          <w:rFonts w:ascii="Arial" w:cs="Arial" w:eastAsia="Arial" w:hAnsi="Arial"/>
          <w:sz w:val="8"/>
          <w:szCs w:val="8"/>
          <w:color w:val="auto"/>
        </w:rPr>
        <w:t>Income tax expense for 2010 conformed to 2011 presentation for certain tax items.</w:t>
      </w:r>
    </w:p>
    <w:p>
      <w:pPr>
        <w:spacing w:after="0" w:line="67" w:lineRule="exact"/>
        <w:rPr>
          <w:sz w:val="20"/>
          <w:szCs w:val="20"/>
          <w:color w:val="auto"/>
        </w:rPr>
      </w:pPr>
    </w:p>
    <w:p>
      <w:pPr>
        <w:jc w:val="center"/>
        <w:ind w:right="-62"/>
        <w:spacing w:after="0"/>
        <w:rPr>
          <w:sz w:val="20"/>
          <w:szCs w:val="20"/>
          <w:color w:val="auto"/>
        </w:rPr>
      </w:pPr>
      <w:r>
        <w:rPr>
          <w:rFonts w:ascii="Arial" w:cs="Arial" w:eastAsia="Arial" w:hAnsi="Arial"/>
          <w:sz w:val="10"/>
          <w:szCs w:val="10"/>
          <w:color w:val="auto"/>
        </w:rPr>
        <w:t>FS-65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03"/>
          </w:cols>
          <w:pgMar w:left="217" w:top="338" w:right="279" w:bottom="1440" w:gutter="0" w:footer="0" w:header="0"/>
          <w:type w:val="continuous"/>
        </w:sectPr>
      </w:pPr>
    </w:p>
    <w:bookmarkStart w:id="106" w:name="page107"/>
    <w:bookmarkEnd w:id="106"/>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762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Table III </w:t>
      </w:r>
      <w:r>
        <w:rPr>
          <w:rFonts w:ascii="Arial" w:cs="Arial" w:eastAsia="Arial" w:hAnsi="Arial"/>
          <w:sz w:val="10"/>
          <w:szCs w:val="10"/>
          <w:color w:val="000000"/>
        </w:rPr>
        <w:t>Results of Operations for Oil and</w:t>
      </w:r>
    </w:p>
    <w:p>
      <w:pPr>
        <w:spacing w:after="0" w:line="9" w:lineRule="exact"/>
        <w:rPr>
          <w:sz w:val="20"/>
          <w:szCs w:val="20"/>
          <w:color w:val="auto"/>
        </w:rPr>
      </w:pPr>
    </w:p>
    <w:p>
      <w:pPr>
        <w:ind w:left="523"/>
        <w:spacing w:after="0"/>
        <w:rPr>
          <w:sz w:val="20"/>
          <w:szCs w:val="20"/>
          <w:color w:val="auto"/>
        </w:rPr>
      </w:pPr>
      <w:r>
        <w:rPr>
          <w:rFonts w:ascii="Arial" w:cs="Arial" w:eastAsia="Arial" w:hAnsi="Arial"/>
          <w:sz w:val="10"/>
          <w:szCs w:val="10"/>
          <w:color w:val="auto"/>
        </w:rPr>
        <w:t>Gas Producing Activities</w:t>
      </w:r>
      <w:r>
        <w:rPr>
          <w:rFonts w:ascii="Arial" w:cs="Arial" w:eastAsia="Arial" w:hAnsi="Arial"/>
          <w:sz w:val="17"/>
          <w:szCs w:val="17"/>
          <w:color w:val="auto"/>
          <w:vertAlign w:val="superscript"/>
        </w:rPr>
        <w:t>1</w:t>
      </w:r>
      <w:r>
        <w:rPr>
          <w:rFonts w:ascii="Arial" w:cs="Arial" w:eastAsia="Arial" w:hAnsi="Arial"/>
          <w:sz w:val="10"/>
          <w:szCs w:val="10"/>
          <w:color w:val="auto"/>
        </w:rPr>
        <w:t xml:space="preserve"> - Continued</w:t>
      </w:r>
    </w:p>
    <w:p>
      <w:pPr>
        <w:spacing w:after="0" w:line="130"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9"/>
                <w:szCs w:val="9"/>
                <w:color w:val="auto"/>
                <w:w w:val="91"/>
              </w:rPr>
              <w:t>Consolidated Companies</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9"/>
                <w:szCs w:val="9"/>
                <w:color w:val="auto"/>
              </w:rPr>
              <w:t>Affiliated Companies</w:t>
            </w:r>
          </w:p>
        </w:tc>
      </w:tr>
      <w:tr>
        <w:trPr>
          <w:trHeight w:val="75"/>
        </w:trPr>
        <w:tc>
          <w:tcPr>
            <w:tcW w:w="2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jc w:val="right"/>
              <w:ind w:right="190"/>
              <w:spacing w:after="0" w:line="75" w:lineRule="exact"/>
              <w:rPr>
                <w:sz w:val="20"/>
                <w:szCs w:val="20"/>
                <w:color w:val="auto"/>
              </w:rPr>
            </w:pPr>
            <w:r>
              <w:rPr>
                <w:rFonts w:ascii="Arial" w:cs="Arial" w:eastAsia="Arial" w:hAnsi="Arial"/>
                <w:sz w:val="8"/>
                <w:szCs w:val="8"/>
                <w:color w:val="auto"/>
              </w:rPr>
              <w:t>Other</w:t>
            </w:r>
          </w:p>
        </w:tc>
        <w:tc>
          <w:tcPr>
            <w:tcW w:w="4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8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80" w:type="dxa"/>
            <w:vAlign w:val="bottom"/>
            <w:tcBorders>
              <w:top w:val="single" w:sz="8" w:color="0077C0"/>
            </w:tcBorders>
          </w:tcPr>
          <w:p>
            <w:pPr>
              <w:spacing w:after="0"/>
              <w:rPr>
                <w:sz w:val="6"/>
                <w:szCs w:val="6"/>
                <w:color w:val="auto"/>
              </w:rPr>
            </w:pPr>
          </w:p>
        </w:tc>
        <w:tc>
          <w:tcPr>
            <w:tcW w:w="54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40" w:type="dxa"/>
            <w:vAlign w:val="bottom"/>
          </w:tcPr>
          <w:p>
            <w:pPr>
              <w:spacing w:after="0"/>
              <w:rPr>
                <w:sz w:val="6"/>
                <w:szCs w:val="6"/>
                <w:color w:val="auto"/>
              </w:rPr>
            </w:pPr>
          </w:p>
        </w:tc>
      </w:tr>
      <w:tr>
        <w:trPr>
          <w:trHeight w:val="107"/>
        </w:trPr>
        <w:tc>
          <w:tcPr>
            <w:tcW w:w="2020" w:type="dxa"/>
            <w:vAlign w:val="bottom"/>
          </w:tcPr>
          <w:p>
            <w:pPr>
              <w:spacing w:after="0"/>
              <w:rPr>
                <w:sz w:val="20"/>
                <w:szCs w:val="20"/>
                <w:color w:val="auto"/>
              </w:rPr>
            </w:pPr>
            <w:r>
              <w:rPr>
                <w:rFonts w:ascii="Arial" w:cs="Arial" w:eastAsia="Arial" w:hAnsi="Arial"/>
                <w:sz w:val="9"/>
                <w:szCs w:val="9"/>
                <w:i w:val="1"/>
                <w:iCs w:val="1"/>
                <w:color w:val="auto"/>
              </w:rPr>
              <w:t>Millions of dollars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Pr>
          <w:p>
            <w:pPr>
              <w:spacing w:after="0"/>
              <w:rPr>
                <w:sz w:val="9"/>
                <w:szCs w:val="9"/>
                <w:color w:val="auto"/>
              </w:rPr>
            </w:pPr>
          </w:p>
        </w:tc>
        <w:tc>
          <w:tcPr>
            <w:tcW w:w="680" w:type="dxa"/>
            <w:vAlign w:val="bottom"/>
          </w:tcPr>
          <w:p>
            <w:pPr>
              <w:jc w:val="right"/>
              <w:ind w:right="190"/>
              <w:spacing w:after="0"/>
              <w:rPr>
                <w:sz w:val="20"/>
                <w:szCs w:val="20"/>
                <w:color w:val="auto"/>
              </w:rPr>
            </w:pPr>
            <w:r>
              <w:rPr>
                <w:rFonts w:ascii="Arial" w:cs="Arial" w:eastAsia="Arial" w:hAnsi="Arial"/>
                <w:sz w:val="9"/>
                <w:szCs w:val="9"/>
                <w:color w:val="auto"/>
              </w:rPr>
              <w:t>Americas</w:t>
            </w:r>
          </w:p>
        </w:tc>
        <w:tc>
          <w:tcPr>
            <w:tcW w:w="40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Africa</w:t>
            </w:r>
          </w:p>
        </w:tc>
        <w:tc>
          <w:tcPr>
            <w:tcW w:w="400" w:type="dxa"/>
            <w:vAlign w:val="bottom"/>
          </w:tcPr>
          <w:p>
            <w:pPr>
              <w:spacing w:after="0"/>
              <w:rPr>
                <w:sz w:val="9"/>
                <w:szCs w:val="9"/>
                <w:color w:val="auto"/>
              </w:rPr>
            </w:pPr>
          </w:p>
        </w:tc>
        <w:tc>
          <w:tcPr>
            <w:tcW w:w="640" w:type="dxa"/>
            <w:vAlign w:val="bottom"/>
          </w:tcPr>
          <w:p>
            <w:pPr>
              <w:jc w:val="right"/>
              <w:ind w:right="189"/>
              <w:spacing w:after="0"/>
              <w:rPr>
                <w:sz w:val="20"/>
                <w:szCs w:val="20"/>
                <w:color w:val="auto"/>
              </w:rPr>
            </w:pPr>
            <w:r>
              <w:rPr>
                <w:rFonts w:ascii="Arial" w:cs="Arial" w:eastAsia="Arial" w:hAnsi="Arial"/>
                <w:sz w:val="9"/>
                <w:szCs w:val="9"/>
                <w:color w:val="auto"/>
              </w:rPr>
              <w:t>Asia</w:t>
            </w:r>
          </w:p>
        </w:tc>
        <w:tc>
          <w:tcPr>
            <w:tcW w:w="360" w:type="dxa"/>
            <w:vAlign w:val="bottom"/>
          </w:tcPr>
          <w:p>
            <w:pPr>
              <w:spacing w:after="0"/>
              <w:rPr>
                <w:sz w:val="9"/>
                <w:szCs w:val="9"/>
                <w:color w:val="auto"/>
              </w:rPr>
            </w:pPr>
          </w:p>
        </w:tc>
        <w:tc>
          <w:tcPr>
            <w:tcW w:w="680" w:type="dxa"/>
            <w:vAlign w:val="bottom"/>
          </w:tcPr>
          <w:p>
            <w:pPr>
              <w:jc w:val="right"/>
              <w:ind w:right="189"/>
              <w:spacing w:after="0"/>
              <w:rPr>
                <w:sz w:val="20"/>
                <w:szCs w:val="20"/>
                <w:color w:val="auto"/>
              </w:rPr>
            </w:pPr>
            <w:r>
              <w:rPr>
                <w:rFonts w:ascii="Arial" w:cs="Arial" w:eastAsia="Arial" w:hAnsi="Arial"/>
                <w:sz w:val="9"/>
                <w:szCs w:val="9"/>
                <w:color w:val="auto"/>
              </w:rPr>
              <w:t>Australia</w:t>
            </w:r>
          </w:p>
        </w:tc>
        <w:tc>
          <w:tcPr>
            <w:tcW w:w="400" w:type="dxa"/>
            <w:vAlign w:val="bottom"/>
          </w:tcPr>
          <w:p>
            <w:pPr>
              <w:spacing w:after="0"/>
              <w:rPr>
                <w:sz w:val="9"/>
                <w:szCs w:val="9"/>
                <w:color w:val="auto"/>
              </w:rPr>
            </w:pPr>
          </w:p>
        </w:tc>
        <w:tc>
          <w:tcPr>
            <w:tcW w:w="480" w:type="dxa"/>
            <w:vAlign w:val="bottom"/>
          </w:tcPr>
          <w:p>
            <w:pPr>
              <w:jc w:val="right"/>
              <w:ind w:right="29"/>
              <w:spacing w:after="0"/>
              <w:rPr>
                <w:sz w:val="20"/>
                <w:szCs w:val="20"/>
                <w:color w:val="auto"/>
              </w:rPr>
            </w:pPr>
            <w:r>
              <w:rPr>
                <w:rFonts w:ascii="Arial" w:cs="Arial" w:eastAsia="Arial" w:hAnsi="Arial"/>
                <w:sz w:val="9"/>
                <w:szCs w:val="9"/>
                <w:color w:val="auto"/>
              </w:rPr>
              <w:t>Europe</w:t>
            </w:r>
          </w:p>
        </w:tc>
        <w:tc>
          <w:tcPr>
            <w:tcW w:w="540" w:type="dxa"/>
            <w:vAlign w:val="bottom"/>
          </w:tcPr>
          <w:p>
            <w:pPr>
              <w:spacing w:after="0"/>
              <w:rPr>
                <w:sz w:val="9"/>
                <w:szCs w:val="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200" w:type="dxa"/>
            <w:vAlign w:val="bottom"/>
          </w:tcPr>
          <w:p>
            <w:pPr>
              <w:spacing w:after="0"/>
              <w:rPr>
                <w:sz w:val="9"/>
                <w:szCs w:val="9"/>
                <w:color w:val="auto"/>
              </w:rPr>
            </w:pPr>
          </w:p>
        </w:tc>
        <w:tc>
          <w:tcPr>
            <w:tcW w:w="520" w:type="dxa"/>
            <w:vAlign w:val="bottom"/>
          </w:tcPr>
          <w:p>
            <w:pPr>
              <w:jc w:val="right"/>
              <w:ind w:right="89"/>
              <w:spacing w:after="0"/>
              <w:rPr>
                <w:sz w:val="20"/>
                <w:szCs w:val="20"/>
                <w:color w:val="auto"/>
              </w:rPr>
            </w:pPr>
            <w:r>
              <w:rPr>
                <w:rFonts w:ascii="Arial" w:cs="Arial" w:eastAsia="Arial" w:hAnsi="Arial"/>
                <w:sz w:val="9"/>
                <w:szCs w:val="9"/>
                <w:color w:val="auto"/>
              </w:rPr>
              <w:t>TCO</w:t>
            </w:r>
          </w:p>
        </w:tc>
        <w:tc>
          <w:tcPr>
            <w:tcW w:w="52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Other</w:t>
            </w:r>
          </w:p>
        </w:tc>
      </w:tr>
      <w:tr>
        <w:trPr>
          <w:trHeight w:val="92"/>
        </w:trPr>
        <w:tc>
          <w:tcPr>
            <w:tcW w:w="20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December 31, 2009</w:t>
            </w:r>
          </w:p>
        </w:tc>
        <w:tc>
          <w:tcPr>
            <w:tcW w:w="50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54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spacing w:after="0"/>
              <w:rPr>
                <w:sz w:val="8"/>
                <w:szCs w:val="8"/>
                <w:color w:val="auto"/>
              </w:rPr>
            </w:pPr>
          </w:p>
        </w:tc>
        <w:tc>
          <w:tcPr>
            <w:tcW w:w="40" w:type="dxa"/>
            <w:vAlign w:val="bottom"/>
          </w:tcPr>
          <w:p>
            <w:pPr>
              <w:spacing w:after="0"/>
              <w:rPr>
                <w:sz w:val="8"/>
                <w:szCs w:val="8"/>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Revenues from net production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6"/>
        </w:trPr>
        <w:tc>
          <w:tcPr>
            <w:tcW w:w="2020" w:type="dxa"/>
            <w:vAlign w:val="bottom"/>
          </w:tcPr>
          <w:p>
            <w:pPr>
              <w:ind w:left="140"/>
              <w:spacing w:after="0" w:line="106" w:lineRule="exact"/>
              <w:rPr>
                <w:sz w:val="20"/>
                <w:szCs w:val="20"/>
                <w:color w:val="auto"/>
              </w:rPr>
            </w:pPr>
            <w:r>
              <w:rPr>
                <w:rFonts w:ascii="Arial" w:cs="Arial" w:eastAsia="Arial" w:hAnsi="Arial"/>
                <w:sz w:val="10"/>
                <w:szCs w:val="10"/>
                <w:color w:val="auto"/>
              </w:rPr>
              <w:t>Sales</w:t>
            </w:r>
          </w:p>
        </w:tc>
        <w:tc>
          <w:tcPr>
            <w:tcW w:w="6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2,278</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90"/>
              <w:spacing w:after="0" w:line="106" w:lineRule="exact"/>
              <w:rPr>
                <w:sz w:val="20"/>
                <w:szCs w:val="20"/>
                <w:color w:val="auto"/>
              </w:rPr>
            </w:pPr>
            <w:r>
              <w:rPr>
                <w:rFonts w:ascii="Arial" w:cs="Arial" w:eastAsia="Arial" w:hAnsi="Arial"/>
                <w:sz w:val="10"/>
                <w:szCs w:val="10"/>
                <w:color w:val="auto"/>
              </w:rPr>
              <w:t>918</w:t>
            </w:r>
          </w:p>
        </w:tc>
        <w:tc>
          <w:tcPr>
            <w:tcW w:w="4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1,767</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5,648</w:t>
            </w:r>
          </w:p>
        </w:tc>
        <w:tc>
          <w:tcPr>
            <w:tcW w:w="36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543</w:t>
            </w:r>
          </w:p>
        </w:tc>
        <w:tc>
          <w:tcPr>
            <w:tcW w:w="40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1,712</w:t>
            </w:r>
          </w:p>
        </w:tc>
        <w:tc>
          <w:tcPr>
            <w:tcW w:w="540" w:type="dxa"/>
            <w:vAlign w:val="bottom"/>
          </w:tcPr>
          <w:p>
            <w:pPr>
              <w:jc w:val="right"/>
              <w:ind w:right="71"/>
              <w:spacing w:after="0" w:line="106"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12,866</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4,043</w:t>
            </w:r>
          </w:p>
        </w:tc>
        <w:tc>
          <w:tcPr>
            <w:tcW w:w="520" w:type="dxa"/>
            <w:vAlign w:val="bottom"/>
          </w:tcPr>
          <w:p>
            <w:pPr>
              <w:jc w:val="right"/>
              <w:ind w:right="111"/>
              <w:spacing w:after="0" w:line="106" w:lineRule="exact"/>
              <w:rPr>
                <w:sz w:val="20"/>
                <w:szCs w:val="20"/>
                <w:color w:val="auto"/>
              </w:rPr>
            </w:pPr>
            <w:r>
              <w:rPr>
                <w:rFonts w:ascii="Arial" w:cs="Arial" w:eastAsia="Arial" w:hAnsi="Arial"/>
                <w:sz w:val="10"/>
                <w:szCs w:val="10"/>
                <w:color w:val="auto"/>
              </w:rPr>
              <w:t>$</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938</w:t>
            </w:r>
          </w:p>
        </w:tc>
        <w:tc>
          <w:tcPr>
            <w:tcW w:w="40" w:type="dxa"/>
            <w:vAlign w:val="bottom"/>
          </w:tcPr>
          <w:p>
            <w:pPr>
              <w:spacing w:after="0"/>
              <w:rPr>
                <w:sz w:val="9"/>
                <w:szCs w:val="9"/>
                <w:color w:val="auto"/>
              </w:rPr>
            </w:pPr>
          </w:p>
        </w:tc>
      </w:tr>
      <w:tr>
        <w:trPr>
          <w:trHeight w:val="118"/>
        </w:trPr>
        <w:tc>
          <w:tcPr>
            <w:tcW w:w="2020" w:type="dxa"/>
            <w:vAlign w:val="bottom"/>
          </w:tcPr>
          <w:p>
            <w:pPr>
              <w:ind w:left="140"/>
              <w:spacing w:after="0"/>
              <w:rPr>
                <w:sz w:val="20"/>
                <w:szCs w:val="20"/>
                <w:color w:val="auto"/>
              </w:rPr>
            </w:pPr>
            <w:r>
              <w:rPr>
                <w:rFonts w:ascii="Arial" w:cs="Arial" w:eastAsia="Arial" w:hAnsi="Arial"/>
                <w:sz w:val="10"/>
                <w:szCs w:val="10"/>
                <w:color w:val="auto"/>
              </w:rPr>
              <w:t>Transfers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9,133</w:t>
            </w:r>
          </w:p>
        </w:tc>
        <w:tc>
          <w:tcPr>
            <w:tcW w:w="360" w:type="dxa"/>
            <w:vAlign w:val="bottom"/>
          </w:tcPr>
          <w:p>
            <w:pPr>
              <w:spacing w:after="0"/>
              <w:rPr>
                <w:sz w:val="10"/>
                <w:szCs w:val="10"/>
                <w:color w:val="auto"/>
              </w:rPr>
            </w:pPr>
          </w:p>
        </w:tc>
        <w:tc>
          <w:tcPr>
            <w:tcW w:w="680" w:type="dxa"/>
            <w:vAlign w:val="bottom"/>
          </w:tcPr>
          <w:p>
            <w:pPr>
              <w:jc w:val="right"/>
              <w:ind w:right="190"/>
              <w:spacing w:after="0"/>
              <w:rPr>
                <w:sz w:val="20"/>
                <w:szCs w:val="20"/>
                <w:color w:val="auto"/>
              </w:rPr>
            </w:pPr>
            <w:r>
              <w:rPr>
                <w:rFonts w:ascii="Arial" w:cs="Arial" w:eastAsia="Arial" w:hAnsi="Arial"/>
                <w:sz w:val="10"/>
                <w:szCs w:val="10"/>
                <w:color w:val="auto"/>
              </w:rPr>
              <w:t>1,555</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7,304</w:t>
            </w:r>
          </w:p>
        </w:tc>
        <w:tc>
          <w:tcPr>
            <w:tcW w:w="400" w:type="dxa"/>
            <w:vAlign w:val="bottom"/>
          </w:tcPr>
          <w:p>
            <w:pPr>
              <w:spacing w:after="0"/>
              <w:rPr>
                <w:sz w:val="10"/>
                <w:szCs w:val="10"/>
                <w:color w:val="auto"/>
              </w:rPr>
            </w:pPr>
          </w:p>
        </w:tc>
        <w:tc>
          <w:tcPr>
            <w:tcW w:w="640" w:type="dxa"/>
            <w:vAlign w:val="bottom"/>
          </w:tcPr>
          <w:p>
            <w:pPr>
              <w:jc w:val="right"/>
              <w:ind w:right="189"/>
              <w:spacing w:after="0"/>
              <w:rPr>
                <w:sz w:val="20"/>
                <w:szCs w:val="20"/>
                <w:color w:val="auto"/>
              </w:rPr>
            </w:pPr>
            <w:r>
              <w:rPr>
                <w:rFonts w:ascii="Arial" w:cs="Arial" w:eastAsia="Arial" w:hAnsi="Arial"/>
                <w:sz w:val="10"/>
                <w:szCs w:val="10"/>
                <w:color w:val="auto"/>
              </w:rPr>
              <w:t>4,926</w:t>
            </w:r>
          </w:p>
        </w:tc>
        <w:tc>
          <w:tcPr>
            <w:tcW w:w="360" w:type="dxa"/>
            <w:vAlign w:val="bottom"/>
          </w:tcPr>
          <w:p>
            <w:pPr>
              <w:spacing w:after="0"/>
              <w:rPr>
                <w:sz w:val="10"/>
                <w:szCs w:val="10"/>
                <w:color w:val="auto"/>
              </w:rPr>
            </w:pPr>
          </w:p>
        </w:tc>
        <w:tc>
          <w:tcPr>
            <w:tcW w:w="680" w:type="dxa"/>
            <w:vAlign w:val="bottom"/>
          </w:tcPr>
          <w:p>
            <w:pPr>
              <w:jc w:val="right"/>
              <w:ind w:right="189"/>
              <w:spacing w:after="0"/>
              <w:rPr>
                <w:sz w:val="20"/>
                <w:szCs w:val="20"/>
                <w:color w:val="auto"/>
              </w:rPr>
            </w:pPr>
            <w:r>
              <w:rPr>
                <w:rFonts w:ascii="Arial" w:cs="Arial" w:eastAsia="Arial" w:hAnsi="Arial"/>
                <w:sz w:val="10"/>
                <w:szCs w:val="10"/>
                <w:color w:val="auto"/>
              </w:rPr>
              <w:t>765</w:t>
            </w:r>
          </w:p>
        </w:tc>
        <w:tc>
          <w:tcPr>
            <w:tcW w:w="400" w:type="dxa"/>
            <w:vAlign w:val="bottom"/>
          </w:tcPr>
          <w:p>
            <w:pPr>
              <w:spacing w:after="0"/>
              <w:rPr>
                <w:sz w:val="10"/>
                <w:szCs w:val="10"/>
                <w:color w:val="auto"/>
              </w:rPr>
            </w:pPr>
          </w:p>
        </w:tc>
        <w:tc>
          <w:tcPr>
            <w:tcW w:w="480" w:type="dxa"/>
            <w:vAlign w:val="bottom"/>
          </w:tcPr>
          <w:p>
            <w:pPr>
              <w:jc w:val="right"/>
              <w:ind w:right="29"/>
              <w:spacing w:after="0"/>
              <w:rPr>
                <w:sz w:val="20"/>
                <w:szCs w:val="20"/>
                <w:color w:val="auto"/>
              </w:rPr>
            </w:pPr>
            <w:r>
              <w:rPr>
                <w:rFonts w:ascii="Arial" w:cs="Arial" w:eastAsia="Arial" w:hAnsi="Arial"/>
                <w:sz w:val="10"/>
                <w:szCs w:val="10"/>
                <w:color w:val="auto"/>
              </w:rPr>
              <w:t>1,546</w:t>
            </w:r>
          </w:p>
        </w:tc>
        <w:tc>
          <w:tcPr>
            <w:tcW w:w="540" w:type="dxa"/>
            <w:vAlign w:val="bottom"/>
          </w:tcPr>
          <w:p>
            <w:pPr>
              <w:spacing w:after="0"/>
              <w:rPr>
                <w:sz w:val="10"/>
                <w:szCs w:val="1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0"/>
                <w:szCs w:val="10"/>
                <w:color w:val="auto"/>
              </w:rPr>
              <w:t>25,229</w:t>
            </w:r>
          </w:p>
        </w:tc>
        <w:tc>
          <w:tcPr>
            <w:tcW w:w="200" w:type="dxa"/>
            <w:vAlign w:val="bottom"/>
          </w:tcPr>
          <w:p>
            <w:pPr>
              <w:spacing w:after="0"/>
              <w:rPr>
                <w:sz w:val="10"/>
                <w:szCs w:val="10"/>
                <w:color w:val="auto"/>
              </w:rPr>
            </w:pPr>
          </w:p>
        </w:tc>
        <w:tc>
          <w:tcPr>
            <w:tcW w:w="5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92"/>
        </w:trPr>
        <w:tc>
          <w:tcPr>
            <w:tcW w:w="2020" w:type="dxa"/>
            <w:vAlign w:val="bottom"/>
            <w:tcBorders>
              <w:top w:val="single" w:sz="8" w:color="0077C0"/>
            </w:tcBorders>
          </w:tcPr>
          <w:p>
            <w:pPr>
              <w:ind w:left="140"/>
              <w:spacing w:after="0" w:line="92" w:lineRule="exact"/>
              <w:rPr>
                <w:sz w:val="20"/>
                <w:szCs w:val="20"/>
                <w:color w:val="auto"/>
              </w:rPr>
            </w:pPr>
            <w:r>
              <w:rPr>
                <w:rFonts w:ascii="Arial" w:cs="Arial" w:eastAsia="Arial" w:hAnsi="Arial"/>
                <w:sz w:val="10"/>
                <w:szCs w:val="10"/>
                <w:color w:val="auto"/>
              </w:rPr>
              <w:t>Total</w:t>
            </w:r>
          </w:p>
        </w:tc>
        <w:tc>
          <w:tcPr>
            <w:tcW w:w="500" w:type="dxa"/>
            <w:vAlign w:val="bottom"/>
            <w:tcBorders>
              <w:top w:val="single" w:sz="8" w:color="0077C0"/>
            </w:tcBorders>
          </w:tcPr>
          <w:p>
            <w:pPr>
              <w:spacing w:after="0"/>
              <w:rPr>
                <w:sz w:val="8"/>
                <w:szCs w:val="8"/>
                <w:color w:val="auto"/>
              </w:rPr>
            </w:pPr>
          </w:p>
        </w:tc>
        <w:tc>
          <w:tcPr>
            <w:tcW w:w="18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11,411</w:t>
            </w: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jc w:val="right"/>
              <w:ind w:right="190"/>
              <w:spacing w:after="0" w:line="92" w:lineRule="exact"/>
              <w:rPr>
                <w:sz w:val="20"/>
                <w:szCs w:val="20"/>
                <w:color w:val="auto"/>
              </w:rPr>
            </w:pPr>
            <w:r>
              <w:rPr>
                <w:rFonts w:ascii="Arial" w:cs="Arial" w:eastAsia="Arial" w:hAnsi="Arial"/>
                <w:sz w:val="10"/>
                <w:szCs w:val="10"/>
                <w:color w:val="auto"/>
              </w:rPr>
              <w:t>2,473</w:t>
            </w: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9,071</w:t>
            </w:r>
          </w:p>
        </w:tc>
        <w:tc>
          <w:tcPr>
            <w:tcW w:w="400" w:type="dxa"/>
            <w:vAlign w:val="bottom"/>
            <w:tcBorders>
              <w:top w:val="single" w:sz="8" w:color="0077C0"/>
            </w:tcBorders>
          </w:tcPr>
          <w:p>
            <w:pPr>
              <w:spacing w:after="0"/>
              <w:rPr>
                <w:sz w:val="8"/>
                <w:szCs w:val="8"/>
                <w:color w:val="auto"/>
              </w:rPr>
            </w:pPr>
          </w:p>
        </w:tc>
        <w:tc>
          <w:tcPr>
            <w:tcW w:w="64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10,574</w:t>
            </w:r>
          </w:p>
        </w:tc>
        <w:tc>
          <w:tcPr>
            <w:tcW w:w="360" w:type="dxa"/>
            <w:vAlign w:val="bottom"/>
            <w:tcBorders>
              <w:top w:val="single" w:sz="8" w:color="0077C0"/>
            </w:tcBorders>
          </w:tcPr>
          <w:p>
            <w:pPr>
              <w:spacing w:after="0"/>
              <w:rPr>
                <w:sz w:val="8"/>
                <w:szCs w:val="8"/>
                <w:color w:val="auto"/>
              </w:rPr>
            </w:pPr>
          </w:p>
        </w:tc>
        <w:tc>
          <w:tcPr>
            <w:tcW w:w="680" w:type="dxa"/>
            <w:vAlign w:val="bottom"/>
            <w:tcBorders>
              <w:top w:val="single" w:sz="8" w:color="0077C0"/>
            </w:tcBorders>
          </w:tcPr>
          <w:p>
            <w:pPr>
              <w:jc w:val="right"/>
              <w:ind w:right="189"/>
              <w:spacing w:after="0" w:line="92" w:lineRule="exact"/>
              <w:rPr>
                <w:sz w:val="20"/>
                <w:szCs w:val="20"/>
                <w:color w:val="auto"/>
              </w:rPr>
            </w:pPr>
            <w:r>
              <w:rPr>
                <w:rFonts w:ascii="Arial" w:cs="Arial" w:eastAsia="Arial" w:hAnsi="Arial"/>
                <w:sz w:val="10"/>
                <w:szCs w:val="10"/>
                <w:color w:val="auto"/>
              </w:rPr>
              <w:t>1,308</w:t>
            </w: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jc w:val="right"/>
              <w:ind w:right="29"/>
              <w:spacing w:after="0" w:line="92" w:lineRule="exact"/>
              <w:rPr>
                <w:sz w:val="20"/>
                <w:szCs w:val="20"/>
                <w:color w:val="auto"/>
              </w:rPr>
            </w:pPr>
            <w:r>
              <w:rPr>
                <w:rFonts w:ascii="Arial" w:cs="Arial" w:eastAsia="Arial" w:hAnsi="Arial"/>
                <w:sz w:val="10"/>
                <w:szCs w:val="10"/>
                <w:color w:val="auto"/>
              </w:rPr>
              <w:t>3,258</w:t>
            </w:r>
          </w:p>
        </w:tc>
        <w:tc>
          <w:tcPr>
            <w:tcW w:w="540" w:type="dxa"/>
            <w:vAlign w:val="bottom"/>
            <w:tcBorders>
              <w:top w:val="single" w:sz="8" w:color="0077C0"/>
            </w:tcBorders>
          </w:tcPr>
          <w:p>
            <w:pPr>
              <w:spacing w:after="0"/>
              <w:rPr>
                <w:sz w:val="8"/>
                <w:szCs w:val="8"/>
                <w:color w:val="auto"/>
              </w:rPr>
            </w:pPr>
          </w:p>
        </w:tc>
        <w:tc>
          <w:tcPr>
            <w:tcW w:w="860" w:type="dxa"/>
            <w:vAlign w:val="bottom"/>
            <w:tcBorders>
              <w:top w:val="single" w:sz="8" w:color="0077C0"/>
            </w:tcBorders>
            <w:gridSpan w:val="2"/>
          </w:tcPr>
          <w:p>
            <w:pPr>
              <w:jc w:val="right"/>
              <w:ind w:right="460"/>
              <w:spacing w:after="0" w:line="92" w:lineRule="exact"/>
              <w:rPr>
                <w:sz w:val="20"/>
                <w:szCs w:val="20"/>
                <w:color w:val="auto"/>
              </w:rPr>
            </w:pPr>
            <w:r>
              <w:rPr>
                <w:rFonts w:ascii="Arial" w:cs="Arial" w:eastAsia="Arial" w:hAnsi="Arial"/>
                <w:sz w:val="10"/>
                <w:szCs w:val="10"/>
                <w:color w:val="auto"/>
              </w:rPr>
              <w:t>38,095</w:t>
            </w:r>
          </w:p>
        </w:tc>
        <w:tc>
          <w:tcPr>
            <w:tcW w:w="2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89"/>
              <w:spacing w:after="0" w:line="92" w:lineRule="exact"/>
              <w:rPr>
                <w:sz w:val="20"/>
                <w:szCs w:val="20"/>
                <w:color w:val="auto"/>
              </w:rPr>
            </w:pPr>
            <w:r>
              <w:rPr>
                <w:rFonts w:ascii="Arial" w:cs="Arial" w:eastAsia="Arial" w:hAnsi="Arial"/>
                <w:sz w:val="10"/>
                <w:szCs w:val="10"/>
                <w:color w:val="auto"/>
              </w:rPr>
              <w:t>4,043</w:t>
            </w:r>
          </w:p>
        </w:tc>
        <w:tc>
          <w:tcPr>
            <w:tcW w:w="520" w:type="dxa"/>
            <w:vAlign w:val="bottom"/>
            <w:tcBorders>
              <w:top w:val="single" w:sz="8" w:color="0077C0"/>
            </w:tcBorders>
          </w:tcPr>
          <w:p>
            <w:pPr>
              <w:spacing w:after="0"/>
              <w:rPr>
                <w:sz w:val="8"/>
                <w:szCs w:val="8"/>
                <w:color w:val="auto"/>
              </w:rPr>
            </w:pPr>
          </w:p>
        </w:tc>
        <w:tc>
          <w:tcPr>
            <w:tcW w:w="34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938</w:t>
            </w:r>
          </w:p>
        </w:tc>
        <w:tc>
          <w:tcPr>
            <w:tcW w:w="40" w:type="dxa"/>
            <w:vAlign w:val="bottom"/>
          </w:tcPr>
          <w:p>
            <w:pPr>
              <w:spacing w:after="0"/>
              <w:rPr>
                <w:sz w:val="8"/>
                <w:szCs w:val="8"/>
                <w:color w:val="auto"/>
              </w:rPr>
            </w:pP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Production expenses excluding taxes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(3,281)</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(731)</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(1,345)</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(2,208)</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(94)</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(565)</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(8,224)</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(363)</w:t>
            </w:r>
          </w:p>
        </w:tc>
        <w:tc>
          <w:tcPr>
            <w:tcW w:w="52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(240)</w:t>
            </w: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Taxes other than on income</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(367)</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(90)</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(132)</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(53)</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(190)</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(4)</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(836)</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(50)</w:t>
            </w:r>
          </w:p>
        </w:tc>
        <w:tc>
          <w:tcPr>
            <w:tcW w:w="52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(96)</w:t>
            </w: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Proved producing properties: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6"/>
        </w:trPr>
        <w:tc>
          <w:tcPr>
            <w:tcW w:w="2020" w:type="dxa"/>
            <w:vAlign w:val="bottom"/>
          </w:tcPr>
          <w:p>
            <w:pPr>
              <w:ind w:left="140"/>
              <w:spacing w:after="0" w:line="106" w:lineRule="exact"/>
              <w:rPr>
                <w:sz w:val="20"/>
                <w:szCs w:val="20"/>
                <w:color w:val="auto"/>
              </w:rPr>
            </w:pPr>
            <w:r>
              <w:rPr>
                <w:rFonts w:ascii="Arial" w:cs="Arial" w:eastAsia="Arial" w:hAnsi="Arial"/>
                <w:sz w:val="10"/>
                <w:szCs w:val="10"/>
                <w:color w:val="auto"/>
              </w:rPr>
              <w:t>Depreciation and depletion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(3,493)</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(486)</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(2,175)</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(2,279)</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(214)</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(898)</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(9,545)</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(381)</w:t>
            </w:r>
          </w:p>
        </w:tc>
        <w:tc>
          <w:tcPr>
            <w:tcW w:w="52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(88)</w:t>
            </w: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Accretion expense</w:t>
            </w:r>
            <w:r>
              <w:rPr>
                <w:rFonts w:ascii="Arial" w:cs="Arial" w:eastAsia="Arial" w:hAnsi="Arial"/>
                <w:sz w:val="8"/>
                <w:szCs w:val="8"/>
                <w:color w:val="auto"/>
              </w:rPr>
              <w:t>2</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(194)</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(27)</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(66)</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(50)</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(409)</w:t>
            </w:r>
          </w:p>
        </w:tc>
        <w:tc>
          <w:tcPr>
            <w:tcW w:w="200" w:type="dxa"/>
            <w:vAlign w:val="bottom"/>
          </w:tcPr>
          <w:p>
            <w:pPr>
              <w:spacing w:after="0"/>
              <w:rPr>
                <w:sz w:val="9"/>
                <w:szCs w:val="9"/>
                <w:color w:val="auto"/>
              </w:rPr>
            </w:pPr>
          </w:p>
        </w:tc>
        <w:tc>
          <w:tcPr>
            <w:tcW w:w="520" w:type="dxa"/>
            <w:vAlign w:val="bottom"/>
          </w:tcPr>
          <w:p>
            <w:pPr>
              <w:jc w:val="right"/>
              <w:ind w:right="49"/>
              <w:spacing w:after="0" w:line="106" w:lineRule="exact"/>
              <w:rPr>
                <w:sz w:val="20"/>
                <w:szCs w:val="20"/>
                <w:color w:val="auto"/>
              </w:rPr>
            </w:pPr>
            <w:r>
              <w:rPr>
                <w:rFonts w:ascii="Arial" w:cs="Arial" w:eastAsia="Arial" w:hAnsi="Arial"/>
                <w:sz w:val="10"/>
                <w:szCs w:val="10"/>
                <w:color w:val="auto"/>
              </w:rPr>
              <w:t>(7)</w:t>
            </w:r>
          </w:p>
        </w:tc>
        <w:tc>
          <w:tcPr>
            <w:tcW w:w="52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w:t>
            </w: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Exploration expenses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(451)</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(203)</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(236)</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(113)</w:t>
            </w:r>
          </w:p>
        </w:tc>
        <w:tc>
          <w:tcPr>
            <w:tcW w:w="360" w:type="dxa"/>
            <w:vAlign w:val="bottom"/>
          </w:tcPr>
          <w:p>
            <w:pPr>
              <w:spacing w:after="0"/>
              <w:rPr>
                <w:sz w:val="9"/>
                <w:szCs w:val="9"/>
                <w:color w:val="auto"/>
              </w:rPr>
            </w:pPr>
          </w:p>
        </w:tc>
        <w:tc>
          <w:tcPr>
            <w:tcW w:w="68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(224)</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(115)</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(1,342)</w:t>
            </w:r>
          </w:p>
        </w:tc>
        <w:tc>
          <w:tcPr>
            <w:tcW w:w="200" w:type="dxa"/>
            <w:vAlign w:val="bottom"/>
          </w:tcPr>
          <w:p>
            <w:pPr>
              <w:spacing w:after="0"/>
              <w:rPr>
                <w:sz w:val="9"/>
                <w:szCs w:val="9"/>
                <w:color w:val="auto"/>
              </w:rPr>
            </w:pP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r>
      <w:tr>
        <w:trPr>
          <w:trHeight w:val="106"/>
        </w:trPr>
        <w:tc>
          <w:tcPr>
            <w:tcW w:w="2020" w:type="dxa"/>
            <w:vAlign w:val="bottom"/>
          </w:tcPr>
          <w:p>
            <w:pPr>
              <w:spacing w:after="0" w:line="106" w:lineRule="exact"/>
              <w:rPr>
                <w:sz w:val="20"/>
                <w:szCs w:val="20"/>
                <w:color w:val="auto"/>
              </w:rPr>
            </w:pPr>
            <w:r>
              <w:rPr>
                <w:rFonts w:ascii="Arial" w:cs="Arial" w:eastAsia="Arial" w:hAnsi="Arial"/>
                <w:sz w:val="10"/>
                <w:szCs w:val="10"/>
                <w:color w:val="auto"/>
              </w:rPr>
              <w:t>Unproved properties valuation</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(228)</w:t>
            </w:r>
          </w:p>
        </w:tc>
        <w:tc>
          <w:tcPr>
            <w:tcW w:w="360" w:type="dxa"/>
            <w:vAlign w:val="bottom"/>
          </w:tcPr>
          <w:p>
            <w:pPr>
              <w:spacing w:after="0"/>
              <w:rPr>
                <w:sz w:val="9"/>
                <w:szCs w:val="9"/>
                <w:color w:val="auto"/>
              </w:rPr>
            </w:pPr>
          </w:p>
        </w:tc>
        <w:tc>
          <w:tcPr>
            <w:tcW w:w="680" w:type="dxa"/>
            <w:vAlign w:val="bottom"/>
          </w:tcPr>
          <w:p>
            <w:pPr>
              <w:jc w:val="right"/>
              <w:ind w:right="150"/>
              <w:spacing w:after="0" w:line="106" w:lineRule="exact"/>
              <w:rPr>
                <w:sz w:val="20"/>
                <w:szCs w:val="20"/>
                <w:color w:val="auto"/>
              </w:rPr>
            </w:pPr>
            <w:r>
              <w:rPr>
                <w:rFonts w:ascii="Arial" w:cs="Arial" w:eastAsia="Arial" w:hAnsi="Arial"/>
                <w:sz w:val="10"/>
                <w:szCs w:val="10"/>
                <w:color w:val="auto"/>
              </w:rPr>
              <w:t>(28)</w:t>
            </w:r>
          </w:p>
        </w:tc>
        <w:tc>
          <w:tcPr>
            <w:tcW w:w="400" w:type="dxa"/>
            <w:vAlign w:val="bottom"/>
          </w:tcPr>
          <w:p>
            <w:pPr>
              <w:spacing w:after="0"/>
              <w:rPr>
                <w:sz w:val="9"/>
                <w:szCs w:val="9"/>
                <w:color w:val="auto"/>
              </w:rPr>
            </w:pPr>
          </w:p>
        </w:tc>
        <w:tc>
          <w:tcPr>
            <w:tcW w:w="640" w:type="dxa"/>
            <w:vAlign w:val="bottom"/>
          </w:tcPr>
          <w:p>
            <w:pPr>
              <w:jc w:val="right"/>
              <w:ind w:right="149"/>
              <w:spacing w:after="0" w:line="106" w:lineRule="exact"/>
              <w:rPr>
                <w:sz w:val="20"/>
                <w:szCs w:val="20"/>
                <w:color w:val="auto"/>
              </w:rPr>
            </w:pPr>
            <w:r>
              <w:rPr>
                <w:rFonts w:ascii="Arial" w:cs="Arial" w:eastAsia="Arial" w:hAnsi="Arial"/>
                <w:sz w:val="10"/>
                <w:szCs w:val="10"/>
                <w:color w:val="auto"/>
              </w:rPr>
              <w:t>(11)</w:t>
            </w:r>
          </w:p>
        </w:tc>
        <w:tc>
          <w:tcPr>
            <w:tcW w:w="400" w:type="dxa"/>
            <w:vAlign w:val="bottom"/>
          </w:tcPr>
          <w:p>
            <w:pPr>
              <w:spacing w:after="0"/>
              <w:rPr>
                <w:sz w:val="9"/>
                <w:szCs w:val="9"/>
                <w:color w:val="auto"/>
              </w:rPr>
            </w:pPr>
          </w:p>
        </w:tc>
        <w:tc>
          <w:tcPr>
            <w:tcW w:w="64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(44)</w:t>
            </w:r>
          </w:p>
        </w:tc>
        <w:tc>
          <w:tcPr>
            <w:tcW w:w="360" w:type="dxa"/>
            <w:vAlign w:val="bottom"/>
          </w:tcPr>
          <w:p>
            <w:pPr>
              <w:spacing w:after="0"/>
              <w:rPr>
                <w:sz w:val="9"/>
                <w:szCs w:val="9"/>
                <w:color w:val="auto"/>
              </w:rPr>
            </w:pPr>
          </w:p>
        </w:tc>
        <w:tc>
          <w:tcPr>
            <w:tcW w:w="68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48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spacing w:after="0"/>
              <w:rPr>
                <w:sz w:val="9"/>
                <w:szCs w:val="9"/>
                <w:color w:val="auto"/>
              </w:rPr>
            </w:pPr>
          </w:p>
        </w:tc>
        <w:tc>
          <w:tcPr>
            <w:tcW w:w="86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(311)</w:t>
            </w:r>
          </w:p>
        </w:tc>
        <w:tc>
          <w:tcPr>
            <w:tcW w:w="200" w:type="dxa"/>
            <w:vAlign w:val="bottom"/>
          </w:tcPr>
          <w:p>
            <w:pPr>
              <w:spacing w:after="0"/>
              <w:rPr>
                <w:sz w:val="9"/>
                <w:szCs w:val="9"/>
                <w:color w:val="auto"/>
              </w:rPr>
            </w:pPr>
          </w:p>
        </w:tc>
        <w:tc>
          <w:tcPr>
            <w:tcW w:w="5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9"/>
                <w:szCs w:val="9"/>
                <w:color w:val="auto"/>
              </w:rPr>
            </w:pPr>
          </w:p>
        </w:tc>
        <w:tc>
          <w:tcPr>
            <w:tcW w:w="3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r>
      <w:tr>
        <w:trPr>
          <w:trHeight w:val="118"/>
        </w:trPr>
        <w:tc>
          <w:tcPr>
            <w:tcW w:w="2020" w:type="dxa"/>
            <w:vAlign w:val="bottom"/>
            <w:tcBorders>
              <w:bottom w:val="single" w:sz="8" w:color="0077C0"/>
            </w:tcBorders>
          </w:tcPr>
          <w:p>
            <w:pPr>
              <w:spacing w:after="0"/>
              <w:rPr>
                <w:sz w:val="20"/>
                <w:szCs w:val="20"/>
                <w:color w:val="auto"/>
              </w:rPr>
            </w:pPr>
            <w:r>
              <w:rPr>
                <w:rFonts w:ascii="Arial" w:cs="Arial" w:eastAsia="Arial" w:hAnsi="Arial"/>
                <w:sz w:val="10"/>
                <w:szCs w:val="10"/>
                <w:color w:val="auto"/>
              </w:rPr>
              <w:t>Other income (expense)</w:t>
            </w:r>
            <w:r>
              <w:rPr>
                <w:rFonts w:ascii="Arial" w:cs="Arial" w:eastAsia="Arial" w:hAnsi="Arial"/>
                <w:sz w:val="8"/>
                <w:szCs w:val="8"/>
                <w:color w:val="auto"/>
              </w:rPr>
              <w:t>3</w:t>
            </w:r>
          </w:p>
        </w:tc>
        <w:tc>
          <w:tcPr>
            <w:tcW w:w="500" w:type="dxa"/>
            <w:vAlign w:val="bottom"/>
            <w:tcBorders>
              <w:bottom w:val="single" w:sz="8" w:color="0077C0"/>
            </w:tcBorders>
          </w:tcPr>
          <w:p>
            <w:pPr>
              <w:spacing w:after="0"/>
              <w:rPr>
                <w:sz w:val="10"/>
                <w:szCs w:val="10"/>
                <w:color w:val="auto"/>
              </w:rPr>
            </w:pPr>
          </w:p>
        </w:tc>
        <w:tc>
          <w:tcPr>
            <w:tcW w:w="18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156</w:t>
            </w:r>
          </w:p>
        </w:tc>
        <w:tc>
          <w:tcPr>
            <w:tcW w:w="3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50"/>
              <w:spacing w:after="0"/>
              <w:rPr>
                <w:sz w:val="20"/>
                <w:szCs w:val="20"/>
                <w:color w:val="auto"/>
              </w:rPr>
            </w:pPr>
            <w:r>
              <w:rPr>
                <w:rFonts w:ascii="Arial" w:cs="Arial" w:eastAsia="Arial" w:hAnsi="Arial"/>
                <w:sz w:val="10"/>
                <w:szCs w:val="10"/>
                <w:color w:val="auto"/>
              </w:rPr>
              <w:t>(508)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98</w:t>
            </w:r>
          </w:p>
        </w:tc>
        <w:tc>
          <w:tcPr>
            <w:tcW w:w="400" w:type="dxa"/>
            <w:vAlign w:val="bottom"/>
            <w:tcBorders>
              <w:bottom w:val="single" w:sz="8" w:color="0077C0"/>
            </w:tcBorders>
          </w:tcPr>
          <w:p>
            <w:pPr>
              <w:spacing w:after="0"/>
              <w:rPr>
                <w:sz w:val="10"/>
                <w:szCs w:val="10"/>
                <w:color w:val="auto"/>
              </w:rPr>
            </w:pPr>
          </w:p>
        </w:tc>
        <w:tc>
          <w:tcPr>
            <w:tcW w:w="64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(327)</w:t>
            </w:r>
          </w:p>
        </w:tc>
        <w:tc>
          <w:tcPr>
            <w:tcW w:w="360" w:type="dxa"/>
            <w:vAlign w:val="bottom"/>
            <w:tcBorders>
              <w:bottom w:val="single" w:sz="8" w:color="0077C0"/>
            </w:tcBorders>
          </w:tcPr>
          <w:p>
            <w:pPr>
              <w:spacing w:after="0"/>
              <w:rPr>
                <w:sz w:val="10"/>
                <w:szCs w:val="10"/>
                <w:color w:val="auto"/>
              </w:rPr>
            </w:pPr>
          </w:p>
        </w:tc>
        <w:tc>
          <w:tcPr>
            <w:tcW w:w="68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350</w:t>
            </w:r>
          </w:p>
        </w:tc>
        <w:tc>
          <w:tcPr>
            <w:tcW w:w="400" w:type="dxa"/>
            <w:vAlign w:val="bottom"/>
            <w:tcBorders>
              <w:bottom w:val="single" w:sz="8" w:color="0077C0"/>
            </w:tcBorders>
          </w:tcPr>
          <w:p>
            <w:pPr>
              <w:spacing w:after="0"/>
              <w:rPr>
                <w:sz w:val="10"/>
                <w:szCs w:val="10"/>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(182)</w:t>
            </w:r>
          </w:p>
        </w:tc>
        <w:tc>
          <w:tcPr>
            <w:tcW w:w="540" w:type="dxa"/>
            <w:vAlign w:val="bottom"/>
            <w:tcBorders>
              <w:bottom w:val="single" w:sz="8" w:color="0077C0"/>
            </w:tcBorders>
          </w:tcPr>
          <w:p>
            <w:pPr>
              <w:spacing w:after="0"/>
              <w:rPr>
                <w:sz w:val="10"/>
                <w:szCs w:val="10"/>
                <w:color w:val="auto"/>
              </w:rPr>
            </w:pPr>
          </w:p>
        </w:tc>
        <w:tc>
          <w:tcPr>
            <w:tcW w:w="860" w:type="dxa"/>
            <w:vAlign w:val="bottom"/>
            <w:tcBorders>
              <w:bottom w:val="single" w:sz="8" w:color="0077C0"/>
            </w:tcBorders>
            <w:gridSpan w:val="2"/>
          </w:tcPr>
          <w:p>
            <w:pPr>
              <w:jc w:val="right"/>
              <w:ind w:right="420"/>
              <w:spacing w:after="0"/>
              <w:rPr>
                <w:sz w:val="20"/>
                <w:szCs w:val="20"/>
                <w:color w:val="auto"/>
              </w:rPr>
            </w:pPr>
            <w:r>
              <w:rPr>
                <w:rFonts w:ascii="Arial" w:cs="Arial" w:eastAsia="Arial" w:hAnsi="Arial"/>
                <w:sz w:val="10"/>
                <w:szCs w:val="10"/>
                <w:color w:val="auto"/>
              </w:rPr>
              <w:t>(413)</w:t>
            </w:r>
          </w:p>
        </w:tc>
        <w:tc>
          <w:tcPr>
            <w:tcW w:w="200" w:type="dxa"/>
            <w:vAlign w:val="bottom"/>
            <w:tcBorders>
              <w:bottom w:val="single" w:sz="8" w:color="0077C0"/>
            </w:tcBorders>
          </w:tcPr>
          <w:p>
            <w:pPr>
              <w:spacing w:after="0"/>
              <w:rPr>
                <w:sz w:val="10"/>
                <w:szCs w:val="10"/>
                <w:color w:val="auto"/>
              </w:rPr>
            </w:pPr>
          </w:p>
        </w:tc>
        <w:tc>
          <w:tcPr>
            <w:tcW w:w="520" w:type="dxa"/>
            <w:vAlign w:val="bottom"/>
            <w:tcBorders>
              <w:bottom w:val="single" w:sz="8" w:color="0077C0"/>
            </w:tcBorders>
          </w:tcPr>
          <w:p>
            <w:pPr>
              <w:jc w:val="right"/>
              <w:ind w:right="49"/>
              <w:spacing w:after="0"/>
              <w:rPr>
                <w:sz w:val="20"/>
                <w:szCs w:val="20"/>
                <w:color w:val="auto"/>
              </w:rPr>
            </w:pPr>
            <w:r>
              <w:rPr>
                <w:rFonts w:ascii="Arial" w:cs="Arial" w:eastAsia="Arial" w:hAnsi="Arial"/>
                <w:sz w:val="10"/>
                <w:szCs w:val="10"/>
                <w:color w:val="auto"/>
              </w:rPr>
              <w:t>(131)</w:t>
            </w:r>
          </w:p>
        </w:tc>
        <w:tc>
          <w:tcPr>
            <w:tcW w:w="520" w:type="dxa"/>
            <w:vAlign w:val="bottom"/>
            <w:tcBorders>
              <w:bottom w:val="single" w:sz="8" w:color="0077C0"/>
            </w:tcBorders>
          </w:tcPr>
          <w:p>
            <w:pPr>
              <w:spacing w:after="0"/>
              <w:rPr>
                <w:sz w:val="10"/>
                <w:szCs w:val="10"/>
                <w:color w:val="auto"/>
              </w:rPr>
            </w:pP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9</w:t>
            </w:r>
          </w:p>
        </w:tc>
        <w:tc>
          <w:tcPr>
            <w:tcW w:w="40" w:type="dxa"/>
            <w:vAlign w:val="bottom"/>
          </w:tcPr>
          <w:p>
            <w:pPr>
              <w:spacing w:after="0"/>
              <w:rPr>
                <w:sz w:val="10"/>
                <w:szCs w:val="10"/>
                <w:color w:val="auto"/>
              </w:rPr>
            </w:pPr>
          </w:p>
        </w:tc>
      </w:tr>
      <w:tr>
        <w:trPr>
          <w:trHeight w:val="92"/>
        </w:trPr>
        <w:tc>
          <w:tcPr>
            <w:tcW w:w="2020" w:type="dxa"/>
            <w:vAlign w:val="bottom"/>
          </w:tcPr>
          <w:p>
            <w:pPr>
              <w:ind w:left="140"/>
              <w:spacing w:after="0" w:line="92" w:lineRule="exact"/>
              <w:rPr>
                <w:sz w:val="20"/>
                <w:szCs w:val="20"/>
                <w:color w:val="auto"/>
              </w:rPr>
            </w:pPr>
            <w:r>
              <w:rPr>
                <w:rFonts w:ascii="Arial" w:cs="Arial" w:eastAsia="Arial" w:hAnsi="Arial"/>
                <w:sz w:val="10"/>
                <w:szCs w:val="10"/>
                <w:color w:val="auto"/>
              </w:rPr>
              <w:t>Results before income taxes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3,553</w:t>
            </w:r>
          </w:p>
        </w:tc>
        <w:tc>
          <w:tcPr>
            <w:tcW w:w="360" w:type="dxa"/>
            <w:vAlign w:val="bottom"/>
          </w:tcPr>
          <w:p>
            <w:pPr>
              <w:spacing w:after="0"/>
              <w:rPr>
                <w:sz w:val="8"/>
                <w:szCs w:val="8"/>
                <w:color w:val="auto"/>
              </w:rPr>
            </w:pPr>
          </w:p>
        </w:tc>
        <w:tc>
          <w:tcPr>
            <w:tcW w:w="680" w:type="dxa"/>
            <w:vAlign w:val="bottom"/>
          </w:tcPr>
          <w:p>
            <w:pPr>
              <w:jc w:val="right"/>
              <w:ind w:right="190"/>
              <w:spacing w:after="0" w:line="92" w:lineRule="exact"/>
              <w:rPr>
                <w:sz w:val="20"/>
                <w:szCs w:val="20"/>
                <w:color w:val="auto"/>
              </w:rPr>
            </w:pPr>
            <w:r>
              <w:rPr>
                <w:rFonts w:ascii="Arial" w:cs="Arial" w:eastAsia="Arial" w:hAnsi="Arial"/>
                <w:sz w:val="10"/>
                <w:szCs w:val="10"/>
                <w:color w:val="auto"/>
              </w:rPr>
              <w:t>400</w:t>
            </w:r>
          </w:p>
        </w:tc>
        <w:tc>
          <w:tcPr>
            <w:tcW w:w="40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5,204</w:t>
            </w:r>
          </w:p>
        </w:tc>
        <w:tc>
          <w:tcPr>
            <w:tcW w:w="400" w:type="dxa"/>
            <w:vAlign w:val="bottom"/>
          </w:tcPr>
          <w:p>
            <w:pPr>
              <w:spacing w:after="0"/>
              <w:rPr>
                <w:sz w:val="8"/>
                <w:szCs w:val="8"/>
                <w:color w:val="auto"/>
              </w:rPr>
            </w:pPr>
          </w:p>
        </w:tc>
        <w:tc>
          <w:tcPr>
            <w:tcW w:w="640" w:type="dxa"/>
            <w:vAlign w:val="bottom"/>
          </w:tcPr>
          <w:p>
            <w:pPr>
              <w:jc w:val="right"/>
              <w:ind w:right="189"/>
              <w:spacing w:after="0" w:line="92" w:lineRule="exact"/>
              <w:rPr>
                <w:sz w:val="20"/>
                <w:szCs w:val="20"/>
                <w:color w:val="auto"/>
              </w:rPr>
            </w:pPr>
            <w:r>
              <w:rPr>
                <w:rFonts w:ascii="Arial" w:cs="Arial" w:eastAsia="Arial" w:hAnsi="Arial"/>
                <w:sz w:val="10"/>
                <w:szCs w:val="10"/>
                <w:color w:val="auto"/>
              </w:rPr>
              <w:t>5,480</w:t>
            </w:r>
          </w:p>
        </w:tc>
        <w:tc>
          <w:tcPr>
            <w:tcW w:w="360" w:type="dxa"/>
            <w:vAlign w:val="bottom"/>
          </w:tcPr>
          <w:p>
            <w:pPr>
              <w:spacing w:after="0"/>
              <w:rPr>
                <w:sz w:val="8"/>
                <w:szCs w:val="8"/>
                <w:color w:val="auto"/>
              </w:rPr>
            </w:pPr>
          </w:p>
        </w:tc>
        <w:tc>
          <w:tcPr>
            <w:tcW w:w="680" w:type="dxa"/>
            <w:vAlign w:val="bottom"/>
          </w:tcPr>
          <w:p>
            <w:pPr>
              <w:jc w:val="right"/>
              <w:ind w:right="189"/>
              <w:spacing w:after="0" w:line="92" w:lineRule="exact"/>
              <w:rPr>
                <w:sz w:val="20"/>
                <w:szCs w:val="20"/>
                <w:color w:val="auto"/>
              </w:rPr>
            </w:pPr>
            <w:r>
              <w:rPr>
                <w:rFonts w:ascii="Arial" w:cs="Arial" w:eastAsia="Arial" w:hAnsi="Arial"/>
                <w:sz w:val="10"/>
                <w:szCs w:val="10"/>
                <w:color w:val="auto"/>
              </w:rPr>
              <w:t>934</w:t>
            </w:r>
          </w:p>
        </w:tc>
        <w:tc>
          <w:tcPr>
            <w:tcW w:w="400" w:type="dxa"/>
            <w:vAlign w:val="bottom"/>
          </w:tcPr>
          <w:p>
            <w:pPr>
              <w:spacing w:after="0"/>
              <w:rPr>
                <w:sz w:val="8"/>
                <w:szCs w:val="8"/>
                <w:color w:val="auto"/>
              </w:rPr>
            </w:pPr>
          </w:p>
        </w:tc>
        <w:tc>
          <w:tcPr>
            <w:tcW w:w="480" w:type="dxa"/>
            <w:vAlign w:val="bottom"/>
          </w:tcPr>
          <w:p>
            <w:pPr>
              <w:jc w:val="right"/>
              <w:ind w:right="29"/>
              <w:spacing w:after="0" w:line="92" w:lineRule="exact"/>
              <w:rPr>
                <w:sz w:val="20"/>
                <w:szCs w:val="20"/>
                <w:color w:val="auto"/>
              </w:rPr>
            </w:pPr>
            <w:r>
              <w:rPr>
                <w:rFonts w:ascii="Arial" w:cs="Arial" w:eastAsia="Arial" w:hAnsi="Arial"/>
                <w:sz w:val="10"/>
                <w:szCs w:val="10"/>
                <w:color w:val="auto"/>
              </w:rPr>
              <w:t>1,444</w:t>
            </w:r>
          </w:p>
        </w:tc>
        <w:tc>
          <w:tcPr>
            <w:tcW w:w="540" w:type="dxa"/>
            <w:vAlign w:val="bottom"/>
          </w:tcPr>
          <w:p>
            <w:pPr>
              <w:spacing w:after="0"/>
              <w:rPr>
                <w:sz w:val="8"/>
                <w:szCs w:val="8"/>
                <w:color w:val="auto"/>
              </w:rPr>
            </w:pPr>
          </w:p>
        </w:tc>
        <w:tc>
          <w:tcPr>
            <w:tcW w:w="860" w:type="dxa"/>
            <w:vAlign w:val="bottom"/>
            <w:gridSpan w:val="2"/>
          </w:tcPr>
          <w:p>
            <w:pPr>
              <w:jc w:val="right"/>
              <w:ind w:right="460"/>
              <w:spacing w:after="0" w:line="92" w:lineRule="exact"/>
              <w:rPr>
                <w:sz w:val="20"/>
                <w:szCs w:val="20"/>
                <w:color w:val="auto"/>
              </w:rPr>
            </w:pPr>
            <w:r>
              <w:rPr>
                <w:rFonts w:ascii="Arial" w:cs="Arial" w:eastAsia="Arial" w:hAnsi="Arial"/>
                <w:sz w:val="10"/>
                <w:szCs w:val="10"/>
                <w:color w:val="auto"/>
              </w:rPr>
              <w:t>17,015</w:t>
            </w:r>
          </w:p>
        </w:tc>
        <w:tc>
          <w:tcPr>
            <w:tcW w:w="200" w:type="dxa"/>
            <w:vAlign w:val="bottom"/>
          </w:tcPr>
          <w:p>
            <w:pPr>
              <w:spacing w:after="0"/>
              <w:rPr>
                <w:sz w:val="8"/>
                <w:szCs w:val="8"/>
                <w:color w:val="auto"/>
              </w:rPr>
            </w:pPr>
          </w:p>
        </w:tc>
        <w:tc>
          <w:tcPr>
            <w:tcW w:w="520" w:type="dxa"/>
            <w:vAlign w:val="bottom"/>
          </w:tcPr>
          <w:p>
            <w:pPr>
              <w:jc w:val="right"/>
              <w:ind w:right="89"/>
              <w:spacing w:after="0" w:line="92" w:lineRule="exact"/>
              <w:rPr>
                <w:sz w:val="20"/>
                <w:szCs w:val="20"/>
                <w:color w:val="auto"/>
              </w:rPr>
            </w:pPr>
            <w:r>
              <w:rPr>
                <w:rFonts w:ascii="Arial" w:cs="Arial" w:eastAsia="Arial" w:hAnsi="Arial"/>
                <w:sz w:val="10"/>
                <w:szCs w:val="10"/>
                <w:color w:val="auto"/>
              </w:rPr>
              <w:t>3,111</w:t>
            </w:r>
          </w:p>
        </w:tc>
        <w:tc>
          <w:tcPr>
            <w:tcW w:w="520" w:type="dxa"/>
            <w:vAlign w:val="bottom"/>
          </w:tcPr>
          <w:p>
            <w:pPr>
              <w:spacing w:after="0"/>
              <w:rPr>
                <w:sz w:val="8"/>
                <w:szCs w:val="8"/>
                <w:color w:val="auto"/>
              </w:rPr>
            </w:pPr>
          </w:p>
        </w:tc>
        <w:tc>
          <w:tcPr>
            <w:tcW w:w="340" w:type="dxa"/>
            <w:vAlign w:val="bottom"/>
          </w:tcPr>
          <w:p>
            <w:pPr>
              <w:jc w:val="right"/>
              <w:spacing w:after="0" w:line="92" w:lineRule="exact"/>
              <w:rPr>
                <w:sz w:val="20"/>
                <w:szCs w:val="20"/>
                <w:color w:val="auto"/>
              </w:rPr>
            </w:pPr>
            <w:r>
              <w:rPr>
                <w:rFonts w:ascii="Arial" w:cs="Arial" w:eastAsia="Arial" w:hAnsi="Arial"/>
                <w:sz w:val="10"/>
                <w:szCs w:val="10"/>
                <w:color w:val="auto"/>
              </w:rPr>
              <w:t>520</w:t>
            </w:r>
          </w:p>
        </w:tc>
        <w:tc>
          <w:tcPr>
            <w:tcW w:w="40" w:type="dxa"/>
            <w:vAlign w:val="bottom"/>
          </w:tcPr>
          <w:p>
            <w:pPr>
              <w:spacing w:after="0"/>
              <w:rPr>
                <w:sz w:val="8"/>
                <w:szCs w:val="8"/>
                <w:color w:val="auto"/>
              </w:rPr>
            </w:pPr>
          </w:p>
        </w:tc>
      </w:tr>
      <w:tr>
        <w:trPr>
          <w:trHeight w:val="118"/>
        </w:trPr>
        <w:tc>
          <w:tcPr>
            <w:tcW w:w="2020" w:type="dxa"/>
            <w:vAlign w:val="bottom"/>
          </w:tcPr>
          <w:p>
            <w:pPr>
              <w:spacing w:after="0"/>
              <w:rPr>
                <w:sz w:val="20"/>
                <w:szCs w:val="20"/>
                <w:color w:val="auto"/>
              </w:rPr>
            </w:pPr>
            <w:r>
              <w:rPr>
                <w:rFonts w:ascii="Arial" w:cs="Arial" w:eastAsia="Arial" w:hAnsi="Arial"/>
                <w:sz w:val="10"/>
                <w:szCs w:val="10"/>
                <w:color w:val="auto"/>
              </w:rPr>
              <w:t>Income tax expense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color w:val="auto"/>
              </w:rPr>
              <w:t>(1,258)</w:t>
            </w:r>
          </w:p>
        </w:tc>
        <w:tc>
          <w:tcPr>
            <w:tcW w:w="360" w:type="dxa"/>
            <w:vAlign w:val="bottom"/>
          </w:tcPr>
          <w:p>
            <w:pPr>
              <w:spacing w:after="0"/>
              <w:rPr>
                <w:sz w:val="10"/>
                <w:szCs w:val="10"/>
                <w:color w:val="auto"/>
              </w:rPr>
            </w:pPr>
          </w:p>
        </w:tc>
        <w:tc>
          <w:tcPr>
            <w:tcW w:w="680" w:type="dxa"/>
            <w:vAlign w:val="bottom"/>
          </w:tcPr>
          <w:p>
            <w:pPr>
              <w:jc w:val="right"/>
              <w:ind w:right="150"/>
              <w:spacing w:after="0"/>
              <w:rPr>
                <w:sz w:val="20"/>
                <w:szCs w:val="20"/>
                <w:color w:val="auto"/>
              </w:rPr>
            </w:pPr>
            <w:r>
              <w:rPr>
                <w:rFonts w:ascii="Arial" w:cs="Arial" w:eastAsia="Arial" w:hAnsi="Arial"/>
                <w:sz w:val="10"/>
                <w:szCs w:val="10"/>
                <w:color w:val="auto"/>
              </w:rPr>
              <w:t>(203)</w:t>
            </w:r>
          </w:p>
        </w:tc>
        <w:tc>
          <w:tcPr>
            <w:tcW w:w="400" w:type="dxa"/>
            <w:vAlign w:val="bottom"/>
          </w:tcPr>
          <w:p>
            <w:pPr>
              <w:spacing w:after="0"/>
              <w:rPr>
                <w:sz w:val="10"/>
                <w:szCs w:val="10"/>
                <w:color w:val="auto"/>
              </w:rPr>
            </w:pPr>
          </w:p>
        </w:tc>
        <w:tc>
          <w:tcPr>
            <w:tcW w:w="640" w:type="dxa"/>
            <w:vAlign w:val="bottom"/>
          </w:tcPr>
          <w:p>
            <w:pPr>
              <w:jc w:val="right"/>
              <w:ind w:right="149"/>
              <w:spacing w:after="0"/>
              <w:rPr>
                <w:sz w:val="20"/>
                <w:szCs w:val="20"/>
                <w:color w:val="auto"/>
              </w:rPr>
            </w:pPr>
            <w:r>
              <w:rPr>
                <w:rFonts w:ascii="Arial" w:cs="Arial" w:eastAsia="Arial" w:hAnsi="Arial"/>
                <w:sz w:val="10"/>
                <w:szCs w:val="10"/>
                <w:color w:val="auto"/>
              </w:rPr>
              <w:t>(3,214)</w:t>
            </w:r>
          </w:p>
        </w:tc>
        <w:tc>
          <w:tcPr>
            <w:tcW w:w="400" w:type="dxa"/>
            <w:vAlign w:val="bottom"/>
          </w:tcPr>
          <w:p>
            <w:pPr>
              <w:spacing w:after="0"/>
              <w:rPr>
                <w:sz w:val="10"/>
                <w:szCs w:val="10"/>
                <w:color w:val="auto"/>
              </w:rPr>
            </w:pPr>
          </w:p>
        </w:tc>
        <w:tc>
          <w:tcPr>
            <w:tcW w:w="640" w:type="dxa"/>
            <w:vAlign w:val="bottom"/>
          </w:tcPr>
          <w:p>
            <w:pPr>
              <w:jc w:val="right"/>
              <w:ind w:right="169"/>
              <w:spacing w:after="0"/>
              <w:rPr>
                <w:sz w:val="20"/>
                <w:szCs w:val="20"/>
                <w:color w:val="auto"/>
              </w:rPr>
            </w:pPr>
            <w:r>
              <w:rPr>
                <w:rFonts w:ascii="Arial" w:cs="Arial" w:eastAsia="Arial" w:hAnsi="Arial"/>
                <w:sz w:val="10"/>
                <w:szCs w:val="10"/>
                <w:color w:val="auto"/>
              </w:rPr>
              <w:t>(2,921)</w:t>
            </w:r>
          </w:p>
        </w:tc>
        <w:tc>
          <w:tcPr>
            <w:tcW w:w="360" w:type="dxa"/>
            <w:vAlign w:val="bottom"/>
          </w:tcPr>
          <w:p>
            <w:pPr>
              <w:spacing w:after="0"/>
              <w:rPr>
                <w:sz w:val="10"/>
                <w:szCs w:val="10"/>
                <w:color w:val="auto"/>
              </w:rPr>
            </w:pPr>
          </w:p>
        </w:tc>
        <w:tc>
          <w:tcPr>
            <w:tcW w:w="680" w:type="dxa"/>
            <w:vAlign w:val="bottom"/>
          </w:tcPr>
          <w:p>
            <w:pPr>
              <w:jc w:val="right"/>
              <w:ind w:right="169"/>
              <w:spacing w:after="0"/>
              <w:rPr>
                <w:sz w:val="20"/>
                <w:szCs w:val="20"/>
                <w:color w:val="auto"/>
              </w:rPr>
            </w:pPr>
            <w:r>
              <w:rPr>
                <w:rFonts w:ascii="Arial" w:cs="Arial" w:eastAsia="Arial" w:hAnsi="Arial"/>
                <w:sz w:val="10"/>
                <w:szCs w:val="10"/>
                <w:color w:val="auto"/>
              </w:rPr>
              <w:t>(256)</w:t>
            </w:r>
          </w:p>
        </w:tc>
        <w:tc>
          <w:tcPr>
            <w:tcW w:w="400" w:type="dxa"/>
            <w:vAlign w:val="bottom"/>
          </w:tcPr>
          <w:p>
            <w:pPr>
              <w:spacing w:after="0"/>
              <w:rPr>
                <w:sz w:val="10"/>
                <w:szCs w:val="10"/>
                <w:color w:val="auto"/>
              </w:rPr>
            </w:pPr>
          </w:p>
        </w:tc>
        <w:tc>
          <w:tcPr>
            <w:tcW w:w="480" w:type="dxa"/>
            <w:vAlign w:val="bottom"/>
          </w:tcPr>
          <w:p>
            <w:pPr>
              <w:jc w:val="right"/>
              <w:ind w:right="9"/>
              <w:spacing w:after="0"/>
              <w:rPr>
                <w:sz w:val="20"/>
                <w:szCs w:val="20"/>
                <w:color w:val="auto"/>
              </w:rPr>
            </w:pPr>
            <w:r>
              <w:rPr>
                <w:rFonts w:ascii="Arial" w:cs="Arial" w:eastAsia="Arial" w:hAnsi="Arial"/>
                <w:sz w:val="10"/>
                <w:szCs w:val="10"/>
                <w:color w:val="auto"/>
              </w:rPr>
              <w:t>(901)</w:t>
            </w:r>
          </w:p>
        </w:tc>
        <w:tc>
          <w:tcPr>
            <w:tcW w:w="540" w:type="dxa"/>
            <w:vAlign w:val="bottom"/>
          </w:tcPr>
          <w:p>
            <w:pPr>
              <w:spacing w:after="0"/>
              <w:rPr>
                <w:sz w:val="10"/>
                <w:szCs w:val="1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0"/>
                <w:szCs w:val="10"/>
                <w:color w:val="auto"/>
              </w:rPr>
              <w:t>(8,753)</w:t>
            </w:r>
          </w:p>
        </w:tc>
        <w:tc>
          <w:tcPr>
            <w:tcW w:w="200" w:type="dxa"/>
            <w:vAlign w:val="bottom"/>
          </w:tcPr>
          <w:p>
            <w:pPr>
              <w:spacing w:after="0"/>
              <w:rPr>
                <w:sz w:val="10"/>
                <w:szCs w:val="10"/>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(935)</w:t>
            </w:r>
          </w:p>
        </w:tc>
        <w:tc>
          <w:tcPr>
            <w:tcW w:w="52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rPr>
              <w:t>(258)</w:t>
            </w:r>
          </w:p>
        </w:tc>
      </w:tr>
      <w:tr>
        <w:trPr>
          <w:trHeight w:val="114"/>
        </w:trPr>
        <w:tc>
          <w:tcPr>
            <w:tcW w:w="202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Results of Producing Operations</w:t>
            </w:r>
          </w:p>
        </w:tc>
        <w:tc>
          <w:tcPr>
            <w:tcW w:w="680" w:type="dxa"/>
            <w:vAlign w:val="bottom"/>
            <w:tcBorders>
              <w:top w:val="single" w:sz="8" w:color="0077C0"/>
              <w:bottom w:val="single" w:sz="8" w:color="0077C0"/>
            </w:tcBorders>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2,295</w:t>
            </w:r>
          </w:p>
        </w:tc>
        <w:tc>
          <w:tcPr>
            <w:tcW w:w="36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190"/>
              <w:spacing w:after="0" w:line="105" w:lineRule="exact"/>
              <w:rPr>
                <w:sz w:val="20"/>
                <w:szCs w:val="20"/>
                <w:color w:val="auto"/>
              </w:rPr>
            </w:pPr>
            <w:r>
              <w:rPr>
                <w:rFonts w:ascii="Arial" w:cs="Arial" w:eastAsia="Arial" w:hAnsi="Arial"/>
                <w:sz w:val="10"/>
                <w:szCs w:val="10"/>
                <w:color w:val="auto"/>
              </w:rPr>
              <w:t>197</w:t>
            </w:r>
          </w:p>
        </w:tc>
        <w:tc>
          <w:tcPr>
            <w:tcW w:w="400" w:type="dxa"/>
            <w:vAlign w:val="bottom"/>
            <w:tcBorders>
              <w:top w:val="single" w:sz="8" w:color="0077C0"/>
              <w:bottom w:val="single" w:sz="8" w:color="0077C0"/>
            </w:tcBorders>
          </w:tcPr>
          <w:p>
            <w:pPr>
              <w:jc w:val="right"/>
              <w:ind w:right="6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1,990</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2,559</w:t>
            </w:r>
          </w:p>
        </w:tc>
        <w:tc>
          <w:tcPr>
            <w:tcW w:w="360" w:type="dxa"/>
            <w:vAlign w:val="bottom"/>
            <w:tcBorders>
              <w:top w:val="single" w:sz="8" w:color="0077C0"/>
              <w:bottom w:val="single" w:sz="8" w:color="0077C0"/>
            </w:tcBorders>
          </w:tcPr>
          <w:p>
            <w:pPr>
              <w:jc w:val="right"/>
              <w:ind w:right="49"/>
              <w:spacing w:after="0" w:line="105" w:lineRule="exact"/>
              <w:rPr>
                <w:sz w:val="20"/>
                <w:szCs w:val="20"/>
                <w:color w:val="auto"/>
              </w:rPr>
            </w:pPr>
            <w:r>
              <w:rPr>
                <w:rFonts w:ascii="Arial" w:cs="Arial" w:eastAsia="Arial" w:hAnsi="Arial"/>
                <w:sz w:val="10"/>
                <w:szCs w:val="10"/>
                <w:color w:val="auto"/>
              </w:rPr>
              <w:t>$</w:t>
            </w:r>
          </w:p>
        </w:tc>
        <w:tc>
          <w:tcPr>
            <w:tcW w:w="680" w:type="dxa"/>
            <w:vAlign w:val="bottom"/>
            <w:tcBorders>
              <w:top w:val="single" w:sz="8" w:color="0077C0"/>
              <w:bottom w:val="single" w:sz="8" w:color="0077C0"/>
            </w:tcBorders>
          </w:tcPr>
          <w:p>
            <w:pPr>
              <w:jc w:val="right"/>
              <w:ind w:right="189"/>
              <w:spacing w:after="0" w:line="105" w:lineRule="exact"/>
              <w:rPr>
                <w:sz w:val="20"/>
                <w:szCs w:val="20"/>
                <w:color w:val="auto"/>
              </w:rPr>
            </w:pPr>
            <w:r>
              <w:rPr>
                <w:rFonts w:ascii="Arial" w:cs="Arial" w:eastAsia="Arial" w:hAnsi="Arial"/>
                <w:sz w:val="10"/>
                <w:szCs w:val="10"/>
                <w:color w:val="auto"/>
              </w:rPr>
              <w:t>678</w:t>
            </w:r>
          </w:p>
        </w:tc>
        <w:tc>
          <w:tcPr>
            <w:tcW w:w="4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color w:val="auto"/>
              </w:rPr>
              <w:t>543</w:t>
            </w:r>
          </w:p>
        </w:tc>
        <w:tc>
          <w:tcPr>
            <w:tcW w:w="540" w:type="dxa"/>
            <w:vAlign w:val="bottom"/>
            <w:tcBorders>
              <w:top w:val="single" w:sz="8" w:color="0077C0"/>
              <w:bottom w:val="single" w:sz="8" w:color="0077C0"/>
            </w:tcBorders>
          </w:tcPr>
          <w:p>
            <w:pPr>
              <w:jc w:val="right"/>
              <w:ind w:right="71"/>
              <w:spacing w:after="0" w:line="105" w:lineRule="exact"/>
              <w:rPr>
                <w:sz w:val="20"/>
                <w:szCs w:val="20"/>
                <w:color w:val="auto"/>
              </w:rPr>
            </w:pPr>
            <w:r>
              <w:rPr>
                <w:rFonts w:ascii="Arial" w:cs="Arial" w:eastAsia="Arial" w:hAnsi="Arial"/>
                <w:sz w:val="10"/>
                <w:szCs w:val="10"/>
                <w:color w:val="auto"/>
              </w:rPr>
              <w:t>$</w:t>
            </w:r>
          </w:p>
        </w:tc>
        <w:tc>
          <w:tcPr>
            <w:tcW w:w="860" w:type="dxa"/>
            <w:vAlign w:val="bottom"/>
            <w:tcBorders>
              <w:top w:val="single" w:sz="8" w:color="0077C0"/>
              <w:bottom w:val="single" w:sz="8" w:color="0077C0"/>
            </w:tcBorders>
            <w:gridSpan w:val="2"/>
          </w:tcPr>
          <w:p>
            <w:pPr>
              <w:jc w:val="right"/>
              <w:ind w:right="460"/>
              <w:spacing w:after="0" w:line="105" w:lineRule="exact"/>
              <w:rPr>
                <w:sz w:val="20"/>
                <w:szCs w:val="20"/>
                <w:color w:val="auto"/>
              </w:rPr>
            </w:pPr>
            <w:r>
              <w:rPr>
                <w:rFonts w:ascii="Arial" w:cs="Arial" w:eastAsia="Arial" w:hAnsi="Arial"/>
                <w:sz w:val="10"/>
                <w:szCs w:val="10"/>
                <w:color w:val="auto"/>
              </w:rPr>
              <w:t>8,262</w:t>
            </w:r>
          </w:p>
        </w:tc>
        <w:tc>
          <w:tcPr>
            <w:tcW w:w="20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0077C0"/>
              <w:bottom w:val="single" w:sz="8" w:color="0077C0"/>
            </w:tcBorders>
          </w:tcPr>
          <w:p>
            <w:pPr>
              <w:jc w:val="right"/>
              <w:ind w:right="89"/>
              <w:spacing w:after="0" w:line="105" w:lineRule="exact"/>
              <w:rPr>
                <w:sz w:val="20"/>
                <w:szCs w:val="20"/>
                <w:color w:val="auto"/>
              </w:rPr>
            </w:pPr>
            <w:r>
              <w:rPr>
                <w:rFonts w:ascii="Arial" w:cs="Arial" w:eastAsia="Arial" w:hAnsi="Arial"/>
                <w:sz w:val="10"/>
                <w:szCs w:val="10"/>
                <w:color w:val="auto"/>
              </w:rPr>
              <w:t>2,176</w:t>
            </w:r>
          </w:p>
        </w:tc>
        <w:tc>
          <w:tcPr>
            <w:tcW w:w="520" w:type="dxa"/>
            <w:vAlign w:val="bottom"/>
            <w:tcBorders>
              <w:top w:val="single" w:sz="8" w:color="0077C0"/>
              <w:bottom w:val="single" w:sz="8" w:color="0077C0"/>
            </w:tcBorders>
          </w:tcPr>
          <w:p>
            <w:pPr>
              <w:jc w:val="right"/>
              <w:ind w:right="111"/>
              <w:spacing w:after="0" w:line="105"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262</w:t>
            </w:r>
          </w:p>
        </w:tc>
        <w:tc>
          <w:tcPr>
            <w:tcW w:w="40" w:type="dxa"/>
            <w:vAlign w:val="bottom"/>
          </w:tcPr>
          <w:p>
            <w:pPr>
              <w:spacing w:after="0"/>
              <w:rPr>
                <w:sz w:val="9"/>
                <w:szCs w:val="9"/>
                <w:color w:val="auto"/>
              </w:rPr>
            </w:pPr>
          </w:p>
        </w:tc>
      </w:tr>
    </w:tbl>
    <w:p>
      <w:pPr>
        <w:spacing w:after="0" w:line="37" w:lineRule="exact"/>
        <w:rPr>
          <w:sz w:val="20"/>
          <w:szCs w:val="20"/>
          <w:color w:val="auto"/>
        </w:rPr>
      </w:pPr>
    </w:p>
    <w:p>
      <w:pPr>
        <w:ind w:left="103" w:hanging="103"/>
        <w:spacing w:after="0"/>
        <w:tabs>
          <w:tab w:leader="none" w:pos="103" w:val="left"/>
        </w:tabs>
        <w:numPr>
          <w:ilvl w:val="0"/>
          <w:numId w:val="51"/>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21"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2  Represents accretion of ARO liability. Refer to Note 25, “Asset Retirement Obligations,” on page FS-58.</w:t>
      </w:r>
    </w:p>
    <w:p>
      <w:pPr>
        <w:spacing w:after="0" w:line="13"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3  Includes foreign currency gains and losses, gains and losses on property dispositions, and income from operating and technical service agreements.</w:t>
      </w:r>
    </w:p>
    <w:p>
      <w:pPr>
        <w:spacing w:after="0" w:line="116" w:lineRule="exact"/>
        <w:rPr>
          <w:sz w:val="20"/>
          <w:szCs w:val="20"/>
          <w:color w:val="auto"/>
        </w:rPr>
      </w:pPr>
    </w:p>
    <w:p>
      <w:pPr>
        <w:jc w:val="center"/>
        <w:ind w:right="-62"/>
        <w:spacing w:after="0"/>
        <w:rPr>
          <w:sz w:val="20"/>
          <w:szCs w:val="20"/>
          <w:color w:val="auto"/>
        </w:rPr>
      </w:pPr>
      <w:r>
        <w:rPr>
          <w:rFonts w:ascii="Arial" w:cs="Arial" w:eastAsia="Arial" w:hAnsi="Arial"/>
          <w:sz w:val="10"/>
          <w:szCs w:val="10"/>
          <w:color w:val="auto"/>
        </w:rPr>
        <w:t>FS-66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03"/>
          </w:cols>
          <w:pgMar w:left="217" w:top="338" w:right="279" w:bottom="1440" w:gutter="0" w:footer="0" w:header="0"/>
        </w:sectPr>
      </w:pPr>
    </w:p>
    <w:bookmarkStart w:id="107" w:name="page108"/>
    <w:bookmarkEnd w:id="107"/>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4762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599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Table IV </w:t>
      </w:r>
      <w:r>
        <w:rPr>
          <w:rFonts w:ascii="Arial" w:cs="Arial" w:eastAsia="Arial" w:hAnsi="Arial"/>
          <w:sz w:val="10"/>
          <w:szCs w:val="10"/>
          <w:color w:val="000000"/>
        </w:rPr>
        <w:t>Results of Operations for Oil and</w:t>
      </w:r>
    </w:p>
    <w:p>
      <w:pPr>
        <w:spacing w:after="0" w:line="9" w:lineRule="exact"/>
        <w:rPr>
          <w:sz w:val="20"/>
          <w:szCs w:val="20"/>
          <w:color w:val="auto"/>
        </w:rPr>
      </w:pPr>
    </w:p>
    <w:p>
      <w:pPr>
        <w:ind w:left="543"/>
        <w:spacing w:after="0"/>
        <w:rPr>
          <w:sz w:val="20"/>
          <w:szCs w:val="20"/>
          <w:color w:val="auto"/>
        </w:rPr>
      </w:pPr>
      <w:r>
        <w:rPr>
          <w:rFonts w:ascii="Arial" w:cs="Arial" w:eastAsia="Arial" w:hAnsi="Arial"/>
          <w:sz w:val="10"/>
          <w:szCs w:val="10"/>
          <w:color w:val="auto"/>
        </w:rPr>
        <w:t>Gas Producing Activities - Unit Prices and Costs</w:t>
      </w:r>
      <w:r>
        <w:rPr>
          <w:rFonts w:ascii="Arial" w:cs="Arial" w:eastAsia="Arial" w:hAnsi="Arial"/>
          <w:sz w:val="17"/>
          <w:szCs w:val="17"/>
          <w:color w:val="auto"/>
          <w:vertAlign w:val="superscript"/>
        </w:rPr>
        <w:t>1</w:t>
      </w:r>
    </w:p>
    <w:p>
      <w:pPr>
        <w:spacing w:after="0" w:line="130" w:lineRule="exact"/>
        <w:rPr>
          <w:sz w:val="20"/>
          <w:szCs w:val="20"/>
          <w:color w:val="auto"/>
        </w:rPr>
      </w:pPr>
    </w:p>
    <w:tbl>
      <w:tblPr>
        <w:tblLayout w:type="fixed"/>
        <w:tblInd w:w="3"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9"/>
                <w:szCs w:val="9"/>
                <w:color w:val="auto"/>
                <w:w w:val="93"/>
              </w:rPr>
              <w:t>Consolidated Companies</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tcPr>
          <w:p>
            <w:pPr>
              <w:jc w:val="right"/>
              <w:spacing w:after="0"/>
              <w:rPr>
                <w:sz w:val="20"/>
                <w:szCs w:val="20"/>
                <w:color w:val="auto"/>
              </w:rPr>
            </w:pPr>
            <w:r>
              <w:rPr>
                <w:rFonts w:ascii="Arial" w:cs="Arial" w:eastAsia="Arial" w:hAnsi="Arial"/>
                <w:sz w:val="9"/>
                <w:szCs w:val="9"/>
                <w:color w:val="auto"/>
              </w:rPr>
              <w:t>Affiliated Companies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62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jc w:val="right"/>
              <w:ind w:right="170"/>
              <w:spacing w:after="0" w:line="75" w:lineRule="exact"/>
              <w:rPr>
                <w:sz w:val="20"/>
                <w:szCs w:val="20"/>
                <w:color w:val="auto"/>
              </w:rPr>
            </w:pPr>
            <w:r>
              <w:rPr>
                <w:rFonts w:ascii="Arial" w:cs="Arial" w:eastAsia="Arial" w:hAnsi="Arial"/>
                <w:sz w:val="8"/>
                <w:szCs w:val="8"/>
                <w:color w:val="auto"/>
              </w:rPr>
              <w:t>Other</w:t>
            </w:r>
          </w:p>
        </w:tc>
        <w:tc>
          <w:tcPr>
            <w:tcW w:w="420" w:type="dxa"/>
            <w:vAlign w:val="bottom"/>
            <w:tcBorders>
              <w:top w:val="single" w:sz="8" w:color="0077C0"/>
            </w:tcBorders>
          </w:tcPr>
          <w:p>
            <w:pPr>
              <w:spacing w:after="0"/>
              <w:rPr>
                <w:sz w:val="6"/>
                <w:szCs w:val="6"/>
                <w:color w:val="auto"/>
              </w:rPr>
            </w:pPr>
          </w:p>
        </w:tc>
        <w:tc>
          <w:tcPr>
            <w:tcW w:w="62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62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80" w:type="dxa"/>
            <w:vAlign w:val="bottom"/>
            <w:tcBorders>
              <w:top w:val="single" w:sz="8" w:color="0077C0"/>
            </w:tcBorders>
          </w:tcPr>
          <w:p>
            <w:pPr>
              <w:spacing w:after="0"/>
              <w:rPr>
                <w:sz w:val="6"/>
                <w:szCs w:val="6"/>
                <w:color w:val="auto"/>
              </w:rPr>
            </w:pPr>
          </w:p>
        </w:tc>
        <w:tc>
          <w:tcPr>
            <w:tcW w:w="560" w:type="dxa"/>
            <w:vAlign w:val="bottom"/>
            <w:tcBorders>
              <w:top w:val="single" w:sz="8" w:color="0077C0"/>
            </w:tcBorders>
          </w:tcPr>
          <w:p>
            <w:pPr>
              <w:spacing w:after="0"/>
              <w:rPr>
                <w:sz w:val="6"/>
                <w:szCs w:val="6"/>
                <w:color w:val="auto"/>
              </w:rPr>
            </w:pPr>
          </w:p>
        </w:tc>
        <w:tc>
          <w:tcPr>
            <w:tcW w:w="40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Borders>
              <w:top w:val="single" w:sz="8" w:color="0077C0"/>
            </w:tcBorders>
          </w:tcPr>
          <w:p>
            <w:pPr>
              <w:spacing w:after="0"/>
              <w:rPr>
                <w:sz w:val="6"/>
                <w:szCs w:val="6"/>
                <w:color w:val="auto"/>
              </w:rPr>
            </w:pPr>
          </w:p>
        </w:tc>
        <w:tc>
          <w:tcPr>
            <w:tcW w:w="500" w:type="dxa"/>
            <w:vAlign w:val="bottom"/>
            <w:tcBorders>
              <w:top w:val="single" w:sz="8" w:color="0077C0"/>
            </w:tcBorders>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rPr>
                <w:sz w:val="20"/>
                <w:szCs w:val="20"/>
                <w:color w:val="auto"/>
              </w:rPr>
            </w:pPr>
            <w:r>
              <w:rPr>
                <w:rFonts w:ascii="Arial" w:cs="Arial" w:eastAsia="Arial" w:hAnsi="Arial"/>
                <w:sz w:val="9"/>
                <w:szCs w:val="9"/>
                <w:color w:val="auto"/>
              </w:rPr>
              <w:t>U.S.</w:t>
            </w:r>
          </w:p>
        </w:tc>
        <w:tc>
          <w:tcPr>
            <w:tcW w:w="360" w:type="dxa"/>
            <w:vAlign w:val="bottom"/>
          </w:tcPr>
          <w:p>
            <w:pPr>
              <w:spacing w:after="0"/>
              <w:rPr>
                <w:sz w:val="9"/>
                <w:szCs w:val="9"/>
                <w:color w:val="auto"/>
              </w:rPr>
            </w:pPr>
          </w:p>
        </w:tc>
        <w:tc>
          <w:tcPr>
            <w:tcW w:w="660" w:type="dxa"/>
            <w:vAlign w:val="bottom"/>
          </w:tcPr>
          <w:p>
            <w:pPr>
              <w:jc w:val="right"/>
              <w:ind w:right="170"/>
              <w:spacing w:after="0"/>
              <w:rPr>
                <w:sz w:val="20"/>
                <w:szCs w:val="20"/>
                <w:color w:val="auto"/>
              </w:rPr>
            </w:pPr>
            <w:r>
              <w:rPr>
                <w:rFonts w:ascii="Arial" w:cs="Arial" w:eastAsia="Arial" w:hAnsi="Arial"/>
                <w:sz w:val="9"/>
                <w:szCs w:val="9"/>
                <w:color w:val="auto"/>
              </w:rPr>
              <w:t>Americas</w:t>
            </w:r>
          </w:p>
        </w:tc>
        <w:tc>
          <w:tcPr>
            <w:tcW w:w="420" w:type="dxa"/>
            <w:vAlign w:val="bottom"/>
          </w:tcPr>
          <w:p>
            <w:pPr>
              <w:spacing w:after="0"/>
              <w:rPr>
                <w:sz w:val="9"/>
                <w:szCs w:val="9"/>
                <w:color w:val="auto"/>
              </w:rPr>
            </w:pPr>
          </w:p>
        </w:tc>
        <w:tc>
          <w:tcPr>
            <w:tcW w:w="620" w:type="dxa"/>
            <w:vAlign w:val="bottom"/>
          </w:tcPr>
          <w:p>
            <w:pPr>
              <w:jc w:val="right"/>
              <w:ind w:right="169"/>
              <w:spacing w:after="0"/>
              <w:rPr>
                <w:sz w:val="20"/>
                <w:szCs w:val="20"/>
                <w:color w:val="auto"/>
              </w:rPr>
            </w:pPr>
            <w:r>
              <w:rPr>
                <w:rFonts w:ascii="Arial" w:cs="Arial" w:eastAsia="Arial" w:hAnsi="Arial"/>
                <w:sz w:val="9"/>
                <w:szCs w:val="9"/>
                <w:color w:val="auto"/>
              </w:rPr>
              <w:t>Africa</w:t>
            </w:r>
          </w:p>
        </w:tc>
        <w:tc>
          <w:tcPr>
            <w:tcW w:w="420" w:type="dxa"/>
            <w:vAlign w:val="bottom"/>
          </w:tcPr>
          <w:p>
            <w:pPr>
              <w:spacing w:after="0"/>
              <w:rPr>
                <w:sz w:val="9"/>
                <w:szCs w:val="9"/>
                <w:color w:val="auto"/>
              </w:rPr>
            </w:pPr>
          </w:p>
        </w:tc>
        <w:tc>
          <w:tcPr>
            <w:tcW w:w="620" w:type="dxa"/>
            <w:vAlign w:val="bottom"/>
          </w:tcPr>
          <w:p>
            <w:pPr>
              <w:jc w:val="right"/>
              <w:ind w:right="169"/>
              <w:spacing w:after="0"/>
              <w:rPr>
                <w:sz w:val="20"/>
                <w:szCs w:val="20"/>
                <w:color w:val="auto"/>
              </w:rPr>
            </w:pPr>
            <w:r>
              <w:rPr>
                <w:rFonts w:ascii="Arial" w:cs="Arial" w:eastAsia="Arial" w:hAnsi="Arial"/>
                <w:sz w:val="9"/>
                <w:szCs w:val="9"/>
                <w:color w:val="auto"/>
              </w:rPr>
              <w:t>Asia</w:t>
            </w:r>
          </w:p>
        </w:tc>
        <w:tc>
          <w:tcPr>
            <w:tcW w:w="380" w:type="dxa"/>
            <w:vAlign w:val="bottom"/>
          </w:tcPr>
          <w:p>
            <w:pPr>
              <w:spacing w:after="0"/>
              <w:rPr>
                <w:sz w:val="9"/>
                <w:szCs w:val="9"/>
                <w:color w:val="auto"/>
              </w:rPr>
            </w:pPr>
          </w:p>
        </w:tc>
        <w:tc>
          <w:tcPr>
            <w:tcW w:w="660" w:type="dxa"/>
            <w:vAlign w:val="bottom"/>
          </w:tcPr>
          <w:p>
            <w:pPr>
              <w:jc w:val="right"/>
              <w:ind w:right="169"/>
              <w:spacing w:after="0"/>
              <w:rPr>
                <w:sz w:val="20"/>
                <w:szCs w:val="20"/>
                <w:color w:val="auto"/>
              </w:rPr>
            </w:pPr>
            <w:r>
              <w:rPr>
                <w:rFonts w:ascii="Arial" w:cs="Arial" w:eastAsia="Arial" w:hAnsi="Arial"/>
                <w:sz w:val="9"/>
                <w:szCs w:val="9"/>
                <w:color w:val="auto"/>
              </w:rPr>
              <w:t>Australia</w:t>
            </w:r>
          </w:p>
        </w:tc>
        <w:tc>
          <w:tcPr>
            <w:tcW w:w="400" w:type="dxa"/>
            <w:vAlign w:val="bottom"/>
          </w:tcPr>
          <w:p>
            <w:pPr>
              <w:spacing w:after="0"/>
              <w:rPr>
                <w:sz w:val="9"/>
                <w:szCs w:val="9"/>
                <w:color w:val="auto"/>
              </w:rPr>
            </w:pPr>
          </w:p>
        </w:tc>
        <w:tc>
          <w:tcPr>
            <w:tcW w:w="480" w:type="dxa"/>
            <w:vAlign w:val="bottom"/>
          </w:tcPr>
          <w:p>
            <w:pPr>
              <w:jc w:val="right"/>
              <w:ind w:right="9"/>
              <w:spacing w:after="0"/>
              <w:rPr>
                <w:sz w:val="20"/>
                <w:szCs w:val="20"/>
                <w:color w:val="auto"/>
              </w:rPr>
            </w:pPr>
            <w:r>
              <w:rPr>
                <w:rFonts w:ascii="Arial" w:cs="Arial" w:eastAsia="Arial" w:hAnsi="Arial"/>
                <w:sz w:val="9"/>
                <w:szCs w:val="9"/>
                <w:color w:val="auto"/>
              </w:rPr>
              <w:t>Europe</w:t>
            </w:r>
          </w:p>
        </w:tc>
        <w:tc>
          <w:tcPr>
            <w:tcW w:w="560" w:type="dxa"/>
            <w:vAlign w:val="bottom"/>
          </w:tcPr>
          <w:p>
            <w:pPr>
              <w:spacing w:after="0"/>
              <w:rPr>
                <w:sz w:val="9"/>
                <w:szCs w:val="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200" w:type="dxa"/>
            <w:vAlign w:val="bottom"/>
          </w:tcPr>
          <w:p>
            <w:pPr>
              <w:spacing w:after="0"/>
              <w:rPr>
                <w:sz w:val="9"/>
                <w:szCs w:val="9"/>
                <w:color w:val="auto"/>
              </w:rPr>
            </w:pPr>
          </w:p>
        </w:tc>
        <w:tc>
          <w:tcPr>
            <w:tcW w:w="500" w:type="dxa"/>
            <w:vAlign w:val="bottom"/>
          </w:tcPr>
          <w:p>
            <w:pPr>
              <w:jc w:val="right"/>
              <w:ind w:right="69"/>
              <w:spacing w:after="0"/>
              <w:rPr>
                <w:sz w:val="20"/>
                <w:szCs w:val="20"/>
                <w:color w:val="auto"/>
              </w:rPr>
            </w:pPr>
            <w:r>
              <w:rPr>
                <w:rFonts w:ascii="Arial" w:cs="Arial" w:eastAsia="Arial" w:hAnsi="Arial"/>
                <w:sz w:val="9"/>
                <w:szCs w:val="9"/>
                <w:color w:val="auto"/>
              </w:rPr>
              <w:t>TCO</w:t>
            </w:r>
          </w:p>
        </w:tc>
        <w:tc>
          <w:tcPr>
            <w:tcW w:w="5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Other</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4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Year Ended December 31, 2011</w:t>
            </w:r>
          </w:p>
        </w:tc>
        <w:tc>
          <w:tcPr>
            <w:tcW w:w="460" w:type="dxa"/>
            <w:vAlign w:val="bottom"/>
            <w:tcBorders>
              <w:top w:val="single" w:sz="8" w:color="0077C0"/>
            </w:tcBorders>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420" w:type="dxa"/>
            <w:vAlign w:val="bottom"/>
            <w:tcBorders>
              <w:top w:val="single" w:sz="8" w:color="0077C0"/>
            </w:tcBorders>
          </w:tcPr>
          <w:p>
            <w:pPr>
              <w:spacing w:after="0"/>
              <w:rPr>
                <w:sz w:val="8"/>
                <w:szCs w:val="8"/>
                <w:color w:val="auto"/>
              </w:rPr>
            </w:pPr>
          </w:p>
        </w:tc>
        <w:tc>
          <w:tcPr>
            <w:tcW w:w="620" w:type="dxa"/>
            <w:vAlign w:val="bottom"/>
            <w:tcBorders>
              <w:top w:val="single" w:sz="8" w:color="0077C0"/>
            </w:tcBorders>
          </w:tcPr>
          <w:p>
            <w:pPr>
              <w:spacing w:after="0"/>
              <w:rPr>
                <w:sz w:val="8"/>
                <w:szCs w:val="8"/>
                <w:color w:val="auto"/>
              </w:rPr>
            </w:pPr>
          </w:p>
        </w:tc>
        <w:tc>
          <w:tcPr>
            <w:tcW w:w="380" w:type="dxa"/>
            <w:vAlign w:val="bottom"/>
            <w:tcBorders>
              <w:top w:val="single" w:sz="8" w:color="0077C0"/>
            </w:tcBorders>
          </w:tcPr>
          <w:p>
            <w:pPr>
              <w:spacing w:after="0"/>
              <w:rPr>
                <w:sz w:val="8"/>
                <w:szCs w:val="8"/>
                <w:color w:val="auto"/>
              </w:rPr>
            </w:pPr>
          </w:p>
        </w:tc>
        <w:tc>
          <w:tcPr>
            <w:tcW w:w="66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80" w:type="dxa"/>
            <w:vAlign w:val="bottom"/>
            <w:tcBorders>
              <w:top w:val="single" w:sz="8" w:color="0077C0"/>
            </w:tcBorders>
          </w:tcPr>
          <w:p>
            <w:pPr>
              <w:spacing w:after="0"/>
              <w:rPr>
                <w:sz w:val="8"/>
                <w:szCs w:val="8"/>
                <w:color w:val="auto"/>
              </w:rPr>
            </w:pPr>
          </w:p>
        </w:tc>
        <w:tc>
          <w:tcPr>
            <w:tcW w:w="560" w:type="dxa"/>
            <w:vAlign w:val="bottom"/>
            <w:tcBorders>
              <w:top w:val="single" w:sz="8" w:color="0077C0"/>
            </w:tcBorders>
          </w:tcPr>
          <w:p>
            <w:pPr>
              <w:spacing w:after="0"/>
              <w:rPr>
                <w:sz w:val="8"/>
                <w:szCs w:val="8"/>
                <w:color w:val="auto"/>
              </w:rPr>
            </w:pPr>
          </w:p>
        </w:tc>
        <w:tc>
          <w:tcPr>
            <w:tcW w:w="400" w:type="dxa"/>
            <w:vAlign w:val="bottom"/>
            <w:tcBorders>
              <w:top w:val="single" w:sz="8" w:color="0077C0"/>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top w:val="single" w:sz="8" w:color="0077C0"/>
            </w:tcBorders>
          </w:tcPr>
          <w:p>
            <w:pPr>
              <w:spacing w:after="0"/>
              <w:rPr>
                <w:sz w:val="8"/>
                <w:szCs w:val="8"/>
                <w:color w:val="auto"/>
              </w:rPr>
            </w:pPr>
          </w:p>
        </w:tc>
        <w:tc>
          <w:tcPr>
            <w:tcW w:w="50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spacing w:after="0"/>
              <w:rPr>
                <w:sz w:val="8"/>
                <w:szCs w:val="8"/>
                <w:color w:val="auto"/>
              </w:rPr>
            </w:pPr>
          </w:p>
        </w:tc>
        <w:tc>
          <w:tcPr>
            <w:tcW w:w="360" w:type="dxa"/>
            <w:vAlign w:val="bottom"/>
            <w:tcBorders>
              <w:top w:val="single" w:sz="8" w:color="0077C0"/>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60" w:type="dxa"/>
            <w:vAlign w:val="bottom"/>
            <w:gridSpan w:val="2"/>
          </w:tcPr>
          <w:p>
            <w:pPr>
              <w:spacing w:after="0" w:line="106" w:lineRule="exact"/>
              <w:rPr>
                <w:sz w:val="20"/>
                <w:szCs w:val="20"/>
                <w:color w:val="auto"/>
              </w:rPr>
            </w:pPr>
            <w:r>
              <w:rPr>
                <w:rFonts w:ascii="Arial" w:cs="Arial" w:eastAsia="Arial" w:hAnsi="Arial"/>
                <w:sz w:val="10"/>
                <w:szCs w:val="10"/>
                <w:color w:val="auto"/>
              </w:rPr>
              <w:t>Average sales prices</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97.51</w:t>
            </w:r>
          </w:p>
        </w:tc>
        <w:tc>
          <w:tcPr>
            <w:tcW w:w="3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70"/>
              <w:spacing w:after="0"/>
              <w:rPr>
                <w:sz w:val="20"/>
                <w:szCs w:val="20"/>
                <w:color w:val="auto"/>
              </w:rPr>
            </w:pPr>
            <w:r>
              <w:rPr>
                <w:rFonts w:ascii="Arial" w:cs="Arial" w:eastAsia="Arial" w:hAnsi="Arial"/>
                <w:sz w:val="10"/>
                <w:szCs w:val="10"/>
                <w:b w:val="1"/>
                <w:bCs w:val="1"/>
                <w:color w:val="auto"/>
              </w:rPr>
              <w:t>105.33</w:t>
            </w:r>
          </w:p>
        </w:tc>
        <w:tc>
          <w:tcPr>
            <w:tcW w:w="42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109.45</w:t>
            </w:r>
          </w:p>
        </w:tc>
        <w:tc>
          <w:tcPr>
            <w:tcW w:w="42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100.55</w:t>
            </w:r>
          </w:p>
        </w:tc>
        <w:tc>
          <w:tcPr>
            <w:tcW w:w="38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103.70</w:t>
            </w:r>
          </w:p>
        </w:tc>
        <w:tc>
          <w:tcPr>
            <w:tcW w:w="4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w:t>
            </w:r>
          </w:p>
        </w:tc>
        <w:tc>
          <w:tcPr>
            <w:tcW w:w="4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107.11</w:t>
            </w:r>
          </w:p>
        </w:tc>
        <w:tc>
          <w:tcPr>
            <w:tcW w:w="560" w:type="dxa"/>
            <w:vAlign w:val="bottom"/>
            <w:vMerge w:val="restart"/>
          </w:tcPr>
          <w:p>
            <w:pPr>
              <w:jc w:val="right"/>
              <w:ind w:right="7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102.92</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94.60</w:t>
            </w:r>
          </w:p>
        </w:tc>
        <w:tc>
          <w:tcPr>
            <w:tcW w:w="52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90.90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40" w:type="dxa"/>
            <w:vAlign w:val="bottom"/>
          </w:tcPr>
          <w:p>
            <w:pPr>
              <w:ind w:left="120"/>
              <w:spacing w:after="0" w:line="104" w:lineRule="exact"/>
              <w:rPr>
                <w:sz w:val="20"/>
                <w:szCs w:val="20"/>
                <w:color w:val="auto"/>
              </w:rPr>
            </w:pPr>
            <w:r>
              <w:rPr>
                <w:rFonts w:ascii="Arial" w:cs="Arial" w:eastAsia="Arial" w:hAnsi="Arial"/>
                <w:sz w:val="10"/>
                <w:szCs w:val="10"/>
                <w:color w:val="auto"/>
              </w:rPr>
              <w:t>Liquids, per barrel</w:t>
            </w:r>
          </w:p>
        </w:tc>
        <w:tc>
          <w:tcPr>
            <w:tcW w:w="6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Pr>
          <w:p>
            <w:pPr>
              <w:ind w:left="120"/>
              <w:spacing w:after="0" w:line="106" w:lineRule="exact"/>
              <w:rPr>
                <w:sz w:val="20"/>
                <w:szCs w:val="20"/>
                <w:color w:val="auto"/>
              </w:rPr>
            </w:pPr>
            <w:r>
              <w:rPr>
                <w:rFonts w:ascii="Arial" w:cs="Arial" w:eastAsia="Arial" w:hAnsi="Arial"/>
                <w:sz w:val="10"/>
                <w:szCs w:val="10"/>
                <w:color w:val="auto"/>
              </w:rPr>
              <w:t>Natural gas, per thousand cubic feet</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4.02</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b w:val="1"/>
                <w:bCs w:val="1"/>
                <w:color w:val="auto"/>
              </w:rPr>
              <w:t>2.97</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0.41</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5.28</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b w:val="1"/>
                <w:bCs w:val="1"/>
                <w:color w:val="auto"/>
              </w:rPr>
              <w:t>9.98</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b w:val="1"/>
                <w:bCs w:val="1"/>
                <w:color w:val="auto"/>
              </w:rPr>
              <w:t>9.91</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5.29</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b w:val="1"/>
                <w:bCs w:val="1"/>
                <w:color w:val="auto"/>
              </w:rPr>
              <w:t>1.60</w:t>
            </w:r>
          </w:p>
        </w:tc>
        <w:tc>
          <w:tcPr>
            <w:tcW w:w="5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6.57</w:t>
            </w:r>
          </w:p>
        </w:tc>
        <w:tc>
          <w:tcPr>
            <w:tcW w:w="0" w:type="dxa"/>
            <w:vAlign w:val="bottom"/>
          </w:tcPr>
          <w:p>
            <w:pPr>
              <w:spacing w:after="0"/>
              <w:rPr>
                <w:sz w:val="1"/>
                <w:szCs w:val="1"/>
                <w:color w:val="auto"/>
              </w:rPr>
            </w:pPr>
          </w:p>
        </w:tc>
      </w:tr>
      <w:tr>
        <w:trPr>
          <w:trHeight w:val="129"/>
        </w:trPr>
        <w:tc>
          <w:tcPr>
            <w:tcW w:w="20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Average production costs, per barrel</w:t>
            </w:r>
            <w:r>
              <w:rPr>
                <w:rFonts w:ascii="Arial" w:cs="Arial" w:eastAsia="Arial" w:hAnsi="Arial"/>
                <w:sz w:val="8"/>
                <w:szCs w:val="8"/>
                <w:b w:val="1"/>
                <w:bCs w:val="1"/>
                <w:color w:val="auto"/>
              </w:rPr>
              <w:t>2</w:t>
            </w:r>
          </w:p>
        </w:tc>
        <w:tc>
          <w:tcPr>
            <w:tcW w:w="460" w:type="dxa"/>
            <w:vAlign w:val="bottom"/>
            <w:tcBorders>
              <w:bottom w:val="single" w:sz="8" w:color="0077C0"/>
            </w:tcBorders>
          </w:tcPr>
          <w:p>
            <w:pPr>
              <w:spacing w:after="0"/>
              <w:rPr>
                <w:sz w:val="11"/>
                <w:szCs w:val="11"/>
                <w:color w:val="auto"/>
              </w:rPr>
            </w:pPr>
          </w:p>
        </w:tc>
        <w:tc>
          <w:tcPr>
            <w:tcW w:w="20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rPr>
              <w:t>15.08</w:t>
            </w:r>
          </w:p>
        </w:tc>
        <w:tc>
          <w:tcPr>
            <w:tcW w:w="36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b w:val="1"/>
                <w:bCs w:val="1"/>
                <w:color w:val="auto"/>
              </w:rPr>
              <w:t>14.62</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9.48</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17.47</w:t>
            </w:r>
          </w:p>
        </w:tc>
        <w:tc>
          <w:tcPr>
            <w:tcW w:w="38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b w:val="1"/>
                <w:bCs w:val="1"/>
                <w:color w:val="auto"/>
              </w:rPr>
              <w:t>3.41</w:t>
            </w:r>
          </w:p>
        </w:tc>
        <w:tc>
          <w:tcPr>
            <w:tcW w:w="400" w:type="dxa"/>
            <w:vAlign w:val="bottom"/>
            <w:tcBorders>
              <w:bottom w:val="single" w:sz="8" w:color="0077C0"/>
            </w:tcBorders>
          </w:tcPr>
          <w:p>
            <w:pPr>
              <w:spacing w:after="0"/>
              <w:rPr>
                <w:sz w:val="11"/>
                <w:szCs w:val="11"/>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b w:val="1"/>
                <w:bCs w:val="1"/>
                <w:color w:val="auto"/>
              </w:rPr>
              <w:t>11.44</w:t>
            </w:r>
          </w:p>
        </w:tc>
        <w:tc>
          <w:tcPr>
            <w:tcW w:w="560" w:type="dxa"/>
            <w:vAlign w:val="bottom"/>
            <w:tcBorders>
              <w:bottom w:val="single" w:sz="8" w:color="0077C0"/>
            </w:tcBorders>
          </w:tcPr>
          <w:p>
            <w:pPr>
              <w:spacing w:after="0"/>
              <w:rPr>
                <w:sz w:val="11"/>
                <w:szCs w:val="11"/>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b w:val="1"/>
                <w:bCs w:val="1"/>
                <w:color w:val="auto"/>
              </w:rPr>
              <w:t>13.98</w:t>
            </w:r>
          </w:p>
        </w:tc>
        <w:tc>
          <w:tcPr>
            <w:tcW w:w="20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b w:val="1"/>
                <w:bCs w:val="1"/>
                <w:color w:val="auto"/>
              </w:rPr>
              <w:t>4.23</w:t>
            </w:r>
          </w:p>
        </w:tc>
        <w:tc>
          <w:tcPr>
            <w:tcW w:w="520" w:type="dxa"/>
            <w:vAlign w:val="bottom"/>
            <w:tcBorders>
              <w:bottom w:val="single" w:sz="8" w:color="0077C0"/>
            </w:tcBorders>
          </w:tcPr>
          <w:p>
            <w:pPr>
              <w:spacing w:after="0"/>
              <w:rPr>
                <w:sz w:val="11"/>
                <w:szCs w:val="11"/>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10.54</w:t>
            </w:r>
          </w:p>
        </w:tc>
        <w:tc>
          <w:tcPr>
            <w:tcW w:w="0" w:type="dxa"/>
            <w:vAlign w:val="bottom"/>
          </w:tcPr>
          <w:p>
            <w:pPr>
              <w:spacing w:after="0"/>
              <w:rPr>
                <w:sz w:val="1"/>
                <w:szCs w:val="1"/>
                <w:color w:val="auto"/>
              </w:rPr>
            </w:pPr>
          </w:p>
        </w:tc>
      </w:tr>
      <w:tr>
        <w:trPr>
          <w:trHeight w:val="103"/>
        </w:trPr>
        <w:tc>
          <w:tcPr>
            <w:tcW w:w="206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December 31, 2010</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60" w:type="dxa"/>
            <w:vAlign w:val="bottom"/>
            <w:gridSpan w:val="2"/>
          </w:tcPr>
          <w:p>
            <w:pPr>
              <w:spacing w:after="0" w:line="106" w:lineRule="exact"/>
              <w:rPr>
                <w:sz w:val="20"/>
                <w:szCs w:val="20"/>
                <w:color w:val="auto"/>
              </w:rPr>
            </w:pPr>
            <w:r>
              <w:rPr>
                <w:rFonts w:ascii="Arial" w:cs="Arial" w:eastAsia="Arial" w:hAnsi="Arial"/>
                <w:sz w:val="10"/>
                <w:szCs w:val="10"/>
                <w:color w:val="auto"/>
              </w:rPr>
              <w:t>Average sales prices</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Pr>
          <w:p>
            <w:pPr>
              <w:ind w:left="120"/>
              <w:spacing w:after="0" w:line="106" w:lineRule="exact"/>
              <w:rPr>
                <w:sz w:val="20"/>
                <w:szCs w:val="20"/>
                <w:color w:val="auto"/>
              </w:rPr>
            </w:pPr>
            <w:r>
              <w:rPr>
                <w:rFonts w:ascii="Arial" w:cs="Arial" w:eastAsia="Arial" w:hAnsi="Arial"/>
                <w:sz w:val="10"/>
                <w:szCs w:val="10"/>
                <w:color w:val="auto"/>
              </w:rPr>
              <w:t>Liquids, per barrel</w:t>
            </w:r>
          </w:p>
        </w:tc>
        <w:tc>
          <w:tcPr>
            <w:tcW w:w="6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71.59</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77.77</w:t>
            </w:r>
          </w:p>
        </w:tc>
        <w:tc>
          <w:tcPr>
            <w:tcW w:w="42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78.00</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70.96</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76.43</w:t>
            </w:r>
          </w:p>
        </w:tc>
        <w:tc>
          <w:tcPr>
            <w:tcW w:w="4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76.10</w:t>
            </w:r>
          </w:p>
        </w:tc>
        <w:tc>
          <w:tcPr>
            <w:tcW w:w="560" w:type="dxa"/>
            <w:vAlign w:val="bottom"/>
          </w:tcPr>
          <w:p>
            <w:pPr>
              <w:jc w:val="right"/>
              <w:ind w:right="70"/>
              <w:spacing w:after="0" w:line="106"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74.02</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63.94</w:t>
            </w:r>
          </w:p>
        </w:tc>
        <w:tc>
          <w:tcPr>
            <w:tcW w:w="52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64.92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Pr>
          <w:p>
            <w:pPr>
              <w:ind w:left="120"/>
              <w:spacing w:after="0" w:line="106" w:lineRule="exact"/>
              <w:rPr>
                <w:sz w:val="20"/>
                <w:szCs w:val="20"/>
                <w:color w:val="auto"/>
              </w:rPr>
            </w:pPr>
            <w:r>
              <w:rPr>
                <w:rFonts w:ascii="Arial" w:cs="Arial" w:eastAsia="Arial" w:hAnsi="Arial"/>
                <w:sz w:val="10"/>
                <w:szCs w:val="10"/>
                <w:color w:val="auto"/>
              </w:rPr>
              <w:t>Natural gas, per thousand cubic feet</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4.25</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2.52</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0.73</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4.45</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6.76</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7.09</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4.55</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1.41</w:t>
            </w:r>
          </w:p>
        </w:tc>
        <w:tc>
          <w:tcPr>
            <w:tcW w:w="5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4.20</w:t>
            </w:r>
          </w:p>
        </w:tc>
        <w:tc>
          <w:tcPr>
            <w:tcW w:w="0" w:type="dxa"/>
            <w:vAlign w:val="bottom"/>
          </w:tcPr>
          <w:p>
            <w:pPr>
              <w:spacing w:after="0"/>
              <w:rPr>
                <w:sz w:val="1"/>
                <w:szCs w:val="1"/>
                <w:color w:val="auto"/>
              </w:rPr>
            </w:pPr>
          </w:p>
        </w:tc>
      </w:tr>
      <w:tr>
        <w:trPr>
          <w:trHeight w:val="127"/>
        </w:trPr>
        <w:tc>
          <w:tcPr>
            <w:tcW w:w="20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Average production costs, per barrel</w:t>
            </w:r>
            <w:r>
              <w:rPr>
                <w:rFonts w:ascii="Arial" w:cs="Arial" w:eastAsia="Arial" w:hAnsi="Arial"/>
                <w:sz w:val="8"/>
                <w:szCs w:val="8"/>
                <w:color w:val="auto"/>
              </w:rPr>
              <w:t>2</w:t>
            </w:r>
          </w:p>
        </w:tc>
        <w:tc>
          <w:tcPr>
            <w:tcW w:w="460" w:type="dxa"/>
            <w:vAlign w:val="bottom"/>
            <w:tcBorders>
              <w:bottom w:val="single" w:sz="8" w:color="0077C0"/>
            </w:tcBorders>
          </w:tcPr>
          <w:p>
            <w:pPr>
              <w:spacing w:after="0"/>
              <w:rPr>
                <w:sz w:val="11"/>
                <w:szCs w:val="11"/>
                <w:color w:val="auto"/>
              </w:rPr>
            </w:pPr>
          </w:p>
        </w:tc>
        <w:tc>
          <w:tcPr>
            <w:tcW w:w="20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13.11</w:t>
            </w:r>
          </w:p>
        </w:tc>
        <w:tc>
          <w:tcPr>
            <w:tcW w:w="36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11.86</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8.57</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11.71</w:t>
            </w:r>
          </w:p>
        </w:tc>
        <w:tc>
          <w:tcPr>
            <w:tcW w:w="38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2.55</w:t>
            </w:r>
          </w:p>
        </w:tc>
        <w:tc>
          <w:tcPr>
            <w:tcW w:w="400" w:type="dxa"/>
            <w:vAlign w:val="bottom"/>
            <w:tcBorders>
              <w:bottom w:val="single" w:sz="8" w:color="0077C0"/>
            </w:tcBorders>
          </w:tcPr>
          <w:p>
            <w:pPr>
              <w:spacing w:after="0"/>
              <w:rPr>
                <w:sz w:val="11"/>
                <w:szCs w:val="11"/>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9.42</w:t>
            </w:r>
          </w:p>
        </w:tc>
        <w:tc>
          <w:tcPr>
            <w:tcW w:w="560" w:type="dxa"/>
            <w:vAlign w:val="bottom"/>
            <w:tcBorders>
              <w:bottom w:val="single" w:sz="8" w:color="0077C0"/>
            </w:tcBorders>
          </w:tcPr>
          <w:p>
            <w:pPr>
              <w:spacing w:after="0"/>
              <w:rPr>
                <w:sz w:val="11"/>
                <w:szCs w:val="11"/>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10.96</w:t>
            </w:r>
          </w:p>
        </w:tc>
        <w:tc>
          <w:tcPr>
            <w:tcW w:w="20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3.14</w:t>
            </w:r>
          </w:p>
        </w:tc>
        <w:tc>
          <w:tcPr>
            <w:tcW w:w="520" w:type="dxa"/>
            <w:vAlign w:val="bottom"/>
            <w:tcBorders>
              <w:bottom w:val="single" w:sz="8" w:color="0077C0"/>
            </w:tcBorders>
          </w:tcPr>
          <w:p>
            <w:pPr>
              <w:spacing w:after="0"/>
              <w:rPr>
                <w:sz w:val="11"/>
                <w:szCs w:val="11"/>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7.37</w:t>
            </w:r>
          </w:p>
        </w:tc>
        <w:tc>
          <w:tcPr>
            <w:tcW w:w="0" w:type="dxa"/>
            <w:vAlign w:val="bottom"/>
          </w:tcPr>
          <w:p>
            <w:pPr>
              <w:spacing w:after="0"/>
              <w:rPr>
                <w:sz w:val="1"/>
                <w:szCs w:val="1"/>
                <w:color w:val="auto"/>
              </w:rPr>
            </w:pPr>
          </w:p>
        </w:tc>
      </w:tr>
      <w:tr>
        <w:trPr>
          <w:trHeight w:val="103"/>
        </w:trPr>
        <w:tc>
          <w:tcPr>
            <w:tcW w:w="2060" w:type="dxa"/>
            <w:vAlign w:val="bottom"/>
            <w:gridSpan w:val="2"/>
          </w:tcPr>
          <w:p>
            <w:pPr>
              <w:spacing w:after="0" w:line="103" w:lineRule="exact"/>
              <w:rPr>
                <w:sz w:val="20"/>
                <w:szCs w:val="20"/>
                <w:color w:val="auto"/>
              </w:rPr>
            </w:pPr>
            <w:r>
              <w:rPr>
                <w:rFonts w:ascii="Arial" w:cs="Arial" w:eastAsia="Arial" w:hAnsi="Arial"/>
                <w:sz w:val="10"/>
                <w:szCs w:val="10"/>
                <w:b w:val="1"/>
                <w:bCs w:val="1"/>
                <w:color w:val="0077C0"/>
              </w:rPr>
              <w:t>Year Ended December 31, 2009</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60" w:type="dxa"/>
            <w:vAlign w:val="bottom"/>
            <w:gridSpan w:val="2"/>
          </w:tcPr>
          <w:p>
            <w:pPr>
              <w:spacing w:after="0" w:line="106" w:lineRule="exact"/>
              <w:rPr>
                <w:sz w:val="20"/>
                <w:szCs w:val="20"/>
                <w:color w:val="auto"/>
              </w:rPr>
            </w:pPr>
            <w:r>
              <w:rPr>
                <w:rFonts w:ascii="Arial" w:cs="Arial" w:eastAsia="Arial" w:hAnsi="Arial"/>
                <w:sz w:val="10"/>
                <w:szCs w:val="10"/>
                <w:color w:val="auto"/>
              </w:rPr>
              <w:t>Average sales prices</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Pr>
          <w:p>
            <w:pPr>
              <w:ind w:left="120"/>
              <w:spacing w:after="0" w:line="106" w:lineRule="exact"/>
              <w:rPr>
                <w:sz w:val="20"/>
                <w:szCs w:val="20"/>
                <w:color w:val="auto"/>
              </w:rPr>
            </w:pPr>
            <w:r>
              <w:rPr>
                <w:rFonts w:ascii="Arial" w:cs="Arial" w:eastAsia="Arial" w:hAnsi="Arial"/>
                <w:sz w:val="10"/>
                <w:szCs w:val="10"/>
                <w:color w:val="auto"/>
              </w:rPr>
              <w:t>Liquids, per barrel</w:t>
            </w:r>
          </w:p>
        </w:tc>
        <w:tc>
          <w:tcPr>
            <w:tcW w:w="6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54.36</w:t>
            </w:r>
          </w:p>
        </w:tc>
        <w:tc>
          <w:tcPr>
            <w:tcW w:w="36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65.28</w:t>
            </w:r>
          </w:p>
        </w:tc>
        <w:tc>
          <w:tcPr>
            <w:tcW w:w="42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60.35</w:t>
            </w:r>
          </w:p>
        </w:tc>
        <w:tc>
          <w:tcPr>
            <w:tcW w:w="420" w:type="dxa"/>
            <w:vAlign w:val="bottom"/>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54.76</w:t>
            </w:r>
          </w:p>
        </w:tc>
        <w:tc>
          <w:tcPr>
            <w:tcW w:w="380" w:type="dxa"/>
            <w:vAlign w:val="bottom"/>
          </w:tcPr>
          <w:p>
            <w:pPr>
              <w:jc w:val="right"/>
              <w:ind w:right="4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54.58</w:t>
            </w:r>
          </w:p>
        </w:tc>
        <w:tc>
          <w:tcPr>
            <w:tcW w:w="4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57.19</w:t>
            </w:r>
          </w:p>
        </w:tc>
        <w:tc>
          <w:tcPr>
            <w:tcW w:w="560" w:type="dxa"/>
            <w:vAlign w:val="bottom"/>
          </w:tcPr>
          <w:p>
            <w:pPr>
              <w:jc w:val="right"/>
              <w:ind w:right="70"/>
              <w:spacing w:after="0" w:line="106"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56.92</w:t>
            </w:r>
          </w:p>
        </w:tc>
        <w:tc>
          <w:tcPr>
            <w:tcW w:w="200" w:type="dxa"/>
            <w:vAlign w:val="bottom"/>
          </w:tcPr>
          <w:p>
            <w:pPr>
              <w:jc w:val="right"/>
              <w:ind w:right="89"/>
              <w:spacing w:after="0" w:line="106"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47.33</w:t>
            </w:r>
          </w:p>
        </w:tc>
        <w:tc>
          <w:tcPr>
            <w:tcW w:w="520" w:type="dxa"/>
            <w:vAlign w:val="bottom"/>
          </w:tcPr>
          <w:p>
            <w:pPr>
              <w:jc w:val="right"/>
              <w:ind w:right="90"/>
              <w:spacing w:after="0" w:line="106" w:lineRule="exact"/>
              <w:rPr>
                <w:sz w:val="20"/>
                <w:szCs w:val="20"/>
                <w:color w:val="auto"/>
              </w:rPr>
            </w:pPr>
            <w:r>
              <w:rPr>
                <w:rFonts w:ascii="Arial" w:cs="Arial" w:eastAsia="Arial" w:hAnsi="Arial"/>
                <w:sz w:val="10"/>
                <w:szCs w:val="10"/>
                <w:color w:val="auto"/>
              </w:rPr>
              <w:t>$</w:t>
            </w: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50.18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Pr>
          <w:p>
            <w:pPr>
              <w:ind w:left="120"/>
              <w:spacing w:after="0" w:line="106" w:lineRule="exact"/>
              <w:rPr>
                <w:sz w:val="20"/>
                <w:szCs w:val="20"/>
                <w:color w:val="auto"/>
              </w:rPr>
            </w:pPr>
            <w:r>
              <w:rPr>
                <w:rFonts w:ascii="Arial" w:cs="Arial" w:eastAsia="Arial" w:hAnsi="Arial"/>
                <w:sz w:val="10"/>
                <w:szCs w:val="10"/>
                <w:color w:val="auto"/>
              </w:rPr>
              <w:t>Natural gas, per thousand cubic feet</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3.73</w:t>
            </w:r>
          </w:p>
        </w:tc>
        <w:tc>
          <w:tcPr>
            <w:tcW w:w="360" w:type="dxa"/>
            <w:vAlign w:val="bottom"/>
          </w:tcPr>
          <w:p>
            <w:pPr>
              <w:spacing w:after="0"/>
              <w:rPr>
                <w:sz w:val="9"/>
                <w:szCs w:val="9"/>
                <w:color w:val="auto"/>
              </w:rPr>
            </w:pPr>
          </w:p>
        </w:tc>
        <w:tc>
          <w:tcPr>
            <w:tcW w:w="660" w:type="dxa"/>
            <w:vAlign w:val="bottom"/>
          </w:tcPr>
          <w:p>
            <w:pPr>
              <w:jc w:val="right"/>
              <w:ind w:right="170"/>
              <w:spacing w:after="0" w:line="106" w:lineRule="exact"/>
              <w:rPr>
                <w:sz w:val="20"/>
                <w:szCs w:val="20"/>
                <w:color w:val="auto"/>
              </w:rPr>
            </w:pPr>
            <w:r>
              <w:rPr>
                <w:rFonts w:ascii="Arial" w:cs="Arial" w:eastAsia="Arial" w:hAnsi="Arial"/>
                <w:sz w:val="10"/>
                <w:szCs w:val="10"/>
                <w:color w:val="auto"/>
              </w:rPr>
              <w:t>2.01</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0.20</w:t>
            </w:r>
          </w:p>
        </w:tc>
        <w:tc>
          <w:tcPr>
            <w:tcW w:w="420" w:type="dxa"/>
            <w:vAlign w:val="bottom"/>
          </w:tcPr>
          <w:p>
            <w:pPr>
              <w:spacing w:after="0"/>
              <w:rPr>
                <w:sz w:val="9"/>
                <w:szCs w:val="9"/>
                <w:color w:val="auto"/>
              </w:rPr>
            </w:pPr>
          </w:p>
        </w:tc>
        <w:tc>
          <w:tcPr>
            <w:tcW w:w="62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4.07</w:t>
            </w:r>
          </w:p>
        </w:tc>
        <w:tc>
          <w:tcPr>
            <w:tcW w:w="380" w:type="dxa"/>
            <w:vAlign w:val="bottom"/>
          </w:tcPr>
          <w:p>
            <w:pPr>
              <w:spacing w:after="0"/>
              <w:rPr>
                <w:sz w:val="9"/>
                <w:szCs w:val="9"/>
                <w:color w:val="auto"/>
              </w:rPr>
            </w:pPr>
          </w:p>
        </w:tc>
        <w:tc>
          <w:tcPr>
            <w:tcW w:w="660" w:type="dxa"/>
            <w:vAlign w:val="bottom"/>
          </w:tcPr>
          <w:p>
            <w:pPr>
              <w:jc w:val="right"/>
              <w:ind w:right="169"/>
              <w:spacing w:after="0" w:line="106" w:lineRule="exact"/>
              <w:rPr>
                <w:sz w:val="20"/>
                <w:szCs w:val="20"/>
                <w:color w:val="auto"/>
              </w:rPr>
            </w:pPr>
            <w:r>
              <w:rPr>
                <w:rFonts w:ascii="Arial" w:cs="Arial" w:eastAsia="Arial" w:hAnsi="Arial"/>
                <w:sz w:val="10"/>
                <w:szCs w:val="10"/>
                <w:color w:val="auto"/>
              </w:rPr>
              <w:t>4.24</w:t>
            </w:r>
          </w:p>
        </w:tc>
        <w:tc>
          <w:tcPr>
            <w:tcW w:w="400" w:type="dxa"/>
            <w:vAlign w:val="bottom"/>
          </w:tcPr>
          <w:p>
            <w:pPr>
              <w:spacing w:after="0"/>
              <w:rPr>
                <w:sz w:val="9"/>
                <w:szCs w:val="9"/>
                <w:color w:val="auto"/>
              </w:rPr>
            </w:pPr>
          </w:p>
        </w:tc>
        <w:tc>
          <w:tcPr>
            <w:tcW w:w="480" w:type="dxa"/>
            <w:vAlign w:val="bottom"/>
          </w:tcPr>
          <w:p>
            <w:pPr>
              <w:jc w:val="right"/>
              <w:ind w:right="9"/>
              <w:spacing w:after="0" w:line="106" w:lineRule="exact"/>
              <w:rPr>
                <w:sz w:val="20"/>
                <w:szCs w:val="20"/>
                <w:color w:val="auto"/>
              </w:rPr>
            </w:pPr>
            <w:r>
              <w:rPr>
                <w:rFonts w:ascii="Arial" w:cs="Arial" w:eastAsia="Arial" w:hAnsi="Arial"/>
                <w:sz w:val="10"/>
                <w:szCs w:val="10"/>
                <w:color w:val="auto"/>
              </w:rPr>
              <w:t>6.61</w:t>
            </w:r>
          </w:p>
        </w:tc>
        <w:tc>
          <w:tcPr>
            <w:tcW w:w="560" w:type="dxa"/>
            <w:vAlign w:val="bottom"/>
          </w:tcPr>
          <w:p>
            <w:pPr>
              <w:spacing w:after="0"/>
              <w:rPr>
                <w:sz w:val="9"/>
                <w:szCs w:val="9"/>
                <w:color w:val="auto"/>
              </w:rPr>
            </w:pPr>
          </w:p>
        </w:tc>
        <w:tc>
          <w:tcPr>
            <w:tcW w:w="86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3.94</w:t>
            </w:r>
          </w:p>
        </w:tc>
        <w:tc>
          <w:tcPr>
            <w:tcW w:w="200" w:type="dxa"/>
            <w:vAlign w:val="bottom"/>
          </w:tcPr>
          <w:p>
            <w:pPr>
              <w:spacing w:after="0"/>
              <w:rPr>
                <w:sz w:val="9"/>
                <w:szCs w:val="9"/>
                <w:color w:val="auto"/>
              </w:rPr>
            </w:pPr>
          </w:p>
        </w:tc>
        <w:tc>
          <w:tcPr>
            <w:tcW w:w="500" w:type="dxa"/>
            <w:vAlign w:val="bottom"/>
          </w:tcPr>
          <w:p>
            <w:pPr>
              <w:jc w:val="right"/>
              <w:ind w:right="69"/>
              <w:spacing w:after="0" w:line="106" w:lineRule="exact"/>
              <w:rPr>
                <w:sz w:val="20"/>
                <w:szCs w:val="20"/>
                <w:color w:val="auto"/>
              </w:rPr>
            </w:pPr>
            <w:r>
              <w:rPr>
                <w:rFonts w:ascii="Arial" w:cs="Arial" w:eastAsia="Arial" w:hAnsi="Arial"/>
                <w:sz w:val="10"/>
                <w:szCs w:val="10"/>
                <w:color w:val="auto"/>
              </w:rPr>
              <w:t>1.54</w:t>
            </w:r>
          </w:p>
        </w:tc>
        <w:tc>
          <w:tcPr>
            <w:tcW w:w="52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127"/>
        </w:trPr>
        <w:tc>
          <w:tcPr>
            <w:tcW w:w="2060" w:type="dxa"/>
            <w:vAlign w:val="bottom"/>
            <w:tcBorders>
              <w:bottom w:val="single" w:sz="8" w:color="0077C0"/>
            </w:tcBorders>
            <w:gridSpan w:val="2"/>
          </w:tcPr>
          <w:p>
            <w:pPr>
              <w:spacing w:after="0"/>
              <w:rPr>
                <w:sz w:val="20"/>
                <w:szCs w:val="20"/>
                <w:color w:val="auto"/>
              </w:rPr>
            </w:pPr>
            <w:r>
              <w:rPr>
                <w:rFonts w:ascii="Arial" w:cs="Arial" w:eastAsia="Arial" w:hAnsi="Arial"/>
                <w:sz w:val="10"/>
                <w:szCs w:val="10"/>
                <w:color w:val="auto"/>
              </w:rPr>
              <w:t>Average production costs, per barrel</w:t>
            </w:r>
            <w:r>
              <w:rPr>
                <w:rFonts w:ascii="Arial" w:cs="Arial" w:eastAsia="Arial" w:hAnsi="Arial"/>
                <w:sz w:val="8"/>
                <w:szCs w:val="8"/>
                <w:color w:val="auto"/>
              </w:rPr>
              <w:t>2</w:t>
            </w:r>
          </w:p>
        </w:tc>
        <w:tc>
          <w:tcPr>
            <w:tcW w:w="460" w:type="dxa"/>
            <w:vAlign w:val="bottom"/>
            <w:tcBorders>
              <w:bottom w:val="single" w:sz="8" w:color="0077C0"/>
            </w:tcBorders>
          </w:tcPr>
          <w:p>
            <w:pPr>
              <w:spacing w:after="0"/>
              <w:rPr>
                <w:sz w:val="11"/>
                <w:szCs w:val="11"/>
                <w:color w:val="auto"/>
              </w:rPr>
            </w:pPr>
          </w:p>
        </w:tc>
        <w:tc>
          <w:tcPr>
            <w:tcW w:w="20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color w:val="auto"/>
              </w:rPr>
              <w:t>12.71</w:t>
            </w:r>
          </w:p>
        </w:tc>
        <w:tc>
          <w:tcPr>
            <w:tcW w:w="36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70"/>
              <w:spacing w:after="0"/>
              <w:rPr>
                <w:sz w:val="20"/>
                <w:szCs w:val="20"/>
                <w:color w:val="auto"/>
              </w:rPr>
            </w:pPr>
            <w:r>
              <w:rPr>
                <w:rFonts w:ascii="Arial" w:cs="Arial" w:eastAsia="Arial" w:hAnsi="Arial"/>
                <w:sz w:val="10"/>
                <w:szCs w:val="10"/>
                <w:color w:val="auto"/>
              </w:rPr>
              <w:t>12.04</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8.85</w:t>
            </w:r>
          </w:p>
        </w:tc>
        <w:tc>
          <w:tcPr>
            <w:tcW w:w="420" w:type="dxa"/>
            <w:vAlign w:val="bottom"/>
            <w:tcBorders>
              <w:bottom w:val="single" w:sz="8" w:color="0077C0"/>
            </w:tcBorders>
          </w:tcPr>
          <w:p>
            <w:pPr>
              <w:spacing w:after="0"/>
              <w:rPr>
                <w:sz w:val="11"/>
                <w:szCs w:val="11"/>
                <w:color w:val="auto"/>
              </w:rPr>
            </w:pPr>
          </w:p>
        </w:tc>
        <w:tc>
          <w:tcPr>
            <w:tcW w:w="62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8.82</w:t>
            </w:r>
          </w:p>
        </w:tc>
        <w:tc>
          <w:tcPr>
            <w:tcW w:w="380" w:type="dxa"/>
            <w:vAlign w:val="bottom"/>
            <w:tcBorders>
              <w:bottom w:val="single" w:sz="8" w:color="0077C0"/>
            </w:tcBorders>
          </w:tcPr>
          <w:p>
            <w:pPr>
              <w:spacing w:after="0"/>
              <w:rPr>
                <w:sz w:val="11"/>
                <w:szCs w:val="11"/>
                <w:color w:val="auto"/>
              </w:rPr>
            </w:pPr>
          </w:p>
        </w:tc>
        <w:tc>
          <w:tcPr>
            <w:tcW w:w="660" w:type="dxa"/>
            <w:vAlign w:val="bottom"/>
            <w:tcBorders>
              <w:bottom w:val="single" w:sz="8" w:color="0077C0"/>
            </w:tcBorders>
          </w:tcPr>
          <w:p>
            <w:pPr>
              <w:jc w:val="right"/>
              <w:ind w:right="169"/>
              <w:spacing w:after="0"/>
              <w:rPr>
                <w:sz w:val="20"/>
                <w:szCs w:val="20"/>
                <w:color w:val="auto"/>
              </w:rPr>
            </w:pPr>
            <w:r>
              <w:rPr>
                <w:rFonts w:ascii="Arial" w:cs="Arial" w:eastAsia="Arial" w:hAnsi="Arial"/>
                <w:sz w:val="10"/>
                <w:szCs w:val="10"/>
                <w:color w:val="auto"/>
              </w:rPr>
              <w:t>2.57</w:t>
            </w:r>
          </w:p>
        </w:tc>
        <w:tc>
          <w:tcPr>
            <w:tcW w:w="400" w:type="dxa"/>
            <w:vAlign w:val="bottom"/>
            <w:tcBorders>
              <w:bottom w:val="single" w:sz="8" w:color="0077C0"/>
            </w:tcBorders>
          </w:tcPr>
          <w:p>
            <w:pPr>
              <w:spacing w:after="0"/>
              <w:rPr>
                <w:sz w:val="11"/>
                <w:szCs w:val="11"/>
                <w:color w:val="auto"/>
              </w:rPr>
            </w:pPr>
          </w:p>
        </w:tc>
        <w:tc>
          <w:tcPr>
            <w:tcW w:w="480" w:type="dxa"/>
            <w:vAlign w:val="bottom"/>
            <w:tcBorders>
              <w:bottom w:val="single" w:sz="8" w:color="0077C0"/>
            </w:tcBorders>
          </w:tcPr>
          <w:p>
            <w:pPr>
              <w:jc w:val="right"/>
              <w:ind w:right="9"/>
              <w:spacing w:after="0"/>
              <w:rPr>
                <w:sz w:val="20"/>
                <w:szCs w:val="20"/>
                <w:color w:val="auto"/>
              </w:rPr>
            </w:pPr>
            <w:r>
              <w:rPr>
                <w:rFonts w:ascii="Arial" w:cs="Arial" w:eastAsia="Arial" w:hAnsi="Arial"/>
                <w:sz w:val="10"/>
                <w:szCs w:val="10"/>
                <w:color w:val="auto"/>
              </w:rPr>
              <w:t>8.87</w:t>
            </w:r>
          </w:p>
        </w:tc>
        <w:tc>
          <w:tcPr>
            <w:tcW w:w="560" w:type="dxa"/>
            <w:vAlign w:val="bottom"/>
            <w:tcBorders>
              <w:bottom w:val="single" w:sz="8" w:color="0077C0"/>
            </w:tcBorders>
          </w:tcPr>
          <w:p>
            <w:pPr>
              <w:spacing w:after="0"/>
              <w:rPr>
                <w:sz w:val="11"/>
                <w:szCs w:val="11"/>
                <w:color w:val="auto"/>
              </w:rPr>
            </w:pPr>
          </w:p>
        </w:tc>
        <w:tc>
          <w:tcPr>
            <w:tcW w:w="8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0"/>
                <w:szCs w:val="10"/>
                <w:color w:val="auto"/>
              </w:rPr>
              <w:t>9.97</w:t>
            </w:r>
          </w:p>
        </w:tc>
        <w:tc>
          <w:tcPr>
            <w:tcW w:w="200" w:type="dxa"/>
            <w:vAlign w:val="bottom"/>
            <w:tcBorders>
              <w:bottom w:val="single" w:sz="8" w:color="0077C0"/>
            </w:tcBorders>
          </w:tcPr>
          <w:p>
            <w:pPr>
              <w:spacing w:after="0"/>
              <w:rPr>
                <w:sz w:val="11"/>
                <w:szCs w:val="11"/>
                <w:color w:val="auto"/>
              </w:rPr>
            </w:pPr>
          </w:p>
        </w:tc>
        <w:tc>
          <w:tcPr>
            <w:tcW w:w="500" w:type="dxa"/>
            <w:vAlign w:val="bottom"/>
            <w:tcBorders>
              <w:bottom w:val="single" w:sz="8" w:color="0077C0"/>
            </w:tcBorders>
          </w:tcPr>
          <w:p>
            <w:pPr>
              <w:jc w:val="right"/>
              <w:ind w:right="69"/>
              <w:spacing w:after="0"/>
              <w:rPr>
                <w:sz w:val="20"/>
                <w:szCs w:val="20"/>
                <w:color w:val="auto"/>
              </w:rPr>
            </w:pPr>
            <w:r>
              <w:rPr>
                <w:rFonts w:ascii="Arial" w:cs="Arial" w:eastAsia="Arial" w:hAnsi="Arial"/>
                <w:sz w:val="10"/>
                <w:szCs w:val="10"/>
                <w:color w:val="auto"/>
              </w:rPr>
              <w:t>3.71</w:t>
            </w:r>
          </w:p>
        </w:tc>
        <w:tc>
          <w:tcPr>
            <w:tcW w:w="520" w:type="dxa"/>
            <w:vAlign w:val="bottom"/>
            <w:tcBorders>
              <w:bottom w:val="single" w:sz="8" w:color="0077C0"/>
            </w:tcBorders>
          </w:tcPr>
          <w:p>
            <w:pPr>
              <w:spacing w:after="0"/>
              <w:rPr>
                <w:sz w:val="11"/>
                <w:szCs w:val="11"/>
                <w:color w:val="auto"/>
              </w:rPr>
            </w:pPr>
          </w:p>
        </w:tc>
        <w:tc>
          <w:tcPr>
            <w:tcW w:w="3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12.42</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03" w:hanging="103"/>
        <w:spacing w:after="0"/>
        <w:tabs>
          <w:tab w:leader="none" w:pos="103" w:val="left"/>
        </w:tabs>
        <w:numPr>
          <w:ilvl w:val="0"/>
          <w:numId w:val="52"/>
        </w:numPr>
        <w:rPr>
          <w:rFonts w:ascii="Arial" w:cs="Arial" w:eastAsia="Arial" w:hAnsi="Arial"/>
          <w:sz w:val="7"/>
          <w:szCs w:val="7"/>
          <w:color w:val="auto"/>
        </w:rPr>
      </w:pPr>
      <w:r>
        <w:rPr>
          <w:rFonts w:ascii="Arial" w:cs="Arial" w:eastAsia="Arial" w:hAnsi="Arial"/>
          <w:sz w:val="8"/>
          <w:szCs w:val="8"/>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21" w:lineRule="exact"/>
        <w:rPr>
          <w:rFonts w:ascii="Arial" w:cs="Arial" w:eastAsia="Arial" w:hAnsi="Arial"/>
          <w:sz w:val="7"/>
          <w:szCs w:val="7"/>
          <w:color w:val="auto"/>
        </w:rPr>
      </w:pPr>
    </w:p>
    <w:p>
      <w:pPr>
        <w:ind w:left="3"/>
        <w:spacing w:after="0"/>
        <w:rPr>
          <w:rFonts w:ascii="Arial" w:cs="Arial" w:eastAsia="Arial" w:hAnsi="Arial"/>
          <w:sz w:val="7"/>
          <w:szCs w:val="7"/>
          <w:color w:val="auto"/>
        </w:rPr>
      </w:pPr>
      <w:r>
        <w:rPr>
          <w:rFonts w:ascii="Arial" w:cs="Arial" w:eastAsia="Arial" w:hAnsi="Arial"/>
          <w:sz w:val="8"/>
          <w:szCs w:val="8"/>
          <w:color w:val="auto"/>
        </w:rPr>
        <w:t>2  Natural gas converted to oil-equivalent gas (OEG) barrels at a rate of 6 MCF = 1 OEG barrel.</w:t>
      </w:r>
    </w:p>
    <w:p>
      <w:pPr>
        <w:sectPr>
          <w:pgSz w:w="11900" w:h="16838" w:orient="portrait"/>
          <w:cols w:equalWidth="0" w:num="1">
            <w:col w:w="11463"/>
          </w:cols>
          <w:pgMar w:left="217" w:top="338" w:right="219" w:bottom="1440" w:gutter="0" w:footer="0" w:header="0"/>
        </w:sectPr>
      </w:pPr>
    </w:p>
    <w:p>
      <w:pPr>
        <w:spacing w:after="0" w:line="229" w:lineRule="exact"/>
        <w:rPr>
          <w:sz w:val="20"/>
          <w:szCs w:val="20"/>
          <w:color w:val="auto"/>
        </w:rPr>
      </w:pPr>
    </w:p>
    <w:p>
      <w:pPr>
        <w:ind w:left="3"/>
        <w:spacing w:after="0"/>
        <w:rPr>
          <w:sz w:val="20"/>
          <w:szCs w:val="20"/>
          <w:color w:val="auto"/>
        </w:rPr>
      </w:pPr>
      <w:r>
        <w:rPr>
          <w:rFonts w:ascii="Arial" w:cs="Arial" w:eastAsia="Arial" w:hAnsi="Arial"/>
          <w:sz w:val="10"/>
          <w:szCs w:val="10"/>
          <w:b w:val="1"/>
          <w:bCs w:val="1"/>
          <w:color w:val="auto"/>
        </w:rPr>
        <w:t xml:space="preserve">Table V </w:t>
      </w:r>
      <w:r>
        <w:rPr>
          <w:rFonts w:ascii="Arial" w:cs="Arial" w:eastAsia="Arial" w:hAnsi="Arial"/>
          <w:sz w:val="10"/>
          <w:szCs w:val="10"/>
          <w:color w:val="auto"/>
        </w:rPr>
        <w:t>Reserve Quantity Information</w:t>
      </w:r>
    </w:p>
    <w:p>
      <w:pPr>
        <w:spacing w:after="0" w:line="77" w:lineRule="exact"/>
        <w:rPr>
          <w:sz w:val="20"/>
          <w:szCs w:val="20"/>
          <w:color w:val="auto"/>
        </w:rPr>
      </w:pPr>
    </w:p>
    <w:p>
      <w:pPr>
        <w:ind w:left="3" w:right="60"/>
        <w:spacing w:after="0" w:line="269" w:lineRule="auto"/>
        <w:rPr>
          <w:sz w:val="20"/>
          <w:szCs w:val="20"/>
          <w:color w:val="auto"/>
        </w:rPr>
      </w:pPr>
      <w:r>
        <w:rPr>
          <w:rFonts w:ascii="Arial" w:cs="Arial" w:eastAsia="Arial" w:hAnsi="Arial"/>
          <w:sz w:val="12"/>
          <w:szCs w:val="12"/>
          <w:i w:val="1"/>
          <w:iCs w:val="1"/>
          <w:color w:val="E51837"/>
        </w:rPr>
        <w:t xml:space="preserve">Reserves Governance </w:t>
      </w:r>
      <w:r>
        <w:rPr>
          <w:rFonts w:ascii="Arial" w:cs="Arial" w:eastAsia="Arial" w:hAnsi="Arial"/>
          <w:sz w:val="12"/>
          <w:szCs w:val="12"/>
          <w:color w:val="000000"/>
        </w:rPr>
        <w:t>The company has adopted a comprehensive reserves and resource classification</w:t>
      </w:r>
      <w:r>
        <w:rPr>
          <w:rFonts w:ascii="Arial" w:cs="Arial" w:eastAsia="Arial" w:hAnsi="Arial"/>
          <w:sz w:val="12"/>
          <w:szCs w:val="12"/>
          <w:i w:val="1"/>
          <w:iCs w:val="1"/>
          <w:color w:val="E51837"/>
        </w:rPr>
        <w:t xml:space="preserve"> </w:t>
      </w:r>
      <w:r>
        <w:rPr>
          <w:rFonts w:ascii="Arial" w:cs="Arial" w:eastAsia="Arial" w:hAnsi="Arial"/>
          <w:sz w:val="12"/>
          <w:szCs w:val="12"/>
          <w:color w:val="000000"/>
        </w:rPr>
        <w:t>system modeled after a system developed and approved by the Society of Petroleum Engineers, the World Petroleum Congress and the American Association of Petroleum Geologists. The system classifies recoverable hydrocarbons into six categories based on their status at the time of reporting – three deemed commercial and three potentially recoverable. Within the commercial classification are proved reserves and two categories of unproved: probable and possible. The potentially recoverable categories are also referred to as contingent resources. For reserves estimates to be classified as proved, they must meet all SEC and company standards.</w:t>
      </w:r>
    </w:p>
    <w:p>
      <w:pPr>
        <w:spacing w:after="0" w:line="1" w:lineRule="exact"/>
        <w:rPr>
          <w:sz w:val="20"/>
          <w:szCs w:val="20"/>
          <w:color w:val="auto"/>
        </w:rPr>
      </w:pPr>
    </w:p>
    <w:p>
      <w:pPr>
        <w:ind w:left="3" w:right="100" w:firstLine="160"/>
        <w:spacing w:after="0" w:line="246" w:lineRule="auto"/>
        <w:rPr>
          <w:sz w:val="20"/>
          <w:szCs w:val="20"/>
          <w:color w:val="auto"/>
        </w:rPr>
      </w:pPr>
      <w:r>
        <w:rPr>
          <w:rFonts w:ascii="Arial" w:cs="Arial" w:eastAsia="Arial" w:hAnsi="Arial"/>
          <w:sz w:val="13"/>
          <w:szCs w:val="13"/>
          <w:color w:val="auto"/>
        </w:rPr>
        <w:t>Proved oil and gas reserves are the estimated quantities that geoscience and engineering data demonstrate with reasonable certainty to be economically producible in the future from known reservoirs under existing economic conditions, operating methods and government regulations. Net proved reserves exclude royalties and interests owned by others and reflect contractual arrangements and royalty obligations in effect at the time of the estimate.</w:t>
      </w:r>
    </w:p>
    <w:p>
      <w:pPr>
        <w:spacing w:after="0" w:line="3" w:lineRule="exact"/>
        <w:rPr>
          <w:sz w:val="20"/>
          <w:szCs w:val="20"/>
          <w:color w:val="auto"/>
        </w:rPr>
      </w:pPr>
    </w:p>
    <w:p>
      <w:pPr>
        <w:ind w:left="3" w:firstLine="160"/>
        <w:spacing w:after="0" w:line="291" w:lineRule="auto"/>
        <w:rPr>
          <w:sz w:val="20"/>
          <w:szCs w:val="20"/>
          <w:color w:val="auto"/>
        </w:rPr>
      </w:pPr>
      <w:r>
        <w:rPr>
          <w:rFonts w:ascii="Arial" w:cs="Arial" w:eastAsia="Arial" w:hAnsi="Arial"/>
          <w:sz w:val="11"/>
          <w:szCs w:val="11"/>
          <w:color w:val="auto"/>
        </w:rPr>
        <w:t>Proved reserves are classified as either developed or undeveloped. Proved developed reserves are the quantities expected to be recovered through existing wells with existing equipment and operating methods.</w:t>
      </w:r>
    </w:p>
    <w:p>
      <w:pPr>
        <w:spacing w:after="0" w:line="1" w:lineRule="exact"/>
        <w:rPr>
          <w:sz w:val="20"/>
          <w:szCs w:val="20"/>
          <w:color w:val="auto"/>
        </w:rPr>
      </w:pPr>
    </w:p>
    <w:p>
      <w:pPr>
        <w:ind w:left="3" w:right="300" w:firstLine="160"/>
        <w:spacing w:after="0" w:line="246" w:lineRule="auto"/>
        <w:rPr>
          <w:sz w:val="20"/>
          <w:szCs w:val="20"/>
          <w:color w:val="auto"/>
        </w:rPr>
      </w:pPr>
      <w:r>
        <w:rPr>
          <w:rFonts w:ascii="Arial" w:cs="Arial" w:eastAsia="Arial" w:hAnsi="Arial"/>
          <w:sz w:val="13"/>
          <w:szCs w:val="13"/>
          <w:color w:val="auto"/>
        </w:rPr>
        <w:t>Due to the inherent uncertainties and the limited nature of reservoir data, estimates of reserves are subject to change as additional information becomes available.</w:t>
      </w:r>
    </w:p>
    <w:p>
      <w:pPr>
        <w:spacing w:after="0" w:line="1" w:lineRule="exact"/>
        <w:rPr>
          <w:sz w:val="20"/>
          <w:szCs w:val="20"/>
          <w:color w:val="auto"/>
        </w:rPr>
      </w:pPr>
    </w:p>
    <w:p>
      <w:pPr>
        <w:ind w:left="3" w:right="100" w:firstLine="160"/>
        <w:spacing w:after="0" w:line="253" w:lineRule="auto"/>
        <w:rPr>
          <w:sz w:val="20"/>
          <w:szCs w:val="20"/>
          <w:color w:val="auto"/>
        </w:rPr>
      </w:pPr>
      <w:r>
        <w:rPr>
          <w:rFonts w:ascii="Arial" w:cs="Arial" w:eastAsia="Arial" w:hAnsi="Arial"/>
          <w:sz w:val="13"/>
          <w:szCs w:val="13"/>
          <w:color w:val="auto"/>
        </w:rPr>
        <w:t>Proved reserves are estimated by company asset teams composed of earth scientists and engineers. As part of the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1"/>
          <w:szCs w:val="11"/>
          <w:color w:val="auto"/>
        </w:rPr>
        <w:t>internal control process related to reserves estimation, the company maintains a Reserves Advisory Committee (RAC) that is chaired by the corporate reserves manager, who is a member of a corporate department that reports directly to the vice chairman responsible for the company’s worldwide exploration and production activities. The corporate reserves manager, who acts as chairman of the RAC, has more than 30 years’ experience working in the oil and gas industry and a Master of Science in Petroleum Engineering degree from Stanford University. His experience includes more than 15 years of managing oil and gas reserves processes. He was the chairman of the Society of Petroleum Engineers Oil and Gas Reserves Committee, currently serves on the United Nations Expert Group on Resources Classification, and is an active member of the Society of Petroleum Evaluation Engineers. He is also a past member of the Joint Committee on Reserves Evaluator Training and the California Conservation Committee.</w:t>
      </w:r>
    </w:p>
    <w:p>
      <w:pPr>
        <w:spacing w:after="0" w:line="2" w:lineRule="exact"/>
        <w:rPr>
          <w:sz w:val="20"/>
          <w:szCs w:val="20"/>
          <w:color w:val="auto"/>
        </w:rPr>
      </w:pPr>
    </w:p>
    <w:p>
      <w:pPr>
        <w:ind w:right="20" w:firstLine="153"/>
        <w:spacing w:after="0" w:line="267" w:lineRule="auto"/>
        <w:rPr>
          <w:sz w:val="20"/>
          <w:szCs w:val="20"/>
          <w:color w:val="auto"/>
        </w:rPr>
      </w:pPr>
      <w:r>
        <w:rPr>
          <w:rFonts w:ascii="Arial" w:cs="Arial" w:eastAsia="Arial" w:hAnsi="Arial"/>
          <w:sz w:val="12"/>
          <w:szCs w:val="12"/>
          <w:color w:val="auto"/>
        </w:rPr>
        <w:t>All RAC members are degreed professionals, each with more than 15 years’ experience in various aspects of reserves estimation relating to reservoir engineering, petroleum engineering, earth science, or finance. The members are knowledgeable in SEC guidelines for proved reserves classification and receive annual training on the preparation of reserves estimates. The reserves activities are managed by two operating company-level reserves managers. These two reserves managers are not members of the RAC so as to preserve the corporate-level independence.</w:t>
      </w:r>
    </w:p>
    <w:p>
      <w:pPr>
        <w:spacing w:after="0" w:line="1" w:lineRule="exact"/>
        <w:rPr>
          <w:sz w:val="20"/>
          <w:szCs w:val="20"/>
          <w:color w:val="auto"/>
        </w:rPr>
      </w:pPr>
    </w:p>
    <w:p>
      <w:pPr>
        <w:ind w:right="120" w:firstLine="158"/>
        <w:spacing w:after="0" w:line="250" w:lineRule="auto"/>
        <w:rPr>
          <w:sz w:val="20"/>
          <w:szCs w:val="20"/>
          <w:color w:val="auto"/>
        </w:rPr>
      </w:pPr>
      <w:r>
        <w:rPr>
          <w:rFonts w:ascii="Arial" w:cs="Arial" w:eastAsia="Arial" w:hAnsi="Arial"/>
          <w:sz w:val="13"/>
          <w:szCs w:val="13"/>
          <w:color w:val="auto"/>
        </w:rPr>
        <w:t>The RAC has the following primary responsibilities: establish the policies and processes used within the operating units to estimate reserves; provide independent reviews and oversight of the business units’ recommended reserves</w:t>
      </w:r>
    </w:p>
    <w:p>
      <w:pPr>
        <w:spacing w:after="0" w:line="393" w:lineRule="exact"/>
        <w:rPr>
          <w:sz w:val="20"/>
          <w:szCs w:val="20"/>
          <w:color w:val="auto"/>
        </w:rPr>
      </w:pPr>
    </w:p>
    <w:p>
      <w:pPr>
        <w:sectPr>
          <w:pgSz w:w="11900" w:h="16838" w:orient="portrait"/>
          <w:cols w:equalWidth="0" w:num="2">
            <w:col w:w="5483" w:space="480"/>
            <w:col w:w="5500"/>
          </w:cols>
          <w:pgMar w:left="217" w:top="338" w:right="219" w:bottom="1440" w:gutter="0" w:footer="0" w:header="0"/>
          <w:type w:val="continuous"/>
        </w:sectPr>
      </w:pPr>
    </w:p>
    <w:p>
      <w:pPr>
        <w:spacing w:after="0" w:line="75"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635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10"/>
          <w:szCs w:val="10"/>
          <w:color w:val="000000"/>
        </w:rPr>
        <w:t>Reserve Quantity Information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0"/>
          <w:szCs w:val="10"/>
          <w:color w:val="E51837"/>
        </w:rPr>
        <w:t>Summary of Net Oil and Gas Reserves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9"/>
                <w:szCs w:val="9"/>
                <w:color w:val="auto"/>
              </w:rPr>
              <w:t>2011</w:t>
            </w:r>
            <w:r>
              <w:rPr>
                <w:rFonts w:ascii="Arial" w:cs="Arial" w:eastAsia="Arial" w:hAnsi="Arial"/>
                <w:sz w:val="7"/>
                <w:szCs w:val="7"/>
                <w:color w:val="auto"/>
              </w:rPr>
              <w:t>*</w:t>
            </w:r>
          </w:p>
        </w:tc>
        <w:tc>
          <w:tcPr>
            <w:tcW w:w="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9"/>
                <w:szCs w:val="9"/>
                <w:color w:val="auto"/>
              </w:rPr>
              <w:t>2010</w:t>
            </w:r>
            <w:r>
              <w:rPr>
                <w:rFonts w:ascii="Arial" w:cs="Arial" w:eastAsia="Arial" w:hAnsi="Arial"/>
                <w:sz w:val="7"/>
                <w:szCs w:val="7"/>
                <w:color w:val="auto"/>
              </w:rPr>
              <w:t>*</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gridSpan w:val="3"/>
          </w:tcPr>
          <w:p>
            <w:pPr>
              <w:jc w:val="right"/>
              <w:spacing w:after="0"/>
              <w:rPr>
                <w:sz w:val="20"/>
                <w:szCs w:val="20"/>
                <w:color w:val="auto"/>
              </w:rPr>
            </w:pPr>
            <w:r>
              <w:rPr>
                <w:rFonts w:ascii="Arial" w:cs="Arial" w:eastAsia="Arial" w:hAnsi="Arial"/>
                <w:sz w:val="9"/>
                <w:szCs w:val="9"/>
                <w:color w:val="auto"/>
              </w:rPr>
              <w:t>2009</w:t>
            </w: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940" w:type="dxa"/>
            <w:vAlign w:val="bottom"/>
            <w:tcBorders>
              <w:top w:val="single" w:sz="8" w:color="0077C0"/>
            </w:tcBorders>
          </w:tcPr>
          <w:p>
            <w:pPr>
              <w:jc w:val="right"/>
              <w:ind w:right="310"/>
              <w:spacing w:after="0" w:line="75" w:lineRule="exact"/>
              <w:rPr>
                <w:sz w:val="20"/>
                <w:szCs w:val="20"/>
                <w:color w:val="auto"/>
              </w:rPr>
            </w:pPr>
            <w:r>
              <w:rPr>
                <w:rFonts w:ascii="Arial" w:cs="Arial" w:eastAsia="Arial" w:hAnsi="Arial"/>
                <w:sz w:val="8"/>
                <w:szCs w:val="8"/>
                <w:color w:val="auto"/>
              </w:rPr>
              <w:t>Crude Oil</w:t>
            </w:r>
          </w:p>
        </w:tc>
        <w:tc>
          <w:tcPr>
            <w:tcW w:w="106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Borders>
              <w:top w:val="single" w:sz="8" w:color="0077C0"/>
            </w:tcBorders>
          </w:tcPr>
          <w:p>
            <w:pPr>
              <w:jc w:val="right"/>
              <w:ind w:right="290"/>
              <w:spacing w:after="0" w:line="75" w:lineRule="exact"/>
              <w:rPr>
                <w:sz w:val="20"/>
                <w:szCs w:val="20"/>
                <w:color w:val="auto"/>
              </w:rPr>
            </w:pPr>
            <w:r>
              <w:rPr>
                <w:rFonts w:ascii="Arial" w:cs="Arial" w:eastAsia="Arial" w:hAnsi="Arial"/>
                <w:sz w:val="8"/>
                <w:szCs w:val="8"/>
                <w:color w:val="auto"/>
              </w:rPr>
              <w:t>Crude Oil</w:t>
            </w:r>
          </w:p>
        </w:tc>
        <w:tc>
          <w:tcPr>
            <w:tcW w:w="1080" w:type="dxa"/>
            <w:vAlign w:val="bottom"/>
            <w:tcBorders>
              <w:top w:val="single" w:sz="8" w:color="0077C0"/>
            </w:tcBorders>
          </w:tcPr>
          <w:p>
            <w:pPr>
              <w:spacing w:after="0"/>
              <w:rPr>
                <w:sz w:val="6"/>
                <w:szCs w:val="6"/>
                <w:color w:val="auto"/>
              </w:rPr>
            </w:pPr>
          </w:p>
        </w:tc>
        <w:tc>
          <w:tcPr>
            <w:tcW w:w="66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Borders>
              <w:top w:val="single" w:sz="8" w:color="0077C0"/>
            </w:tcBorders>
          </w:tcPr>
          <w:p>
            <w:pPr>
              <w:jc w:val="right"/>
              <w:ind w:right="310"/>
              <w:spacing w:after="0" w:line="75" w:lineRule="exact"/>
              <w:rPr>
                <w:sz w:val="20"/>
                <w:szCs w:val="20"/>
                <w:color w:val="auto"/>
              </w:rPr>
            </w:pPr>
            <w:r>
              <w:rPr>
                <w:rFonts w:ascii="Arial" w:cs="Arial" w:eastAsia="Arial" w:hAnsi="Arial"/>
                <w:sz w:val="8"/>
                <w:szCs w:val="8"/>
                <w:color w:val="auto"/>
              </w:rPr>
              <w:t>Crude Oil</w:t>
            </w:r>
          </w:p>
        </w:tc>
        <w:tc>
          <w:tcPr>
            <w:tcW w:w="1040" w:type="dxa"/>
            <w:vAlign w:val="bottom"/>
            <w:tcBorders>
              <w:top w:val="single" w:sz="8" w:color="0077C0"/>
            </w:tcBorders>
          </w:tcPr>
          <w:p>
            <w:pPr>
              <w:spacing w:after="0"/>
              <w:rPr>
                <w:sz w:val="6"/>
                <w:szCs w:val="6"/>
                <w:color w:val="auto"/>
              </w:rPr>
            </w:pPr>
          </w:p>
        </w:tc>
        <w:tc>
          <w:tcPr>
            <w:tcW w:w="640" w:type="dxa"/>
            <w:vAlign w:val="bottom"/>
            <w:tcBorders>
              <w:top w:val="single" w:sz="8" w:color="0077C0"/>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520" w:type="dxa"/>
            <w:vAlign w:val="bottom"/>
            <w:gridSpan w:val="2"/>
          </w:tcPr>
          <w:p>
            <w:pPr>
              <w:spacing w:after="0" w:line="96" w:lineRule="exact"/>
              <w:rPr>
                <w:sz w:val="20"/>
                <w:szCs w:val="20"/>
                <w:color w:val="auto"/>
              </w:rPr>
            </w:pPr>
            <w:r>
              <w:rPr>
                <w:rFonts w:ascii="Arial" w:cs="Arial" w:eastAsia="Arial" w:hAnsi="Arial"/>
                <w:sz w:val="9"/>
                <w:szCs w:val="9"/>
                <w:i w:val="1"/>
                <w:iCs w:val="1"/>
                <w:color w:val="auto"/>
              </w:rPr>
              <w:t>Liquids and Synthetic Oil in Millions of Barrels</w:t>
            </w:r>
          </w:p>
        </w:tc>
        <w:tc>
          <w:tcPr>
            <w:tcW w:w="940" w:type="dxa"/>
            <w:vAlign w:val="bottom"/>
          </w:tcPr>
          <w:p>
            <w:pPr>
              <w:jc w:val="right"/>
              <w:ind w:right="310"/>
              <w:spacing w:after="0" w:line="96" w:lineRule="exact"/>
              <w:rPr>
                <w:sz w:val="20"/>
                <w:szCs w:val="20"/>
                <w:color w:val="auto"/>
              </w:rPr>
            </w:pPr>
            <w:r>
              <w:rPr>
                <w:rFonts w:ascii="Arial" w:cs="Arial" w:eastAsia="Arial" w:hAnsi="Arial"/>
                <w:sz w:val="9"/>
                <w:szCs w:val="9"/>
                <w:color w:val="auto"/>
              </w:rPr>
              <w:t>Condensate</w:t>
            </w:r>
          </w:p>
        </w:tc>
        <w:tc>
          <w:tcPr>
            <w:tcW w:w="1060" w:type="dxa"/>
            <w:vAlign w:val="bottom"/>
          </w:tcPr>
          <w:p>
            <w:pPr>
              <w:jc w:val="right"/>
              <w:ind w:right="329"/>
              <w:spacing w:after="0" w:line="96" w:lineRule="exact"/>
              <w:rPr>
                <w:sz w:val="20"/>
                <w:szCs w:val="20"/>
                <w:color w:val="auto"/>
              </w:rPr>
            </w:pPr>
            <w:r>
              <w:rPr>
                <w:rFonts w:ascii="Arial" w:cs="Arial" w:eastAsia="Arial" w:hAnsi="Arial"/>
                <w:sz w:val="9"/>
                <w:szCs w:val="9"/>
                <w:color w:val="auto"/>
              </w:rPr>
              <w:t>Synthetic</w:t>
            </w:r>
          </w:p>
        </w:tc>
        <w:tc>
          <w:tcPr>
            <w:tcW w:w="1120" w:type="dxa"/>
            <w:vAlign w:val="bottom"/>
            <w:gridSpan w:val="3"/>
          </w:tcPr>
          <w:p>
            <w:pPr>
              <w:jc w:val="right"/>
              <w:ind w:right="460"/>
              <w:spacing w:after="0" w:line="96" w:lineRule="exact"/>
              <w:rPr>
                <w:sz w:val="20"/>
                <w:szCs w:val="20"/>
                <w:color w:val="auto"/>
              </w:rPr>
            </w:pPr>
            <w:r>
              <w:rPr>
                <w:rFonts w:ascii="Arial" w:cs="Arial" w:eastAsia="Arial" w:hAnsi="Arial"/>
                <w:sz w:val="9"/>
                <w:szCs w:val="9"/>
                <w:color w:val="auto"/>
              </w:rPr>
              <w:t>Natural</w:t>
            </w:r>
          </w:p>
        </w:tc>
        <w:tc>
          <w:tcPr>
            <w:tcW w:w="920" w:type="dxa"/>
            <w:vAlign w:val="bottom"/>
          </w:tcPr>
          <w:p>
            <w:pPr>
              <w:jc w:val="right"/>
              <w:ind w:right="290"/>
              <w:spacing w:after="0" w:line="96" w:lineRule="exact"/>
              <w:rPr>
                <w:sz w:val="20"/>
                <w:szCs w:val="20"/>
                <w:color w:val="auto"/>
              </w:rPr>
            </w:pPr>
            <w:r>
              <w:rPr>
                <w:rFonts w:ascii="Arial" w:cs="Arial" w:eastAsia="Arial" w:hAnsi="Arial"/>
                <w:sz w:val="9"/>
                <w:szCs w:val="9"/>
                <w:color w:val="auto"/>
              </w:rPr>
              <w:t>Condensate</w:t>
            </w:r>
          </w:p>
        </w:tc>
        <w:tc>
          <w:tcPr>
            <w:tcW w:w="1080" w:type="dxa"/>
            <w:vAlign w:val="bottom"/>
          </w:tcPr>
          <w:p>
            <w:pPr>
              <w:jc w:val="right"/>
              <w:ind w:right="329"/>
              <w:spacing w:after="0" w:line="96" w:lineRule="exact"/>
              <w:rPr>
                <w:sz w:val="20"/>
                <w:szCs w:val="20"/>
                <w:color w:val="auto"/>
              </w:rPr>
            </w:pPr>
            <w:r>
              <w:rPr>
                <w:rFonts w:ascii="Arial" w:cs="Arial" w:eastAsia="Arial" w:hAnsi="Arial"/>
                <w:sz w:val="9"/>
                <w:szCs w:val="9"/>
                <w:color w:val="auto"/>
              </w:rPr>
              <w:t>Synthetic</w:t>
            </w:r>
          </w:p>
        </w:tc>
        <w:tc>
          <w:tcPr>
            <w:tcW w:w="1120" w:type="dxa"/>
            <w:vAlign w:val="bottom"/>
            <w:gridSpan w:val="2"/>
          </w:tcPr>
          <w:p>
            <w:pPr>
              <w:jc w:val="right"/>
              <w:ind w:right="460"/>
              <w:spacing w:after="0" w:line="96" w:lineRule="exact"/>
              <w:rPr>
                <w:sz w:val="20"/>
                <w:szCs w:val="20"/>
                <w:color w:val="auto"/>
              </w:rPr>
            </w:pPr>
            <w:r>
              <w:rPr>
                <w:rFonts w:ascii="Arial" w:cs="Arial" w:eastAsia="Arial" w:hAnsi="Arial"/>
                <w:sz w:val="9"/>
                <w:szCs w:val="9"/>
                <w:color w:val="auto"/>
              </w:rPr>
              <w:t>Natural</w:t>
            </w:r>
          </w:p>
        </w:tc>
        <w:tc>
          <w:tcPr>
            <w:tcW w:w="920" w:type="dxa"/>
            <w:vAlign w:val="bottom"/>
          </w:tcPr>
          <w:p>
            <w:pPr>
              <w:jc w:val="right"/>
              <w:ind w:right="310"/>
              <w:spacing w:after="0" w:line="96" w:lineRule="exact"/>
              <w:rPr>
                <w:sz w:val="20"/>
                <w:szCs w:val="20"/>
                <w:color w:val="auto"/>
              </w:rPr>
            </w:pPr>
            <w:r>
              <w:rPr>
                <w:rFonts w:ascii="Arial" w:cs="Arial" w:eastAsia="Arial" w:hAnsi="Arial"/>
                <w:sz w:val="9"/>
                <w:szCs w:val="9"/>
                <w:color w:val="auto"/>
              </w:rPr>
              <w:t>Condensate</w:t>
            </w:r>
          </w:p>
        </w:tc>
        <w:tc>
          <w:tcPr>
            <w:tcW w:w="1040" w:type="dxa"/>
            <w:vAlign w:val="bottom"/>
          </w:tcPr>
          <w:p>
            <w:pPr>
              <w:jc w:val="right"/>
              <w:ind w:right="309"/>
              <w:spacing w:after="0" w:line="96" w:lineRule="exact"/>
              <w:rPr>
                <w:sz w:val="20"/>
                <w:szCs w:val="20"/>
                <w:color w:val="auto"/>
              </w:rPr>
            </w:pPr>
            <w:r>
              <w:rPr>
                <w:rFonts w:ascii="Arial" w:cs="Arial" w:eastAsia="Arial" w:hAnsi="Arial"/>
                <w:sz w:val="9"/>
                <w:szCs w:val="9"/>
                <w:color w:val="auto"/>
              </w:rPr>
              <w:t>Synthetic</w:t>
            </w:r>
          </w:p>
        </w:tc>
        <w:tc>
          <w:tcPr>
            <w:tcW w:w="680" w:type="dxa"/>
            <w:vAlign w:val="bottom"/>
            <w:gridSpan w:val="3"/>
          </w:tcPr>
          <w:p>
            <w:pPr>
              <w:jc w:val="right"/>
              <w:ind w:right="40"/>
              <w:spacing w:after="0" w:line="96" w:lineRule="exact"/>
              <w:rPr>
                <w:sz w:val="20"/>
                <w:szCs w:val="20"/>
                <w:color w:val="auto"/>
              </w:rPr>
            </w:pPr>
            <w:r>
              <w:rPr>
                <w:rFonts w:ascii="Arial" w:cs="Arial" w:eastAsia="Arial" w:hAnsi="Arial"/>
                <w:sz w:val="9"/>
                <w:szCs w:val="9"/>
                <w:color w:val="auto"/>
              </w:rPr>
              <w:t>Natural</w:t>
            </w:r>
          </w:p>
        </w:tc>
        <w:tc>
          <w:tcPr>
            <w:tcW w:w="0" w:type="dxa"/>
            <w:vAlign w:val="bottom"/>
          </w:tcPr>
          <w:p>
            <w:pPr>
              <w:spacing w:after="0"/>
              <w:rPr>
                <w:sz w:val="1"/>
                <w:szCs w:val="1"/>
                <w:color w:val="auto"/>
              </w:rPr>
            </w:pPr>
          </w:p>
        </w:tc>
      </w:tr>
      <w:tr>
        <w:trPr>
          <w:trHeight w:val="115"/>
        </w:trPr>
        <w:tc>
          <w:tcPr>
            <w:tcW w:w="2520" w:type="dxa"/>
            <w:vAlign w:val="bottom"/>
            <w:gridSpan w:val="2"/>
          </w:tcPr>
          <w:p>
            <w:pPr>
              <w:spacing w:after="0"/>
              <w:rPr>
                <w:sz w:val="20"/>
                <w:szCs w:val="20"/>
                <w:color w:val="auto"/>
              </w:rPr>
            </w:pPr>
            <w:r>
              <w:rPr>
                <w:rFonts w:ascii="Arial" w:cs="Arial" w:eastAsia="Arial" w:hAnsi="Arial"/>
                <w:sz w:val="9"/>
                <w:szCs w:val="9"/>
                <w:i w:val="1"/>
                <w:iCs w:val="1"/>
                <w:color w:val="auto"/>
              </w:rPr>
              <w:t>Natural Gas in Billions of Cubic Feet</w:t>
            </w:r>
          </w:p>
        </w:tc>
        <w:tc>
          <w:tcPr>
            <w:tcW w:w="940" w:type="dxa"/>
            <w:vAlign w:val="bottom"/>
          </w:tcPr>
          <w:p>
            <w:pPr>
              <w:jc w:val="right"/>
              <w:ind w:right="310"/>
              <w:spacing w:after="0"/>
              <w:rPr>
                <w:sz w:val="20"/>
                <w:szCs w:val="20"/>
                <w:color w:val="auto"/>
              </w:rPr>
            </w:pPr>
            <w:r>
              <w:rPr>
                <w:rFonts w:ascii="Arial" w:cs="Arial" w:eastAsia="Arial" w:hAnsi="Arial"/>
                <w:sz w:val="9"/>
                <w:szCs w:val="9"/>
                <w:color w:val="auto"/>
              </w:rPr>
              <w:t>NGLs</w:t>
            </w:r>
          </w:p>
        </w:tc>
        <w:tc>
          <w:tcPr>
            <w:tcW w:w="1060" w:type="dxa"/>
            <w:vAlign w:val="bottom"/>
          </w:tcPr>
          <w:p>
            <w:pPr>
              <w:jc w:val="right"/>
              <w:ind w:right="329"/>
              <w:spacing w:after="0"/>
              <w:rPr>
                <w:sz w:val="20"/>
                <w:szCs w:val="20"/>
                <w:color w:val="auto"/>
              </w:rPr>
            </w:pPr>
            <w:r>
              <w:rPr>
                <w:rFonts w:ascii="Arial" w:cs="Arial" w:eastAsia="Arial" w:hAnsi="Arial"/>
                <w:sz w:val="9"/>
                <w:szCs w:val="9"/>
                <w:color w:val="auto"/>
              </w:rPr>
              <w:t>Oil</w:t>
            </w:r>
          </w:p>
        </w:tc>
        <w:tc>
          <w:tcPr>
            <w:tcW w:w="1120" w:type="dxa"/>
            <w:vAlign w:val="bottom"/>
            <w:gridSpan w:val="3"/>
          </w:tcPr>
          <w:p>
            <w:pPr>
              <w:jc w:val="right"/>
              <w:ind w:right="460"/>
              <w:spacing w:after="0"/>
              <w:rPr>
                <w:sz w:val="20"/>
                <w:szCs w:val="20"/>
                <w:color w:val="auto"/>
              </w:rPr>
            </w:pPr>
            <w:r>
              <w:rPr>
                <w:rFonts w:ascii="Arial" w:cs="Arial" w:eastAsia="Arial" w:hAnsi="Arial"/>
                <w:sz w:val="9"/>
                <w:szCs w:val="9"/>
                <w:color w:val="auto"/>
              </w:rPr>
              <w:t>Gas</w:t>
            </w:r>
          </w:p>
        </w:tc>
        <w:tc>
          <w:tcPr>
            <w:tcW w:w="920" w:type="dxa"/>
            <w:vAlign w:val="bottom"/>
          </w:tcPr>
          <w:p>
            <w:pPr>
              <w:jc w:val="right"/>
              <w:ind w:right="290"/>
              <w:spacing w:after="0"/>
              <w:rPr>
                <w:sz w:val="20"/>
                <w:szCs w:val="20"/>
                <w:color w:val="auto"/>
              </w:rPr>
            </w:pPr>
            <w:r>
              <w:rPr>
                <w:rFonts w:ascii="Arial" w:cs="Arial" w:eastAsia="Arial" w:hAnsi="Arial"/>
                <w:sz w:val="9"/>
                <w:szCs w:val="9"/>
                <w:color w:val="auto"/>
              </w:rPr>
              <w:t>NGLs</w:t>
            </w:r>
          </w:p>
        </w:tc>
        <w:tc>
          <w:tcPr>
            <w:tcW w:w="1080" w:type="dxa"/>
            <w:vAlign w:val="bottom"/>
          </w:tcPr>
          <w:p>
            <w:pPr>
              <w:jc w:val="right"/>
              <w:ind w:right="329"/>
              <w:spacing w:after="0"/>
              <w:rPr>
                <w:sz w:val="20"/>
                <w:szCs w:val="20"/>
                <w:color w:val="auto"/>
              </w:rPr>
            </w:pPr>
            <w:r>
              <w:rPr>
                <w:rFonts w:ascii="Arial" w:cs="Arial" w:eastAsia="Arial" w:hAnsi="Arial"/>
                <w:sz w:val="9"/>
                <w:szCs w:val="9"/>
                <w:color w:val="auto"/>
              </w:rPr>
              <w:t>Oil</w:t>
            </w:r>
          </w:p>
        </w:tc>
        <w:tc>
          <w:tcPr>
            <w:tcW w:w="1120" w:type="dxa"/>
            <w:vAlign w:val="bottom"/>
            <w:gridSpan w:val="2"/>
          </w:tcPr>
          <w:p>
            <w:pPr>
              <w:jc w:val="right"/>
              <w:ind w:right="460"/>
              <w:spacing w:after="0"/>
              <w:rPr>
                <w:sz w:val="20"/>
                <w:szCs w:val="20"/>
                <w:color w:val="auto"/>
              </w:rPr>
            </w:pPr>
            <w:r>
              <w:rPr>
                <w:rFonts w:ascii="Arial" w:cs="Arial" w:eastAsia="Arial" w:hAnsi="Arial"/>
                <w:sz w:val="9"/>
                <w:szCs w:val="9"/>
                <w:color w:val="auto"/>
              </w:rPr>
              <w:t>Gas</w:t>
            </w:r>
          </w:p>
        </w:tc>
        <w:tc>
          <w:tcPr>
            <w:tcW w:w="920" w:type="dxa"/>
            <w:vAlign w:val="bottom"/>
          </w:tcPr>
          <w:p>
            <w:pPr>
              <w:jc w:val="right"/>
              <w:ind w:right="310"/>
              <w:spacing w:after="0"/>
              <w:rPr>
                <w:sz w:val="20"/>
                <w:szCs w:val="20"/>
                <w:color w:val="auto"/>
              </w:rPr>
            </w:pPr>
            <w:r>
              <w:rPr>
                <w:rFonts w:ascii="Arial" w:cs="Arial" w:eastAsia="Arial" w:hAnsi="Arial"/>
                <w:sz w:val="9"/>
                <w:szCs w:val="9"/>
                <w:color w:val="auto"/>
              </w:rPr>
              <w:t>NGLs</w:t>
            </w:r>
          </w:p>
        </w:tc>
        <w:tc>
          <w:tcPr>
            <w:tcW w:w="1040" w:type="dxa"/>
            <w:vAlign w:val="bottom"/>
          </w:tcPr>
          <w:p>
            <w:pPr>
              <w:jc w:val="right"/>
              <w:ind w:right="309"/>
              <w:spacing w:after="0"/>
              <w:rPr>
                <w:sz w:val="20"/>
                <w:szCs w:val="20"/>
                <w:color w:val="auto"/>
              </w:rPr>
            </w:pPr>
            <w:r>
              <w:rPr>
                <w:rFonts w:ascii="Arial" w:cs="Arial" w:eastAsia="Arial" w:hAnsi="Arial"/>
                <w:sz w:val="9"/>
                <w:szCs w:val="9"/>
                <w:color w:val="auto"/>
              </w:rPr>
              <w:t>Oil</w:t>
            </w:r>
          </w:p>
        </w:tc>
        <w:tc>
          <w:tcPr>
            <w:tcW w:w="680" w:type="dxa"/>
            <w:vAlign w:val="bottom"/>
            <w:gridSpan w:val="3"/>
          </w:tcPr>
          <w:p>
            <w:pPr>
              <w:jc w:val="right"/>
              <w:ind w:right="40"/>
              <w:spacing w:after="0"/>
              <w:rPr>
                <w:sz w:val="20"/>
                <w:szCs w:val="20"/>
                <w:color w:val="auto"/>
              </w:rPr>
            </w:pPr>
            <w:r>
              <w:rPr>
                <w:rFonts w:ascii="Arial" w:cs="Arial" w:eastAsia="Arial" w:hAnsi="Arial"/>
                <w:sz w:val="9"/>
                <w:szCs w:val="9"/>
                <w:color w:val="auto"/>
              </w:rPr>
              <w:t>Gas</w:t>
            </w:r>
          </w:p>
        </w:tc>
        <w:tc>
          <w:tcPr>
            <w:tcW w:w="0" w:type="dxa"/>
            <w:vAlign w:val="bottom"/>
          </w:tcPr>
          <w:p>
            <w:pPr>
              <w:spacing w:after="0"/>
              <w:rPr>
                <w:sz w:val="1"/>
                <w:szCs w:val="1"/>
                <w:color w:val="auto"/>
              </w:rPr>
            </w:pPr>
          </w:p>
        </w:tc>
      </w:tr>
      <w:tr>
        <w:trPr>
          <w:trHeight w:val="106"/>
        </w:trPr>
        <w:tc>
          <w:tcPr>
            <w:tcW w:w="2520" w:type="dxa"/>
            <w:vAlign w:val="bottom"/>
            <w:tcBorders>
              <w:top w:val="single" w:sz="8" w:color="0077C0"/>
              <w:bottom w:val="single" w:sz="8" w:color="0077C0"/>
            </w:tcBorders>
            <w:gridSpan w:val="2"/>
          </w:tcPr>
          <w:p>
            <w:pPr>
              <w:spacing w:after="0" w:line="106" w:lineRule="exact"/>
              <w:rPr>
                <w:sz w:val="20"/>
                <w:szCs w:val="20"/>
                <w:color w:val="auto"/>
              </w:rPr>
            </w:pPr>
            <w:r>
              <w:rPr>
                <w:rFonts w:ascii="Arial" w:cs="Arial" w:eastAsia="Arial" w:hAnsi="Arial"/>
                <w:sz w:val="10"/>
                <w:szCs w:val="10"/>
                <w:b w:val="1"/>
                <w:bCs w:val="1"/>
                <w:color w:val="0077C0"/>
              </w:rPr>
              <w:t>Proved Developed</w:t>
            </w:r>
          </w:p>
        </w:tc>
        <w:tc>
          <w:tcPr>
            <w:tcW w:w="940" w:type="dxa"/>
            <w:vAlign w:val="bottom"/>
            <w:tcBorders>
              <w:top w:val="single" w:sz="8" w:color="0077C0"/>
              <w:bottom w:val="single" w:sz="8" w:color="0077C0"/>
            </w:tcBorders>
          </w:tcPr>
          <w:p>
            <w:pPr>
              <w:spacing w:after="0"/>
              <w:rPr>
                <w:sz w:val="9"/>
                <w:szCs w:val="9"/>
                <w:color w:val="auto"/>
              </w:rPr>
            </w:pPr>
          </w:p>
        </w:tc>
        <w:tc>
          <w:tcPr>
            <w:tcW w:w="106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top w:val="single" w:sz="8" w:color="0077C0"/>
              <w:bottom w:val="single" w:sz="8" w:color="0077C0"/>
            </w:tcBorders>
          </w:tcPr>
          <w:p>
            <w:pPr>
              <w:spacing w:after="0"/>
              <w:rPr>
                <w:sz w:val="9"/>
                <w:szCs w:val="9"/>
                <w:color w:val="auto"/>
              </w:rPr>
            </w:pPr>
          </w:p>
        </w:tc>
        <w:tc>
          <w:tcPr>
            <w:tcW w:w="1080" w:type="dxa"/>
            <w:vAlign w:val="bottom"/>
            <w:tcBorders>
              <w:top w:val="single" w:sz="8" w:color="0077C0"/>
              <w:bottom w:val="single" w:sz="8" w:color="0077C0"/>
            </w:tcBorders>
          </w:tcPr>
          <w:p>
            <w:pPr>
              <w:spacing w:after="0"/>
              <w:rPr>
                <w:sz w:val="9"/>
                <w:szCs w:val="9"/>
                <w:color w:val="auto"/>
              </w:rPr>
            </w:pPr>
          </w:p>
        </w:tc>
        <w:tc>
          <w:tcPr>
            <w:tcW w:w="660" w:type="dxa"/>
            <w:vAlign w:val="bottom"/>
            <w:tcBorders>
              <w:top w:val="single" w:sz="8" w:color="0077C0"/>
              <w:bottom w:val="single" w:sz="8" w:color="0077C0"/>
            </w:tcBorders>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Borders>
              <w:top w:val="single" w:sz="8" w:color="0077C0"/>
              <w:bottom w:val="single" w:sz="8" w:color="0077C0"/>
            </w:tcBorders>
          </w:tcPr>
          <w:p>
            <w:pPr>
              <w:spacing w:after="0"/>
              <w:rPr>
                <w:sz w:val="9"/>
                <w:szCs w:val="9"/>
                <w:color w:val="auto"/>
              </w:rPr>
            </w:pPr>
          </w:p>
        </w:tc>
        <w:tc>
          <w:tcPr>
            <w:tcW w:w="1040" w:type="dxa"/>
            <w:vAlign w:val="bottom"/>
            <w:tcBorders>
              <w:top w:val="single" w:sz="8" w:color="0077C0"/>
              <w:bottom w:val="single" w:sz="8" w:color="0077C0"/>
            </w:tcBorders>
          </w:tcPr>
          <w:p>
            <w:pPr>
              <w:spacing w:after="0"/>
              <w:rPr>
                <w:sz w:val="9"/>
                <w:szCs w:val="9"/>
                <w:color w:val="auto"/>
              </w:rPr>
            </w:pPr>
          </w:p>
        </w:tc>
        <w:tc>
          <w:tcPr>
            <w:tcW w:w="640" w:type="dxa"/>
            <w:vAlign w:val="bottom"/>
            <w:tcBorders>
              <w:top w:val="single" w:sz="8" w:color="0077C0"/>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gridSpan w:val="2"/>
          </w:tcPr>
          <w:p>
            <w:pPr>
              <w:spacing w:after="0" w:line="83" w:lineRule="exact"/>
              <w:rPr>
                <w:sz w:val="20"/>
                <w:szCs w:val="20"/>
                <w:color w:val="auto"/>
              </w:rPr>
            </w:pPr>
            <w:r>
              <w:rPr>
                <w:rFonts w:ascii="Arial" w:cs="Arial" w:eastAsia="Arial" w:hAnsi="Arial"/>
                <w:sz w:val="9"/>
                <w:szCs w:val="9"/>
                <w:color w:val="auto"/>
              </w:rPr>
              <w:t>Consolidated Companies</w:t>
            </w:r>
          </w:p>
        </w:tc>
        <w:tc>
          <w:tcPr>
            <w:tcW w:w="940" w:type="dxa"/>
            <w:vAlign w:val="bottom"/>
            <w:vMerge w:val="restart"/>
          </w:tcPr>
          <w:p>
            <w:pPr>
              <w:jc w:val="right"/>
              <w:ind w:right="310"/>
              <w:spacing w:after="0"/>
              <w:rPr>
                <w:sz w:val="20"/>
                <w:szCs w:val="20"/>
                <w:color w:val="auto"/>
              </w:rPr>
            </w:pPr>
            <w:r>
              <w:rPr>
                <w:rFonts w:ascii="Arial" w:cs="Arial" w:eastAsia="Arial" w:hAnsi="Arial"/>
                <w:sz w:val="10"/>
                <w:szCs w:val="10"/>
                <w:b w:val="1"/>
                <w:bCs w:val="1"/>
                <w:color w:val="auto"/>
              </w:rPr>
              <w:t>990</w:t>
            </w:r>
          </w:p>
        </w:tc>
        <w:tc>
          <w:tcPr>
            <w:tcW w:w="1060" w:type="dxa"/>
            <w:vAlign w:val="bottom"/>
            <w:vMerge w:val="restart"/>
          </w:tcPr>
          <w:p>
            <w:pPr>
              <w:jc w:val="right"/>
              <w:ind w:right="329"/>
              <w:spacing w:after="0"/>
              <w:rPr>
                <w:sz w:val="20"/>
                <w:szCs w:val="20"/>
                <w:color w:val="auto"/>
              </w:rPr>
            </w:pPr>
            <w:r>
              <w:rPr>
                <w:rFonts w:ascii="Arial" w:cs="Arial" w:eastAsia="Arial" w:hAnsi="Arial"/>
                <w:sz w:val="10"/>
                <w:szCs w:val="10"/>
                <w:b w:val="1"/>
                <w:bCs w:val="1"/>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2,486</w:t>
            </w: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00" w:type="dxa"/>
            <w:vAlign w:val="bottom"/>
          </w:tcPr>
          <w:p>
            <w:pPr>
              <w:ind w:left="120"/>
              <w:spacing w:after="0" w:line="104" w:lineRule="exact"/>
              <w:rPr>
                <w:sz w:val="20"/>
                <w:szCs w:val="20"/>
                <w:color w:val="auto"/>
              </w:rPr>
            </w:pPr>
            <w:r>
              <w:rPr>
                <w:rFonts w:ascii="Arial" w:cs="Arial" w:eastAsia="Arial" w:hAnsi="Arial"/>
                <w:sz w:val="10"/>
                <w:szCs w:val="10"/>
                <w:color w:val="auto"/>
              </w:rPr>
              <w:t>U.S.</w:t>
            </w:r>
          </w:p>
        </w:tc>
        <w:tc>
          <w:tcPr>
            <w:tcW w:w="9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4" w:lineRule="exact"/>
              <w:rPr>
                <w:sz w:val="20"/>
                <w:szCs w:val="20"/>
                <w:color w:val="auto"/>
              </w:rPr>
            </w:pPr>
            <w:r>
              <w:rPr>
                <w:rFonts w:ascii="Arial" w:cs="Arial" w:eastAsia="Arial" w:hAnsi="Arial"/>
                <w:sz w:val="10"/>
                <w:szCs w:val="10"/>
                <w:color w:val="auto"/>
              </w:rPr>
              <w:t>1,045</w:t>
            </w:r>
          </w:p>
        </w:tc>
        <w:tc>
          <w:tcPr>
            <w:tcW w:w="108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4" w:lineRule="exact"/>
              <w:rPr>
                <w:sz w:val="20"/>
                <w:szCs w:val="20"/>
                <w:color w:val="auto"/>
              </w:rPr>
            </w:pPr>
            <w:r>
              <w:rPr>
                <w:rFonts w:ascii="Arial" w:cs="Arial" w:eastAsia="Arial" w:hAnsi="Arial"/>
                <w:sz w:val="10"/>
                <w:szCs w:val="10"/>
                <w:color w:val="auto"/>
              </w:rPr>
              <w:t>2,113</w:t>
            </w:r>
          </w:p>
        </w:tc>
        <w:tc>
          <w:tcPr>
            <w:tcW w:w="460" w:type="dxa"/>
            <w:vAlign w:val="bottom"/>
          </w:tcPr>
          <w:p>
            <w:pPr>
              <w:spacing w:after="0"/>
              <w:rPr>
                <w:sz w:val="9"/>
                <w:szCs w:val="9"/>
                <w:color w:val="auto"/>
              </w:rPr>
            </w:pPr>
          </w:p>
        </w:tc>
        <w:tc>
          <w:tcPr>
            <w:tcW w:w="920" w:type="dxa"/>
            <w:vAlign w:val="bottom"/>
          </w:tcPr>
          <w:p>
            <w:pPr>
              <w:jc w:val="right"/>
              <w:ind w:right="310"/>
              <w:spacing w:after="0" w:line="104" w:lineRule="exact"/>
              <w:rPr>
                <w:sz w:val="20"/>
                <w:szCs w:val="20"/>
                <w:color w:val="auto"/>
              </w:rPr>
            </w:pPr>
            <w:r>
              <w:rPr>
                <w:rFonts w:ascii="Arial" w:cs="Arial" w:eastAsia="Arial" w:hAnsi="Arial"/>
                <w:sz w:val="10"/>
                <w:szCs w:val="10"/>
                <w:color w:val="auto"/>
              </w:rPr>
              <w:t>1,122</w:t>
            </w:r>
          </w:p>
        </w:tc>
        <w:tc>
          <w:tcPr>
            <w:tcW w:w="10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2,314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Other Americas</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82</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403</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1,147</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84</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352</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1,490</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66</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190</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1,678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Africa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792</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1,276</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830</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1,304</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820</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978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Asia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703</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4,300</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826</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4,836</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926</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5,062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Australia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39</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813</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39</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881</w:t>
            </w:r>
          </w:p>
        </w:tc>
        <w:tc>
          <w:tcPr>
            <w:tcW w:w="460" w:type="dxa"/>
            <w:vAlign w:val="bottom"/>
          </w:tcPr>
          <w:p>
            <w:pPr>
              <w:spacing w:after="0"/>
              <w:rPr>
                <w:sz w:val="9"/>
                <w:szCs w:val="9"/>
                <w:color w:val="auto"/>
              </w:rPr>
            </w:pP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50</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1,071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Europe</w:t>
            </w:r>
          </w:p>
        </w:tc>
        <w:tc>
          <w:tcPr>
            <w:tcW w:w="94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b w:val="1"/>
                <w:bCs w:val="1"/>
                <w:color w:val="auto"/>
              </w:rPr>
              <w:t>116</w:t>
            </w:r>
          </w:p>
        </w:tc>
        <w:tc>
          <w:tcPr>
            <w:tcW w:w="10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204</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color w:val="auto"/>
              </w:rPr>
              <w:t>136</w:t>
            </w:r>
          </w:p>
        </w:tc>
        <w:tc>
          <w:tcPr>
            <w:tcW w:w="108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235</w:t>
            </w:r>
          </w:p>
        </w:tc>
        <w:tc>
          <w:tcPr>
            <w:tcW w:w="460" w:type="dxa"/>
            <w:vAlign w:val="bottom"/>
          </w:tcPr>
          <w:p>
            <w:pPr>
              <w:spacing w:after="0"/>
              <w:rPr>
                <w:sz w:val="11"/>
                <w:szCs w:val="11"/>
                <w:color w:val="auto"/>
              </w:rPr>
            </w:pPr>
          </w:p>
        </w:tc>
        <w:tc>
          <w:tcPr>
            <w:tcW w:w="92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color w:val="auto"/>
              </w:rPr>
              <w:t>151</w:t>
            </w:r>
          </w:p>
        </w:tc>
        <w:tc>
          <w:tcPr>
            <w:tcW w:w="1040" w:type="dxa"/>
            <w:vAlign w:val="bottom"/>
            <w:tcBorders>
              <w:bottom w:val="single" w:sz="8" w:color="0077C0"/>
            </w:tcBorders>
          </w:tcPr>
          <w:p>
            <w:pPr>
              <w:jc w:val="right"/>
              <w:ind w:right="309"/>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302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Consolidated</w:t>
            </w:r>
          </w:p>
        </w:tc>
        <w:tc>
          <w:tcPr>
            <w:tcW w:w="94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2,722</w:t>
            </w:r>
          </w:p>
        </w:tc>
        <w:tc>
          <w:tcPr>
            <w:tcW w:w="106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b w:val="1"/>
                <w:bCs w:val="1"/>
                <w:color w:val="auto"/>
              </w:rPr>
              <w:t>403</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10,226</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0077C0"/>
            </w:tcBorders>
          </w:tcPr>
          <w:p>
            <w:pPr>
              <w:jc w:val="right"/>
              <w:ind w:right="290"/>
              <w:spacing w:after="0" w:line="105" w:lineRule="exact"/>
              <w:rPr>
                <w:sz w:val="20"/>
                <w:szCs w:val="20"/>
                <w:color w:val="auto"/>
              </w:rPr>
            </w:pPr>
            <w:r>
              <w:rPr>
                <w:rFonts w:ascii="Arial" w:cs="Arial" w:eastAsia="Arial" w:hAnsi="Arial"/>
                <w:sz w:val="10"/>
                <w:szCs w:val="10"/>
                <w:color w:val="auto"/>
              </w:rPr>
              <w:t>2,960</w:t>
            </w:r>
          </w:p>
        </w:tc>
        <w:tc>
          <w:tcPr>
            <w:tcW w:w="108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352</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10,859</w:t>
            </w:r>
          </w:p>
        </w:tc>
        <w:tc>
          <w:tcPr>
            <w:tcW w:w="460" w:type="dxa"/>
            <w:vAlign w:val="bottom"/>
          </w:tcPr>
          <w:p>
            <w:pPr>
              <w:spacing w:after="0"/>
              <w:rPr>
                <w:sz w:val="9"/>
                <w:szCs w:val="9"/>
                <w:color w:val="auto"/>
              </w:rPr>
            </w:pPr>
          </w:p>
        </w:tc>
        <w:tc>
          <w:tcPr>
            <w:tcW w:w="92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color w:val="auto"/>
              </w:rPr>
              <w:t>3,135</w:t>
            </w:r>
          </w:p>
        </w:tc>
        <w:tc>
          <w:tcPr>
            <w:tcW w:w="1040" w:type="dxa"/>
            <w:vAlign w:val="bottom"/>
            <w:tcBorders>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190</w:t>
            </w: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11,405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gridSpan w:val="2"/>
          </w:tcPr>
          <w:p>
            <w:pPr>
              <w:spacing w:after="0" w:line="83" w:lineRule="exact"/>
              <w:rPr>
                <w:sz w:val="20"/>
                <w:szCs w:val="20"/>
                <w:color w:val="auto"/>
              </w:rPr>
            </w:pPr>
            <w:r>
              <w:rPr>
                <w:rFonts w:ascii="Arial" w:cs="Arial" w:eastAsia="Arial" w:hAnsi="Arial"/>
                <w:sz w:val="9"/>
                <w:szCs w:val="9"/>
                <w:color w:val="auto"/>
              </w:rPr>
              <w:t>Affiliated Companies</w:t>
            </w:r>
          </w:p>
        </w:tc>
        <w:tc>
          <w:tcPr>
            <w:tcW w:w="940" w:type="dxa"/>
            <w:vAlign w:val="bottom"/>
            <w:vMerge w:val="restart"/>
          </w:tcPr>
          <w:p>
            <w:pPr>
              <w:jc w:val="right"/>
              <w:ind w:right="310"/>
              <w:spacing w:after="0"/>
              <w:rPr>
                <w:sz w:val="20"/>
                <w:szCs w:val="20"/>
                <w:color w:val="auto"/>
              </w:rPr>
            </w:pPr>
            <w:r>
              <w:rPr>
                <w:rFonts w:ascii="Arial" w:cs="Arial" w:eastAsia="Arial" w:hAnsi="Arial"/>
                <w:sz w:val="10"/>
                <w:szCs w:val="10"/>
                <w:b w:val="1"/>
                <w:bCs w:val="1"/>
                <w:color w:val="auto"/>
              </w:rPr>
              <w:t>1,019</w:t>
            </w:r>
          </w:p>
        </w:tc>
        <w:tc>
          <w:tcPr>
            <w:tcW w:w="1060" w:type="dxa"/>
            <w:vAlign w:val="bottom"/>
            <w:vMerge w:val="restart"/>
          </w:tcPr>
          <w:p>
            <w:pPr>
              <w:jc w:val="right"/>
              <w:ind w:right="329"/>
              <w:spacing w:after="0"/>
              <w:rPr>
                <w:sz w:val="20"/>
                <w:szCs w:val="20"/>
                <w:color w:val="auto"/>
              </w:rPr>
            </w:pPr>
            <w:r>
              <w:rPr>
                <w:rFonts w:ascii="Arial" w:cs="Arial" w:eastAsia="Arial" w:hAnsi="Arial"/>
                <w:sz w:val="10"/>
                <w:szCs w:val="10"/>
                <w:b w:val="1"/>
                <w:bCs w:val="1"/>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1,400</w:t>
            </w: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00" w:type="dxa"/>
            <w:vAlign w:val="bottom"/>
          </w:tcPr>
          <w:p>
            <w:pPr>
              <w:ind w:left="120"/>
              <w:spacing w:after="0" w:line="104" w:lineRule="exact"/>
              <w:rPr>
                <w:sz w:val="20"/>
                <w:szCs w:val="20"/>
                <w:color w:val="auto"/>
              </w:rPr>
            </w:pPr>
            <w:r>
              <w:rPr>
                <w:rFonts w:ascii="Arial" w:cs="Arial" w:eastAsia="Arial" w:hAnsi="Arial"/>
                <w:sz w:val="10"/>
                <w:szCs w:val="10"/>
                <w:color w:val="auto"/>
              </w:rPr>
              <w:t>TCO</w:t>
            </w:r>
          </w:p>
        </w:tc>
        <w:tc>
          <w:tcPr>
            <w:tcW w:w="9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4" w:lineRule="exact"/>
              <w:rPr>
                <w:sz w:val="20"/>
                <w:szCs w:val="20"/>
                <w:color w:val="auto"/>
              </w:rPr>
            </w:pPr>
            <w:r>
              <w:rPr>
                <w:rFonts w:ascii="Arial" w:cs="Arial" w:eastAsia="Arial" w:hAnsi="Arial"/>
                <w:sz w:val="10"/>
                <w:szCs w:val="10"/>
                <w:color w:val="auto"/>
              </w:rPr>
              <w:t>1,128</w:t>
            </w:r>
          </w:p>
        </w:tc>
        <w:tc>
          <w:tcPr>
            <w:tcW w:w="108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4" w:lineRule="exact"/>
              <w:rPr>
                <w:sz w:val="20"/>
                <w:szCs w:val="20"/>
                <w:color w:val="auto"/>
              </w:rPr>
            </w:pPr>
            <w:r>
              <w:rPr>
                <w:rFonts w:ascii="Arial" w:cs="Arial" w:eastAsia="Arial" w:hAnsi="Arial"/>
                <w:sz w:val="10"/>
                <w:szCs w:val="10"/>
                <w:color w:val="auto"/>
              </w:rPr>
              <w:t>1,484</w:t>
            </w:r>
          </w:p>
        </w:tc>
        <w:tc>
          <w:tcPr>
            <w:tcW w:w="920" w:type="dxa"/>
            <w:vAlign w:val="bottom"/>
          </w:tcPr>
          <w:p>
            <w:pPr>
              <w:jc w:val="right"/>
              <w:ind w:right="310"/>
              <w:spacing w:after="0" w:line="104" w:lineRule="exact"/>
              <w:rPr>
                <w:sz w:val="20"/>
                <w:szCs w:val="20"/>
                <w:color w:val="auto"/>
              </w:rPr>
            </w:pPr>
            <w:r>
              <w:rPr>
                <w:rFonts w:ascii="Arial" w:cs="Arial" w:eastAsia="Arial" w:hAnsi="Arial"/>
                <w:sz w:val="10"/>
                <w:szCs w:val="10"/>
                <w:color w:val="auto"/>
              </w:rPr>
              <w:t>1,256</w:t>
            </w:r>
          </w:p>
        </w:tc>
        <w:tc>
          <w:tcPr>
            <w:tcW w:w="10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1,830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Other</w:t>
            </w:r>
          </w:p>
        </w:tc>
        <w:tc>
          <w:tcPr>
            <w:tcW w:w="94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b w:val="1"/>
                <w:bCs w:val="1"/>
                <w:color w:val="auto"/>
              </w:rPr>
              <w:t>93</w:t>
            </w:r>
          </w:p>
        </w:tc>
        <w:tc>
          <w:tcPr>
            <w:tcW w:w="10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b w:val="1"/>
                <w:bCs w:val="1"/>
                <w:color w:val="auto"/>
              </w:rPr>
              <w:t>50</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75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color w:val="auto"/>
              </w:rPr>
              <w:t>95</w:t>
            </w:r>
          </w:p>
        </w:tc>
        <w:tc>
          <w:tcPr>
            <w:tcW w:w="108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53</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70</w:t>
            </w:r>
          </w:p>
        </w:tc>
        <w:tc>
          <w:tcPr>
            <w:tcW w:w="460" w:type="dxa"/>
            <w:vAlign w:val="bottom"/>
          </w:tcPr>
          <w:p>
            <w:pPr>
              <w:spacing w:after="0"/>
              <w:rPr>
                <w:sz w:val="11"/>
                <w:szCs w:val="11"/>
                <w:color w:val="auto"/>
              </w:rPr>
            </w:pPr>
          </w:p>
        </w:tc>
        <w:tc>
          <w:tcPr>
            <w:tcW w:w="92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color w:val="auto"/>
              </w:rPr>
              <w:t>97</w:t>
            </w:r>
          </w:p>
        </w:tc>
        <w:tc>
          <w:tcPr>
            <w:tcW w:w="1040" w:type="dxa"/>
            <w:vAlign w:val="bottom"/>
            <w:tcBorders>
              <w:bottom w:val="single" w:sz="8" w:color="0077C0"/>
            </w:tcBorders>
          </w:tcPr>
          <w:p>
            <w:pPr>
              <w:jc w:val="right"/>
              <w:ind w:right="309"/>
              <w:spacing w:after="0"/>
              <w:rPr>
                <w:sz w:val="20"/>
                <w:szCs w:val="20"/>
                <w:color w:val="auto"/>
              </w:rPr>
            </w:pPr>
            <w:r>
              <w:rPr>
                <w:rFonts w:ascii="Arial" w:cs="Arial" w:eastAsia="Arial" w:hAnsi="Arial"/>
                <w:sz w:val="10"/>
                <w:szCs w:val="10"/>
                <w:color w:val="auto"/>
              </w:rPr>
              <w:t>56</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73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Consolidated and Affiliated Companies</w:t>
            </w:r>
          </w:p>
        </w:tc>
        <w:tc>
          <w:tcPr>
            <w:tcW w:w="94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3,834</w:t>
            </w:r>
          </w:p>
        </w:tc>
        <w:tc>
          <w:tcPr>
            <w:tcW w:w="106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b w:val="1"/>
                <w:bCs w:val="1"/>
                <w:color w:val="auto"/>
              </w:rPr>
              <w:t>453</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11,701</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0077C0"/>
            </w:tcBorders>
          </w:tcPr>
          <w:p>
            <w:pPr>
              <w:jc w:val="right"/>
              <w:ind w:right="290"/>
              <w:spacing w:after="0" w:line="105" w:lineRule="exact"/>
              <w:rPr>
                <w:sz w:val="20"/>
                <w:szCs w:val="20"/>
                <w:color w:val="auto"/>
              </w:rPr>
            </w:pPr>
            <w:r>
              <w:rPr>
                <w:rFonts w:ascii="Arial" w:cs="Arial" w:eastAsia="Arial" w:hAnsi="Arial"/>
                <w:sz w:val="10"/>
                <w:szCs w:val="10"/>
                <w:color w:val="auto"/>
              </w:rPr>
              <w:t>4,183</w:t>
            </w:r>
          </w:p>
        </w:tc>
        <w:tc>
          <w:tcPr>
            <w:tcW w:w="108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405</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12,413</w:t>
            </w:r>
          </w:p>
        </w:tc>
        <w:tc>
          <w:tcPr>
            <w:tcW w:w="460" w:type="dxa"/>
            <w:vAlign w:val="bottom"/>
          </w:tcPr>
          <w:p>
            <w:pPr>
              <w:spacing w:after="0"/>
              <w:rPr>
                <w:sz w:val="9"/>
                <w:szCs w:val="9"/>
                <w:color w:val="auto"/>
              </w:rPr>
            </w:pPr>
          </w:p>
        </w:tc>
        <w:tc>
          <w:tcPr>
            <w:tcW w:w="92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color w:val="auto"/>
              </w:rPr>
              <w:t>4,488</w:t>
            </w:r>
          </w:p>
        </w:tc>
        <w:tc>
          <w:tcPr>
            <w:tcW w:w="1040" w:type="dxa"/>
            <w:vAlign w:val="bottom"/>
            <w:tcBorders>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246</w:t>
            </w: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13,308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520" w:type="dxa"/>
            <w:vAlign w:val="bottom"/>
            <w:tcBorders>
              <w:bottom w:val="single" w:sz="8" w:color="0077C0"/>
            </w:tcBorders>
            <w:gridSpan w:val="2"/>
          </w:tcPr>
          <w:p>
            <w:pPr>
              <w:spacing w:after="0" w:line="105" w:lineRule="exact"/>
              <w:rPr>
                <w:sz w:val="20"/>
                <w:szCs w:val="20"/>
                <w:color w:val="auto"/>
              </w:rPr>
            </w:pPr>
            <w:r>
              <w:rPr>
                <w:rFonts w:ascii="Arial" w:cs="Arial" w:eastAsia="Arial" w:hAnsi="Arial"/>
                <w:sz w:val="10"/>
                <w:szCs w:val="10"/>
                <w:b w:val="1"/>
                <w:bCs w:val="1"/>
                <w:color w:val="0077C0"/>
              </w:rPr>
              <w:t>Proved Undeveloped</w:t>
            </w:r>
          </w:p>
        </w:tc>
        <w:tc>
          <w:tcPr>
            <w:tcW w:w="940" w:type="dxa"/>
            <w:vAlign w:val="bottom"/>
            <w:tcBorders>
              <w:bottom w:val="single" w:sz="8" w:color="0077C0"/>
            </w:tcBorders>
          </w:tcPr>
          <w:p>
            <w:pPr>
              <w:spacing w:after="0"/>
              <w:rPr>
                <w:sz w:val="9"/>
                <w:szCs w:val="9"/>
                <w:color w:val="auto"/>
              </w:rPr>
            </w:pPr>
          </w:p>
        </w:tc>
        <w:tc>
          <w:tcPr>
            <w:tcW w:w="106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0077C0"/>
            </w:tcBorders>
          </w:tcPr>
          <w:p>
            <w:pPr>
              <w:spacing w:after="0"/>
              <w:rPr>
                <w:sz w:val="9"/>
                <w:szCs w:val="9"/>
                <w:color w:val="auto"/>
              </w:rPr>
            </w:pPr>
          </w:p>
        </w:tc>
        <w:tc>
          <w:tcPr>
            <w:tcW w:w="1080" w:type="dxa"/>
            <w:vAlign w:val="bottom"/>
            <w:tcBorders>
              <w:bottom w:val="single" w:sz="8" w:color="0077C0"/>
            </w:tcBorders>
          </w:tcPr>
          <w:p>
            <w:pPr>
              <w:spacing w:after="0"/>
              <w:rPr>
                <w:sz w:val="9"/>
                <w:szCs w:val="9"/>
                <w:color w:val="auto"/>
              </w:rPr>
            </w:pPr>
          </w:p>
        </w:tc>
        <w:tc>
          <w:tcPr>
            <w:tcW w:w="660" w:type="dxa"/>
            <w:vAlign w:val="bottom"/>
            <w:tcBorders>
              <w:bottom w:val="single" w:sz="8" w:color="0077C0"/>
            </w:tcBorders>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Borders>
              <w:bottom w:val="single" w:sz="8" w:color="0077C0"/>
            </w:tcBorders>
          </w:tcPr>
          <w:p>
            <w:pPr>
              <w:spacing w:after="0"/>
              <w:rPr>
                <w:sz w:val="9"/>
                <w:szCs w:val="9"/>
                <w:color w:val="auto"/>
              </w:rPr>
            </w:pPr>
          </w:p>
        </w:tc>
        <w:tc>
          <w:tcPr>
            <w:tcW w:w="1040" w:type="dxa"/>
            <w:vAlign w:val="bottom"/>
            <w:tcBorders>
              <w:bottom w:val="single" w:sz="8" w:color="0077C0"/>
            </w:tcBorders>
          </w:tcPr>
          <w:p>
            <w:pPr>
              <w:spacing w:after="0"/>
              <w:rPr>
                <w:sz w:val="9"/>
                <w:szCs w:val="9"/>
                <w:color w:val="auto"/>
              </w:rPr>
            </w:pPr>
          </w:p>
        </w:tc>
        <w:tc>
          <w:tcPr>
            <w:tcW w:w="640" w:type="dxa"/>
            <w:vAlign w:val="bottom"/>
            <w:tcBorders>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gridSpan w:val="2"/>
          </w:tcPr>
          <w:p>
            <w:pPr>
              <w:spacing w:after="0" w:line="83" w:lineRule="exact"/>
              <w:rPr>
                <w:sz w:val="20"/>
                <w:szCs w:val="20"/>
                <w:color w:val="auto"/>
              </w:rPr>
            </w:pPr>
            <w:r>
              <w:rPr>
                <w:rFonts w:ascii="Arial" w:cs="Arial" w:eastAsia="Arial" w:hAnsi="Arial"/>
                <w:sz w:val="9"/>
                <w:szCs w:val="9"/>
                <w:color w:val="auto"/>
              </w:rPr>
              <w:t>Consolidated Companies</w:t>
            </w:r>
          </w:p>
        </w:tc>
        <w:tc>
          <w:tcPr>
            <w:tcW w:w="940" w:type="dxa"/>
            <w:vAlign w:val="bottom"/>
            <w:vMerge w:val="restart"/>
          </w:tcPr>
          <w:p>
            <w:pPr>
              <w:jc w:val="right"/>
              <w:ind w:right="310"/>
              <w:spacing w:after="0"/>
              <w:rPr>
                <w:sz w:val="20"/>
                <w:szCs w:val="20"/>
                <w:color w:val="auto"/>
              </w:rPr>
            </w:pPr>
            <w:r>
              <w:rPr>
                <w:rFonts w:ascii="Arial" w:cs="Arial" w:eastAsia="Arial" w:hAnsi="Arial"/>
                <w:sz w:val="10"/>
                <w:szCs w:val="10"/>
                <w:b w:val="1"/>
                <w:bCs w:val="1"/>
                <w:color w:val="auto"/>
              </w:rPr>
              <w:t>321</w:t>
            </w:r>
          </w:p>
        </w:tc>
        <w:tc>
          <w:tcPr>
            <w:tcW w:w="1060" w:type="dxa"/>
            <w:vAlign w:val="bottom"/>
            <w:vMerge w:val="restart"/>
          </w:tcPr>
          <w:p>
            <w:pPr>
              <w:jc w:val="right"/>
              <w:ind w:right="329"/>
              <w:spacing w:after="0"/>
              <w:rPr>
                <w:sz w:val="20"/>
                <w:szCs w:val="20"/>
                <w:color w:val="auto"/>
              </w:rPr>
            </w:pPr>
            <w:r>
              <w:rPr>
                <w:rFonts w:ascii="Arial" w:cs="Arial" w:eastAsia="Arial" w:hAnsi="Arial"/>
                <w:sz w:val="10"/>
                <w:szCs w:val="10"/>
                <w:b w:val="1"/>
                <w:bCs w:val="1"/>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1,160</w:t>
            </w: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00" w:type="dxa"/>
            <w:vAlign w:val="bottom"/>
          </w:tcPr>
          <w:p>
            <w:pPr>
              <w:ind w:left="120"/>
              <w:spacing w:after="0" w:line="104" w:lineRule="exact"/>
              <w:rPr>
                <w:sz w:val="20"/>
                <w:szCs w:val="20"/>
                <w:color w:val="auto"/>
              </w:rPr>
            </w:pPr>
            <w:r>
              <w:rPr>
                <w:rFonts w:ascii="Arial" w:cs="Arial" w:eastAsia="Arial" w:hAnsi="Arial"/>
                <w:sz w:val="10"/>
                <w:szCs w:val="10"/>
                <w:color w:val="auto"/>
              </w:rPr>
              <w:t>U.S.</w:t>
            </w:r>
          </w:p>
        </w:tc>
        <w:tc>
          <w:tcPr>
            <w:tcW w:w="9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4" w:lineRule="exact"/>
              <w:rPr>
                <w:sz w:val="20"/>
                <w:szCs w:val="20"/>
                <w:color w:val="auto"/>
              </w:rPr>
            </w:pPr>
            <w:r>
              <w:rPr>
                <w:rFonts w:ascii="Arial" w:cs="Arial" w:eastAsia="Arial" w:hAnsi="Arial"/>
                <w:sz w:val="10"/>
                <w:szCs w:val="10"/>
                <w:color w:val="auto"/>
              </w:rPr>
              <w:t>230</w:t>
            </w:r>
          </w:p>
        </w:tc>
        <w:tc>
          <w:tcPr>
            <w:tcW w:w="108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4" w:lineRule="exact"/>
              <w:rPr>
                <w:sz w:val="20"/>
                <w:szCs w:val="20"/>
                <w:color w:val="auto"/>
              </w:rPr>
            </w:pPr>
            <w:r>
              <w:rPr>
                <w:rFonts w:ascii="Arial" w:cs="Arial" w:eastAsia="Arial" w:hAnsi="Arial"/>
                <w:sz w:val="10"/>
                <w:szCs w:val="10"/>
                <w:color w:val="auto"/>
              </w:rPr>
              <w:t>359</w:t>
            </w:r>
          </w:p>
        </w:tc>
        <w:tc>
          <w:tcPr>
            <w:tcW w:w="460" w:type="dxa"/>
            <w:vAlign w:val="bottom"/>
          </w:tcPr>
          <w:p>
            <w:pPr>
              <w:spacing w:after="0"/>
              <w:rPr>
                <w:sz w:val="9"/>
                <w:szCs w:val="9"/>
                <w:color w:val="auto"/>
              </w:rPr>
            </w:pPr>
          </w:p>
        </w:tc>
        <w:tc>
          <w:tcPr>
            <w:tcW w:w="920" w:type="dxa"/>
            <w:vAlign w:val="bottom"/>
          </w:tcPr>
          <w:p>
            <w:pPr>
              <w:jc w:val="right"/>
              <w:ind w:right="310"/>
              <w:spacing w:after="0" w:line="104" w:lineRule="exact"/>
              <w:rPr>
                <w:sz w:val="20"/>
                <w:szCs w:val="20"/>
                <w:color w:val="auto"/>
              </w:rPr>
            </w:pPr>
            <w:r>
              <w:rPr>
                <w:rFonts w:ascii="Arial" w:cs="Arial" w:eastAsia="Arial" w:hAnsi="Arial"/>
                <w:sz w:val="10"/>
                <w:szCs w:val="10"/>
                <w:color w:val="auto"/>
              </w:rPr>
              <w:t>239</w:t>
            </w:r>
          </w:p>
        </w:tc>
        <w:tc>
          <w:tcPr>
            <w:tcW w:w="10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384</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Other Americas</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31</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120</w:t>
            </w:r>
          </w:p>
        </w:tc>
        <w:tc>
          <w:tcPr>
            <w:tcW w:w="66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517</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24</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114</w:t>
            </w: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325</w:t>
            </w:r>
          </w:p>
        </w:tc>
        <w:tc>
          <w:tcPr>
            <w:tcW w:w="460" w:type="dxa"/>
            <w:vAlign w:val="bottom"/>
          </w:tcPr>
          <w:p>
            <w:pPr>
              <w:spacing w:after="0"/>
              <w:rPr>
                <w:sz w:val="9"/>
                <w:szCs w:val="9"/>
                <w:color w:val="auto"/>
              </w:rPr>
            </w:pP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38</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270</w:t>
            </w: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307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Africa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363</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1,920</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338</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1,640</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426</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2,043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Asia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191</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2,421</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187</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2,357</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245</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2,798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ind w:left="120"/>
              <w:spacing w:after="0" w:line="106" w:lineRule="exact"/>
              <w:rPr>
                <w:sz w:val="20"/>
                <w:szCs w:val="20"/>
                <w:color w:val="auto"/>
              </w:rPr>
            </w:pPr>
            <w:r>
              <w:rPr>
                <w:rFonts w:ascii="Arial" w:cs="Arial" w:eastAsia="Arial" w:hAnsi="Arial"/>
                <w:sz w:val="10"/>
                <w:szCs w:val="10"/>
                <w:color w:val="auto"/>
              </w:rPr>
              <w:t>Australia</w:t>
            </w:r>
          </w:p>
        </w:tc>
        <w:tc>
          <w:tcPr>
            <w:tcW w:w="94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101</w:t>
            </w:r>
          </w:p>
        </w:tc>
        <w:tc>
          <w:tcPr>
            <w:tcW w:w="1060" w:type="dxa"/>
            <w:vAlign w:val="bottom"/>
          </w:tcPr>
          <w:p>
            <w:pPr>
              <w:jc w:val="right"/>
              <w:ind w:right="329"/>
              <w:spacing w:after="0" w:line="106" w:lineRule="exact"/>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8,931</w:t>
            </w:r>
          </w:p>
        </w:tc>
        <w:tc>
          <w:tcPr>
            <w:tcW w:w="440" w:type="dxa"/>
            <w:vAlign w:val="bottom"/>
          </w:tcPr>
          <w:p>
            <w:pPr>
              <w:spacing w:after="0"/>
              <w:rPr>
                <w:sz w:val="9"/>
                <w:szCs w:val="9"/>
                <w:color w:val="auto"/>
              </w:rPr>
            </w:pP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49</w:t>
            </w:r>
          </w:p>
        </w:tc>
        <w:tc>
          <w:tcPr>
            <w:tcW w:w="1080" w:type="dxa"/>
            <w:vAlign w:val="bottom"/>
          </w:tcPr>
          <w:p>
            <w:pPr>
              <w:jc w:val="right"/>
              <w:ind w:right="329"/>
              <w:spacing w:after="0" w:line="106" w:lineRule="exact"/>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5,175</w:t>
            </w:r>
          </w:p>
        </w:tc>
        <w:tc>
          <w:tcPr>
            <w:tcW w:w="92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48</w:t>
            </w:r>
          </w:p>
        </w:tc>
        <w:tc>
          <w:tcPr>
            <w:tcW w:w="104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5,174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Borders>
              <w:bottom w:val="single" w:sz="8" w:color="0077C0"/>
            </w:tcBorders>
          </w:tcPr>
          <w:p>
            <w:pPr>
              <w:ind w:left="120"/>
              <w:spacing w:after="0"/>
              <w:rPr>
                <w:sz w:val="20"/>
                <w:szCs w:val="20"/>
                <w:color w:val="auto"/>
              </w:rPr>
            </w:pPr>
            <w:r>
              <w:rPr>
                <w:rFonts w:ascii="Arial" w:cs="Arial" w:eastAsia="Arial" w:hAnsi="Arial"/>
                <w:sz w:val="10"/>
                <w:szCs w:val="10"/>
                <w:color w:val="auto"/>
              </w:rPr>
              <w:t>Europe</w:t>
            </w:r>
          </w:p>
        </w:tc>
        <w:tc>
          <w:tcPr>
            <w:tcW w:w="94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b w:val="1"/>
                <w:bCs w:val="1"/>
                <w:color w:val="auto"/>
              </w:rPr>
              <w:t>43</w:t>
            </w:r>
          </w:p>
        </w:tc>
        <w:tc>
          <w:tcPr>
            <w:tcW w:w="106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b w:val="1"/>
                <w:bCs w:val="1"/>
                <w:color w:val="auto"/>
              </w:rPr>
              <w:t>54</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Borders>
              <w:bottom w:val="single" w:sz="8" w:color="0077C0"/>
            </w:tcBorders>
          </w:tcPr>
          <w:p>
            <w:pPr>
              <w:jc w:val="right"/>
              <w:ind w:right="290"/>
              <w:spacing w:after="0"/>
              <w:rPr>
                <w:sz w:val="20"/>
                <w:szCs w:val="20"/>
                <w:color w:val="auto"/>
              </w:rPr>
            </w:pPr>
            <w:r>
              <w:rPr>
                <w:rFonts w:ascii="Arial" w:cs="Arial" w:eastAsia="Arial" w:hAnsi="Arial"/>
                <w:sz w:val="10"/>
                <w:szCs w:val="10"/>
                <w:color w:val="auto"/>
              </w:rPr>
              <w:t>16</w:t>
            </w:r>
          </w:p>
        </w:tc>
        <w:tc>
          <w:tcPr>
            <w:tcW w:w="1080" w:type="dxa"/>
            <w:vAlign w:val="bottom"/>
            <w:tcBorders>
              <w:bottom w:val="single" w:sz="8" w:color="0077C0"/>
            </w:tcBorders>
          </w:tcPr>
          <w:p>
            <w:pPr>
              <w:jc w:val="right"/>
              <w:ind w:right="329"/>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40</w:t>
            </w:r>
          </w:p>
        </w:tc>
        <w:tc>
          <w:tcPr>
            <w:tcW w:w="460" w:type="dxa"/>
            <w:vAlign w:val="bottom"/>
          </w:tcPr>
          <w:p>
            <w:pPr>
              <w:spacing w:after="0"/>
              <w:rPr>
                <w:sz w:val="11"/>
                <w:szCs w:val="11"/>
                <w:color w:val="auto"/>
              </w:rPr>
            </w:pPr>
          </w:p>
        </w:tc>
        <w:tc>
          <w:tcPr>
            <w:tcW w:w="920" w:type="dxa"/>
            <w:vAlign w:val="bottom"/>
            <w:tcBorders>
              <w:bottom w:val="single" w:sz="8" w:color="0077C0"/>
            </w:tcBorders>
          </w:tcPr>
          <w:p>
            <w:pPr>
              <w:jc w:val="right"/>
              <w:ind w:right="310"/>
              <w:spacing w:after="0"/>
              <w:rPr>
                <w:sz w:val="20"/>
                <w:szCs w:val="20"/>
                <w:color w:val="auto"/>
              </w:rPr>
            </w:pPr>
            <w:r>
              <w:rPr>
                <w:rFonts w:ascii="Arial" w:cs="Arial" w:eastAsia="Arial" w:hAnsi="Arial"/>
                <w:sz w:val="10"/>
                <w:szCs w:val="10"/>
                <w:color w:val="auto"/>
              </w:rPr>
              <w:t>19</w:t>
            </w:r>
          </w:p>
        </w:tc>
        <w:tc>
          <w:tcPr>
            <w:tcW w:w="1040" w:type="dxa"/>
            <w:vAlign w:val="bottom"/>
            <w:tcBorders>
              <w:bottom w:val="single" w:sz="8" w:color="0077C0"/>
            </w:tcBorders>
          </w:tcPr>
          <w:p>
            <w:pPr>
              <w:jc w:val="right"/>
              <w:ind w:right="309"/>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rPr>
              <w:t>42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00" w:type="dxa"/>
            <w:vAlign w:val="bottom"/>
            <w:tcBorders>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Consolidated</w:t>
            </w:r>
          </w:p>
        </w:tc>
        <w:tc>
          <w:tcPr>
            <w:tcW w:w="94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1,050</w:t>
            </w:r>
          </w:p>
        </w:tc>
        <w:tc>
          <w:tcPr>
            <w:tcW w:w="106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b w:val="1"/>
                <w:bCs w:val="1"/>
                <w:color w:val="auto"/>
              </w:rPr>
              <w:t>120</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15,003</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0077C0"/>
            </w:tcBorders>
          </w:tcPr>
          <w:p>
            <w:pPr>
              <w:jc w:val="right"/>
              <w:ind w:right="290"/>
              <w:spacing w:after="0" w:line="105" w:lineRule="exact"/>
              <w:rPr>
                <w:sz w:val="20"/>
                <w:szCs w:val="20"/>
                <w:color w:val="auto"/>
              </w:rPr>
            </w:pPr>
            <w:r>
              <w:rPr>
                <w:rFonts w:ascii="Arial" w:cs="Arial" w:eastAsia="Arial" w:hAnsi="Arial"/>
                <w:sz w:val="10"/>
                <w:szCs w:val="10"/>
                <w:color w:val="auto"/>
              </w:rPr>
              <w:t>844</w:t>
            </w:r>
          </w:p>
        </w:tc>
        <w:tc>
          <w:tcPr>
            <w:tcW w:w="1080" w:type="dxa"/>
            <w:vAlign w:val="bottom"/>
            <w:tcBorders>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114</w:t>
            </w:r>
          </w:p>
        </w:tc>
        <w:tc>
          <w:tcPr>
            <w:tcW w:w="66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9,896</w:t>
            </w:r>
          </w:p>
        </w:tc>
        <w:tc>
          <w:tcPr>
            <w:tcW w:w="460" w:type="dxa"/>
            <w:vAlign w:val="bottom"/>
          </w:tcPr>
          <w:p>
            <w:pPr>
              <w:spacing w:after="0"/>
              <w:rPr>
                <w:sz w:val="9"/>
                <w:szCs w:val="9"/>
                <w:color w:val="auto"/>
              </w:rPr>
            </w:pPr>
          </w:p>
        </w:tc>
        <w:tc>
          <w:tcPr>
            <w:tcW w:w="920" w:type="dxa"/>
            <w:vAlign w:val="bottom"/>
            <w:tcBorders>
              <w:bottom w:val="single" w:sz="8" w:color="0077C0"/>
            </w:tcBorders>
          </w:tcPr>
          <w:p>
            <w:pPr>
              <w:jc w:val="right"/>
              <w:ind w:right="310"/>
              <w:spacing w:after="0" w:line="105" w:lineRule="exact"/>
              <w:rPr>
                <w:sz w:val="20"/>
                <w:szCs w:val="20"/>
                <w:color w:val="auto"/>
              </w:rPr>
            </w:pPr>
            <w:r>
              <w:rPr>
                <w:rFonts w:ascii="Arial" w:cs="Arial" w:eastAsia="Arial" w:hAnsi="Arial"/>
                <w:sz w:val="10"/>
                <w:szCs w:val="10"/>
                <w:color w:val="auto"/>
              </w:rPr>
              <w:t>1,015</w:t>
            </w:r>
          </w:p>
        </w:tc>
        <w:tc>
          <w:tcPr>
            <w:tcW w:w="1040" w:type="dxa"/>
            <w:vAlign w:val="bottom"/>
            <w:tcBorders>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270</w:t>
            </w:r>
          </w:p>
        </w:tc>
        <w:tc>
          <w:tcPr>
            <w:tcW w:w="640" w:type="dxa"/>
            <w:vAlign w:val="bottom"/>
            <w:tcBorders>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10,748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520" w:type="dxa"/>
            <w:vAlign w:val="bottom"/>
            <w:gridSpan w:val="2"/>
          </w:tcPr>
          <w:p>
            <w:pPr>
              <w:spacing w:after="0" w:line="83" w:lineRule="exact"/>
              <w:rPr>
                <w:sz w:val="20"/>
                <w:szCs w:val="20"/>
                <w:color w:val="auto"/>
              </w:rPr>
            </w:pPr>
            <w:r>
              <w:rPr>
                <w:rFonts w:ascii="Arial" w:cs="Arial" w:eastAsia="Arial" w:hAnsi="Arial"/>
                <w:sz w:val="9"/>
                <w:szCs w:val="9"/>
                <w:color w:val="auto"/>
              </w:rPr>
              <w:t>Affiliated Companies</w:t>
            </w:r>
          </w:p>
        </w:tc>
        <w:tc>
          <w:tcPr>
            <w:tcW w:w="940" w:type="dxa"/>
            <w:vAlign w:val="bottom"/>
            <w:vMerge w:val="restart"/>
          </w:tcPr>
          <w:p>
            <w:pPr>
              <w:jc w:val="right"/>
              <w:ind w:right="310"/>
              <w:spacing w:after="0"/>
              <w:rPr>
                <w:sz w:val="20"/>
                <w:szCs w:val="20"/>
                <w:color w:val="auto"/>
              </w:rPr>
            </w:pPr>
            <w:r>
              <w:rPr>
                <w:rFonts w:ascii="Arial" w:cs="Arial" w:eastAsia="Arial" w:hAnsi="Arial"/>
                <w:sz w:val="10"/>
                <w:szCs w:val="10"/>
                <w:b w:val="1"/>
                <w:bCs w:val="1"/>
                <w:color w:val="auto"/>
              </w:rPr>
              <w:t>740</w:t>
            </w:r>
          </w:p>
        </w:tc>
        <w:tc>
          <w:tcPr>
            <w:tcW w:w="1060" w:type="dxa"/>
            <w:vAlign w:val="bottom"/>
            <w:vMerge w:val="restart"/>
          </w:tcPr>
          <w:p>
            <w:pPr>
              <w:jc w:val="right"/>
              <w:ind w:right="329"/>
              <w:spacing w:after="0"/>
              <w:rPr>
                <w:sz w:val="20"/>
                <w:szCs w:val="20"/>
                <w:color w:val="auto"/>
              </w:rPr>
            </w:pPr>
            <w:r>
              <w:rPr>
                <w:rFonts w:ascii="Arial" w:cs="Arial" w:eastAsia="Arial" w:hAnsi="Arial"/>
                <w:sz w:val="10"/>
                <w:szCs w:val="10"/>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851</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00" w:type="dxa"/>
            <w:vAlign w:val="bottom"/>
          </w:tcPr>
          <w:p>
            <w:pPr>
              <w:ind w:left="120"/>
              <w:spacing w:after="0" w:line="104" w:lineRule="exact"/>
              <w:rPr>
                <w:sz w:val="20"/>
                <w:szCs w:val="20"/>
                <w:color w:val="auto"/>
              </w:rPr>
            </w:pPr>
            <w:r>
              <w:rPr>
                <w:rFonts w:ascii="Arial" w:cs="Arial" w:eastAsia="Arial" w:hAnsi="Arial"/>
                <w:sz w:val="10"/>
                <w:szCs w:val="10"/>
                <w:color w:val="auto"/>
              </w:rPr>
              <w:t>TCO</w:t>
            </w:r>
          </w:p>
        </w:tc>
        <w:tc>
          <w:tcPr>
            <w:tcW w:w="9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jc w:val="right"/>
              <w:ind w:right="290"/>
              <w:spacing w:after="0" w:line="104" w:lineRule="exact"/>
              <w:rPr>
                <w:sz w:val="20"/>
                <w:szCs w:val="20"/>
                <w:color w:val="auto"/>
              </w:rPr>
            </w:pPr>
            <w:r>
              <w:rPr>
                <w:rFonts w:ascii="Arial" w:cs="Arial" w:eastAsia="Arial" w:hAnsi="Arial"/>
                <w:sz w:val="10"/>
                <w:szCs w:val="10"/>
                <w:color w:val="auto"/>
              </w:rPr>
              <w:t>692</w:t>
            </w:r>
          </w:p>
        </w:tc>
        <w:tc>
          <w:tcPr>
            <w:tcW w:w="1080" w:type="dxa"/>
            <w:vAlign w:val="bottom"/>
          </w:tcPr>
          <w:p>
            <w:pPr>
              <w:jc w:val="right"/>
              <w:ind w:right="329"/>
              <w:spacing w:after="0" w:line="104"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4" w:lineRule="exact"/>
              <w:rPr>
                <w:sz w:val="20"/>
                <w:szCs w:val="20"/>
                <w:color w:val="auto"/>
              </w:rPr>
            </w:pPr>
            <w:r>
              <w:rPr>
                <w:rFonts w:ascii="Arial" w:cs="Arial" w:eastAsia="Arial" w:hAnsi="Arial"/>
                <w:sz w:val="10"/>
                <w:szCs w:val="10"/>
                <w:color w:val="auto"/>
              </w:rPr>
              <w:t>902</w:t>
            </w:r>
          </w:p>
        </w:tc>
        <w:tc>
          <w:tcPr>
            <w:tcW w:w="460" w:type="dxa"/>
            <w:vAlign w:val="bottom"/>
          </w:tcPr>
          <w:p>
            <w:pPr>
              <w:spacing w:after="0"/>
              <w:rPr>
                <w:sz w:val="9"/>
                <w:szCs w:val="9"/>
                <w:color w:val="auto"/>
              </w:rPr>
            </w:pPr>
          </w:p>
        </w:tc>
        <w:tc>
          <w:tcPr>
            <w:tcW w:w="920" w:type="dxa"/>
            <w:vAlign w:val="bottom"/>
          </w:tcPr>
          <w:p>
            <w:pPr>
              <w:jc w:val="right"/>
              <w:ind w:right="310"/>
              <w:spacing w:after="0" w:line="104" w:lineRule="exact"/>
              <w:rPr>
                <w:sz w:val="20"/>
                <w:szCs w:val="20"/>
                <w:color w:val="auto"/>
              </w:rPr>
            </w:pPr>
            <w:r>
              <w:rPr>
                <w:rFonts w:ascii="Arial" w:cs="Arial" w:eastAsia="Arial" w:hAnsi="Arial"/>
                <w:sz w:val="10"/>
                <w:szCs w:val="10"/>
                <w:color w:val="auto"/>
              </w:rPr>
              <w:t>690</w:t>
            </w:r>
          </w:p>
        </w:tc>
        <w:tc>
          <w:tcPr>
            <w:tcW w:w="1040" w:type="dxa"/>
            <w:vAlign w:val="bottom"/>
          </w:tcPr>
          <w:p>
            <w:pPr>
              <w:jc w:val="right"/>
              <w:ind w:right="309"/>
              <w:spacing w:after="0" w:line="104"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0"/>
              <w:spacing w:after="0" w:line="104" w:lineRule="exact"/>
              <w:rPr>
                <w:sz w:val="20"/>
                <w:szCs w:val="20"/>
                <w:color w:val="auto"/>
              </w:rPr>
            </w:pPr>
            <w:r>
              <w:rPr>
                <w:rFonts w:ascii="Arial" w:cs="Arial" w:eastAsia="Arial" w:hAnsi="Arial"/>
                <w:sz w:val="10"/>
                <w:szCs w:val="10"/>
                <w:color w:val="auto"/>
              </w:rPr>
              <w:t>1,003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ind w:left="120"/>
              <w:spacing w:after="0"/>
              <w:rPr>
                <w:sz w:val="20"/>
                <w:szCs w:val="20"/>
                <w:color w:val="auto"/>
              </w:rPr>
            </w:pPr>
            <w:r>
              <w:rPr>
                <w:rFonts w:ascii="Arial" w:cs="Arial" w:eastAsia="Arial" w:hAnsi="Arial"/>
                <w:sz w:val="10"/>
                <w:szCs w:val="10"/>
                <w:color w:val="auto"/>
              </w:rPr>
              <w:t>Other</w:t>
            </w:r>
          </w:p>
        </w:tc>
        <w:tc>
          <w:tcPr>
            <w:tcW w:w="940" w:type="dxa"/>
            <w:vAlign w:val="bottom"/>
          </w:tcPr>
          <w:p>
            <w:pPr>
              <w:jc w:val="right"/>
              <w:ind w:right="310"/>
              <w:spacing w:after="0"/>
              <w:rPr>
                <w:sz w:val="20"/>
                <w:szCs w:val="20"/>
                <w:color w:val="auto"/>
              </w:rPr>
            </w:pPr>
            <w:r>
              <w:rPr>
                <w:rFonts w:ascii="Arial" w:cs="Arial" w:eastAsia="Arial" w:hAnsi="Arial"/>
                <w:sz w:val="10"/>
                <w:szCs w:val="10"/>
                <w:b w:val="1"/>
                <w:bCs w:val="1"/>
                <w:color w:val="auto"/>
              </w:rPr>
              <w:t>64</w:t>
            </w:r>
          </w:p>
        </w:tc>
        <w:tc>
          <w:tcPr>
            <w:tcW w:w="1060" w:type="dxa"/>
            <w:vAlign w:val="bottom"/>
          </w:tcPr>
          <w:p>
            <w:pPr>
              <w:jc w:val="right"/>
              <w:ind w:right="329"/>
              <w:spacing w:after="0"/>
              <w:rPr>
                <w:sz w:val="20"/>
                <w:szCs w:val="20"/>
                <w:color w:val="auto"/>
              </w:rPr>
            </w:pPr>
            <w:r>
              <w:rPr>
                <w:rFonts w:ascii="Arial" w:cs="Arial" w:eastAsia="Arial" w:hAnsi="Arial"/>
                <w:sz w:val="10"/>
                <w:szCs w:val="10"/>
                <w:b w:val="1"/>
                <w:bCs w:val="1"/>
                <w:color w:val="auto"/>
              </w:rPr>
              <w:t>194</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1,128</w:t>
            </w:r>
          </w:p>
        </w:tc>
        <w:tc>
          <w:tcPr>
            <w:tcW w:w="440" w:type="dxa"/>
            <w:vAlign w:val="bottom"/>
          </w:tcPr>
          <w:p>
            <w:pPr>
              <w:spacing w:after="0"/>
              <w:rPr>
                <w:sz w:val="11"/>
                <w:szCs w:val="11"/>
                <w:color w:val="auto"/>
              </w:rPr>
            </w:pPr>
          </w:p>
        </w:tc>
        <w:tc>
          <w:tcPr>
            <w:tcW w:w="920" w:type="dxa"/>
            <w:vAlign w:val="bottom"/>
          </w:tcPr>
          <w:p>
            <w:pPr>
              <w:jc w:val="right"/>
              <w:ind w:right="290"/>
              <w:spacing w:after="0"/>
              <w:rPr>
                <w:sz w:val="20"/>
                <w:szCs w:val="20"/>
                <w:color w:val="auto"/>
              </w:rPr>
            </w:pPr>
            <w:r>
              <w:rPr>
                <w:rFonts w:ascii="Arial" w:cs="Arial" w:eastAsia="Arial" w:hAnsi="Arial"/>
                <w:sz w:val="10"/>
                <w:szCs w:val="10"/>
                <w:color w:val="auto"/>
              </w:rPr>
              <w:t>62</w:t>
            </w:r>
          </w:p>
        </w:tc>
        <w:tc>
          <w:tcPr>
            <w:tcW w:w="1080" w:type="dxa"/>
            <w:vAlign w:val="bottom"/>
          </w:tcPr>
          <w:p>
            <w:pPr>
              <w:jc w:val="right"/>
              <w:ind w:right="329"/>
              <w:spacing w:after="0"/>
              <w:rPr>
                <w:sz w:val="20"/>
                <w:szCs w:val="20"/>
                <w:color w:val="auto"/>
              </w:rPr>
            </w:pPr>
            <w:r>
              <w:rPr>
                <w:rFonts w:ascii="Arial" w:cs="Arial" w:eastAsia="Arial" w:hAnsi="Arial"/>
                <w:sz w:val="10"/>
                <w:szCs w:val="10"/>
                <w:color w:val="auto"/>
              </w:rPr>
              <w:t>203</w:t>
            </w:r>
          </w:p>
        </w:tc>
        <w:tc>
          <w:tcPr>
            <w:tcW w:w="1120" w:type="dxa"/>
            <w:vAlign w:val="bottom"/>
            <w:gridSpan w:val="2"/>
          </w:tcPr>
          <w:p>
            <w:pPr>
              <w:jc w:val="right"/>
              <w:ind w:right="460"/>
              <w:spacing w:after="0"/>
              <w:rPr>
                <w:sz w:val="20"/>
                <w:szCs w:val="20"/>
                <w:color w:val="auto"/>
              </w:rPr>
            </w:pPr>
            <w:r>
              <w:rPr>
                <w:rFonts w:ascii="Arial" w:cs="Arial" w:eastAsia="Arial" w:hAnsi="Arial"/>
                <w:sz w:val="10"/>
                <w:szCs w:val="10"/>
                <w:color w:val="auto"/>
              </w:rPr>
              <w:t>1,040</w:t>
            </w:r>
          </w:p>
        </w:tc>
        <w:tc>
          <w:tcPr>
            <w:tcW w:w="920" w:type="dxa"/>
            <w:vAlign w:val="bottom"/>
          </w:tcPr>
          <w:p>
            <w:pPr>
              <w:jc w:val="right"/>
              <w:ind w:right="310"/>
              <w:spacing w:after="0"/>
              <w:rPr>
                <w:sz w:val="20"/>
                <w:szCs w:val="20"/>
                <w:color w:val="auto"/>
              </w:rPr>
            </w:pPr>
            <w:r>
              <w:rPr>
                <w:rFonts w:ascii="Arial" w:cs="Arial" w:eastAsia="Arial" w:hAnsi="Arial"/>
                <w:sz w:val="10"/>
                <w:szCs w:val="10"/>
                <w:color w:val="auto"/>
              </w:rPr>
              <w:t>54</w:t>
            </w:r>
          </w:p>
        </w:tc>
        <w:tc>
          <w:tcPr>
            <w:tcW w:w="1040" w:type="dxa"/>
            <w:vAlign w:val="bottom"/>
          </w:tcPr>
          <w:p>
            <w:pPr>
              <w:jc w:val="right"/>
              <w:ind w:right="309"/>
              <w:spacing w:after="0"/>
              <w:rPr>
                <w:sz w:val="20"/>
                <w:szCs w:val="20"/>
                <w:color w:val="auto"/>
              </w:rPr>
            </w:pPr>
            <w:r>
              <w:rPr>
                <w:rFonts w:ascii="Arial" w:cs="Arial" w:eastAsia="Arial" w:hAnsi="Arial"/>
                <w:sz w:val="10"/>
                <w:szCs w:val="10"/>
                <w:color w:val="auto"/>
              </w:rPr>
              <w:t>210</w:t>
            </w:r>
          </w:p>
        </w:tc>
        <w:tc>
          <w:tcPr>
            <w:tcW w:w="640" w:type="dxa"/>
            <w:vAlign w:val="bottom"/>
          </w:tcPr>
          <w:p>
            <w:pPr>
              <w:jc w:val="right"/>
              <w:spacing w:after="0"/>
              <w:rPr>
                <w:sz w:val="20"/>
                <w:szCs w:val="20"/>
                <w:color w:val="auto"/>
              </w:rPr>
            </w:pPr>
            <w:r>
              <w:rPr>
                <w:rFonts w:ascii="Arial" w:cs="Arial" w:eastAsia="Arial" w:hAnsi="Arial"/>
                <w:sz w:val="10"/>
                <w:szCs w:val="10"/>
                <w:color w:val="auto"/>
              </w:rPr>
              <w:t>990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077C0"/>
            </w:tcBorders>
          </w:tcPr>
          <w:p>
            <w:pPr>
              <w:spacing w:after="0"/>
              <w:rPr>
                <w:sz w:val="9"/>
                <w:szCs w:val="9"/>
                <w:color w:val="auto"/>
              </w:rPr>
            </w:pPr>
          </w:p>
        </w:tc>
        <w:tc>
          <w:tcPr>
            <w:tcW w:w="250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Total Consolidated and Affiliated Companies</w:t>
            </w:r>
          </w:p>
        </w:tc>
        <w:tc>
          <w:tcPr>
            <w:tcW w:w="940" w:type="dxa"/>
            <w:vAlign w:val="bottom"/>
            <w:tcBorders>
              <w:top w:val="single" w:sz="8" w:color="0077C0"/>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1,854</w:t>
            </w:r>
          </w:p>
        </w:tc>
        <w:tc>
          <w:tcPr>
            <w:tcW w:w="106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b w:val="1"/>
                <w:bCs w:val="1"/>
                <w:color w:val="auto"/>
              </w:rPr>
              <w:t>314</w:t>
            </w:r>
          </w:p>
        </w:tc>
        <w:tc>
          <w:tcPr>
            <w:tcW w:w="68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16,982</w:t>
            </w:r>
          </w:p>
        </w:tc>
        <w:tc>
          <w:tcPr>
            <w:tcW w:w="440" w:type="dxa"/>
            <w:vAlign w:val="bottom"/>
          </w:tcPr>
          <w:p>
            <w:pPr>
              <w:spacing w:after="0"/>
              <w:rPr>
                <w:sz w:val="9"/>
                <w:szCs w:val="9"/>
                <w:color w:val="auto"/>
              </w:rPr>
            </w:pPr>
          </w:p>
        </w:tc>
        <w:tc>
          <w:tcPr>
            <w:tcW w:w="920" w:type="dxa"/>
            <w:vAlign w:val="bottom"/>
            <w:tcBorders>
              <w:top w:val="single" w:sz="8" w:color="0077C0"/>
              <w:bottom w:val="single" w:sz="8" w:color="0077C0"/>
            </w:tcBorders>
          </w:tcPr>
          <w:p>
            <w:pPr>
              <w:jc w:val="right"/>
              <w:ind w:right="290"/>
              <w:spacing w:after="0" w:line="105" w:lineRule="exact"/>
              <w:rPr>
                <w:sz w:val="20"/>
                <w:szCs w:val="20"/>
                <w:color w:val="auto"/>
              </w:rPr>
            </w:pPr>
            <w:r>
              <w:rPr>
                <w:rFonts w:ascii="Arial" w:cs="Arial" w:eastAsia="Arial" w:hAnsi="Arial"/>
                <w:sz w:val="10"/>
                <w:szCs w:val="10"/>
                <w:color w:val="auto"/>
              </w:rPr>
              <w:t>1,598</w:t>
            </w:r>
          </w:p>
        </w:tc>
        <w:tc>
          <w:tcPr>
            <w:tcW w:w="1080" w:type="dxa"/>
            <w:vAlign w:val="bottom"/>
            <w:tcBorders>
              <w:top w:val="single" w:sz="8" w:color="0077C0"/>
              <w:bottom w:val="single" w:sz="8" w:color="0077C0"/>
            </w:tcBorders>
          </w:tcPr>
          <w:p>
            <w:pPr>
              <w:jc w:val="right"/>
              <w:ind w:right="329"/>
              <w:spacing w:after="0" w:line="105" w:lineRule="exact"/>
              <w:rPr>
                <w:sz w:val="20"/>
                <w:szCs w:val="20"/>
                <w:color w:val="auto"/>
              </w:rPr>
            </w:pPr>
            <w:r>
              <w:rPr>
                <w:rFonts w:ascii="Arial" w:cs="Arial" w:eastAsia="Arial" w:hAnsi="Arial"/>
                <w:sz w:val="10"/>
                <w:szCs w:val="10"/>
                <w:color w:val="auto"/>
              </w:rPr>
              <w:t>317</w:t>
            </w:r>
          </w:p>
        </w:tc>
        <w:tc>
          <w:tcPr>
            <w:tcW w:w="66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11,838</w:t>
            </w:r>
          </w:p>
        </w:tc>
        <w:tc>
          <w:tcPr>
            <w:tcW w:w="460" w:type="dxa"/>
            <w:vAlign w:val="bottom"/>
          </w:tcPr>
          <w:p>
            <w:pPr>
              <w:spacing w:after="0"/>
              <w:rPr>
                <w:sz w:val="9"/>
                <w:szCs w:val="9"/>
                <w:color w:val="auto"/>
              </w:rPr>
            </w:pPr>
          </w:p>
        </w:tc>
        <w:tc>
          <w:tcPr>
            <w:tcW w:w="920" w:type="dxa"/>
            <w:vAlign w:val="bottom"/>
            <w:tcBorders>
              <w:top w:val="single" w:sz="8" w:color="0077C0"/>
              <w:bottom w:val="single" w:sz="8" w:color="0077C0"/>
            </w:tcBorders>
          </w:tcPr>
          <w:p>
            <w:pPr>
              <w:jc w:val="right"/>
              <w:ind w:right="310"/>
              <w:spacing w:after="0" w:line="105" w:lineRule="exact"/>
              <w:rPr>
                <w:sz w:val="20"/>
                <w:szCs w:val="20"/>
                <w:color w:val="auto"/>
              </w:rPr>
            </w:pPr>
            <w:r>
              <w:rPr>
                <w:rFonts w:ascii="Arial" w:cs="Arial" w:eastAsia="Arial" w:hAnsi="Arial"/>
                <w:sz w:val="10"/>
                <w:szCs w:val="10"/>
                <w:color w:val="auto"/>
              </w:rPr>
              <w:t>1,759</w:t>
            </w:r>
          </w:p>
        </w:tc>
        <w:tc>
          <w:tcPr>
            <w:tcW w:w="104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color w:val="auto"/>
              </w:rPr>
              <w:t>480</w:t>
            </w:r>
          </w:p>
        </w:tc>
        <w:tc>
          <w:tcPr>
            <w:tcW w:w="64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color w:val="auto"/>
              </w:rPr>
              <w:t>12,741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20" w:type="dxa"/>
            <w:vAlign w:val="bottom"/>
            <w:tcBorders>
              <w:bottom w:val="single" w:sz="8" w:color="0077C0"/>
            </w:tcBorders>
            <w:gridSpan w:val="2"/>
          </w:tcPr>
          <w:p>
            <w:pPr>
              <w:spacing w:after="0" w:line="95" w:lineRule="exact"/>
              <w:rPr>
                <w:sz w:val="20"/>
                <w:szCs w:val="20"/>
                <w:color w:val="auto"/>
              </w:rPr>
            </w:pPr>
            <w:r>
              <w:rPr>
                <w:rFonts w:ascii="Arial" w:cs="Arial" w:eastAsia="Arial" w:hAnsi="Arial"/>
                <w:sz w:val="10"/>
                <w:szCs w:val="10"/>
                <w:b w:val="1"/>
                <w:bCs w:val="1"/>
                <w:color w:val="0077C0"/>
              </w:rPr>
              <w:t>Total Proved Reserves</w:t>
            </w:r>
          </w:p>
        </w:tc>
        <w:tc>
          <w:tcPr>
            <w:tcW w:w="940" w:type="dxa"/>
            <w:vAlign w:val="bottom"/>
            <w:tcBorders>
              <w:bottom w:val="single" w:sz="8" w:color="0077C0"/>
            </w:tcBorders>
          </w:tcPr>
          <w:p>
            <w:pPr>
              <w:jc w:val="right"/>
              <w:ind w:right="310"/>
              <w:spacing w:after="0" w:line="95" w:lineRule="exact"/>
              <w:rPr>
                <w:sz w:val="20"/>
                <w:szCs w:val="20"/>
                <w:color w:val="auto"/>
              </w:rPr>
            </w:pPr>
            <w:r>
              <w:rPr>
                <w:rFonts w:ascii="Arial" w:cs="Arial" w:eastAsia="Arial" w:hAnsi="Arial"/>
                <w:sz w:val="10"/>
                <w:szCs w:val="10"/>
                <w:b w:val="1"/>
                <w:bCs w:val="1"/>
                <w:color w:val="auto"/>
              </w:rPr>
              <w:t>5,688</w:t>
            </w:r>
          </w:p>
        </w:tc>
        <w:tc>
          <w:tcPr>
            <w:tcW w:w="1060" w:type="dxa"/>
            <w:vAlign w:val="bottom"/>
            <w:tcBorders>
              <w:bottom w:val="single" w:sz="8" w:color="0077C0"/>
            </w:tcBorders>
          </w:tcPr>
          <w:p>
            <w:pPr>
              <w:jc w:val="right"/>
              <w:ind w:right="329"/>
              <w:spacing w:after="0" w:line="95" w:lineRule="exact"/>
              <w:rPr>
                <w:sz w:val="20"/>
                <w:szCs w:val="20"/>
                <w:color w:val="auto"/>
              </w:rPr>
            </w:pPr>
            <w:r>
              <w:rPr>
                <w:rFonts w:ascii="Arial" w:cs="Arial" w:eastAsia="Arial" w:hAnsi="Arial"/>
                <w:sz w:val="10"/>
                <w:szCs w:val="10"/>
                <w:b w:val="1"/>
                <w:bCs w:val="1"/>
                <w:color w:val="auto"/>
              </w:rPr>
              <w:t>767</w:t>
            </w:r>
          </w:p>
        </w:tc>
        <w:tc>
          <w:tcPr>
            <w:tcW w:w="680" w:type="dxa"/>
            <w:vAlign w:val="bottom"/>
            <w:tcBorders>
              <w:bottom w:val="single" w:sz="8" w:color="0077C0"/>
            </w:tcBorders>
            <w:gridSpan w:val="2"/>
          </w:tcPr>
          <w:p>
            <w:pPr>
              <w:jc w:val="right"/>
              <w:ind w:right="20"/>
              <w:spacing w:after="0" w:line="95" w:lineRule="exact"/>
              <w:rPr>
                <w:sz w:val="20"/>
                <w:szCs w:val="20"/>
                <w:color w:val="auto"/>
              </w:rPr>
            </w:pPr>
            <w:r>
              <w:rPr>
                <w:rFonts w:ascii="Arial" w:cs="Arial" w:eastAsia="Arial" w:hAnsi="Arial"/>
                <w:sz w:val="10"/>
                <w:szCs w:val="10"/>
                <w:b w:val="1"/>
                <w:bCs w:val="1"/>
                <w:color w:val="auto"/>
              </w:rPr>
              <w:t>28,683</w:t>
            </w:r>
          </w:p>
        </w:tc>
        <w:tc>
          <w:tcPr>
            <w:tcW w:w="440" w:type="dxa"/>
            <w:vAlign w:val="bottom"/>
            <w:tcBorders>
              <w:bottom w:val="single" w:sz="8" w:color="0077C0"/>
            </w:tcBorders>
          </w:tcPr>
          <w:p>
            <w:pPr>
              <w:spacing w:after="0"/>
              <w:rPr>
                <w:sz w:val="9"/>
                <w:szCs w:val="9"/>
                <w:color w:val="auto"/>
              </w:rPr>
            </w:pPr>
          </w:p>
        </w:tc>
        <w:tc>
          <w:tcPr>
            <w:tcW w:w="920" w:type="dxa"/>
            <w:vAlign w:val="bottom"/>
            <w:tcBorders>
              <w:bottom w:val="single" w:sz="8" w:color="0077C0"/>
            </w:tcBorders>
          </w:tcPr>
          <w:p>
            <w:pPr>
              <w:jc w:val="right"/>
              <w:ind w:right="290"/>
              <w:spacing w:after="0" w:line="95" w:lineRule="exact"/>
              <w:rPr>
                <w:sz w:val="20"/>
                <w:szCs w:val="20"/>
                <w:color w:val="auto"/>
              </w:rPr>
            </w:pPr>
            <w:r>
              <w:rPr>
                <w:rFonts w:ascii="Arial" w:cs="Arial" w:eastAsia="Arial" w:hAnsi="Arial"/>
                <w:sz w:val="10"/>
                <w:szCs w:val="10"/>
                <w:color w:val="auto"/>
              </w:rPr>
              <w:t>5,781</w:t>
            </w:r>
          </w:p>
        </w:tc>
        <w:tc>
          <w:tcPr>
            <w:tcW w:w="1080" w:type="dxa"/>
            <w:vAlign w:val="bottom"/>
            <w:tcBorders>
              <w:bottom w:val="single" w:sz="8" w:color="0077C0"/>
            </w:tcBorders>
          </w:tcPr>
          <w:p>
            <w:pPr>
              <w:jc w:val="right"/>
              <w:ind w:right="329"/>
              <w:spacing w:after="0" w:line="95" w:lineRule="exact"/>
              <w:rPr>
                <w:sz w:val="20"/>
                <w:szCs w:val="20"/>
                <w:color w:val="auto"/>
              </w:rPr>
            </w:pPr>
            <w:r>
              <w:rPr>
                <w:rFonts w:ascii="Arial" w:cs="Arial" w:eastAsia="Arial" w:hAnsi="Arial"/>
                <w:sz w:val="10"/>
                <w:szCs w:val="10"/>
                <w:color w:val="auto"/>
              </w:rPr>
              <w:t>722</w:t>
            </w:r>
          </w:p>
        </w:tc>
        <w:tc>
          <w:tcPr>
            <w:tcW w:w="66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24,251</w:t>
            </w:r>
          </w:p>
        </w:tc>
        <w:tc>
          <w:tcPr>
            <w:tcW w:w="460" w:type="dxa"/>
            <w:vAlign w:val="bottom"/>
            <w:tcBorders>
              <w:bottom w:val="single" w:sz="8" w:color="0077C0"/>
            </w:tcBorders>
          </w:tcPr>
          <w:p>
            <w:pPr>
              <w:spacing w:after="0"/>
              <w:rPr>
                <w:sz w:val="9"/>
                <w:szCs w:val="9"/>
                <w:color w:val="auto"/>
              </w:rPr>
            </w:pPr>
          </w:p>
        </w:tc>
        <w:tc>
          <w:tcPr>
            <w:tcW w:w="920" w:type="dxa"/>
            <w:vAlign w:val="bottom"/>
            <w:tcBorders>
              <w:bottom w:val="single" w:sz="8" w:color="0077C0"/>
            </w:tcBorders>
          </w:tcPr>
          <w:p>
            <w:pPr>
              <w:jc w:val="right"/>
              <w:ind w:right="310"/>
              <w:spacing w:after="0" w:line="95" w:lineRule="exact"/>
              <w:rPr>
                <w:sz w:val="20"/>
                <w:szCs w:val="20"/>
                <w:color w:val="auto"/>
              </w:rPr>
            </w:pPr>
            <w:r>
              <w:rPr>
                <w:rFonts w:ascii="Arial" w:cs="Arial" w:eastAsia="Arial" w:hAnsi="Arial"/>
                <w:sz w:val="10"/>
                <w:szCs w:val="10"/>
                <w:color w:val="auto"/>
              </w:rPr>
              <w:t>6,247</w:t>
            </w:r>
          </w:p>
        </w:tc>
        <w:tc>
          <w:tcPr>
            <w:tcW w:w="1040" w:type="dxa"/>
            <w:vAlign w:val="bottom"/>
            <w:tcBorders>
              <w:bottom w:val="single" w:sz="8" w:color="0077C0"/>
            </w:tcBorders>
          </w:tcPr>
          <w:p>
            <w:pPr>
              <w:jc w:val="right"/>
              <w:ind w:right="309"/>
              <w:spacing w:after="0" w:line="95" w:lineRule="exact"/>
              <w:rPr>
                <w:sz w:val="20"/>
                <w:szCs w:val="20"/>
                <w:color w:val="auto"/>
              </w:rPr>
            </w:pPr>
            <w:r>
              <w:rPr>
                <w:rFonts w:ascii="Arial" w:cs="Arial" w:eastAsia="Arial" w:hAnsi="Arial"/>
                <w:sz w:val="10"/>
                <w:szCs w:val="10"/>
                <w:color w:val="auto"/>
              </w:rPr>
              <w:t>726</w:t>
            </w:r>
          </w:p>
        </w:tc>
        <w:tc>
          <w:tcPr>
            <w:tcW w:w="640" w:type="dxa"/>
            <w:vAlign w:val="bottom"/>
            <w:tcBorders>
              <w:bottom w:val="single" w:sz="8" w:color="0077C0"/>
            </w:tcBorders>
          </w:tcPr>
          <w:p>
            <w:pPr>
              <w:jc w:val="right"/>
              <w:spacing w:after="0" w:line="95" w:lineRule="exact"/>
              <w:rPr>
                <w:sz w:val="20"/>
                <w:szCs w:val="20"/>
                <w:color w:val="auto"/>
              </w:rPr>
            </w:pPr>
            <w:r>
              <w:rPr>
                <w:rFonts w:ascii="Arial" w:cs="Arial" w:eastAsia="Arial" w:hAnsi="Arial"/>
                <w:sz w:val="10"/>
                <w:szCs w:val="10"/>
                <w:color w:val="auto"/>
              </w:rPr>
              <w:t>26,049</w:t>
            </w:r>
          </w:p>
        </w:tc>
        <w:tc>
          <w:tcPr>
            <w:tcW w:w="20" w:type="dxa"/>
            <w:vAlign w:val="bottom"/>
            <w:tcBorders>
              <w:bottom w:val="single" w:sz="8" w:color="0077C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tabs>
          <w:tab w:leader="none" w:pos="80" w:val="left"/>
        </w:tabs>
        <w:rPr>
          <w:sz w:val="20"/>
          <w:szCs w:val="20"/>
          <w:color w:val="auto"/>
        </w:rPr>
      </w:pPr>
      <w:r>
        <w:rPr>
          <w:rFonts w:ascii="Arial" w:cs="Arial" w:eastAsia="Arial" w:hAnsi="Arial"/>
          <w:sz w:val="8"/>
          <w:szCs w:val="8"/>
          <w:color w:val="auto"/>
        </w:rPr>
        <w:t>*</w:t>
      </w:r>
      <w:r>
        <w:rPr>
          <w:sz w:val="20"/>
          <w:szCs w:val="20"/>
          <w:color w:val="auto"/>
        </w:rPr>
        <w:tab/>
      </w:r>
      <w:r>
        <w:rPr>
          <w:rFonts w:ascii="Arial" w:cs="Arial" w:eastAsia="Arial" w:hAnsi="Arial"/>
          <w:sz w:val="7"/>
          <w:szCs w:val="7"/>
          <w:color w:val="auto"/>
        </w:rPr>
        <w:t>Based on 12-month average price.</w:t>
      </w:r>
    </w:p>
    <w:p>
      <w:pPr>
        <w:sectPr>
          <w:pgSz w:w="11900" w:h="16838" w:orient="portrait"/>
          <w:cols w:equalWidth="0" w:num="1">
            <w:col w:w="11460"/>
          </w:cols>
          <w:pgMar w:left="220" w:top="338" w:right="219" w:bottom="1440" w:gutter="0" w:footer="0" w:header="0"/>
        </w:sectPr>
      </w:pPr>
    </w:p>
    <w:p>
      <w:pPr>
        <w:spacing w:after="0" w:line="237" w:lineRule="exact"/>
        <w:rPr>
          <w:sz w:val="20"/>
          <w:szCs w:val="20"/>
          <w:color w:val="auto"/>
        </w:rPr>
      </w:pPr>
    </w:p>
    <w:p>
      <w:pPr>
        <w:ind w:right="60"/>
        <w:spacing w:after="0" w:line="295" w:lineRule="auto"/>
        <w:rPr>
          <w:sz w:val="20"/>
          <w:szCs w:val="20"/>
          <w:color w:val="auto"/>
        </w:rPr>
      </w:pPr>
      <w:r>
        <w:rPr>
          <w:rFonts w:ascii="Arial" w:cs="Arial" w:eastAsia="Arial" w:hAnsi="Arial"/>
          <w:sz w:val="11"/>
          <w:szCs w:val="11"/>
          <w:color w:val="auto"/>
        </w:rPr>
        <w:t xml:space="preserve">estimates and changes; confirm that proved reserves are recognized in accordance with SEC guidelines; determine that reserve volumes are calculated using consistent and appropriate standards, procedures and technology; and maintain the </w:t>
      </w:r>
      <w:r>
        <w:rPr>
          <w:rFonts w:ascii="Arial" w:cs="Arial" w:eastAsia="Arial" w:hAnsi="Arial"/>
          <w:sz w:val="11"/>
          <w:szCs w:val="11"/>
          <w:i w:val="1"/>
          <w:iCs w:val="1"/>
          <w:color w:val="auto"/>
        </w:rPr>
        <w:t>Corporate Reserves Manual,</w:t>
      </w:r>
      <w:r>
        <w:rPr>
          <w:rFonts w:ascii="Arial" w:cs="Arial" w:eastAsia="Arial" w:hAnsi="Arial"/>
          <w:sz w:val="11"/>
          <w:szCs w:val="11"/>
          <w:color w:val="auto"/>
        </w:rPr>
        <w:t xml:space="preserve"> which provides standardized procedures used corporatewide for classifying and reporting hydrocarbon reserves.</w:t>
      </w:r>
    </w:p>
    <w:p>
      <w:pPr>
        <w:spacing w:after="0" w:line="2"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During the year, the RAC is represented in meetings with each of the company’s upstream business units to review and discuss reserve changes recommended by the various asset teams. Major changes are also reviewed with the company’s Strategy and Planning Committee, whose members include the Chief Executive Officer and the Chief Financial Officer. The company’s annual reserve activity is also reviewed with the Board of Directors. If major changes to reserves were to occur between the annual reviews, those matters would also be discussed with the Board.</w:t>
      </w:r>
    </w:p>
    <w:p>
      <w:pPr>
        <w:spacing w:after="0" w:line="1" w:lineRule="exact"/>
        <w:rPr>
          <w:sz w:val="20"/>
          <w:szCs w:val="20"/>
          <w:color w:val="auto"/>
        </w:rPr>
      </w:pPr>
    </w:p>
    <w:p>
      <w:pPr>
        <w:ind w:right="260" w:firstLine="160"/>
        <w:spacing w:after="0" w:line="281" w:lineRule="auto"/>
        <w:rPr>
          <w:sz w:val="20"/>
          <w:szCs w:val="20"/>
          <w:color w:val="auto"/>
        </w:rPr>
      </w:pPr>
      <w:r>
        <w:rPr>
          <w:rFonts w:ascii="Arial" w:cs="Arial" w:eastAsia="Arial" w:hAnsi="Arial"/>
          <w:sz w:val="12"/>
          <w:szCs w:val="12"/>
          <w:color w:val="auto"/>
        </w:rPr>
        <w:t xml:space="preserve">RAC subteams also conduct in-depth reviews during the year of many of the fields that have large proved reserves quantities. These reviews include an examination of the proved-reserve records and documentation of their compliance with the </w:t>
      </w:r>
      <w:r>
        <w:rPr>
          <w:rFonts w:ascii="Arial" w:cs="Arial" w:eastAsia="Arial" w:hAnsi="Arial"/>
          <w:sz w:val="12"/>
          <w:szCs w:val="12"/>
          <w:i w:val="1"/>
          <w:iCs w:val="1"/>
          <w:color w:val="auto"/>
        </w:rPr>
        <w:t>Corporate Reserves Manual.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firstLine="160"/>
        <w:spacing w:after="0" w:line="269" w:lineRule="auto"/>
        <w:rPr>
          <w:sz w:val="20"/>
          <w:szCs w:val="20"/>
          <w:color w:val="auto"/>
        </w:rPr>
      </w:pPr>
      <w:r>
        <w:rPr>
          <w:rFonts w:ascii="Arial" w:cs="Arial" w:eastAsia="Arial" w:hAnsi="Arial"/>
          <w:sz w:val="12"/>
          <w:szCs w:val="12"/>
          <w:i w:val="1"/>
          <w:iCs w:val="1"/>
          <w:color w:val="E51837"/>
        </w:rPr>
        <w:t xml:space="preserve">Technologies Used in Establishing Proved Reserves Additions in 2011 </w:t>
      </w:r>
      <w:r>
        <w:rPr>
          <w:rFonts w:ascii="Arial" w:cs="Arial" w:eastAsia="Arial" w:hAnsi="Arial"/>
          <w:sz w:val="12"/>
          <w:szCs w:val="12"/>
          <w:color w:val="000000"/>
        </w:rPr>
        <w:t>In 2011, additions to Chevron’s</w:t>
      </w:r>
      <w:r>
        <w:rPr>
          <w:rFonts w:ascii="Arial" w:cs="Arial" w:eastAsia="Arial" w:hAnsi="Arial"/>
          <w:sz w:val="12"/>
          <w:szCs w:val="12"/>
          <w:i w:val="1"/>
          <w:iCs w:val="1"/>
          <w:color w:val="E51837"/>
        </w:rPr>
        <w:t xml:space="preserve"> </w:t>
      </w:r>
      <w:r>
        <w:rPr>
          <w:rFonts w:ascii="Arial" w:cs="Arial" w:eastAsia="Arial" w:hAnsi="Arial"/>
          <w:sz w:val="12"/>
          <w:szCs w:val="12"/>
          <w:color w:val="000000"/>
        </w:rPr>
        <w:t>proved reserves were based on a wide range of geologic and engineering technologies. Information generated from wells, such as well logs, wire line sampling, production and pressure testing, fluid analysis, and core analysis, was integrated with seismic, regional geologic studies, and information from analogous reservoirs to provide “reasonably certain” proved reserves estimates. Both proprietary and commercially available analytic tools including reservoir simulation, geologic modeling, and seismic processing have been used in the interpretation of the subsurface data. These technologies have been utilized extensively by the company in the past, and the company believes that they provide a high degree of confidence in establishing reliable and consistent reserves estimates.</w:t>
      </w:r>
    </w:p>
    <w:p>
      <w:pPr>
        <w:ind w:right="60" w:firstLine="160"/>
        <w:spacing w:after="0" w:line="249" w:lineRule="auto"/>
        <w:rPr>
          <w:sz w:val="20"/>
          <w:szCs w:val="20"/>
          <w:color w:val="auto"/>
        </w:rPr>
      </w:pPr>
      <w:r>
        <w:rPr>
          <w:rFonts w:ascii="Arial" w:cs="Arial" w:eastAsia="Arial" w:hAnsi="Arial"/>
          <w:sz w:val="13"/>
          <w:szCs w:val="13"/>
          <w:i w:val="1"/>
          <w:iCs w:val="1"/>
          <w:color w:val="E51837"/>
        </w:rPr>
        <w:t xml:space="preserve">Proved Undeveloped Reserve Quantities </w:t>
      </w:r>
      <w:r>
        <w:rPr>
          <w:rFonts w:ascii="Arial" w:cs="Arial" w:eastAsia="Arial" w:hAnsi="Arial"/>
          <w:sz w:val="13"/>
          <w:szCs w:val="13"/>
          <w:color w:val="000000"/>
        </w:rPr>
        <w:t>At the end of 2011, proved undeveloped reserves for</w:t>
      </w:r>
      <w:r>
        <w:rPr>
          <w:rFonts w:ascii="Arial" w:cs="Arial" w:eastAsia="Arial" w:hAnsi="Arial"/>
          <w:sz w:val="13"/>
          <w:szCs w:val="13"/>
          <w:i w:val="1"/>
          <w:iCs w:val="1"/>
          <w:color w:val="E51837"/>
        </w:rPr>
        <w:t xml:space="preserve"> </w:t>
      </w:r>
      <w:r>
        <w:rPr>
          <w:rFonts w:ascii="Arial" w:cs="Arial" w:eastAsia="Arial" w:hAnsi="Arial"/>
          <w:sz w:val="13"/>
          <w:szCs w:val="13"/>
          <w:color w:val="000000"/>
        </w:rPr>
        <w:t>consolidated companies totaled 3.7 billion barrels of oil-equivalent (BOE). Approximately 68 percent of these reserves are attributed to natural gas, of which about 60 percent were located in Australia. Crude oil, condensate and natural gas liquids</w:t>
      </w:r>
    </w:p>
    <w:p>
      <w:pPr>
        <w:spacing w:after="0" w:line="218" w:lineRule="exact"/>
        <w:rPr>
          <w:sz w:val="20"/>
          <w:szCs w:val="20"/>
          <w:color w:val="auto"/>
        </w:rPr>
      </w:pPr>
    </w:p>
    <w:p>
      <w:pPr>
        <w:sectPr>
          <w:pgSz w:w="11900" w:h="16838" w:orient="portrait"/>
          <w:cols w:equalWidth="0" w:num="2">
            <w:col w:w="5440" w:space="520"/>
            <w:col w:w="5500"/>
          </w:cols>
          <w:pgMar w:left="220" w:top="338" w:right="21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635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10"/>
          <w:szCs w:val="10"/>
          <w:color w:val="000000"/>
        </w:rPr>
        <w:t>Reserve Quantity Information - Continued</w:t>
      </w:r>
    </w:p>
    <w:p>
      <w:pPr>
        <w:sectPr>
          <w:pgSz w:w="11900" w:h="16838" w:orient="portrait"/>
          <w:cols w:equalWidth="0" w:num="1">
            <w:col w:w="11460"/>
          </w:cols>
          <w:pgMar w:left="220" w:top="339" w:right="2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272" w:lineRule="auto"/>
        <w:rPr>
          <w:sz w:val="20"/>
          <w:szCs w:val="20"/>
          <w:color w:val="auto"/>
        </w:rPr>
      </w:pPr>
      <w:r>
        <w:rPr>
          <w:rFonts w:ascii="Arial" w:cs="Arial" w:eastAsia="Arial" w:hAnsi="Arial"/>
          <w:sz w:val="12"/>
          <w:szCs w:val="12"/>
          <w:color w:val="auto"/>
        </w:rPr>
        <w:t>(NGLs) accounted for about 29 percent of the total, with the largest concentration of these reserves in Africa, Asia and the United States. Synthetic oil accounted for the balance of the proved undeveloped reserves and was located in Canada in the Other Americas region.</w:t>
      </w:r>
    </w:p>
    <w:p>
      <w:pPr>
        <w:ind w:right="120" w:firstLine="160"/>
        <w:spacing w:after="0" w:line="246" w:lineRule="auto"/>
        <w:rPr>
          <w:sz w:val="20"/>
          <w:szCs w:val="20"/>
          <w:color w:val="auto"/>
        </w:rPr>
      </w:pPr>
      <w:r>
        <w:rPr>
          <w:rFonts w:ascii="Arial" w:cs="Arial" w:eastAsia="Arial" w:hAnsi="Arial"/>
          <w:sz w:val="13"/>
          <w:szCs w:val="13"/>
          <w:color w:val="auto"/>
        </w:rPr>
        <w:t>Proved undeveloped reserves of equity affiliates amounted to 1.3 billion BOE. At year-end, crude oil, condensate and NGLs represented 61 percent of these reserves, with TCO accounting for the majority of this amount. Natural gas represented 25 percent of the total, with approximately 43 percent of those reserves from TCO. The remaining proved undeveloped reserves are attributed to synthetic oil in Venezuela.</w:t>
      </w:r>
    </w:p>
    <w:p>
      <w:pPr>
        <w:spacing w:after="0" w:line="3" w:lineRule="exact"/>
        <w:rPr>
          <w:sz w:val="20"/>
          <w:szCs w:val="20"/>
          <w:color w:val="auto"/>
        </w:rPr>
      </w:pPr>
    </w:p>
    <w:p>
      <w:pPr>
        <w:ind w:right="60" w:firstLine="160"/>
        <w:spacing w:after="0" w:line="267" w:lineRule="auto"/>
        <w:rPr>
          <w:sz w:val="20"/>
          <w:szCs w:val="20"/>
          <w:color w:val="auto"/>
        </w:rPr>
      </w:pPr>
      <w:r>
        <w:rPr>
          <w:rFonts w:ascii="Arial" w:cs="Arial" w:eastAsia="Arial" w:hAnsi="Arial"/>
          <w:sz w:val="12"/>
          <w:szCs w:val="12"/>
          <w:color w:val="auto"/>
        </w:rPr>
        <w:t>In 2011, a total of 220 million BOE was transferred from proved undeveloped to proved developed for consolidated companies. In the United States, approximately 90 million BOE were transferred, primarily due to ongoing drilling activities in California and other locations. In Asia, 55 million BOE were transferred to proved developed primarily driven by the start-up of a gas project in Thailand. The start up of several small projects in Africa, Europe and Other Americas accounted for the remainder.</w:t>
      </w:r>
    </w:p>
    <w:p>
      <w:pPr>
        <w:spacing w:after="0" w:line="1" w:lineRule="exact"/>
        <w:rPr>
          <w:sz w:val="20"/>
          <w:szCs w:val="20"/>
          <w:color w:val="auto"/>
        </w:rPr>
      </w:pPr>
    </w:p>
    <w:p>
      <w:pPr>
        <w:jc w:val="center"/>
        <w:ind w:right="60"/>
        <w:spacing w:after="0" w:line="291" w:lineRule="auto"/>
        <w:rPr>
          <w:sz w:val="20"/>
          <w:szCs w:val="20"/>
          <w:color w:val="auto"/>
        </w:rPr>
      </w:pPr>
      <w:r>
        <w:rPr>
          <w:rFonts w:ascii="Arial" w:cs="Arial" w:eastAsia="Arial" w:hAnsi="Arial"/>
          <w:sz w:val="11"/>
          <w:szCs w:val="11"/>
          <w:color w:val="auto"/>
        </w:rPr>
        <w:t xml:space="preserve">Affiliated companies had transfers of 25 million BOE from proved undeveloped to proved developed. </w:t>
      </w:r>
      <w:r>
        <w:rPr>
          <w:rFonts w:ascii="Arial" w:cs="Arial" w:eastAsia="Arial" w:hAnsi="Arial"/>
          <w:sz w:val="11"/>
          <w:szCs w:val="11"/>
          <w:i w:val="1"/>
          <w:iCs w:val="1"/>
          <w:color w:val="E51837"/>
        </w:rPr>
        <w:t xml:space="preserve">Investment to Convert Proved Undeveloped to Proved Developed Reserves </w:t>
      </w:r>
      <w:r>
        <w:rPr>
          <w:rFonts w:ascii="Arial" w:cs="Arial" w:eastAsia="Arial" w:hAnsi="Arial"/>
          <w:sz w:val="11"/>
          <w:szCs w:val="11"/>
          <w:color w:val="000000"/>
        </w:rPr>
        <w:t>During 2011, investments</w:t>
      </w:r>
      <w:r>
        <w:rPr>
          <w:rFonts w:ascii="Arial" w:cs="Arial" w:eastAsia="Arial" w:hAnsi="Arial"/>
          <w:sz w:val="11"/>
          <w:szCs w:val="11"/>
          <w:i w:val="1"/>
          <w:iCs w:val="1"/>
          <w:color w:val="E51837"/>
        </w:rPr>
        <w:t xml:space="preserve"> </w:t>
      </w:r>
      <w:r>
        <w:rPr>
          <w:rFonts w:ascii="Arial" w:cs="Arial" w:eastAsia="Arial" w:hAnsi="Arial"/>
          <w:sz w:val="11"/>
          <w:szCs w:val="11"/>
          <w:color w:val="000000"/>
        </w:rPr>
        <w:t>totaling approximately $6.7 billion were made by consolidated companies and equity affiliates to advance</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the development of proved undeveloped reserves. In Australia, $2.1 billion was expended, which was primarily driven by construction activities at the Gorgon LNG project. In Africa, $1.4 billion was expended on various projects, including offshore development projects in Nigeria and Angola. In Nigeria, construction progressed on a deepwater project and development activities continued at a natural gas processing plant. In Angola, offshore development drilling was progressed along with several gas injection projects. In Asia, expenditures during the year totaled $1.0 billion, which included construction of a gas processing facility in Thailand, a gas development project in China and development activities in Indonesia. In the United States, expenditures totaled $0.9 billion for offshore development projects in the Gulf of Mexico. In Other Americas, development expenditures totaled $0.9 billion for a variety of projects, including an offshore development project in Brazil. In Europe, $0.1 billion was expended on various development projects.</w:t>
      </w:r>
    </w:p>
    <w:p>
      <w:pPr>
        <w:spacing w:after="0" w:line="3" w:lineRule="exact"/>
        <w:rPr>
          <w:sz w:val="20"/>
          <w:szCs w:val="20"/>
          <w:color w:val="auto"/>
        </w:rPr>
      </w:pPr>
    </w:p>
    <w:p>
      <w:pPr>
        <w:ind w:right="300" w:firstLine="158"/>
        <w:spacing w:after="0" w:line="246" w:lineRule="auto"/>
        <w:rPr>
          <w:sz w:val="20"/>
          <w:szCs w:val="20"/>
          <w:color w:val="auto"/>
        </w:rPr>
      </w:pPr>
      <w:r>
        <w:rPr>
          <w:rFonts w:ascii="Arial" w:cs="Arial" w:eastAsia="Arial" w:hAnsi="Arial"/>
          <w:sz w:val="13"/>
          <w:szCs w:val="13"/>
          <w:color w:val="auto"/>
        </w:rPr>
        <w:t>The company’s share of affiliated companies’ expenditures was $0.3 billion, primarily on an LNG project in Angola and development activities in Kazakhstan.</w:t>
      </w:r>
    </w:p>
    <w:p>
      <w:pPr>
        <w:spacing w:after="0" w:line="1" w:lineRule="exact"/>
        <w:rPr>
          <w:sz w:val="20"/>
          <w:szCs w:val="20"/>
          <w:color w:val="auto"/>
        </w:rPr>
      </w:pPr>
    </w:p>
    <w:p>
      <w:pPr>
        <w:jc w:val="both"/>
        <w:ind w:right="200" w:firstLine="160"/>
        <w:spacing w:after="0" w:line="250" w:lineRule="auto"/>
        <w:rPr>
          <w:sz w:val="20"/>
          <w:szCs w:val="20"/>
          <w:color w:val="auto"/>
        </w:rPr>
      </w:pPr>
      <w:r>
        <w:rPr>
          <w:rFonts w:ascii="Arial" w:cs="Arial" w:eastAsia="Arial" w:hAnsi="Arial"/>
          <w:sz w:val="13"/>
          <w:szCs w:val="13"/>
          <w:i w:val="1"/>
          <w:iCs w:val="1"/>
          <w:color w:val="E51837"/>
        </w:rPr>
        <w:t xml:space="preserve">Proved Undeveloped Reserves for Five Years or More </w:t>
      </w:r>
      <w:r>
        <w:rPr>
          <w:rFonts w:ascii="Arial" w:cs="Arial" w:eastAsia="Arial" w:hAnsi="Arial"/>
          <w:sz w:val="13"/>
          <w:szCs w:val="13"/>
          <w:color w:val="000000"/>
        </w:rPr>
        <w:t>Reserves that remain proved undeveloped for</w:t>
      </w:r>
      <w:r>
        <w:rPr>
          <w:rFonts w:ascii="Arial" w:cs="Arial" w:eastAsia="Arial" w:hAnsi="Arial"/>
          <w:sz w:val="13"/>
          <w:szCs w:val="13"/>
          <w:i w:val="1"/>
          <w:iCs w:val="1"/>
          <w:color w:val="E51837"/>
        </w:rPr>
        <w:t xml:space="preserve"> </w:t>
      </w:r>
      <w:r>
        <w:rPr>
          <w:rFonts w:ascii="Arial" w:cs="Arial" w:eastAsia="Arial" w:hAnsi="Arial"/>
          <w:sz w:val="13"/>
          <w:szCs w:val="13"/>
          <w:color w:val="000000"/>
        </w:rPr>
        <w:t>five or more years are a result of several factors that affect optimal project development and execution, such as the complex nature of the development project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in adverse and remote locations, physical limitations of infrastructure or plant capacities that dictate project timing, compression projects that are pending reservoir pressure declines, and contractual limitations that dictate production levels.</w:t>
      </w:r>
    </w:p>
    <w:p>
      <w:pPr>
        <w:spacing w:after="0" w:line="1" w:lineRule="exact"/>
        <w:rPr>
          <w:sz w:val="20"/>
          <w:szCs w:val="20"/>
          <w:color w:val="auto"/>
        </w:rPr>
      </w:pPr>
    </w:p>
    <w:p>
      <w:pPr>
        <w:ind w:right="180" w:firstLine="153"/>
        <w:spacing w:after="0" w:line="246" w:lineRule="auto"/>
        <w:rPr>
          <w:sz w:val="20"/>
          <w:szCs w:val="20"/>
          <w:color w:val="auto"/>
        </w:rPr>
      </w:pPr>
      <w:r>
        <w:rPr>
          <w:rFonts w:ascii="Arial" w:cs="Arial" w:eastAsia="Arial" w:hAnsi="Arial"/>
          <w:sz w:val="13"/>
          <w:szCs w:val="13"/>
          <w:color w:val="auto"/>
        </w:rPr>
        <w:t>At year-end 2011, the company held approximately 1.8 billion BOE of proved undeveloped reserves that have remained undeveloped for five years or more. The reserves are held by consolidated and affiliated companies and the majority of these reserves are in locations where the company has a proven track record of developing major projects.</w:t>
      </w:r>
    </w:p>
    <w:p>
      <w:pPr>
        <w:spacing w:after="0" w:line="2"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color w:val="auto"/>
        </w:rPr>
        <w:t>In Africa, approximately 330 million BOE is related to deepwater and natural gas developments in Nigeria and Angola. Major Nigerian deepwater development projects include Agbami, which started production in 2008 and has ongoing development activities to maintain full utilization of infrastructure capacity, and the Usan development, which is expected to start production in 2012. Also in Nigeria, various fields and infrastructure associated with the Escravos Gas Projects are currently under development.</w:t>
      </w:r>
    </w:p>
    <w:p>
      <w:pPr>
        <w:spacing w:after="0" w:line="2" w:lineRule="exact"/>
        <w:rPr>
          <w:sz w:val="20"/>
          <w:szCs w:val="20"/>
          <w:color w:val="auto"/>
        </w:rPr>
      </w:pPr>
    </w:p>
    <w:p>
      <w:pPr>
        <w:jc w:val="both"/>
        <w:ind w:right="60" w:firstLine="160"/>
        <w:spacing w:after="0" w:line="267" w:lineRule="auto"/>
        <w:rPr>
          <w:sz w:val="20"/>
          <w:szCs w:val="20"/>
          <w:color w:val="auto"/>
        </w:rPr>
      </w:pPr>
      <w:r>
        <w:rPr>
          <w:rFonts w:ascii="Arial" w:cs="Arial" w:eastAsia="Arial" w:hAnsi="Arial"/>
          <w:sz w:val="12"/>
          <w:szCs w:val="12"/>
          <w:color w:val="auto"/>
        </w:rPr>
        <w:t>In Asia, approximately 240 million BOE remain classified as proved undeveloped. The majority of the volumes relate to ongoing development activities in the Pattani Field (Thailand) and the Malampaya Field (Philippines) that are scheduled to maintain production within contractual and infrastructure constraints. The balance relates to infrastructure constraints in Azerbaijan.</w:t>
      </w:r>
    </w:p>
    <w:p>
      <w:pPr>
        <w:spacing w:after="0" w:line="1" w:lineRule="exact"/>
        <w:rPr>
          <w:sz w:val="20"/>
          <w:szCs w:val="20"/>
          <w:color w:val="auto"/>
        </w:rPr>
      </w:pPr>
    </w:p>
    <w:p>
      <w:pPr>
        <w:ind w:right="160" w:firstLine="160"/>
        <w:spacing w:after="0" w:line="267" w:lineRule="auto"/>
        <w:rPr>
          <w:sz w:val="20"/>
          <w:szCs w:val="20"/>
          <w:color w:val="auto"/>
        </w:rPr>
      </w:pPr>
      <w:r>
        <w:rPr>
          <w:rFonts w:ascii="Arial" w:cs="Arial" w:eastAsia="Arial" w:hAnsi="Arial"/>
          <w:sz w:val="12"/>
          <w:szCs w:val="12"/>
          <w:color w:val="auto"/>
        </w:rPr>
        <w:t>In Australia, approximately 110 million BOE remain classified as undeveloped due to a compression project at the North West Shelf Venture, which is scheduled for start-up in 2013.</w:t>
      </w:r>
    </w:p>
    <w:p>
      <w:pPr>
        <w:ind w:right="20" w:firstLine="160"/>
        <w:spacing w:after="0" w:line="246" w:lineRule="auto"/>
        <w:rPr>
          <w:sz w:val="20"/>
          <w:szCs w:val="20"/>
          <w:color w:val="auto"/>
        </w:rPr>
      </w:pPr>
      <w:r>
        <w:rPr>
          <w:rFonts w:ascii="Arial" w:cs="Arial" w:eastAsia="Arial" w:hAnsi="Arial"/>
          <w:sz w:val="13"/>
          <w:szCs w:val="13"/>
          <w:color w:val="auto"/>
        </w:rPr>
        <w:t>In the United States, approximately 70 million BOE remain proved undeveloped, primarily related to a steamflood expansion and deepwater development projects. In Other Americas and Europe, approximately 50 million BOE is related to contractual constraints, infrastructure limitations and future compression projects.</w:t>
      </w:r>
    </w:p>
    <w:p>
      <w:pPr>
        <w:spacing w:after="0" w:line="2" w:lineRule="exact"/>
        <w:rPr>
          <w:sz w:val="20"/>
          <w:szCs w:val="20"/>
          <w:color w:val="auto"/>
        </w:rPr>
      </w:pPr>
    </w:p>
    <w:p>
      <w:pPr>
        <w:ind w:right="20" w:firstLine="153"/>
        <w:spacing w:after="0" w:line="267" w:lineRule="auto"/>
        <w:rPr>
          <w:sz w:val="20"/>
          <w:szCs w:val="20"/>
          <w:color w:val="auto"/>
        </w:rPr>
      </w:pPr>
      <w:r>
        <w:rPr>
          <w:rFonts w:ascii="Arial" w:cs="Arial" w:eastAsia="Arial" w:hAnsi="Arial"/>
          <w:sz w:val="12"/>
          <w:szCs w:val="12"/>
          <w:color w:val="auto"/>
        </w:rPr>
        <w:t>Affiliated companies have approximately 1.0 billion BOE of proved undeveloped reserves held for five years or more. The TCO affiliate in Kazakhstan accounts for approximately 880 million BOE. Field production is constrained by plant capacity limitations. Further field development to convert the remaining proved undeveloped reserves is scheduled to occur in line with reservoir depletion.</w:t>
      </w:r>
    </w:p>
    <w:p>
      <w:pPr>
        <w:spacing w:after="0" w:line="1" w:lineRule="exact"/>
        <w:rPr>
          <w:sz w:val="20"/>
          <w:szCs w:val="20"/>
          <w:color w:val="auto"/>
        </w:rPr>
      </w:pPr>
    </w:p>
    <w:p>
      <w:pPr>
        <w:ind w:firstLine="160"/>
        <w:spacing w:after="0" w:line="246" w:lineRule="auto"/>
        <w:rPr>
          <w:sz w:val="20"/>
          <w:szCs w:val="20"/>
          <w:color w:val="auto"/>
        </w:rPr>
      </w:pPr>
      <w:r>
        <w:rPr>
          <w:rFonts w:ascii="Arial" w:cs="Arial" w:eastAsia="Arial" w:hAnsi="Arial"/>
          <w:sz w:val="13"/>
          <w:szCs w:val="13"/>
          <w:color w:val="auto"/>
        </w:rPr>
        <w:t>In Venezuela, the affiliate that operates the Hamaca Field’s synthetic heavy oil upgrading operation accounts for about 120 million BOE of these proved undeveloped reserves. Development drilling continues at Hamaca to optimize utilization of upgrader capacity.</w:t>
      </w:r>
    </w:p>
    <w:p>
      <w:pPr>
        <w:spacing w:after="0" w:line="2" w:lineRule="exact"/>
        <w:rPr>
          <w:sz w:val="20"/>
          <w:szCs w:val="20"/>
          <w:color w:val="auto"/>
        </w:rPr>
      </w:pPr>
    </w:p>
    <w:p>
      <w:pPr>
        <w:ind w:right="20" w:firstLine="153"/>
        <w:spacing w:after="0" w:line="249" w:lineRule="auto"/>
        <w:rPr>
          <w:sz w:val="20"/>
          <w:szCs w:val="20"/>
          <w:color w:val="auto"/>
        </w:rPr>
      </w:pPr>
      <w:r>
        <w:rPr>
          <w:rFonts w:ascii="Arial" w:cs="Arial" w:eastAsia="Arial" w:hAnsi="Arial"/>
          <w:sz w:val="13"/>
          <w:szCs w:val="13"/>
          <w:color w:val="auto"/>
        </w:rPr>
        <w:t>Annually, the company assesses whether any changes have occurred in facts or circumstances, such as changes to development plans, regulations or government policies, that would warrant a revision to reserve estimates. For 2011, this assessment did not result in any material changes in reserves classified as proved undeveloped. Over the past three years,</w:t>
      </w:r>
    </w:p>
    <w:p>
      <w:pPr>
        <w:spacing w:after="0" w:line="200" w:lineRule="exact"/>
        <w:rPr>
          <w:sz w:val="20"/>
          <w:szCs w:val="20"/>
          <w:color w:val="auto"/>
        </w:rPr>
      </w:pPr>
    </w:p>
    <w:p>
      <w:pPr>
        <w:sectPr>
          <w:pgSz w:w="11900" w:h="16838" w:orient="portrait"/>
          <w:cols w:equalWidth="0" w:num="2">
            <w:col w:w="5480" w:space="480"/>
            <w:col w:w="5500"/>
          </w:cols>
          <w:pgMar w:left="220" w:top="339"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9" w:right="219" w:bottom="1440" w:gutter="0" w:footer="0" w:header="0"/>
          <w:type w:val="continuous"/>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4635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599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10"/>
          <w:szCs w:val="10"/>
          <w:color w:val="000000"/>
        </w:rPr>
        <w:t>Reserve Quantity Information - Continued</w:t>
      </w:r>
    </w:p>
    <w:p>
      <w:pPr>
        <w:sectPr>
          <w:pgSz w:w="11900" w:h="16838" w:orient="portrait"/>
          <w:cols w:equalWidth="0" w:num="1">
            <w:col w:w="11420"/>
          </w:cols>
          <w:pgMar w:left="220" w:top="338" w:right="2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ratio of proved undeveloped reserves to total proved reserves has ranged between 37 percent and 44 percent. The consistent completion of major capital projects has kept the ratio in a narrow range over this time period.</w:t>
      </w:r>
    </w:p>
    <w:p>
      <w:pPr>
        <w:spacing w:after="0" w:line="1"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i w:val="1"/>
          <w:iCs w:val="1"/>
          <w:color w:val="E51837"/>
        </w:rPr>
        <w:t xml:space="preserve">Proved Reserve Quantities </w:t>
      </w:r>
      <w:r>
        <w:rPr>
          <w:rFonts w:ascii="Arial" w:cs="Arial" w:eastAsia="Arial" w:hAnsi="Arial"/>
          <w:sz w:val="12"/>
          <w:szCs w:val="12"/>
          <w:color w:val="000000"/>
        </w:rPr>
        <w:t>At December 31, 2011, proved reserves for the company’s consolidated</w:t>
      </w:r>
      <w:r>
        <w:rPr>
          <w:rFonts w:ascii="Arial" w:cs="Arial" w:eastAsia="Arial" w:hAnsi="Arial"/>
          <w:sz w:val="12"/>
          <w:szCs w:val="12"/>
          <w:i w:val="1"/>
          <w:iCs w:val="1"/>
          <w:color w:val="E51837"/>
        </w:rPr>
        <w:t xml:space="preserve"> </w:t>
      </w:r>
      <w:r>
        <w:rPr>
          <w:rFonts w:ascii="Arial" w:cs="Arial" w:eastAsia="Arial" w:hAnsi="Arial"/>
          <w:sz w:val="12"/>
          <w:szCs w:val="12"/>
          <w:color w:val="000000"/>
        </w:rPr>
        <w:t>operations were 8.5 billion BOE. (Refer to the term “Reserves” on page E-11 for the definition of oil-equivalent reserves.) Approximately 23 percent of the total reserves were located in the United States. For the company’s interests in equity affiliates, proved reserves were 2.7 billion BOE, 78 percent of which were associated with the company’s 50 percent ownership in TCO.</w:t>
      </w:r>
    </w:p>
    <w:p>
      <w:pPr>
        <w:spacing w:after="0" w:line="1" w:lineRule="exact"/>
        <w:rPr>
          <w:sz w:val="20"/>
          <w:szCs w:val="20"/>
          <w:color w:val="auto"/>
        </w:rPr>
      </w:pPr>
    </w:p>
    <w:p>
      <w:pPr>
        <w:ind w:right="40" w:firstLine="153"/>
        <w:spacing w:after="0" w:line="267" w:lineRule="auto"/>
        <w:rPr>
          <w:sz w:val="20"/>
          <w:szCs w:val="20"/>
          <w:color w:val="auto"/>
        </w:rPr>
      </w:pPr>
      <w:r>
        <w:rPr>
          <w:rFonts w:ascii="Arial" w:cs="Arial" w:eastAsia="Arial" w:hAnsi="Arial"/>
          <w:sz w:val="12"/>
          <w:szCs w:val="12"/>
          <w:color w:val="auto"/>
        </w:rPr>
        <w:t>Aside from the Tengiz Field in the TCO affiliate, no single property accounted for more than 5 percent of the company’s total oil-equivalent proved reserves. About 22 other individual properties in the company’s portfolio of assets each contained between 1 percent and 5 percent of the company’s oil-equivalent proved reserves, which in the aggregate accounted for 47 percent of the company’s total oil-equivalent proved reserves. These properties were geographically dispersed, located in the United States, Canada, South America, Africa, Asia and Australia.</w:t>
      </w:r>
    </w:p>
    <w:p>
      <w:pPr>
        <w:spacing w:after="0" w:line="1"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In the United States, total proved reserves at year-end 2011 were 1.9 billion BOE. California properties accounted for 35 percent of the U.S. reserves, with most classified as heavy oil. Because of heavy oil’s high viscosity and the need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60"/>
        <w:spacing w:after="0" w:line="270" w:lineRule="auto"/>
        <w:rPr>
          <w:sz w:val="20"/>
          <w:szCs w:val="20"/>
          <w:color w:val="auto"/>
        </w:rPr>
      </w:pPr>
      <w:r>
        <w:rPr>
          <w:rFonts w:ascii="Arial" w:cs="Arial" w:eastAsia="Arial" w:hAnsi="Arial"/>
          <w:sz w:val="12"/>
          <w:szCs w:val="12"/>
          <w:color w:val="auto"/>
        </w:rPr>
        <w:t>to employ enhanced recovery methods, most of the company’s heavy-oil fields in California employ a continuous steamflooding process. The Gulf of Mexico region contains 24 percent of the U.S. reserves, with liquids representing about 77 percent of reserves in the Gulf. Production operations are mostly offshore and, as a result, are also capital intensive. Other U.S. areas represent the remaining 41 percent of U.S. reserves, with liquids accounting for about 42 percent of the total. For production of crude oil, some fields utilize enhanced recovery methods, including waterflood and CO</w:t>
      </w:r>
      <w:r>
        <w:rPr>
          <w:rFonts w:ascii="Arial" w:cs="Arial" w:eastAsia="Arial" w:hAnsi="Arial"/>
          <w:sz w:val="9"/>
          <w:szCs w:val="9"/>
          <w:color w:val="auto"/>
        </w:rPr>
        <w:t>2</w:t>
      </w:r>
      <w:r>
        <w:rPr>
          <w:rFonts w:ascii="Arial" w:cs="Arial" w:eastAsia="Arial" w:hAnsi="Arial"/>
          <w:sz w:val="12"/>
          <w:szCs w:val="12"/>
          <w:color w:val="auto"/>
        </w:rPr>
        <w:t xml:space="preserve"> injection.</w:t>
      </w:r>
    </w:p>
    <w:p>
      <w:pPr>
        <w:spacing w:after="0" w:line="1"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color w:val="auto"/>
        </w:rPr>
        <w:t>For the three years ending December 31, 2011, the pattern of net reserve changes shown in the following tables are not necessarily indicative of future trends. Apart from acquisitions, the company’s ability to add proved reserves is affected by, among other things, events and circumstances that are outside the company’s control, such as delays in government permitting, partner approvals of development plans, changes in oil and gas prices, OPEC constraints, geopolitical uncertainties, and civil unrest.</w:t>
      </w:r>
    </w:p>
    <w:p>
      <w:pPr>
        <w:ind w:firstLine="158"/>
        <w:spacing w:after="0" w:line="317" w:lineRule="auto"/>
        <w:rPr>
          <w:sz w:val="20"/>
          <w:szCs w:val="20"/>
          <w:color w:val="auto"/>
        </w:rPr>
      </w:pPr>
      <w:r>
        <w:rPr>
          <w:rFonts w:ascii="Arial" w:cs="Arial" w:eastAsia="Arial" w:hAnsi="Arial"/>
          <w:sz w:val="11"/>
          <w:szCs w:val="11"/>
          <w:color w:val="auto"/>
        </w:rPr>
        <w:t>The company’s estimated net proved reserves of crude oil, condensate, natural gas liquids and synthetic oil and changes thereto for the years 2009, 2010 and 2011 are shown in the table on the following page. The company’s estimated net proved reserves of natural gas are shown on page FS-73.</w:t>
      </w:r>
    </w:p>
    <w:p>
      <w:pPr>
        <w:spacing w:after="0" w:line="627" w:lineRule="exact"/>
        <w:rPr>
          <w:sz w:val="20"/>
          <w:szCs w:val="20"/>
          <w:color w:val="auto"/>
        </w:rPr>
      </w:pPr>
    </w:p>
    <w:p>
      <w:pPr>
        <w:sectPr>
          <w:pgSz w:w="11900" w:h="16838" w:orient="portrait"/>
          <w:cols w:equalWidth="0" w:num="2">
            <w:col w:w="5440" w:space="520"/>
            <w:col w:w="5460"/>
          </w:cols>
          <w:pgMar w:left="220" w:top="338" w:right="259" w:bottom="1440" w:gutter="0" w:footer="0" w:header="0"/>
          <w:type w:val="continuous"/>
        </w:sectPr>
      </w:pP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type w:val="continuous"/>
        </w:sectPr>
      </w:pPr>
    </w:p>
    <w:bookmarkStart w:id="111" w:name="page112"/>
    <w:bookmarkEnd w:id="111"/>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5003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pacing w:after="0" w:line="314" w:lineRule="exact"/>
        <w:rPr>
          <w:sz w:val="20"/>
          <w:szCs w:val="20"/>
          <w:color w:val="auto"/>
        </w:rPr>
      </w:pPr>
    </w:p>
    <w:tbl>
      <w:tblPr>
        <w:tblLayout w:type="fixed"/>
        <w:tblInd w:w="3" w:type="dxa"/>
        <w:tblCellMar>
          <w:top w:w="0" w:type="dxa"/>
          <w:left w:w="0" w:type="dxa"/>
          <w:bottom w:w="0" w:type="dxa"/>
          <w:right w:w="0" w:type="dxa"/>
        </w:tblCellMar>
      </w:tblPr>
      <w:tr>
        <w:trPr>
          <w:trHeight w:val="92"/>
        </w:trPr>
        <w:tc>
          <w:tcPr>
            <w:tcW w:w="2980" w:type="dxa"/>
            <w:vAlign w:val="bottom"/>
            <w:gridSpan w:val="3"/>
          </w:tcPr>
          <w:p>
            <w:pPr>
              <w:spacing w:after="0"/>
              <w:rPr>
                <w:sz w:val="20"/>
                <w:szCs w:val="20"/>
                <w:color w:val="auto"/>
              </w:rPr>
            </w:pPr>
            <w:r>
              <w:rPr>
                <w:rFonts w:ascii="Arial" w:cs="Arial" w:eastAsia="Arial" w:hAnsi="Arial"/>
                <w:sz w:val="8"/>
                <w:szCs w:val="8"/>
                <w:color w:val="auto"/>
                <w:w w:val="96"/>
              </w:rPr>
              <w:t>Net Proved Reserves of Crude Oil, Condensate, Natural Gas Liquids and Synthetic Oil</w:t>
            </w: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vMerge w:val="restart"/>
          </w:tcPr>
          <w:p>
            <w:pPr>
              <w:jc w:val="right"/>
              <w:ind w:right="440"/>
              <w:spacing w:after="0"/>
              <w:rPr>
                <w:sz w:val="20"/>
                <w:szCs w:val="20"/>
                <w:color w:val="auto"/>
              </w:rPr>
            </w:pPr>
            <w:r>
              <w:rPr>
                <w:rFonts w:ascii="Arial" w:cs="Arial" w:eastAsia="Arial" w:hAnsi="Arial"/>
                <w:sz w:val="9"/>
                <w:szCs w:val="9"/>
                <w:color w:val="auto"/>
              </w:rPr>
              <w:t>Consolidated Companies</w:t>
            </w:r>
          </w:p>
        </w:tc>
        <w:tc>
          <w:tcPr>
            <w:tcW w:w="360" w:type="dxa"/>
            <w:vAlign w:val="bottom"/>
          </w:tcPr>
          <w:p>
            <w:pPr>
              <w:spacing w:after="0"/>
              <w:rPr>
                <w:sz w:val="16"/>
                <w:szCs w:val="16"/>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9"/>
                <w:szCs w:val="9"/>
                <w:color w:val="auto"/>
                <w:w w:val="92"/>
              </w:rPr>
              <w:t>Affiliated Companies</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87"/>
              </w:rPr>
              <w:t>Consolidated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800" w:type="dxa"/>
            <w:vAlign w:val="bottom"/>
            <w:tcBorders>
              <w:top w:val="single" w:sz="8" w:color="0077C0"/>
            </w:tcBorders>
          </w:tcPr>
          <w:p>
            <w:pPr>
              <w:spacing w:after="0"/>
              <w:rPr>
                <w:sz w:val="6"/>
                <w:szCs w:val="6"/>
                <w:color w:val="auto"/>
              </w:rPr>
            </w:pPr>
          </w:p>
        </w:tc>
        <w:tc>
          <w:tcPr>
            <w:tcW w:w="700" w:type="dxa"/>
            <w:vAlign w:val="bottom"/>
            <w:tcBorders>
              <w:top w:val="single" w:sz="8" w:color="0077C0"/>
            </w:tcBorders>
          </w:tcPr>
          <w:p>
            <w:pPr>
              <w:jc w:val="right"/>
              <w:ind w:right="255"/>
              <w:spacing w:after="0" w:line="75" w:lineRule="exact"/>
              <w:rPr>
                <w:sz w:val="20"/>
                <w:szCs w:val="20"/>
                <w:color w:val="auto"/>
              </w:rPr>
            </w:pPr>
            <w:r>
              <w:rPr>
                <w:rFonts w:ascii="Arial" w:cs="Arial" w:eastAsia="Arial" w:hAnsi="Arial"/>
                <w:sz w:val="8"/>
                <w:szCs w:val="8"/>
                <w:color w:val="auto"/>
              </w:rPr>
              <w:t>Other</w:t>
            </w:r>
          </w:p>
        </w:tc>
        <w:tc>
          <w:tcPr>
            <w:tcW w:w="780" w:type="dxa"/>
            <w:vAlign w:val="bottom"/>
            <w:tcBorders>
              <w:top w:val="single" w:sz="8" w:color="0077C0"/>
            </w:tcBorders>
          </w:tcPr>
          <w:p>
            <w:pPr>
              <w:spacing w:after="0"/>
              <w:rPr>
                <w:sz w:val="6"/>
                <w:szCs w:val="6"/>
                <w:color w:val="auto"/>
              </w:rPr>
            </w:pPr>
          </w:p>
        </w:tc>
        <w:tc>
          <w:tcPr>
            <w:tcW w:w="700" w:type="dxa"/>
            <w:vAlign w:val="bottom"/>
            <w:tcBorders>
              <w:top w:val="single" w:sz="8" w:color="0077C0"/>
            </w:tcBorders>
          </w:tcPr>
          <w:p>
            <w:pPr>
              <w:spacing w:after="0"/>
              <w:rPr>
                <w:sz w:val="6"/>
                <w:szCs w:val="6"/>
                <w:color w:val="auto"/>
              </w:rPr>
            </w:pPr>
          </w:p>
        </w:tc>
        <w:tc>
          <w:tcPr>
            <w:tcW w:w="800" w:type="dxa"/>
            <w:vAlign w:val="bottom"/>
            <w:tcBorders>
              <w:top w:val="single" w:sz="8" w:color="0077C0"/>
            </w:tcBorders>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900" w:type="dxa"/>
            <w:vAlign w:val="bottom"/>
            <w:tcBorders>
              <w:top w:val="single" w:sz="8" w:color="0077C0"/>
            </w:tcBorders>
            <w:gridSpan w:val="3"/>
          </w:tcPr>
          <w:p>
            <w:pPr>
              <w:jc w:val="right"/>
              <w:ind w:right="360"/>
              <w:spacing w:after="0" w:line="75" w:lineRule="exact"/>
              <w:rPr>
                <w:sz w:val="20"/>
                <w:szCs w:val="20"/>
                <w:color w:val="auto"/>
              </w:rPr>
            </w:pPr>
            <w:r>
              <w:rPr>
                <w:rFonts w:ascii="Arial" w:cs="Arial" w:eastAsia="Arial" w:hAnsi="Arial"/>
                <w:sz w:val="8"/>
                <w:szCs w:val="8"/>
                <w:color w:val="auto"/>
              </w:rPr>
              <w:t>Synthetic</w:t>
            </w:r>
          </w:p>
        </w:tc>
        <w:tc>
          <w:tcPr>
            <w:tcW w:w="480" w:type="dxa"/>
            <w:vAlign w:val="bottom"/>
            <w:tcBorders>
              <w:top w:val="single" w:sz="8" w:color="0077C0"/>
            </w:tcBorders>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Borders>
              <w:top w:val="single" w:sz="8" w:color="0077C0"/>
            </w:tcBorders>
          </w:tcPr>
          <w:p>
            <w:pPr>
              <w:spacing w:after="0"/>
              <w:rPr>
                <w:sz w:val="6"/>
                <w:szCs w:val="6"/>
                <w:color w:val="auto"/>
              </w:rPr>
            </w:pPr>
          </w:p>
        </w:tc>
        <w:tc>
          <w:tcPr>
            <w:tcW w:w="780" w:type="dxa"/>
            <w:vAlign w:val="bottom"/>
            <w:tcBorders>
              <w:top w:val="single" w:sz="8" w:color="0077C0"/>
            </w:tcBorders>
            <w:gridSpan w:val="2"/>
          </w:tcPr>
          <w:p>
            <w:pPr>
              <w:jc w:val="right"/>
              <w:spacing w:after="0" w:line="75" w:lineRule="exact"/>
              <w:rPr>
                <w:sz w:val="20"/>
                <w:szCs w:val="20"/>
                <w:color w:val="auto"/>
              </w:rPr>
            </w:pPr>
            <w:r>
              <w:rPr>
                <w:rFonts w:ascii="Arial" w:cs="Arial" w:eastAsia="Arial" w:hAnsi="Arial"/>
                <w:sz w:val="8"/>
                <w:szCs w:val="8"/>
                <w:color w:val="auto"/>
              </w:rPr>
              <w:t>Synthetic</w:t>
            </w: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gridSpan w:val="2"/>
          </w:tcPr>
          <w:p>
            <w:pPr>
              <w:jc w:val="right"/>
              <w:ind w:right="20"/>
              <w:spacing w:after="0" w:line="75" w:lineRule="exact"/>
              <w:rPr>
                <w:sz w:val="20"/>
                <w:szCs w:val="20"/>
                <w:color w:val="auto"/>
              </w:rPr>
            </w:pPr>
            <w:r>
              <w:rPr>
                <w:rFonts w:ascii="Arial" w:cs="Arial" w:eastAsia="Arial" w:hAnsi="Arial"/>
                <w:sz w:val="8"/>
                <w:szCs w:val="8"/>
                <w:color w:val="auto"/>
              </w:rPr>
              <w:t>and Affiliated</w:t>
            </w:r>
          </w:p>
        </w:tc>
        <w:tc>
          <w:tcPr>
            <w:tcW w:w="0" w:type="dxa"/>
            <w:vAlign w:val="bottom"/>
          </w:tcPr>
          <w:p>
            <w:pPr>
              <w:spacing w:after="0"/>
              <w:rPr>
                <w:sz w:val="1"/>
                <w:szCs w:val="1"/>
                <w:color w:val="auto"/>
              </w:rPr>
            </w:pPr>
          </w:p>
        </w:tc>
      </w:tr>
      <w:tr>
        <w:trPr>
          <w:trHeight w:val="107"/>
        </w:trPr>
        <w:tc>
          <w:tcPr>
            <w:tcW w:w="2180" w:type="dxa"/>
            <w:vAlign w:val="bottom"/>
            <w:gridSpan w:val="2"/>
          </w:tcPr>
          <w:p>
            <w:pPr>
              <w:spacing w:after="0"/>
              <w:rPr>
                <w:sz w:val="20"/>
                <w:szCs w:val="20"/>
                <w:color w:val="auto"/>
              </w:rPr>
            </w:pPr>
            <w:r>
              <w:rPr>
                <w:rFonts w:ascii="Arial" w:cs="Arial" w:eastAsia="Arial" w:hAnsi="Arial"/>
                <w:sz w:val="9"/>
                <w:szCs w:val="9"/>
                <w:i w:val="1"/>
                <w:iCs w:val="1"/>
                <w:color w:val="auto"/>
              </w:rPr>
              <w:t>Millions of barrels</w:t>
            </w:r>
          </w:p>
        </w:tc>
        <w:tc>
          <w:tcPr>
            <w:tcW w:w="800" w:type="dxa"/>
            <w:vAlign w:val="bottom"/>
          </w:tcPr>
          <w:p>
            <w:pPr>
              <w:jc w:val="right"/>
              <w:ind w:right="395"/>
              <w:spacing w:after="0"/>
              <w:rPr>
                <w:sz w:val="20"/>
                <w:szCs w:val="20"/>
                <w:color w:val="auto"/>
              </w:rPr>
            </w:pPr>
            <w:r>
              <w:rPr>
                <w:rFonts w:ascii="Arial" w:cs="Arial" w:eastAsia="Arial" w:hAnsi="Arial"/>
                <w:sz w:val="9"/>
                <w:szCs w:val="9"/>
                <w:color w:val="auto"/>
              </w:rPr>
              <w:t>U.S.</w:t>
            </w:r>
          </w:p>
        </w:tc>
        <w:tc>
          <w:tcPr>
            <w:tcW w:w="700" w:type="dxa"/>
            <w:vAlign w:val="bottom"/>
          </w:tcPr>
          <w:p>
            <w:pPr>
              <w:jc w:val="right"/>
              <w:ind w:right="255"/>
              <w:spacing w:after="0"/>
              <w:rPr>
                <w:sz w:val="20"/>
                <w:szCs w:val="20"/>
                <w:color w:val="auto"/>
              </w:rPr>
            </w:pPr>
            <w:r>
              <w:rPr>
                <w:rFonts w:ascii="Arial" w:cs="Arial" w:eastAsia="Arial" w:hAnsi="Arial"/>
                <w:sz w:val="9"/>
                <w:szCs w:val="9"/>
                <w:color w:val="auto"/>
                <w:w w:val="91"/>
              </w:rPr>
              <w:t>Americas</w:t>
            </w:r>
            <w:r>
              <w:rPr>
                <w:rFonts w:ascii="Arial" w:cs="Arial" w:eastAsia="Arial" w:hAnsi="Arial"/>
                <w:sz w:val="7"/>
                <w:szCs w:val="7"/>
                <w:color w:val="auto"/>
                <w:w w:val="91"/>
              </w:rPr>
              <w:t>1</w:t>
            </w:r>
          </w:p>
        </w:tc>
        <w:tc>
          <w:tcPr>
            <w:tcW w:w="780" w:type="dxa"/>
            <w:vAlign w:val="bottom"/>
          </w:tcPr>
          <w:p>
            <w:pPr>
              <w:jc w:val="right"/>
              <w:ind w:right="255"/>
              <w:spacing w:after="0"/>
              <w:rPr>
                <w:sz w:val="20"/>
                <w:szCs w:val="20"/>
                <w:color w:val="auto"/>
              </w:rPr>
            </w:pPr>
            <w:r>
              <w:rPr>
                <w:rFonts w:ascii="Arial" w:cs="Arial" w:eastAsia="Arial" w:hAnsi="Arial"/>
                <w:sz w:val="9"/>
                <w:szCs w:val="9"/>
                <w:color w:val="auto"/>
              </w:rPr>
              <w:t>Africa</w:t>
            </w:r>
          </w:p>
        </w:tc>
        <w:tc>
          <w:tcPr>
            <w:tcW w:w="700" w:type="dxa"/>
            <w:vAlign w:val="bottom"/>
          </w:tcPr>
          <w:p>
            <w:pPr>
              <w:jc w:val="right"/>
              <w:ind w:right="195"/>
              <w:spacing w:after="0"/>
              <w:rPr>
                <w:sz w:val="20"/>
                <w:szCs w:val="20"/>
                <w:color w:val="auto"/>
              </w:rPr>
            </w:pPr>
            <w:r>
              <w:rPr>
                <w:rFonts w:ascii="Arial" w:cs="Arial" w:eastAsia="Arial" w:hAnsi="Arial"/>
                <w:sz w:val="9"/>
                <w:szCs w:val="9"/>
                <w:color w:val="auto"/>
              </w:rPr>
              <w:t>Asia</w:t>
            </w:r>
          </w:p>
        </w:tc>
        <w:tc>
          <w:tcPr>
            <w:tcW w:w="800" w:type="dxa"/>
            <w:vAlign w:val="bottom"/>
          </w:tcPr>
          <w:p>
            <w:pPr>
              <w:jc w:val="right"/>
              <w:ind w:right="215"/>
              <w:spacing w:after="0"/>
              <w:rPr>
                <w:sz w:val="20"/>
                <w:szCs w:val="20"/>
                <w:color w:val="auto"/>
              </w:rPr>
            </w:pPr>
            <w:r>
              <w:rPr>
                <w:rFonts w:ascii="Arial" w:cs="Arial" w:eastAsia="Arial" w:hAnsi="Arial"/>
                <w:sz w:val="9"/>
                <w:szCs w:val="9"/>
                <w:color w:val="auto"/>
              </w:rPr>
              <w:t>Australia</w:t>
            </w:r>
          </w:p>
        </w:tc>
        <w:tc>
          <w:tcPr>
            <w:tcW w:w="740" w:type="dxa"/>
            <w:vAlign w:val="bottom"/>
          </w:tcPr>
          <w:p>
            <w:pPr>
              <w:jc w:val="right"/>
              <w:ind w:right="195"/>
              <w:spacing w:after="0"/>
              <w:rPr>
                <w:sz w:val="20"/>
                <w:szCs w:val="20"/>
                <w:color w:val="auto"/>
              </w:rPr>
            </w:pPr>
            <w:r>
              <w:rPr>
                <w:rFonts w:ascii="Arial" w:cs="Arial" w:eastAsia="Arial" w:hAnsi="Arial"/>
                <w:sz w:val="9"/>
                <w:szCs w:val="9"/>
                <w:color w:val="auto"/>
              </w:rPr>
              <w:t>Europe</w:t>
            </w:r>
          </w:p>
        </w:tc>
        <w:tc>
          <w:tcPr>
            <w:tcW w:w="200" w:type="dxa"/>
            <w:vAlign w:val="bottom"/>
          </w:tcPr>
          <w:p>
            <w:pPr>
              <w:spacing w:after="0"/>
              <w:rPr>
                <w:sz w:val="9"/>
                <w:szCs w:val="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9"/>
                <w:szCs w:val="9"/>
                <w:color w:val="auto"/>
              </w:rPr>
              <w:t>Oil</w:t>
            </w:r>
            <w:r>
              <w:rPr>
                <w:rFonts w:ascii="Arial" w:cs="Arial" w:eastAsia="Arial" w:hAnsi="Arial"/>
                <w:sz w:val="7"/>
                <w:szCs w:val="7"/>
                <w:color w:val="auto"/>
              </w:rPr>
              <w:t>2,3</w:t>
            </w:r>
          </w:p>
        </w:tc>
        <w:tc>
          <w:tcPr>
            <w:tcW w:w="920" w:type="dxa"/>
            <w:vAlign w:val="bottom"/>
            <w:gridSpan w:val="2"/>
          </w:tcPr>
          <w:p>
            <w:pPr>
              <w:jc w:val="right"/>
              <w:ind w:right="440"/>
              <w:spacing w:after="0"/>
              <w:rPr>
                <w:sz w:val="20"/>
                <w:szCs w:val="20"/>
                <w:color w:val="auto"/>
              </w:rPr>
            </w:pPr>
            <w:r>
              <w:rPr>
                <w:rFonts w:ascii="Arial" w:cs="Arial" w:eastAsia="Arial" w:hAnsi="Arial"/>
                <w:sz w:val="9"/>
                <w:szCs w:val="9"/>
                <w:color w:val="auto"/>
              </w:rPr>
              <w:t>Total</w:t>
            </w:r>
          </w:p>
        </w:tc>
        <w:tc>
          <w:tcPr>
            <w:tcW w:w="360" w:type="dxa"/>
            <w:vAlign w:val="bottom"/>
          </w:tcPr>
          <w:p>
            <w:pPr>
              <w:jc w:val="right"/>
              <w:spacing w:after="0"/>
              <w:rPr>
                <w:sz w:val="20"/>
                <w:szCs w:val="20"/>
                <w:color w:val="auto"/>
              </w:rPr>
            </w:pPr>
            <w:r>
              <w:rPr>
                <w:rFonts w:ascii="Arial" w:cs="Arial" w:eastAsia="Arial" w:hAnsi="Arial"/>
                <w:sz w:val="9"/>
                <w:szCs w:val="9"/>
                <w:color w:val="auto"/>
              </w:rPr>
              <w:t>TCO</w:t>
            </w:r>
          </w:p>
        </w:tc>
        <w:tc>
          <w:tcPr>
            <w:tcW w:w="400" w:type="dxa"/>
            <w:vAlign w:val="bottom"/>
          </w:tcPr>
          <w:p>
            <w:pPr>
              <w:spacing w:after="0"/>
              <w:rPr>
                <w:sz w:val="9"/>
                <w:szCs w:val="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9"/>
                <w:szCs w:val="9"/>
                <w:color w:val="auto"/>
              </w:rPr>
              <w:t>Oil</w:t>
            </w:r>
            <w:r>
              <w:rPr>
                <w:rFonts w:ascii="Arial" w:cs="Arial" w:eastAsia="Arial" w:hAnsi="Arial"/>
                <w:sz w:val="7"/>
                <w:szCs w:val="7"/>
                <w:color w:val="auto"/>
              </w:rPr>
              <w:t>2</w:t>
            </w:r>
          </w:p>
        </w:tc>
        <w:tc>
          <w:tcPr>
            <w:tcW w:w="940" w:type="dxa"/>
            <w:vAlign w:val="bottom"/>
            <w:gridSpan w:val="2"/>
          </w:tcPr>
          <w:p>
            <w:pPr>
              <w:jc w:val="right"/>
              <w:ind w:right="440"/>
              <w:spacing w:after="0"/>
              <w:rPr>
                <w:sz w:val="20"/>
                <w:szCs w:val="20"/>
                <w:color w:val="auto"/>
              </w:rPr>
            </w:pPr>
            <w:r>
              <w:rPr>
                <w:rFonts w:ascii="Arial" w:cs="Arial" w:eastAsia="Arial" w:hAnsi="Arial"/>
                <w:sz w:val="9"/>
                <w:szCs w:val="9"/>
                <w:color w:val="auto"/>
              </w:rPr>
              <w:t>Other</w:t>
            </w:r>
            <w:r>
              <w:rPr>
                <w:rFonts w:ascii="Arial" w:cs="Arial" w:eastAsia="Arial" w:hAnsi="Arial"/>
                <w:sz w:val="7"/>
                <w:szCs w:val="7"/>
                <w:color w:val="auto"/>
              </w:rPr>
              <w:t>4</w:t>
            </w:r>
          </w:p>
        </w:tc>
        <w:tc>
          <w:tcPr>
            <w:tcW w:w="520" w:type="dxa"/>
            <w:vAlign w:val="bottom"/>
            <w:gridSpan w:val="2"/>
          </w:tcPr>
          <w:p>
            <w:pPr>
              <w:jc w:val="right"/>
              <w:ind w:right="40"/>
              <w:spacing w:after="0"/>
              <w:rPr>
                <w:sz w:val="20"/>
                <w:szCs w:val="20"/>
                <w:color w:val="auto"/>
              </w:rPr>
            </w:pPr>
            <w:r>
              <w:rPr>
                <w:rFonts w:ascii="Arial" w:cs="Arial" w:eastAsia="Arial" w:hAnsi="Arial"/>
                <w:sz w:val="9"/>
                <w:szCs w:val="9"/>
                <w:color w:val="auto"/>
              </w:rPr>
              <w:t>Companies</w:t>
            </w:r>
          </w:p>
        </w:tc>
        <w:tc>
          <w:tcPr>
            <w:tcW w:w="0" w:type="dxa"/>
            <w:vAlign w:val="bottom"/>
          </w:tcPr>
          <w:p>
            <w:pPr>
              <w:spacing w:after="0"/>
              <w:rPr>
                <w:sz w:val="1"/>
                <w:szCs w:val="1"/>
                <w:color w:val="auto"/>
              </w:rPr>
            </w:pPr>
          </w:p>
        </w:tc>
      </w:tr>
      <w:tr>
        <w:trPr>
          <w:trHeight w:val="86"/>
        </w:trPr>
        <w:tc>
          <w:tcPr>
            <w:tcW w:w="2180" w:type="dxa"/>
            <w:vAlign w:val="bottom"/>
            <w:tcBorders>
              <w:top w:val="single" w:sz="8" w:color="0077C0"/>
            </w:tcBorders>
            <w:gridSpan w:val="2"/>
          </w:tcPr>
          <w:p>
            <w:pPr>
              <w:spacing w:after="0" w:line="85" w:lineRule="exact"/>
              <w:rPr>
                <w:sz w:val="20"/>
                <w:szCs w:val="20"/>
                <w:color w:val="auto"/>
              </w:rPr>
            </w:pPr>
            <w:r>
              <w:rPr>
                <w:rFonts w:ascii="Arial" w:cs="Arial" w:eastAsia="Arial" w:hAnsi="Arial"/>
                <w:sz w:val="9"/>
                <w:szCs w:val="9"/>
                <w:b w:val="1"/>
                <w:bCs w:val="1"/>
                <w:color w:val="0077C0"/>
              </w:rPr>
              <w:t>Reserves at January 1, 2009</w:t>
            </w:r>
          </w:p>
        </w:tc>
        <w:tc>
          <w:tcPr>
            <w:tcW w:w="800" w:type="dxa"/>
            <w:vAlign w:val="bottom"/>
            <w:tcBorders>
              <w:top w:val="single" w:sz="8" w:color="0077C0"/>
            </w:tcBorders>
          </w:tcPr>
          <w:p>
            <w:pPr>
              <w:jc w:val="right"/>
              <w:ind w:right="395"/>
              <w:spacing w:after="0" w:line="85" w:lineRule="exact"/>
              <w:rPr>
                <w:sz w:val="20"/>
                <w:szCs w:val="20"/>
                <w:color w:val="auto"/>
              </w:rPr>
            </w:pPr>
            <w:r>
              <w:rPr>
                <w:rFonts w:ascii="Arial" w:cs="Arial" w:eastAsia="Arial" w:hAnsi="Arial"/>
                <w:sz w:val="9"/>
                <w:szCs w:val="9"/>
                <w:color w:val="auto"/>
              </w:rPr>
              <w:t>1,470</w:t>
            </w:r>
          </w:p>
        </w:tc>
        <w:tc>
          <w:tcPr>
            <w:tcW w:w="70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149</w:t>
            </w:r>
          </w:p>
        </w:tc>
        <w:tc>
          <w:tcPr>
            <w:tcW w:w="78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1,385</w:t>
            </w:r>
          </w:p>
        </w:tc>
        <w:tc>
          <w:tcPr>
            <w:tcW w:w="7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1,456</w:t>
            </w:r>
          </w:p>
        </w:tc>
        <w:tc>
          <w:tcPr>
            <w:tcW w:w="8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73</w:t>
            </w:r>
          </w:p>
        </w:tc>
        <w:tc>
          <w:tcPr>
            <w:tcW w:w="74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202</w:t>
            </w:r>
          </w:p>
        </w:tc>
        <w:tc>
          <w:tcPr>
            <w:tcW w:w="2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shd w:val="clear" w:color="auto" w:fill="E1EAF7"/>
          </w:tcPr>
          <w:p>
            <w:pPr>
              <w:jc w:val="right"/>
              <w:spacing w:after="0" w:line="85"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0077C0"/>
            </w:tcBorders>
          </w:tcPr>
          <w:p>
            <w:pPr>
              <w:spacing w:after="0"/>
              <w:rPr>
                <w:sz w:val="7"/>
                <w:szCs w:val="7"/>
                <w:color w:val="auto"/>
              </w:rPr>
            </w:pP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4,735</w:t>
            </w:r>
          </w:p>
        </w:tc>
        <w:tc>
          <w:tcPr>
            <w:tcW w:w="440" w:type="dxa"/>
            <w:vAlign w:val="bottom"/>
          </w:tcPr>
          <w:p>
            <w:pPr>
              <w:spacing w:after="0"/>
              <w:rPr>
                <w:sz w:val="7"/>
                <w:szCs w:val="7"/>
                <w:color w:val="auto"/>
              </w:rPr>
            </w:pPr>
          </w:p>
        </w:tc>
        <w:tc>
          <w:tcPr>
            <w:tcW w:w="36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2,176</w:t>
            </w:r>
          </w:p>
        </w:tc>
        <w:tc>
          <w:tcPr>
            <w:tcW w:w="40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shd w:val="clear" w:color="auto" w:fill="E1EAF7"/>
          </w:tcPr>
          <w:p>
            <w:pPr>
              <w:jc w:val="right"/>
              <w:spacing w:after="0" w:line="85"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0077C0"/>
            </w:tcBorders>
          </w:tcPr>
          <w:p>
            <w:pPr>
              <w:spacing w:after="0"/>
              <w:rPr>
                <w:sz w:val="7"/>
                <w:szCs w:val="7"/>
                <w:color w:val="auto"/>
              </w:rPr>
            </w:pPr>
          </w:p>
        </w:tc>
        <w:tc>
          <w:tcPr>
            <w:tcW w:w="50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439</w:t>
            </w:r>
          </w:p>
        </w:tc>
        <w:tc>
          <w:tcPr>
            <w:tcW w:w="440" w:type="dxa"/>
            <w:vAlign w:val="bottom"/>
          </w:tcPr>
          <w:p>
            <w:pPr>
              <w:spacing w:after="0"/>
              <w:rPr>
                <w:sz w:val="7"/>
                <w:szCs w:val="7"/>
                <w:color w:val="auto"/>
              </w:rPr>
            </w:pP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7,350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80" w:type="dxa"/>
            <w:vAlign w:val="bottom"/>
            <w:gridSpan w:val="2"/>
          </w:tcPr>
          <w:p>
            <w:pPr>
              <w:spacing w:after="0" w:line="85" w:lineRule="exact"/>
              <w:rPr>
                <w:sz w:val="20"/>
                <w:szCs w:val="20"/>
                <w:color w:val="auto"/>
              </w:rPr>
            </w:pPr>
            <w:r>
              <w:rPr>
                <w:rFonts w:ascii="Arial" w:cs="Arial" w:eastAsia="Arial" w:hAnsi="Arial"/>
                <w:sz w:val="9"/>
                <w:szCs w:val="9"/>
                <w:color w:val="auto"/>
              </w:rPr>
              <w:t>Changes attributable to:</w:t>
            </w: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Revisions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63</w:t>
            </w:r>
          </w:p>
        </w:tc>
        <w:tc>
          <w:tcPr>
            <w:tcW w:w="700" w:type="dxa"/>
            <w:vAlign w:val="bottom"/>
          </w:tcPr>
          <w:p>
            <w:pPr>
              <w:jc w:val="right"/>
              <w:ind w:right="215"/>
              <w:spacing w:after="0" w:line="96" w:lineRule="exact"/>
              <w:rPr>
                <w:sz w:val="20"/>
                <w:szCs w:val="20"/>
                <w:color w:val="auto"/>
              </w:rPr>
            </w:pPr>
            <w:r>
              <w:rPr>
                <w:rFonts w:ascii="Arial" w:cs="Arial" w:eastAsia="Arial" w:hAnsi="Arial"/>
                <w:sz w:val="9"/>
                <w:szCs w:val="9"/>
                <w:color w:val="auto"/>
              </w:rPr>
              <w:t>(29)</w:t>
            </w:r>
          </w:p>
        </w:tc>
        <w:tc>
          <w:tcPr>
            <w:tcW w:w="780" w:type="dxa"/>
            <w:vAlign w:val="bottom"/>
          </w:tcPr>
          <w:p>
            <w:pPr>
              <w:jc w:val="right"/>
              <w:ind w:right="235"/>
              <w:spacing w:after="0" w:line="96" w:lineRule="exact"/>
              <w:rPr>
                <w:sz w:val="20"/>
                <w:szCs w:val="20"/>
                <w:color w:val="auto"/>
              </w:rPr>
            </w:pPr>
            <w:r>
              <w:rPr>
                <w:rFonts w:ascii="Arial" w:cs="Arial" w:eastAsia="Arial" w:hAnsi="Arial"/>
                <w:sz w:val="9"/>
                <w:szCs w:val="9"/>
                <w:color w:val="auto"/>
              </w:rPr>
              <w:t>(46)</w:t>
            </w:r>
          </w:p>
        </w:tc>
        <w:tc>
          <w:tcPr>
            <w:tcW w:w="700" w:type="dxa"/>
            <w:vAlign w:val="bottom"/>
          </w:tcPr>
          <w:p>
            <w:pPr>
              <w:jc w:val="right"/>
              <w:ind w:right="155"/>
              <w:spacing w:after="0" w:line="96" w:lineRule="exact"/>
              <w:rPr>
                <w:sz w:val="20"/>
                <w:szCs w:val="20"/>
                <w:color w:val="auto"/>
              </w:rPr>
            </w:pPr>
            <w:r>
              <w:rPr>
                <w:rFonts w:ascii="Arial" w:cs="Arial" w:eastAsia="Arial" w:hAnsi="Arial"/>
                <w:sz w:val="9"/>
                <w:szCs w:val="9"/>
                <w:color w:val="auto"/>
              </w:rPr>
              <w:t>(121)</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18</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10</w:t>
            </w:r>
          </w:p>
        </w:tc>
        <w:tc>
          <w:tcPr>
            <w:tcW w:w="900" w:type="dxa"/>
            <w:vAlign w:val="bottom"/>
            <w:gridSpan w:val="3"/>
          </w:tcPr>
          <w:p>
            <w:pPr>
              <w:jc w:val="right"/>
              <w:ind w:right="280"/>
              <w:spacing w:after="0" w:line="96" w:lineRule="exact"/>
              <w:rPr>
                <w:sz w:val="20"/>
                <w:szCs w:val="20"/>
                <w:color w:val="auto"/>
              </w:rPr>
            </w:pPr>
            <w:r>
              <w:rPr>
                <w:rFonts w:ascii="Arial" w:cs="Arial" w:eastAsia="Arial" w:hAnsi="Arial"/>
                <w:sz w:val="9"/>
                <w:szCs w:val="9"/>
                <w:color w:val="auto"/>
              </w:rPr>
              <w:t>460</w:t>
            </w:r>
          </w:p>
        </w:tc>
        <w:tc>
          <w:tcPr>
            <w:tcW w:w="92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355</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(184)</w:t>
            </w:r>
          </w:p>
        </w:tc>
        <w:tc>
          <w:tcPr>
            <w:tcW w:w="1060" w:type="dxa"/>
            <w:vAlign w:val="bottom"/>
            <w:gridSpan w:val="3"/>
          </w:tcPr>
          <w:p>
            <w:pPr>
              <w:jc w:val="right"/>
              <w:ind w:right="280"/>
              <w:spacing w:after="0" w:line="96" w:lineRule="exact"/>
              <w:rPr>
                <w:sz w:val="20"/>
                <w:szCs w:val="20"/>
                <w:color w:val="auto"/>
              </w:rPr>
            </w:pPr>
            <w:r>
              <w:rPr>
                <w:rFonts w:ascii="Arial" w:cs="Arial" w:eastAsia="Arial" w:hAnsi="Arial"/>
                <w:sz w:val="9"/>
                <w:szCs w:val="9"/>
                <w:color w:val="auto"/>
              </w:rPr>
              <w:t>266</w:t>
            </w:r>
          </w:p>
        </w:tc>
        <w:tc>
          <w:tcPr>
            <w:tcW w:w="940" w:type="dxa"/>
            <w:vAlign w:val="bottom"/>
            <w:gridSpan w:val="2"/>
          </w:tcPr>
          <w:p>
            <w:pPr>
              <w:jc w:val="right"/>
              <w:ind w:right="420"/>
              <w:spacing w:after="0" w:line="96" w:lineRule="exact"/>
              <w:rPr>
                <w:sz w:val="20"/>
                <w:szCs w:val="20"/>
                <w:color w:val="auto"/>
              </w:rPr>
            </w:pPr>
            <w:r>
              <w:rPr>
                <w:rFonts w:ascii="Arial" w:cs="Arial" w:eastAsia="Arial" w:hAnsi="Arial"/>
                <w:sz w:val="9"/>
                <w:szCs w:val="9"/>
                <w:color w:val="auto"/>
              </w:rPr>
              <w:t>(269)</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168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Improved recovery</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2</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48</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50</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36</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86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Extensions and discoveries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6</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13</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10</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3</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20</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52</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52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Purchases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40"/>
              <w:spacing w:after="0" w:line="96"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Sales</w:t>
            </w:r>
          </w:p>
        </w:tc>
        <w:tc>
          <w:tcPr>
            <w:tcW w:w="800" w:type="dxa"/>
            <w:vAlign w:val="bottom"/>
          </w:tcPr>
          <w:p>
            <w:pPr>
              <w:jc w:val="right"/>
              <w:ind w:right="375"/>
              <w:spacing w:after="0" w:line="96" w:lineRule="exact"/>
              <w:rPr>
                <w:sz w:val="20"/>
                <w:szCs w:val="20"/>
                <w:color w:val="auto"/>
              </w:rPr>
            </w:pPr>
            <w:r>
              <w:rPr>
                <w:rFonts w:ascii="Arial" w:cs="Arial" w:eastAsia="Arial" w:hAnsi="Arial"/>
                <w:sz w:val="9"/>
                <w:szCs w:val="9"/>
                <w:color w:val="auto"/>
              </w:rPr>
              <w:t>(3)</w:t>
            </w:r>
          </w:p>
        </w:tc>
        <w:tc>
          <w:tcPr>
            <w:tcW w:w="700" w:type="dxa"/>
            <w:vAlign w:val="bottom"/>
          </w:tcPr>
          <w:p>
            <w:pPr>
              <w:jc w:val="right"/>
              <w:ind w:right="215"/>
              <w:spacing w:after="0" w:line="96" w:lineRule="exact"/>
              <w:rPr>
                <w:sz w:val="20"/>
                <w:szCs w:val="20"/>
                <w:color w:val="auto"/>
              </w:rPr>
            </w:pPr>
            <w:r>
              <w:rPr>
                <w:rFonts w:ascii="Arial" w:cs="Arial" w:eastAsia="Arial" w:hAnsi="Arial"/>
                <w:sz w:val="9"/>
                <w:szCs w:val="9"/>
                <w:color w:val="auto"/>
              </w:rPr>
              <w:t>(6)</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420"/>
              <w:spacing w:after="0" w:line="96" w:lineRule="exact"/>
              <w:rPr>
                <w:sz w:val="20"/>
                <w:szCs w:val="20"/>
                <w:color w:val="auto"/>
              </w:rPr>
            </w:pPr>
            <w:r>
              <w:rPr>
                <w:rFonts w:ascii="Arial" w:cs="Arial" w:eastAsia="Arial" w:hAnsi="Arial"/>
                <w:sz w:val="9"/>
                <w:szCs w:val="9"/>
                <w:color w:val="auto"/>
              </w:rPr>
              <w:t>(9)</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spacing w:after="0" w:line="96"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ind w:left="120"/>
              <w:spacing w:after="0"/>
              <w:rPr>
                <w:sz w:val="20"/>
                <w:szCs w:val="20"/>
                <w:color w:val="auto"/>
              </w:rPr>
            </w:pPr>
            <w:r>
              <w:rPr>
                <w:rFonts w:ascii="Arial" w:cs="Arial" w:eastAsia="Arial" w:hAnsi="Arial"/>
                <w:sz w:val="9"/>
                <w:szCs w:val="9"/>
                <w:color w:val="auto"/>
              </w:rPr>
              <w:t>Production</w:t>
            </w:r>
          </w:p>
        </w:tc>
        <w:tc>
          <w:tcPr>
            <w:tcW w:w="800" w:type="dxa"/>
            <w:vAlign w:val="bottom"/>
          </w:tcPr>
          <w:p>
            <w:pPr>
              <w:jc w:val="right"/>
              <w:ind w:right="375"/>
              <w:spacing w:after="0"/>
              <w:rPr>
                <w:sz w:val="20"/>
                <w:szCs w:val="20"/>
                <w:color w:val="auto"/>
              </w:rPr>
            </w:pPr>
            <w:r>
              <w:rPr>
                <w:rFonts w:ascii="Arial" w:cs="Arial" w:eastAsia="Arial" w:hAnsi="Arial"/>
                <w:sz w:val="9"/>
                <w:szCs w:val="9"/>
                <w:color w:val="auto"/>
              </w:rPr>
              <w:t>(177)</w:t>
            </w:r>
          </w:p>
        </w:tc>
        <w:tc>
          <w:tcPr>
            <w:tcW w:w="700" w:type="dxa"/>
            <w:vAlign w:val="bottom"/>
          </w:tcPr>
          <w:p>
            <w:pPr>
              <w:jc w:val="right"/>
              <w:ind w:right="215"/>
              <w:spacing w:after="0"/>
              <w:rPr>
                <w:sz w:val="20"/>
                <w:szCs w:val="20"/>
                <w:color w:val="auto"/>
              </w:rPr>
            </w:pPr>
            <w:r>
              <w:rPr>
                <w:rFonts w:ascii="Arial" w:cs="Arial" w:eastAsia="Arial" w:hAnsi="Arial"/>
                <w:sz w:val="9"/>
                <w:szCs w:val="9"/>
                <w:color w:val="auto"/>
              </w:rPr>
              <w:t>(23)</w:t>
            </w:r>
          </w:p>
        </w:tc>
        <w:tc>
          <w:tcPr>
            <w:tcW w:w="780" w:type="dxa"/>
            <w:vAlign w:val="bottom"/>
          </w:tcPr>
          <w:p>
            <w:pPr>
              <w:jc w:val="right"/>
              <w:ind w:right="235"/>
              <w:spacing w:after="0"/>
              <w:rPr>
                <w:sz w:val="20"/>
                <w:szCs w:val="20"/>
                <w:color w:val="auto"/>
              </w:rPr>
            </w:pPr>
            <w:r>
              <w:rPr>
                <w:rFonts w:ascii="Arial" w:cs="Arial" w:eastAsia="Arial" w:hAnsi="Arial"/>
                <w:sz w:val="9"/>
                <w:szCs w:val="9"/>
                <w:color w:val="auto"/>
              </w:rPr>
              <w:t>(151)</w:t>
            </w:r>
          </w:p>
        </w:tc>
        <w:tc>
          <w:tcPr>
            <w:tcW w:w="700" w:type="dxa"/>
            <w:vAlign w:val="bottom"/>
          </w:tcPr>
          <w:p>
            <w:pPr>
              <w:jc w:val="right"/>
              <w:ind w:right="155"/>
              <w:spacing w:after="0"/>
              <w:rPr>
                <w:sz w:val="20"/>
                <w:szCs w:val="20"/>
                <w:color w:val="auto"/>
              </w:rPr>
            </w:pPr>
            <w:r>
              <w:rPr>
                <w:rFonts w:ascii="Arial" w:cs="Arial" w:eastAsia="Arial" w:hAnsi="Arial"/>
                <w:sz w:val="9"/>
                <w:szCs w:val="9"/>
                <w:color w:val="auto"/>
              </w:rPr>
              <w:t>(167)</w:t>
            </w: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(13)</w:t>
            </w:r>
          </w:p>
        </w:tc>
        <w:tc>
          <w:tcPr>
            <w:tcW w:w="740" w:type="dxa"/>
            <w:vAlign w:val="bottom"/>
          </w:tcPr>
          <w:p>
            <w:pPr>
              <w:jc w:val="right"/>
              <w:ind w:right="155"/>
              <w:spacing w:after="0"/>
              <w:rPr>
                <w:sz w:val="20"/>
                <w:szCs w:val="20"/>
                <w:color w:val="auto"/>
              </w:rPr>
            </w:pPr>
            <w:r>
              <w:rPr>
                <w:rFonts w:ascii="Arial" w:cs="Arial" w:eastAsia="Arial" w:hAnsi="Arial"/>
                <w:sz w:val="9"/>
                <w:szCs w:val="9"/>
                <w:color w:val="auto"/>
              </w:rPr>
              <w:t>(42)</w:t>
            </w:r>
          </w:p>
        </w:tc>
        <w:tc>
          <w:tcPr>
            <w:tcW w:w="200" w:type="dxa"/>
            <w:vAlign w:val="bottom"/>
          </w:tcPr>
          <w:p>
            <w:pPr>
              <w:spacing w:after="0"/>
              <w:rPr>
                <w:sz w:val="9"/>
                <w:szCs w:val="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9"/>
                <w:szCs w:val="9"/>
                <w:color w:val="auto"/>
              </w:rPr>
              <w:t>(573)</w:t>
            </w:r>
          </w:p>
        </w:tc>
        <w:tc>
          <w:tcPr>
            <w:tcW w:w="360" w:type="dxa"/>
            <w:vAlign w:val="bottom"/>
          </w:tcPr>
          <w:p>
            <w:pPr>
              <w:jc w:val="right"/>
              <w:spacing w:after="0"/>
              <w:rPr>
                <w:sz w:val="20"/>
                <w:szCs w:val="20"/>
                <w:color w:val="auto"/>
              </w:rPr>
            </w:pPr>
            <w:r>
              <w:rPr>
                <w:rFonts w:ascii="Arial" w:cs="Arial" w:eastAsia="Arial" w:hAnsi="Arial"/>
                <w:sz w:val="9"/>
                <w:szCs w:val="9"/>
                <w:color w:val="auto"/>
              </w:rPr>
              <w:t>(82)</w:t>
            </w:r>
          </w:p>
        </w:tc>
        <w:tc>
          <w:tcPr>
            <w:tcW w:w="400" w:type="dxa"/>
            <w:vAlign w:val="bottom"/>
          </w:tcPr>
          <w:p>
            <w:pPr>
              <w:spacing w:after="0"/>
              <w:rPr>
                <w:sz w:val="9"/>
                <w:szCs w:val="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9"/>
                <w:szCs w:val="9"/>
                <w:color w:val="auto"/>
              </w:rPr>
              <w:t>(19)</w:t>
            </w:r>
          </w:p>
        </w:tc>
        <w:tc>
          <w:tcPr>
            <w:tcW w:w="520" w:type="dxa"/>
            <w:vAlign w:val="bottom"/>
            <w:gridSpan w:val="2"/>
          </w:tcPr>
          <w:p>
            <w:pPr>
              <w:jc w:val="right"/>
              <w:spacing w:after="0"/>
              <w:rPr>
                <w:sz w:val="20"/>
                <w:szCs w:val="20"/>
                <w:color w:val="auto"/>
              </w:rPr>
            </w:pPr>
            <w:r>
              <w:rPr>
                <w:rFonts w:ascii="Arial" w:cs="Arial" w:eastAsia="Arial" w:hAnsi="Arial"/>
                <w:sz w:val="9"/>
                <w:szCs w:val="9"/>
                <w:color w:val="auto"/>
              </w:rPr>
              <w:t>(674)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160" w:type="dxa"/>
            <w:vAlign w:val="bottom"/>
            <w:tcBorders>
              <w:top w:val="single" w:sz="8" w:color="0077C0"/>
            </w:tcBorders>
          </w:tcPr>
          <w:p>
            <w:pPr>
              <w:spacing w:after="0" w:line="85" w:lineRule="exact"/>
              <w:rPr>
                <w:sz w:val="20"/>
                <w:szCs w:val="20"/>
                <w:color w:val="auto"/>
              </w:rPr>
            </w:pPr>
            <w:r>
              <w:rPr>
                <w:rFonts w:ascii="Arial" w:cs="Arial" w:eastAsia="Arial" w:hAnsi="Arial"/>
                <w:sz w:val="9"/>
                <w:szCs w:val="9"/>
                <w:b w:val="1"/>
                <w:bCs w:val="1"/>
                <w:color w:val="0077C0"/>
              </w:rPr>
              <w:t>Reserves at December 31, 2009</w:t>
            </w:r>
            <w:r>
              <w:rPr>
                <w:rFonts w:ascii="Arial" w:cs="Arial" w:eastAsia="Arial" w:hAnsi="Arial"/>
                <w:sz w:val="7"/>
                <w:szCs w:val="7"/>
                <w:b w:val="1"/>
                <w:bCs w:val="1"/>
                <w:color w:val="0077C0"/>
              </w:rPr>
              <w:t>5</w:t>
            </w:r>
          </w:p>
        </w:tc>
        <w:tc>
          <w:tcPr>
            <w:tcW w:w="800" w:type="dxa"/>
            <w:vAlign w:val="bottom"/>
            <w:tcBorders>
              <w:top w:val="single" w:sz="8" w:color="0077C0"/>
            </w:tcBorders>
          </w:tcPr>
          <w:p>
            <w:pPr>
              <w:jc w:val="right"/>
              <w:ind w:right="395"/>
              <w:spacing w:after="0" w:line="85" w:lineRule="exact"/>
              <w:rPr>
                <w:sz w:val="20"/>
                <w:szCs w:val="20"/>
                <w:color w:val="auto"/>
              </w:rPr>
            </w:pPr>
            <w:r>
              <w:rPr>
                <w:rFonts w:ascii="Arial" w:cs="Arial" w:eastAsia="Arial" w:hAnsi="Arial"/>
                <w:sz w:val="9"/>
                <w:szCs w:val="9"/>
                <w:color w:val="auto"/>
              </w:rPr>
              <w:t>1,361</w:t>
            </w:r>
          </w:p>
        </w:tc>
        <w:tc>
          <w:tcPr>
            <w:tcW w:w="70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104</w:t>
            </w:r>
          </w:p>
        </w:tc>
        <w:tc>
          <w:tcPr>
            <w:tcW w:w="78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1,246</w:t>
            </w:r>
          </w:p>
        </w:tc>
        <w:tc>
          <w:tcPr>
            <w:tcW w:w="7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1,171</w:t>
            </w:r>
          </w:p>
        </w:tc>
        <w:tc>
          <w:tcPr>
            <w:tcW w:w="8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98</w:t>
            </w:r>
          </w:p>
        </w:tc>
        <w:tc>
          <w:tcPr>
            <w:tcW w:w="74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170</w:t>
            </w:r>
          </w:p>
        </w:tc>
        <w:tc>
          <w:tcPr>
            <w:tcW w:w="900" w:type="dxa"/>
            <w:vAlign w:val="bottom"/>
            <w:tcBorders>
              <w:top w:val="single" w:sz="8" w:color="0077C0"/>
            </w:tcBorders>
            <w:gridSpan w:val="3"/>
          </w:tcPr>
          <w:p>
            <w:pPr>
              <w:jc w:val="right"/>
              <w:ind w:right="280"/>
              <w:spacing w:after="0" w:line="85" w:lineRule="exact"/>
              <w:rPr>
                <w:sz w:val="20"/>
                <w:szCs w:val="20"/>
                <w:color w:val="auto"/>
              </w:rPr>
            </w:pPr>
            <w:r>
              <w:rPr>
                <w:rFonts w:ascii="Arial" w:cs="Arial" w:eastAsia="Arial" w:hAnsi="Arial"/>
                <w:sz w:val="9"/>
                <w:szCs w:val="9"/>
                <w:color w:val="auto"/>
              </w:rPr>
              <w:t>460</w:t>
            </w: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4,610</w:t>
            </w:r>
          </w:p>
        </w:tc>
        <w:tc>
          <w:tcPr>
            <w:tcW w:w="44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1,946</w:t>
            </w:r>
          </w:p>
        </w:tc>
        <w:tc>
          <w:tcPr>
            <w:tcW w:w="1060" w:type="dxa"/>
            <w:vAlign w:val="bottom"/>
            <w:tcBorders>
              <w:top w:val="single" w:sz="8" w:color="0077C0"/>
            </w:tcBorders>
            <w:gridSpan w:val="3"/>
          </w:tcPr>
          <w:p>
            <w:pPr>
              <w:jc w:val="right"/>
              <w:ind w:right="280"/>
              <w:spacing w:after="0" w:line="85" w:lineRule="exact"/>
              <w:rPr>
                <w:sz w:val="20"/>
                <w:szCs w:val="20"/>
                <w:color w:val="auto"/>
              </w:rPr>
            </w:pPr>
            <w:r>
              <w:rPr>
                <w:rFonts w:ascii="Arial" w:cs="Arial" w:eastAsia="Arial" w:hAnsi="Arial"/>
                <w:sz w:val="9"/>
                <w:szCs w:val="9"/>
                <w:color w:val="auto"/>
              </w:rPr>
              <w:t>266</w:t>
            </w:r>
          </w:p>
        </w:tc>
        <w:tc>
          <w:tcPr>
            <w:tcW w:w="940" w:type="dxa"/>
            <w:vAlign w:val="bottom"/>
            <w:tcBorders>
              <w:top w:val="single" w:sz="8" w:color="0077C0"/>
            </w:tcBorders>
            <w:gridSpan w:val="2"/>
          </w:tcPr>
          <w:p>
            <w:pPr>
              <w:jc w:val="right"/>
              <w:ind w:right="440"/>
              <w:spacing w:after="0" w:line="85" w:lineRule="exact"/>
              <w:rPr>
                <w:sz w:val="20"/>
                <w:szCs w:val="20"/>
                <w:color w:val="auto"/>
              </w:rPr>
            </w:pPr>
            <w:r>
              <w:rPr>
                <w:rFonts w:ascii="Arial" w:cs="Arial" w:eastAsia="Arial" w:hAnsi="Arial"/>
                <w:sz w:val="9"/>
                <w:szCs w:val="9"/>
                <w:color w:val="auto"/>
              </w:rPr>
              <w:t>151</w:t>
            </w: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6,973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180" w:type="dxa"/>
            <w:vAlign w:val="bottom"/>
            <w:gridSpan w:val="2"/>
          </w:tcPr>
          <w:p>
            <w:pPr>
              <w:spacing w:after="0" w:line="96" w:lineRule="exact"/>
              <w:rPr>
                <w:sz w:val="20"/>
                <w:szCs w:val="20"/>
                <w:color w:val="auto"/>
              </w:rPr>
            </w:pPr>
            <w:r>
              <w:rPr>
                <w:rFonts w:ascii="Arial" w:cs="Arial" w:eastAsia="Arial" w:hAnsi="Arial"/>
                <w:sz w:val="9"/>
                <w:szCs w:val="9"/>
                <w:color w:val="auto"/>
              </w:rPr>
              <w:t>Changes attributable to:</w:t>
            </w: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Revisions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63</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12</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17</w:t>
            </w:r>
          </w:p>
        </w:tc>
        <w:tc>
          <w:tcPr>
            <w:tcW w:w="700" w:type="dxa"/>
            <w:vAlign w:val="bottom"/>
          </w:tcPr>
          <w:p>
            <w:pPr>
              <w:jc w:val="right"/>
              <w:ind w:right="155"/>
              <w:spacing w:after="0" w:line="96" w:lineRule="exact"/>
              <w:rPr>
                <w:sz w:val="20"/>
                <w:szCs w:val="20"/>
                <w:color w:val="auto"/>
              </w:rPr>
            </w:pPr>
            <w:r>
              <w:rPr>
                <w:rFonts w:ascii="Arial" w:cs="Arial" w:eastAsia="Arial" w:hAnsi="Arial"/>
                <w:sz w:val="9"/>
                <w:szCs w:val="9"/>
                <w:color w:val="auto"/>
              </w:rPr>
              <w:t>(26)</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3</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19</w:t>
            </w:r>
          </w:p>
        </w:tc>
        <w:tc>
          <w:tcPr>
            <w:tcW w:w="620" w:type="dxa"/>
            <w:vAlign w:val="bottom"/>
            <w:gridSpan w:val="2"/>
          </w:tcPr>
          <w:p>
            <w:pPr>
              <w:jc w:val="right"/>
              <w:spacing w:after="0" w:line="96" w:lineRule="exact"/>
              <w:rPr>
                <w:sz w:val="20"/>
                <w:szCs w:val="20"/>
                <w:color w:val="auto"/>
              </w:rPr>
            </w:pPr>
            <w:r>
              <w:rPr>
                <w:rFonts w:ascii="Arial" w:cs="Arial" w:eastAsia="Arial" w:hAnsi="Arial"/>
                <w:sz w:val="9"/>
                <w:szCs w:val="9"/>
                <w:color w:val="auto"/>
              </w:rPr>
              <w:t>15</w:t>
            </w:r>
          </w:p>
        </w:tc>
        <w:tc>
          <w:tcPr>
            <w:tcW w:w="280" w:type="dxa"/>
            <w:vAlign w:val="bottom"/>
          </w:tcPr>
          <w:p>
            <w:pPr>
              <w:spacing w:after="0"/>
              <w:rPr>
                <w:sz w:val="8"/>
                <w:szCs w:val="8"/>
                <w:color w:val="auto"/>
              </w:rPr>
            </w:pPr>
          </w:p>
        </w:tc>
        <w:tc>
          <w:tcPr>
            <w:tcW w:w="92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103</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(33)</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6" w:lineRule="exact"/>
              <w:rPr>
                <w:sz w:val="20"/>
                <w:szCs w:val="20"/>
                <w:color w:val="auto"/>
              </w:rPr>
            </w:pPr>
            <w:r>
              <w:rPr>
                <w:rFonts w:ascii="Arial" w:cs="Arial" w:eastAsia="Arial" w:hAnsi="Arial"/>
                <w:sz w:val="9"/>
                <w:szCs w:val="9"/>
                <w:color w:val="auto"/>
              </w:rPr>
              <w:t>12</w:t>
            </w:r>
          </w:p>
        </w:tc>
        <w:tc>
          <w:tcPr>
            <w:tcW w:w="440" w:type="dxa"/>
            <w:vAlign w:val="bottom"/>
          </w:tcPr>
          <w:p>
            <w:pPr>
              <w:spacing w:after="0"/>
              <w:rPr>
                <w:sz w:val="8"/>
                <w:szCs w:val="8"/>
                <w:color w:val="auto"/>
              </w:rPr>
            </w:pP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82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Improved recovery</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11</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3</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58</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2</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74</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3</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77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Extensions and discoveries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19</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19</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9</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16</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63</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color w:val="auto"/>
              </w:rPr>
              <w:t>63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Purchases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11</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11</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40"/>
              <w:spacing w:after="0" w:line="96" w:lineRule="exact"/>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Sales</w:t>
            </w:r>
          </w:p>
        </w:tc>
        <w:tc>
          <w:tcPr>
            <w:tcW w:w="800" w:type="dxa"/>
            <w:vAlign w:val="bottom"/>
          </w:tcPr>
          <w:p>
            <w:pPr>
              <w:jc w:val="right"/>
              <w:ind w:right="375"/>
              <w:spacing w:after="0" w:line="96" w:lineRule="exact"/>
              <w:rPr>
                <w:sz w:val="20"/>
                <w:szCs w:val="20"/>
                <w:color w:val="auto"/>
              </w:rPr>
            </w:pPr>
            <w:r>
              <w:rPr>
                <w:rFonts w:ascii="Arial" w:cs="Arial" w:eastAsia="Arial" w:hAnsi="Arial"/>
                <w:sz w:val="9"/>
                <w:szCs w:val="9"/>
                <w:color w:val="auto"/>
              </w:rPr>
              <w:t>(1)</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20" w:type="dxa"/>
            <w:vAlign w:val="bottom"/>
            <w:gridSpan w:val="2"/>
          </w:tcPr>
          <w:p>
            <w:pPr>
              <w:jc w:val="right"/>
              <w:ind w:right="420"/>
              <w:spacing w:after="0" w:line="96" w:lineRule="exact"/>
              <w:rPr>
                <w:sz w:val="20"/>
                <w:szCs w:val="20"/>
                <w:color w:val="auto"/>
              </w:rPr>
            </w:pPr>
            <w:r>
              <w:rPr>
                <w:rFonts w:ascii="Arial" w:cs="Arial" w:eastAsia="Arial" w:hAnsi="Arial"/>
                <w:sz w:val="9"/>
                <w:szCs w:val="9"/>
                <w:color w:val="auto"/>
              </w:rPr>
              <w:t>(1)</w:t>
            </w: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spacing w:after="0" w:line="96" w:lineRule="exact"/>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60" w:type="dxa"/>
            <w:vAlign w:val="bottom"/>
          </w:tcPr>
          <w:p>
            <w:pPr>
              <w:ind w:left="120"/>
              <w:spacing w:after="0"/>
              <w:rPr>
                <w:sz w:val="20"/>
                <w:szCs w:val="20"/>
                <w:color w:val="auto"/>
              </w:rPr>
            </w:pPr>
            <w:r>
              <w:rPr>
                <w:rFonts w:ascii="Arial" w:cs="Arial" w:eastAsia="Arial" w:hAnsi="Arial"/>
                <w:sz w:val="9"/>
                <w:szCs w:val="9"/>
                <w:color w:val="auto"/>
              </w:rPr>
              <w:t>Production</w:t>
            </w:r>
          </w:p>
        </w:tc>
        <w:tc>
          <w:tcPr>
            <w:tcW w:w="800" w:type="dxa"/>
            <w:vAlign w:val="bottom"/>
          </w:tcPr>
          <w:p>
            <w:pPr>
              <w:jc w:val="right"/>
              <w:ind w:right="375"/>
              <w:spacing w:after="0"/>
              <w:rPr>
                <w:sz w:val="20"/>
                <w:szCs w:val="20"/>
                <w:color w:val="auto"/>
              </w:rPr>
            </w:pPr>
            <w:r>
              <w:rPr>
                <w:rFonts w:ascii="Arial" w:cs="Arial" w:eastAsia="Arial" w:hAnsi="Arial"/>
                <w:sz w:val="9"/>
                <w:szCs w:val="9"/>
                <w:color w:val="auto"/>
              </w:rPr>
              <w:t>(178)</w:t>
            </w:r>
          </w:p>
        </w:tc>
        <w:tc>
          <w:tcPr>
            <w:tcW w:w="700" w:type="dxa"/>
            <w:vAlign w:val="bottom"/>
          </w:tcPr>
          <w:p>
            <w:pPr>
              <w:jc w:val="right"/>
              <w:ind w:right="215"/>
              <w:spacing w:after="0"/>
              <w:rPr>
                <w:sz w:val="20"/>
                <w:szCs w:val="20"/>
                <w:color w:val="auto"/>
              </w:rPr>
            </w:pPr>
            <w:r>
              <w:rPr>
                <w:rFonts w:ascii="Arial" w:cs="Arial" w:eastAsia="Arial" w:hAnsi="Arial"/>
                <w:sz w:val="9"/>
                <w:szCs w:val="9"/>
                <w:color w:val="auto"/>
              </w:rPr>
              <w:t>(30)</w:t>
            </w:r>
          </w:p>
        </w:tc>
        <w:tc>
          <w:tcPr>
            <w:tcW w:w="780" w:type="dxa"/>
            <w:vAlign w:val="bottom"/>
          </w:tcPr>
          <w:p>
            <w:pPr>
              <w:jc w:val="right"/>
              <w:ind w:right="235"/>
              <w:spacing w:after="0"/>
              <w:rPr>
                <w:sz w:val="20"/>
                <w:szCs w:val="20"/>
                <w:color w:val="auto"/>
              </w:rPr>
            </w:pPr>
            <w:r>
              <w:rPr>
                <w:rFonts w:ascii="Arial" w:cs="Arial" w:eastAsia="Arial" w:hAnsi="Arial"/>
                <w:sz w:val="9"/>
                <w:szCs w:val="9"/>
                <w:color w:val="auto"/>
              </w:rPr>
              <w:t>(162)</w:t>
            </w:r>
          </w:p>
        </w:tc>
        <w:tc>
          <w:tcPr>
            <w:tcW w:w="700" w:type="dxa"/>
            <w:vAlign w:val="bottom"/>
          </w:tcPr>
          <w:p>
            <w:pPr>
              <w:jc w:val="right"/>
              <w:ind w:right="155"/>
              <w:spacing w:after="0"/>
              <w:rPr>
                <w:sz w:val="20"/>
                <w:szCs w:val="20"/>
                <w:color w:val="auto"/>
              </w:rPr>
            </w:pPr>
            <w:r>
              <w:rPr>
                <w:rFonts w:ascii="Arial" w:cs="Arial" w:eastAsia="Arial" w:hAnsi="Arial"/>
                <w:sz w:val="9"/>
                <w:szCs w:val="9"/>
                <w:color w:val="auto"/>
              </w:rPr>
              <w:t>(161)</w:t>
            </w:r>
          </w:p>
        </w:tc>
        <w:tc>
          <w:tcPr>
            <w:tcW w:w="800" w:type="dxa"/>
            <w:vAlign w:val="bottom"/>
          </w:tcPr>
          <w:p>
            <w:pPr>
              <w:jc w:val="right"/>
              <w:ind w:right="195"/>
              <w:spacing w:after="0"/>
              <w:rPr>
                <w:sz w:val="20"/>
                <w:szCs w:val="20"/>
                <w:color w:val="auto"/>
              </w:rPr>
            </w:pPr>
            <w:r>
              <w:rPr>
                <w:rFonts w:ascii="Arial" w:cs="Arial" w:eastAsia="Arial" w:hAnsi="Arial"/>
                <w:sz w:val="9"/>
                <w:szCs w:val="9"/>
                <w:color w:val="auto"/>
              </w:rPr>
              <w:t>(13)</w:t>
            </w:r>
          </w:p>
        </w:tc>
        <w:tc>
          <w:tcPr>
            <w:tcW w:w="740" w:type="dxa"/>
            <w:vAlign w:val="bottom"/>
          </w:tcPr>
          <w:p>
            <w:pPr>
              <w:jc w:val="right"/>
              <w:ind w:right="155"/>
              <w:spacing w:after="0"/>
              <w:rPr>
                <w:sz w:val="20"/>
                <w:szCs w:val="20"/>
                <w:color w:val="auto"/>
              </w:rPr>
            </w:pPr>
            <w:r>
              <w:rPr>
                <w:rFonts w:ascii="Arial" w:cs="Arial" w:eastAsia="Arial" w:hAnsi="Arial"/>
                <w:sz w:val="9"/>
                <w:szCs w:val="9"/>
                <w:color w:val="auto"/>
              </w:rPr>
              <w:t>(37)</w:t>
            </w:r>
          </w:p>
        </w:tc>
        <w:tc>
          <w:tcPr>
            <w:tcW w:w="900" w:type="dxa"/>
            <w:vAlign w:val="bottom"/>
            <w:gridSpan w:val="3"/>
          </w:tcPr>
          <w:p>
            <w:pPr>
              <w:jc w:val="right"/>
              <w:ind w:right="260"/>
              <w:spacing w:after="0"/>
              <w:rPr>
                <w:sz w:val="20"/>
                <w:szCs w:val="20"/>
                <w:color w:val="auto"/>
              </w:rPr>
            </w:pPr>
            <w:r>
              <w:rPr>
                <w:rFonts w:ascii="Arial" w:cs="Arial" w:eastAsia="Arial" w:hAnsi="Arial"/>
                <w:sz w:val="9"/>
                <w:szCs w:val="9"/>
                <w:color w:val="auto"/>
              </w:rPr>
              <w:t>(9)</w:t>
            </w:r>
          </w:p>
        </w:tc>
        <w:tc>
          <w:tcPr>
            <w:tcW w:w="920" w:type="dxa"/>
            <w:vAlign w:val="bottom"/>
            <w:gridSpan w:val="2"/>
          </w:tcPr>
          <w:p>
            <w:pPr>
              <w:jc w:val="right"/>
              <w:ind w:right="420"/>
              <w:spacing w:after="0"/>
              <w:rPr>
                <w:sz w:val="20"/>
                <w:szCs w:val="20"/>
                <w:color w:val="auto"/>
              </w:rPr>
            </w:pPr>
            <w:r>
              <w:rPr>
                <w:rFonts w:ascii="Arial" w:cs="Arial" w:eastAsia="Arial" w:hAnsi="Arial"/>
                <w:sz w:val="9"/>
                <w:szCs w:val="9"/>
                <w:color w:val="auto"/>
              </w:rPr>
              <w:t>(590)</w:t>
            </w:r>
          </w:p>
        </w:tc>
        <w:tc>
          <w:tcPr>
            <w:tcW w:w="360" w:type="dxa"/>
            <w:vAlign w:val="bottom"/>
          </w:tcPr>
          <w:p>
            <w:pPr>
              <w:jc w:val="right"/>
              <w:spacing w:after="0"/>
              <w:rPr>
                <w:sz w:val="20"/>
                <w:szCs w:val="20"/>
                <w:color w:val="auto"/>
              </w:rPr>
            </w:pPr>
            <w:r>
              <w:rPr>
                <w:rFonts w:ascii="Arial" w:cs="Arial" w:eastAsia="Arial" w:hAnsi="Arial"/>
                <w:sz w:val="9"/>
                <w:szCs w:val="9"/>
                <w:color w:val="auto"/>
              </w:rPr>
              <w:t>(93)</w:t>
            </w:r>
          </w:p>
        </w:tc>
        <w:tc>
          <w:tcPr>
            <w:tcW w:w="1060" w:type="dxa"/>
            <w:vAlign w:val="bottom"/>
            <w:gridSpan w:val="3"/>
          </w:tcPr>
          <w:p>
            <w:pPr>
              <w:jc w:val="right"/>
              <w:ind w:right="240"/>
              <w:spacing w:after="0"/>
              <w:rPr>
                <w:sz w:val="20"/>
                <w:szCs w:val="20"/>
                <w:color w:val="auto"/>
              </w:rPr>
            </w:pPr>
            <w:r>
              <w:rPr>
                <w:rFonts w:ascii="Arial" w:cs="Arial" w:eastAsia="Arial" w:hAnsi="Arial"/>
                <w:sz w:val="9"/>
                <w:szCs w:val="9"/>
                <w:color w:val="auto"/>
              </w:rPr>
              <w:t>(10)</w:t>
            </w:r>
          </w:p>
        </w:tc>
        <w:tc>
          <w:tcPr>
            <w:tcW w:w="940" w:type="dxa"/>
            <w:vAlign w:val="bottom"/>
            <w:gridSpan w:val="2"/>
          </w:tcPr>
          <w:p>
            <w:pPr>
              <w:jc w:val="right"/>
              <w:ind w:right="420"/>
              <w:spacing w:after="0"/>
              <w:rPr>
                <w:sz w:val="20"/>
                <w:szCs w:val="20"/>
                <w:color w:val="auto"/>
              </w:rPr>
            </w:pPr>
            <w:r>
              <w:rPr>
                <w:rFonts w:ascii="Arial" w:cs="Arial" w:eastAsia="Arial" w:hAnsi="Arial"/>
                <w:sz w:val="9"/>
                <w:szCs w:val="9"/>
                <w:color w:val="auto"/>
              </w:rPr>
              <w:t>(9)</w:t>
            </w:r>
          </w:p>
        </w:tc>
        <w:tc>
          <w:tcPr>
            <w:tcW w:w="520" w:type="dxa"/>
            <w:vAlign w:val="bottom"/>
            <w:gridSpan w:val="2"/>
          </w:tcPr>
          <w:p>
            <w:pPr>
              <w:jc w:val="right"/>
              <w:spacing w:after="0"/>
              <w:rPr>
                <w:sz w:val="20"/>
                <w:szCs w:val="20"/>
                <w:color w:val="auto"/>
              </w:rPr>
            </w:pPr>
            <w:r>
              <w:rPr>
                <w:rFonts w:ascii="Arial" w:cs="Arial" w:eastAsia="Arial" w:hAnsi="Arial"/>
                <w:sz w:val="9"/>
                <w:szCs w:val="9"/>
                <w:color w:val="auto"/>
              </w:rPr>
              <w:t>(702)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160" w:type="dxa"/>
            <w:vAlign w:val="bottom"/>
            <w:tcBorders>
              <w:top w:val="single" w:sz="8" w:color="0077C0"/>
            </w:tcBorders>
          </w:tcPr>
          <w:p>
            <w:pPr>
              <w:spacing w:after="0" w:line="85" w:lineRule="exact"/>
              <w:rPr>
                <w:sz w:val="20"/>
                <w:szCs w:val="20"/>
                <w:color w:val="auto"/>
              </w:rPr>
            </w:pPr>
            <w:r>
              <w:rPr>
                <w:rFonts w:ascii="Arial" w:cs="Arial" w:eastAsia="Arial" w:hAnsi="Arial"/>
                <w:sz w:val="9"/>
                <w:szCs w:val="9"/>
                <w:b w:val="1"/>
                <w:bCs w:val="1"/>
                <w:color w:val="0077C0"/>
              </w:rPr>
              <w:t>Reserves at December 31, 2010</w:t>
            </w:r>
            <w:r>
              <w:rPr>
                <w:rFonts w:ascii="Arial" w:cs="Arial" w:eastAsia="Arial" w:hAnsi="Arial"/>
                <w:sz w:val="7"/>
                <w:szCs w:val="7"/>
                <w:b w:val="1"/>
                <w:bCs w:val="1"/>
                <w:color w:val="0077C0"/>
              </w:rPr>
              <w:t>5</w:t>
            </w:r>
          </w:p>
        </w:tc>
        <w:tc>
          <w:tcPr>
            <w:tcW w:w="800" w:type="dxa"/>
            <w:vAlign w:val="bottom"/>
            <w:tcBorders>
              <w:top w:val="single" w:sz="8" w:color="0077C0"/>
            </w:tcBorders>
          </w:tcPr>
          <w:p>
            <w:pPr>
              <w:jc w:val="right"/>
              <w:ind w:right="395"/>
              <w:spacing w:after="0" w:line="85" w:lineRule="exact"/>
              <w:rPr>
                <w:sz w:val="20"/>
                <w:szCs w:val="20"/>
                <w:color w:val="auto"/>
              </w:rPr>
            </w:pPr>
            <w:r>
              <w:rPr>
                <w:rFonts w:ascii="Arial" w:cs="Arial" w:eastAsia="Arial" w:hAnsi="Arial"/>
                <w:sz w:val="9"/>
                <w:szCs w:val="9"/>
                <w:color w:val="auto"/>
              </w:rPr>
              <w:t>1,275</w:t>
            </w:r>
          </w:p>
        </w:tc>
        <w:tc>
          <w:tcPr>
            <w:tcW w:w="70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108</w:t>
            </w:r>
          </w:p>
        </w:tc>
        <w:tc>
          <w:tcPr>
            <w:tcW w:w="780" w:type="dxa"/>
            <w:vAlign w:val="bottom"/>
            <w:tcBorders>
              <w:top w:val="single" w:sz="8" w:color="0077C0"/>
            </w:tcBorders>
          </w:tcPr>
          <w:p>
            <w:pPr>
              <w:jc w:val="right"/>
              <w:ind w:right="255"/>
              <w:spacing w:after="0" w:line="85" w:lineRule="exact"/>
              <w:rPr>
                <w:sz w:val="20"/>
                <w:szCs w:val="20"/>
                <w:color w:val="auto"/>
              </w:rPr>
            </w:pPr>
            <w:r>
              <w:rPr>
                <w:rFonts w:ascii="Arial" w:cs="Arial" w:eastAsia="Arial" w:hAnsi="Arial"/>
                <w:sz w:val="9"/>
                <w:szCs w:val="9"/>
                <w:color w:val="auto"/>
              </w:rPr>
              <w:t>1,168</w:t>
            </w:r>
          </w:p>
        </w:tc>
        <w:tc>
          <w:tcPr>
            <w:tcW w:w="7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1,013</w:t>
            </w:r>
          </w:p>
        </w:tc>
        <w:tc>
          <w:tcPr>
            <w:tcW w:w="8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88</w:t>
            </w:r>
          </w:p>
        </w:tc>
        <w:tc>
          <w:tcPr>
            <w:tcW w:w="74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152</w:t>
            </w:r>
          </w:p>
        </w:tc>
        <w:tc>
          <w:tcPr>
            <w:tcW w:w="900" w:type="dxa"/>
            <w:vAlign w:val="bottom"/>
            <w:tcBorders>
              <w:top w:val="single" w:sz="8" w:color="0077C0"/>
            </w:tcBorders>
            <w:gridSpan w:val="3"/>
          </w:tcPr>
          <w:p>
            <w:pPr>
              <w:jc w:val="right"/>
              <w:ind w:right="280"/>
              <w:spacing w:after="0" w:line="85" w:lineRule="exact"/>
              <w:rPr>
                <w:sz w:val="20"/>
                <w:szCs w:val="20"/>
                <w:color w:val="auto"/>
              </w:rPr>
            </w:pPr>
            <w:r>
              <w:rPr>
                <w:rFonts w:ascii="Arial" w:cs="Arial" w:eastAsia="Arial" w:hAnsi="Arial"/>
                <w:sz w:val="9"/>
                <w:szCs w:val="9"/>
                <w:color w:val="auto"/>
              </w:rPr>
              <w:t>466</w:t>
            </w: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4,270</w:t>
            </w:r>
          </w:p>
        </w:tc>
        <w:tc>
          <w:tcPr>
            <w:tcW w:w="440" w:type="dxa"/>
            <w:vAlign w:val="bottom"/>
            <w:tcBorders>
              <w:top w:val="single" w:sz="8" w:color="0077C0"/>
            </w:tcBorders>
          </w:tcPr>
          <w:p>
            <w:pPr>
              <w:spacing w:after="0"/>
              <w:rPr>
                <w:sz w:val="7"/>
                <w:szCs w:val="7"/>
                <w:color w:val="auto"/>
              </w:rPr>
            </w:pPr>
          </w:p>
        </w:tc>
        <w:tc>
          <w:tcPr>
            <w:tcW w:w="36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1,820</w:t>
            </w:r>
          </w:p>
        </w:tc>
        <w:tc>
          <w:tcPr>
            <w:tcW w:w="1060" w:type="dxa"/>
            <w:vAlign w:val="bottom"/>
            <w:tcBorders>
              <w:top w:val="single" w:sz="8" w:color="0077C0"/>
            </w:tcBorders>
            <w:gridSpan w:val="3"/>
          </w:tcPr>
          <w:p>
            <w:pPr>
              <w:jc w:val="right"/>
              <w:ind w:right="280"/>
              <w:spacing w:after="0" w:line="85" w:lineRule="exact"/>
              <w:rPr>
                <w:sz w:val="20"/>
                <w:szCs w:val="20"/>
                <w:color w:val="auto"/>
              </w:rPr>
            </w:pPr>
            <w:r>
              <w:rPr>
                <w:rFonts w:ascii="Arial" w:cs="Arial" w:eastAsia="Arial" w:hAnsi="Arial"/>
                <w:sz w:val="9"/>
                <w:szCs w:val="9"/>
                <w:color w:val="auto"/>
              </w:rPr>
              <w:t>256</w:t>
            </w:r>
          </w:p>
        </w:tc>
        <w:tc>
          <w:tcPr>
            <w:tcW w:w="940" w:type="dxa"/>
            <w:vAlign w:val="bottom"/>
            <w:tcBorders>
              <w:top w:val="single" w:sz="8" w:color="0077C0"/>
            </w:tcBorders>
            <w:gridSpan w:val="2"/>
          </w:tcPr>
          <w:p>
            <w:pPr>
              <w:jc w:val="right"/>
              <w:ind w:right="440"/>
              <w:spacing w:after="0" w:line="85" w:lineRule="exact"/>
              <w:rPr>
                <w:sz w:val="20"/>
                <w:szCs w:val="20"/>
                <w:color w:val="auto"/>
              </w:rPr>
            </w:pPr>
            <w:r>
              <w:rPr>
                <w:rFonts w:ascii="Arial" w:cs="Arial" w:eastAsia="Arial" w:hAnsi="Arial"/>
                <w:sz w:val="9"/>
                <w:szCs w:val="9"/>
                <w:color w:val="auto"/>
              </w:rPr>
              <w:t>157</w:t>
            </w:r>
          </w:p>
        </w:tc>
        <w:tc>
          <w:tcPr>
            <w:tcW w:w="48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6,503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180" w:type="dxa"/>
            <w:vAlign w:val="bottom"/>
            <w:gridSpan w:val="2"/>
          </w:tcPr>
          <w:p>
            <w:pPr>
              <w:spacing w:after="0" w:line="96" w:lineRule="exact"/>
              <w:rPr>
                <w:sz w:val="20"/>
                <w:szCs w:val="20"/>
                <w:color w:val="auto"/>
              </w:rPr>
            </w:pPr>
            <w:r>
              <w:rPr>
                <w:rFonts w:ascii="Arial" w:cs="Arial" w:eastAsia="Arial" w:hAnsi="Arial"/>
                <w:sz w:val="9"/>
                <w:szCs w:val="9"/>
                <w:color w:val="auto"/>
              </w:rPr>
              <w:t>Changes attributable to:</w:t>
            </w:r>
          </w:p>
        </w:tc>
        <w:tc>
          <w:tcPr>
            <w:tcW w:w="800" w:type="dxa"/>
            <w:vAlign w:val="bottom"/>
            <w:vMerge w:val="restart"/>
          </w:tcPr>
          <w:p>
            <w:pPr>
              <w:jc w:val="right"/>
              <w:ind w:right="395"/>
              <w:spacing w:after="0"/>
              <w:rPr>
                <w:sz w:val="20"/>
                <w:szCs w:val="20"/>
                <w:color w:val="auto"/>
              </w:rPr>
            </w:pPr>
            <w:r>
              <w:rPr>
                <w:rFonts w:ascii="Arial" w:cs="Arial" w:eastAsia="Arial" w:hAnsi="Arial"/>
                <w:sz w:val="9"/>
                <w:szCs w:val="9"/>
                <w:b w:val="1"/>
                <w:bCs w:val="1"/>
                <w:color w:val="auto"/>
              </w:rPr>
              <w:t>63</w:t>
            </w:r>
          </w:p>
        </w:tc>
        <w:tc>
          <w:tcPr>
            <w:tcW w:w="700" w:type="dxa"/>
            <w:vAlign w:val="bottom"/>
            <w:vMerge w:val="restart"/>
          </w:tcPr>
          <w:p>
            <w:pPr>
              <w:jc w:val="right"/>
              <w:ind w:right="255"/>
              <w:spacing w:after="0"/>
              <w:rPr>
                <w:sz w:val="20"/>
                <w:szCs w:val="20"/>
                <w:color w:val="auto"/>
              </w:rPr>
            </w:pPr>
            <w:r>
              <w:rPr>
                <w:rFonts w:ascii="Arial" w:cs="Arial" w:eastAsia="Arial" w:hAnsi="Arial"/>
                <w:sz w:val="9"/>
                <w:szCs w:val="9"/>
                <w:b w:val="1"/>
                <w:bCs w:val="1"/>
                <w:color w:val="auto"/>
              </w:rPr>
              <w:t>4</w:t>
            </w:r>
          </w:p>
        </w:tc>
        <w:tc>
          <w:tcPr>
            <w:tcW w:w="780" w:type="dxa"/>
            <w:vAlign w:val="bottom"/>
            <w:vMerge w:val="restart"/>
          </w:tcPr>
          <w:p>
            <w:pPr>
              <w:jc w:val="right"/>
              <w:ind w:right="255"/>
              <w:spacing w:after="0"/>
              <w:rPr>
                <w:sz w:val="20"/>
                <w:szCs w:val="20"/>
                <w:color w:val="auto"/>
              </w:rPr>
            </w:pPr>
            <w:r>
              <w:rPr>
                <w:rFonts w:ascii="Arial" w:cs="Arial" w:eastAsia="Arial" w:hAnsi="Arial"/>
                <w:sz w:val="9"/>
                <w:szCs w:val="9"/>
                <w:b w:val="1"/>
                <w:bCs w:val="1"/>
                <w:color w:val="auto"/>
              </w:rPr>
              <w:t>60</w:t>
            </w:r>
          </w:p>
        </w:tc>
        <w:tc>
          <w:tcPr>
            <w:tcW w:w="700" w:type="dxa"/>
            <w:vAlign w:val="bottom"/>
            <w:vMerge w:val="restart"/>
          </w:tcPr>
          <w:p>
            <w:pPr>
              <w:jc w:val="right"/>
              <w:ind w:right="195"/>
              <w:spacing w:after="0"/>
              <w:rPr>
                <w:sz w:val="20"/>
                <w:szCs w:val="20"/>
                <w:color w:val="auto"/>
              </w:rPr>
            </w:pPr>
            <w:r>
              <w:rPr>
                <w:rFonts w:ascii="Arial" w:cs="Arial" w:eastAsia="Arial" w:hAnsi="Arial"/>
                <w:sz w:val="9"/>
                <w:szCs w:val="9"/>
                <w:b w:val="1"/>
                <w:bCs w:val="1"/>
                <w:color w:val="auto"/>
              </w:rPr>
              <w:t>25</w:t>
            </w:r>
          </w:p>
        </w:tc>
        <w:tc>
          <w:tcPr>
            <w:tcW w:w="800" w:type="dxa"/>
            <w:vAlign w:val="bottom"/>
            <w:vMerge w:val="restart"/>
          </w:tcPr>
          <w:p>
            <w:pPr>
              <w:jc w:val="right"/>
              <w:ind w:right="195"/>
              <w:spacing w:after="0"/>
              <w:rPr>
                <w:sz w:val="20"/>
                <w:szCs w:val="20"/>
                <w:color w:val="auto"/>
              </w:rPr>
            </w:pPr>
            <w:r>
              <w:rPr>
                <w:rFonts w:ascii="Arial" w:cs="Arial" w:eastAsia="Arial" w:hAnsi="Arial"/>
                <w:sz w:val="9"/>
                <w:szCs w:val="9"/>
                <w:b w:val="1"/>
                <w:bCs w:val="1"/>
                <w:color w:val="auto"/>
              </w:rPr>
              <w:t>(2)</w:t>
            </w:r>
          </w:p>
        </w:tc>
        <w:tc>
          <w:tcPr>
            <w:tcW w:w="740" w:type="dxa"/>
            <w:vAlign w:val="bottom"/>
            <w:vMerge w:val="restart"/>
          </w:tcPr>
          <w:p>
            <w:pPr>
              <w:jc w:val="right"/>
              <w:ind w:right="195"/>
              <w:spacing w:after="0"/>
              <w:rPr>
                <w:sz w:val="20"/>
                <w:szCs w:val="20"/>
                <w:color w:val="auto"/>
              </w:rPr>
            </w:pPr>
            <w:r>
              <w:rPr>
                <w:rFonts w:ascii="Arial" w:cs="Arial" w:eastAsia="Arial" w:hAnsi="Arial"/>
                <w:sz w:val="9"/>
                <w:szCs w:val="9"/>
                <w:b w:val="1"/>
                <w:bCs w:val="1"/>
                <w:color w:val="auto"/>
              </w:rPr>
              <w:t>15</w:t>
            </w:r>
          </w:p>
        </w:tc>
        <w:tc>
          <w:tcPr>
            <w:tcW w:w="6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32</w:t>
            </w:r>
          </w:p>
        </w:tc>
        <w:tc>
          <w:tcPr>
            <w:tcW w:w="280" w:type="dxa"/>
            <w:vAlign w:val="bottom"/>
          </w:tcPr>
          <w:p>
            <w:pPr>
              <w:spacing w:after="0"/>
              <w:rPr>
                <w:sz w:val="8"/>
                <w:szCs w:val="8"/>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9"/>
                <w:szCs w:val="9"/>
                <w:b w:val="1"/>
                <w:bCs w:val="1"/>
                <w:color w:val="auto"/>
              </w:rPr>
              <w:t>197</w:t>
            </w: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28</w:t>
            </w:r>
          </w:p>
        </w:tc>
        <w:tc>
          <w:tcPr>
            <w:tcW w:w="400" w:type="dxa"/>
            <w:vAlign w:val="bottom"/>
          </w:tcPr>
          <w:p>
            <w:pPr>
              <w:spacing w:after="0"/>
              <w:rPr>
                <w:sz w:val="8"/>
                <w:szCs w:val="8"/>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9"/>
                <w:szCs w:val="9"/>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9"/>
                <w:szCs w:val="9"/>
                <w:b w:val="1"/>
                <w:bCs w:val="1"/>
                <w:color w:val="auto"/>
              </w:rPr>
              <w:t>10</w:t>
            </w:r>
          </w:p>
        </w:tc>
        <w:tc>
          <w:tcPr>
            <w:tcW w:w="44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235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60" w:type="dxa"/>
            <w:vAlign w:val="bottom"/>
          </w:tcPr>
          <w:p>
            <w:pPr>
              <w:ind w:left="120"/>
              <w:spacing w:after="0" w:line="94" w:lineRule="exact"/>
              <w:rPr>
                <w:sz w:val="20"/>
                <w:szCs w:val="20"/>
                <w:color w:val="auto"/>
              </w:rPr>
            </w:pPr>
            <w:r>
              <w:rPr>
                <w:rFonts w:ascii="Arial" w:cs="Arial" w:eastAsia="Arial" w:hAnsi="Arial"/>
                <w:sz w:val="9"/>
                <w:szCs w:val="9"/>
                <w:color w:val="auto"/>
              </w:rPr>
              <w:t>Revisions</w:t>
            </w: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Improved recovery</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b w:val="1"/>
                <w:bCs w:val="1"/>
                <w:color w:val="auto"/>
              </w:rPr>
              <w:t>6</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4</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48</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b w:val="1"/>
                <w:bCs w:val="1"/>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58</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58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Extensions and discoveries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b w:val="1"/>
                <w:bCs w:val="1"/>
                <w:color w:val="auto"/>
              </w:rPr>
              <w:t>140</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30</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34</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4</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b w:val="1"/>
                <w:bCs w:val="1"/>
                <w:color w:val="auto"/>
              </w:rPr>
              <w:t>65</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26</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20" w:type="dxa"/>
            <w:vAlign w:val="bottom"/>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299</w:t>
            </w:r>
          </w:p>
        </w:tc>
        <w:tc>
          <w:tcPr>
            <w:tcW w:w="36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299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Purchases</w:t>
            </w:r>
          </w:p>
        </w:tc>
        <w:tc>
          <w:tcPr>
            <w:tcW w:w="800" w:type="dxa"/>
            <w:vAlign w:val="bottom"/>
          </w:tcPr>
          <w:p>
            <w:pPr>
              <w:jc w:val="right"/>
              <w:ind w:right="395"/>
              <w:spacing w:after="0" w:line="96" w:lineRule="exact"/>
              <w:rPr>
                <w:sz w:val="20"/>
                <w:szCs w:val="20"/>
                <w:color w:val="auto"/>
              </w:rPr>
            </w:pPr>
            <w:r>
              <w:rPr>
                <w:rFonts w:ascii="Arial" w:cs="Arial" w:eastAsia="Arial" w:hAnsi="Arial"/>
                <w:sz w:val="9"/>
                <w:szCs w:val="9"/>
                <w:b w:val="1"/>
                <w:bCs w:val="1"/>
                <w:color w:val="auto"/>
              </w:rPr>
              <w:t>2</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215"/>
              <w:spacing w:after="0" w:line="96" w:lineRule="exact"/>
              <w:rPr>
                <w:sz w:val="20"/>
                <w:szCs w:val="20"/>
                <w:color w:val="auto"/>
              </w:rPr>
            </w:pPr>
            <w:r>
              <w:rPr>
                <w:rFonts w:ascii="Arial" w:cs="Arial" w:eastAsia="Arial" w:hAnsi="Arial"/>
                <w:sz w:val="9"/>
                <w:szCs w:val="9"/>
                <w:b w:val="1"/>
                <w:bCs w:val="1"/>
                <w:color w:val="auto"/>
              </w:rPr>
              <w:t>–</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620" w:type="dxa"/>
            <w:vAlign w:val="bottom"/>
            <w:gridSpan w:val="2"/>
          </w:tcPr>
          <w:p>
            <w:pPr>
              <w:jc w:val="right"/>
              <w:spacing w:after="0" w:line="96" w:lineRule="exact"/>
              <w:rPr>
                <w:sz w:val="20"/>
                <w:szCs w:val="20"/>
                <w:color w:val="auto"/>
              </w:rPr>
            </w:pPr>
            <w:r>
              <w:rPr>
                <w:rFonts w:ascii="Arial" w:cs="Arial" w:eastAsia="Arial" w:hAnsi="Arial"/>
                <w:sz w:val="9"/>
                <w:szCs w:val="9"/>
                <w:b w:val="1"/>
                <w:bCs w:val="1"/>
                <w:color w:val="auto"/>
              </w:rPr>
              <w:t>40</w:t>
            </w:r>
          </w:p>
        </w:tc>
        <w:tc>
          <w:tcPr>
            <w:tcW w:w="280" w:type="dxa"/>
            <w:vAlign w:val="bottom"/>
          </w:tcPr>
          <w:p>
            <w:pPr>
              <w:spacing w:after="0"/>
              <w:rPr>
                <w:sz w:val="8"/>
                <w:szCs w:val="8"/>
                <w:color w:val="auto"/>
              </w:rPr>
            </w:pPr>
          </w:p>
        </w:tc>
        <w:tc>
          <w:tcPr>
            <w:tcW w:w="48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42</w:t>
            </w:r>
          </w:p>
        </w:tc>
        <w:tc>
          <w:tcPr>
            <w:tcW w:w="4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42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60" w:type="dxa"/>
            <w:vAlign w:val="bottom"/>
          </w:tcPr>
          <w:p>
            <w:pPr>
              <w:ind w:left="120"/>
              <w:spacing w:after="0" w:line="96" w:lineRule="exact"/>
              <w:rPr>
                <w:sz w:val="20"/>
                <w:szCs w:val="20"/>
                <w:color w:val="auto"/>
              </w:rPr>
            </w:pPr>
            <w:r>
              <w:rPr>
                <w:rFonts w:ascii="Arial" w:cs="Arial" w:eastAsia="Arial" w:hAnsi="Arial"/>
                <w:sz w:val="9"/>
                <w:szCs w:val="9"/>
                <w:color w:val="auto"/>
              </w:rPr>
              <w:t>Sales</w:t>
            </w:r>
          </w:p>
        </w:tc>
        <w:tc>
          <w:tcPr>
            <w:tcW w:w="800" w:type="dxa"/>
            <w:vAlign w:val="bottom"/>
          </w:tcPr>
          <w:p>
            <w:pPr>
              <w:jc w:val="right"/>
              <w:ind w:right="375"/>
              <w:spacing w:after="0" w:line="96" w:lineRule="exact"/>
              <w:rPr>
                <w:sz w:val="20"/>
                <w:szCs w:val="20"/>
                <w:color w:val="auto"/>
              </w:rPr>
            </w:pPr>
            <w:r>
              <w:rPr>
                <w:rFonts w:ascii="Arial" w:cs="Arial" w:eastAsia="Arial" w:hAnsi="Arial"/>
                <w:sz w:val="9"/>
                <w:szCs w:val="9"/>
                <w:b w:val="1"/>
                <w:bCs w:val="1"/>
                <w:color w:val="auto"/>
              </w:rPr>
              <w:t>(5)</w:t>
            </w:r>
          </w:p>
        </w:tc>
        <w:tc>
          <w:tcPr>
            <w:tcW w:w="70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w:t>
            </w:r>
          </w:p>
        </w:tc>
        <w:tc>
          <w:tcPr>
            <w:tcW w:w="780" w:type="dxa"/>
            <w:vAlign w:val="bottom"/>
          </w:tcPr>
          <w:p>
            <w:pPr>
              <w:jc w:val="right"/>
              <w:ind w:right="255"/>
              <w:spacing w:after="0" w:line="96" w:lineRule="exact"/>
              <w:rPr>
                <w:sz w:val="20"/>
                <w:szCs w:val="20"/>
                <w:color w:val="auto"/>
              </w:rPr>
            </w:pPr>
            <w:r>
              <w:rPr>
                <w:rFonts w:ascii="Arial" w:cs="Arial" w:eastAsia="Arial" w:hAnsi="Arial"/>
                <w:sz w:val="9"/>
                <w:szCs w:val="9"/>
                <w:b w:val="1"/>
                <w:bCs w:val="1"/>
                <w:color w:val="auto"/>
              </w:rPr>
              <w:t>–</w:t>
            </w:r>
          </w:p>
        </w:tc>
        <w:tc>
          <w:tcPr>
            <w:tcW w:w="70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80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(1)</w:t>
            </w:r>
          </w:p>
        </w:tc>
        <w:tc>
          <w:tcPr>
            <w:tcW w:w="740" w:type="dxa"/>
            <w:vAlign w:val="bottom"/>
          </w:tcPr>
          <w:p>
            <w:pPr>
              <w:jc w:val="right"/>
              <w:ind w:right="195"/>
              <w:spacing w:after="0" w:line="96" w:lineRule="exact"/>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20" w:type="dxa"/>
            <w:vAlign w:val="bottom"/>
            <w:gridSpan w:val="2"/>
          </w:tcPr>
          <w:p>
            <w:pPr>
              <w:jc w:val="right"/>
              <w:ind w:right="420"/>
              <w:spacing w:after="0" w:line="96" w:lineRule="exact"/>
              <w:rPr>
                <w:sz w:val="20"/>
                <w:szCs w:val="20"/>
                <w:color w:val="auto"/>
              </w:rPr>
            </w:pPr>
            <w:r>
              <w:rPr>
                <w:rFonts w:ascii="Arial" w:cs="Arial" w:eastAsia="Arial" w:hAnsi="Arial"/>
                <w:sz w:val="9"/>
                <w:szCs w:val="9"/>
                <w:b w:val="1"/>
                <w:bCs w:val="1"/>
                <w:color w:val="auto"/>
              </w:rPr>
              <w:t>(6)</w:t>
            </w:r>
          </w:p>
        </w:tc>
        <w:tc>
          <w:tcPr>
            <w:tcW w:w="360" w:type="dxa"/>
            <w:vAlign w:val="bottom"/>
          </w:tcPr>
          <w:p>
            <w:pPr>
              <w:jc w:val="right"/>
              <w:spacing w:after="0" w:line="96"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8"/>
                <w:szCs w:val="8"/>
                <w:color w:val="auto"/>
              </w:rPr>
            </w:pPr>
          </w:p>
        </w:tc>
        <w:tc>
          <w:tcPr>
            <w:tcW w:w="660" w:type="dxa"/>
            <w:vAlign w:val="bottom"/>
            <w:gridSpan w:val="2"/>
          </w:tcPr>
          <w:p>
            <w:pPr>
              <w:jc w:val="right"/>
              <w:ind w:right="280"/>
              <w:spacing w:after="0" w:line="96" w:lineRule="exact"/>
              <w:rPr>
                <w:sz w:val="20"/>
                <w:szCs w:val="20"/>
                <w:color w:val="auto"/>
              </w:rPr>
            </w:pPr>
            <w:r>
              <w:rPr>
                <w:rFonts w:ascii="Arial" w:cs="Arial" w:eastAsia="Arial" w:hAnsi="Arial"/>
                <w:sz w:val="9"/>
                <w:szCs w:val="9"/>
                <w:b w:val="1"/>
                <w:bCs w:val="1"/>
                <w:color w:val="auto"/>
              </w:rPr>
              <w:t>–</w:t>
            </w:r>
          </w:p>
        </w:tc>
        <w:tc>
          <w:tcPr>
            <w:tcW w:w="940" w:type="dxa"/>
            <w:vAlign w:val="bottom"/>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w:t>
            </w:r>
          </w:p>
        </w:tc>
        <w:tc>
          <w:tcPr>
            <w:tcW w:w="520" w:type="dxa"/>
            <w:vAlign w:val="bottom"/>
            <w:gridSpan w:val="2"/>
          </w:tcPr>
          <w:p>
            <w:pPr>
              <w:jc w:val="right"/>
              <w:spacing w:after="0" w:line="96" w:lineRule="exact"/>
              <w:rPr>
                <w:sz w:val="20"/>
                <w:szCs w:val="20"/>
                <w:color w:val="auto"/>
              </w:rPr>
            </w:pP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160" w:type="dxa"/>
            <w:vAlign w:val="bottom"/>
          </w:tcPr>
          <w:p>
            <w:pPr>
              <w:ind w:left="120"/>
              <w:spacing w:after="0"/>
              <w:rPr>
                <w:sz w:val="20"/>
                <w:szCs w:val="20"/>
                <w:color w:val="auto"/>
              </w:rPr>
            </w:pPr>
            <w:r>
              <w:rPr>
                <w:rFonts w:ascii="Arial" w:cs="Arial" w:eastAsia="Arial" w:hAnsi="Arial"/>
                <w:sz w:val="9"/>
                <w:szCs w:val="9"/>
                <w:color w:val="auto"/>
              </w:rPr>
              <w:t>Production</w:t>
            </w:r>
          </w:p>
        </w:tc>
        <w:tc>
          <w:tcPr>
            <w:tcW w:w="800" w:type="dxa"/>
            <w:vAlign w:val="bottom"/>
          </w:tcPr>
          <w:p>
            <w:pPr>
              <w:jc w:val="right"/>
              <w:ind w:right="375"/>
              <w:spacing w:after="0"/>
              <w:rPr>
                <w:sz w:val="20"/>
                <w:szCs w:val="20"/>
                <w:color w:val="auto"/>
              </w:rPr>
            </w:pPr>
            <w:r>
              <w:rPr>
                <w:rFonts w:ascii="Arial" w:cs="Arial" w:eastAsia="Arial" w:hAnsi="Arial"/>
                <w:sz w:val="9"/>
                <w:szCs w:val="9"/>
                <w:b w:val="1"/>
                <w:bCs w:val="1"/>
                <w:color w:val="auto"/>
              </w:rPr>
              <w:t>(170)</w:t>
            </w:r>
          </w:p>
        </w:tc>
        <w:tc>
          <w:tcPr>
            <w:tcW w:w="700" w:type="dxa"/>
            <w:vAlign w:val="bottom"/>
          </w:tcPr>
          <w:p>
            <w:pPr>
              <w:jc w:val="right"/>
              <w:ind w:right="215"/>
              <w:spacing w:after="0"/>
              <w:rPr>
                <w:sz w:val="20"/>
                <w:szCs w:val="20"/>
                <w:color w:val="auto"/>
              </w:rPr>
            </w:pPr>
            <w:r>
              <w:rPr>
                <w:rFonts w:ascii="Arial" w:cs="Arial" w:eastAsia="Arial" w:hAnsi="Arial"/>
                <w:sz w:val="9"/>
                <w:szCs w:val="9"/>
                <w:b w:val="1"/>
                <w:bCs w:val="1"/>
                <w:color w:val="auto"/>
              </w:rPr>
              <w:t>(33)</w:t>
            </w:r>
          </w:p>
        </w:tc>
        <w:tc>
          <w:tcPr>
            <w:tcW w:w="780" w:type="dxa"/>
            <w:vAlign w:val="bottom"/>
          </w:tcPr>
          <w:p>
            <w:pPr>
              <w:jc w:val="right"/>
              <w:ind w:right="235"/>
              <w:spacing w:after="0"/>
              <w:rPr>
                <w:sz w:val="20"/>
                <w:szCs w:val="20"/>
                <w:color w:val="auto"/>
              </w:rPr>
            </w:pPr>
            <w:r>
              <w:rPr>
                <w:rFonts w:ascii="Arial" w:cs="Arial" w:eastAsia="Arial" w:hAnsi="Arial"/>
                <w:sz w:val="9"/>
                <w:szCs w:val="9"/>
                <w:b w:val="1"/>
                <w:bCs w:val="1"/>
                <w:color w:val="auto"/>
              </w:rPr>
              <w:t>(155)</w:t>
            </w:r>
          </w:p>
        </w:tc>
        <w:tc>
          <w:tcPr>
            <w:tcW w:w="700" w:type="dxa"/>
            <w:vAlign w:val="bottom"/>
          </w:tcPr>
          <w:p>
            <w:pPr>
              <w:jc w:val="right"/>
              <w:ind w:right="155"/>
              <w:spacing w:after="0"/>
              <w:rPr>
                <w:sz w:val="20"/>
                <w:szCs w:val="20"/>
                <w:color w:val="auto"/>
              </w:rPr>
            </w:pPr>
            <w:r>
              <w:rPr>
                <w:rFonts w:ascii="Arial" w:cs="Arial" w:eastAsia="Arial" w:hAnsi="Arial"/>
                <w:sz w:val="9"/>
                <w:szCs w:val="9"/>
                <w:b w:val="1"/>
                <w:bCs w:val="1"/>
                <w:color w:val="auto"/>
              </w:rPr>
              <w:t>(148)</w:t>
            </w:r>
          </w:p>
        </w:tc>
        <w:tc>
          <w:tcPr>
            <w:tcW w:w="800" w:type="dxa"/>
            <w:vAlign w:val="bottom"/>
          </w:tcPr>
          <w:p>
            <w:pPr>
              <w:jc w:val="right"/>
              <w:ind w:right="195"/>
              <w:spacing w:after="0"/>
              <w:rPr>
                <w:sz w:val="20"/>
                <w:szCs w:val="20"/>
                <w:color w:val="auto"/>
              </w:rPr>
            </w:pPr>
            <w:r>
              <w:rPr>
                <w:rFonts w:ascii="Arial" w:cs="Arial" w:eastAsia="Arial" w:hAnsi="Arial"/>
                <w:sz w:val="9"/>
                <w:szCs w:val="9"/>
                <w:b w:val="1"/>
                <w:bCs w:val="1"/>
                <w:color w:val="auto"/>
              </w:rPr>
              <w:t>(10)</w:t>
            </w:r>
          </w:p>
        </w:tc>
        <w:tc>
          <w:tcPr>
            <w:tcW w:w="740" w:type="dxa"/>
            <w:vAlign w:val="bottom"/>
          </w:tcPr>
          <w:p>
            <w:pPr>
              <w:jc w:val="right"/>
              <w:ind w:right="155"/>
              <w:spacing w:after="0"/>
              <w:rPr>
                <w:sz w:val="20"/>
                <w:szCs w:val="20"/>
                <w:color w:val="auto"/>
              </w:rPr>
            </w:pPr>
            <w:r>
              <w:rPr>
                <w:rFonts w:ascii="Arial" w:cs="Arial" w:eastAsia="Arial" w:hAnsi="Arial"/>
                <w:sz w:val="9"/>
                <w:szCs w:val="9"/>
                <w:b w:val="1"/>
                <w:bCs w:val="1"/>
                <w:color w:val="auto"/>
              </w:rPr>
              <w:t>(34)</w:t>
            </w:r>
          </w:p>
        </w:tc>
        <w:tc>
          <w:tcPr>
            <w:tcW w:w="900" w:type="dxa"/>
            <w:vAlign w:val="bottom"/>
            <w:gridSpan w:val="3"/>
          </w:tcPr>
          <w:p>
            <w:pPr>
              <w:jc w:val="right"/>
              <w:ind w:right="260"/>
              <w:spacing w:after="0"/>
              <w:rPr>
                <w:sz w:val="20"/>
                <w:szCs w:val="20"/>
                <w:color w:val="auto"/>
              </w:rPr>
            </w:pPr>
            <w:r>
              <w:rPr>
                <w:rFonts w:ascii="Arial" w:cs="Arial" w:eastAsia="Arial" w:hAnsi="Arial"/>
                <w:sz w:val="9"/>
                <w:szCs w:val="9"/>
                <w:b w:val="1"/>
                <w:bCs w:val="1"/>
                <w:color w:val="auto"/>
              </w:rPr>
              <w:t>(15)</w:t>
            </w:r>
          </w:p>
        </w:tc>
        <w:tc>
          <w:tcPr>
            <w:tcW w:w="92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(565)</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(89)</w:t>
            </w:r>
          </w:p>
        </w:tc>
        <w:tc>
          <w:tcPr>
            <w:tcW w:w="106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rPr>
              <w:t>(12)</w:t>
            </w:r>
          </w:p>
        </w:tc>
        <w:tc>
          <w:tcPr>
            <w:tcW w:w="9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(10)</w:t>
            </w:r>
          </w:p>
        </w:tc>
        <w:tc>
          <w:tcPr>
            <w:tcW w:w="520" w:type="dxa"/>
            <w:vAlign w:val="bottom"/>
            <w:gridSpan w:val="2"/>
          </w:tcPr>
          <w:p>
            <w:pPr>
              <w:jc w:val="right"/>
              <w:spacing w:after="0"/>
              <w:rPr>
                <w:sz w:val="20"/>
                <w:szCs w:val="20"/>
                <w:color w:val="auto"/>
              </w:rPr>
            </w:pPr>
            <w:r>
              <w:rPr>
                <w:rFonts w:ascii="Arial" w:cs="Arial" w:eastAsia="Arial" w:hAnsi="Arial"/>
                <w:sz w:val="9"/>
                <w:szCs w:val="9"/>
                <w:b w:val="1"/>
                <w:bCs w:val="1"/>
                <w:color w:val="auto"/>
              </w:rPr>
              <w:t>(676)</w:t>
            </w:r>
          </w:p>
        </w:tc>
        <w:tc>
          <w:tcPr>
            <w:tcW w:w="0" w:type="dxa"/>
            <w:vAlign w:val="bottom"/>
          </w:tcPr>
          <w:p>
            <w:pPr>
              <w:spacing w:after="0"/>
              <w:rPr>
                <w:sz w:val="1"/>
                <w:szCs w:val="1"/>
                <w:color w:val="auto"/>
              </w:rPr>
            </w:pPr>
          </w:p>
        </w:tc>
      </w:tr>
      <w:tr>
        <w:trPr>
          <w:trHeight w:val="104"/>
        </w:trPr>
        <w:tc>
          <w:tcPr>
            <w:tcW w:w="20" w:type="dxa"/>
            <w:vAlign w:val="bottom"/>
            <w:tcBorders>
              <w:bottom w:val="single" w:sz="8" w:color="0077C0"/>
            </w:tcBorders>
          </w:tcPr>
          <w:p>
            <w:pPr>
              <w:spacing w:after="0"/>
              <w:rPr>
                <w:sz w:val="9"/>
                <w:szCs w:val="9"/>
                <w:color w:val="auto"/>
              </w:rPr>
            </w:pPr>
          </w:p>
        </w:tc>
        <w:tc>
          <w:tcPr>
            <w:tcW w:w="2160" w:type="dxa"/>
            <w:vAlign w:val="bottom"/>
            <w:tcBorders>
              <w:top w:val="single" w:sz="8" w:color="0077C0"/>
              <w:bottom w:val="single" w:sz="8" w:color="0077C0"/>
            </w:tcBorders>
          </w:tcPr>
          <w:p>
            <w:pPr>
              <w:spacing w:after="0" w:line="96" w:lineRule="exact"/>
              <w:rPr>
                <w:sz w:val="20"/>
                <w:szCs w:val="20"/>
                <w:color w:val="auto"/>
              </w:rPr>
            </w:pPr>
            <w:r>
              <w:rPr>
                <w:rFonts w:ascii="Arial" w:cs="Arial" w:eastAsia="Arial" w:hAnsi="Arial"/>
                <w:sz w:val="9"/>
                <w:szCs w:val="9"/>
                <w:b w:val="1"/>
                <w:bCs w:val="1"/>
                <w:color w:val="0077C0"/>
              </w:rPr>
              <w:t>Reserves at December 31, 2011</w:t>
            </w:r>
            <w:r>
              <w:rPr>
                <w:rFonts w:ascii="Arial" w:cs="Arial" w:eastAsia="Arial" w:hAnsi="Arial"/>
                <w:sz w:val="7"/>
                <w:szCs w:val="7"/>
                <w:b w:val="1"/>
                <w:bCs w:val="1"/>
                <w:color w:val="0077C0"/>
              </w:rPr>
              <w:t>5</w:t>
            </w:r>
          </w:p>
        </w:tc>
        <w:tc>
          <w:tcPr>
            <w:tcW w:w="800" w:type="dxa"/>
            <w:vAlign w:val="bottom"/>
            <w:tcBorders>
              <w:top w:val="single" w:sz="8" w:color="0077C0"/>
              <w:bottom w:val="single" w:sz="8" w:color="0077C0"/>
            </w:tcBorders>
          </w:tcPr>
          <w:p>
            <w:pPr>
              <w:jc w:val="right"/>
              <w:ind w:right="395"/>
              <w:spacing w:after="0" w:line="96" w:lineRule="exact"/>
              <w:rPr>
                <w:sz w:val="20"/>
                <w:szCs w:val="20"/>
                <w:color w:val="auto"/>
              </w:rPr>
            </w:pPr>
            <w:r>
              <w:rPr>
                <w:rFonts w:ascii="Arial" w:cs="Arial" w:eastAsia="Arial" w:hAnsi="Arial"/>
                <w:sz w:val="9"/>
                <w:szCs w:val="9"/>
                <w:b w:val="1"/>
                <w:bCs w:val="1"/>
                <w:color w:val="auto"/>
              </w:rPr>
              <w:t>1,311</w:t>
            </w:r>
          </w:p>
        </w:tc>
        <w:tc>
          <w:tcPr>
            <w:tcW w:w="700" w:type="dxa"/>
            <w:vAlign w:val="bottom"/>
            <w:tcBorders>
              <w:top w:val="single" w:sz="8" w:color="0077C0"/>
              <w:bottom w:val="single" w:sz="8" w:color="0077C0"/>
            </w:tcBorders>
          </w:tcPr>
          <w:p>
            <w:pPr>
              <w:jc w:val="right"/>
              <w:ind w:right="255"/>
              <w:spacing w:after="0" w:line="96" w:lineRule="exact"/>
              <w:rPr>
                <w:sz w:val="20"/>
                <w:szCs w:val="20"/>
                <w:color w:val="auto"/>
              </w:rPr>
            </w:pPr>
            <w:r>
              <w:rPr>
                <w:rFonts w:ascii="Arial" w:cs="Arial" w:eastAsia="Arial" w:hAnsi="Arial"/>
                <w:sz w:val="9"/>
                <w:szCs w:val="9"/>
                <w:b w:val="1"/>
                <w:bCs w:val="1"/>
                <w:color w:val="auto"/>
              </w:rPr>
              <w:t>113</w:t>
            </w:r>
          </w:p>
        </w:tc>
        <w:tc>
          <w:tcPr>
            <w:tcW w:w="780" w:type="dxa"/>
            <w:vAlign w:val="bottom"/>
            <w:tcBorders>
              <w:top w:val="single" w:sz="8" w:color="0077C0"/>
              <w:bottom w:val="single" w:sz="8" w:color="0077C0"/>
            </w:tcBorders>
          </w:tcPr>
          <w:p>
            <w:pPr>
              <w:jc w:val="right"/>
              <w:ind w:right="255"/>
              <w:spacing w:after="0" w:line="96" w:lineRule="exact"/>
              <w:rPr>
                <w:sz w:val="20"/>
                <w:szCs w:val="20"/>
                <w:color w:val="auto"/>
              </w:rPr>
            </w:pPr>
            <w:r>
              <w:rPr>
                <w:rFonts w:ascii="Arial" w:cs="Arial" w:eastAsia="Arial" w:hAnsi="Arial"/>
                <w:sz w:val="9"/>
                <w:szCs w:val="9"/>
                <w:b w:val="1"/>
                <w:bCs w:val="1"/>
                <w:color w:val="auto"/>
              </w:rPr>
              <w:t>1,155</w:t>
            </w:r>
          </w:p>
        </w:tc>
        <w:tc>
          <w:tcPr>
            <w:tcW w:w="700" w:type="dxa"/>
            <w:vAlign w:val="bottom"/>
            <w:tcBorders>
              <w:top w:val="single" w:sz="8" w:color="0077C0"/>
              <w:bottom w:val="single" w:sz="8" w:color="0077C0"/>
            </w:tcBorders>
          </w:tcPr>
          <w:p>
            <w:pPr>
              <w:jc w:val="right"/>
              <w:ind w:right="195"/>
              <w:spacing w:after="0" w:line="96" w:lineRule="exact"/>
              <w:rPr>
                <w:sz w:val="20"/>
                <w:szCs w:val="20"/>
                <w:color w:val="auto"/>
              </w:rPr>
            </w:pPr>
            <w:r>
              <w:rPr>
                <w:rFonts w:ascii="Arial" w:cs="Arial" w:eastAsia="Arial" w:hAnsi="Arial"/>
                <w:sz w:val="9"/>
                <w:szCs w:val="9"/>
                <w:b w:val="1"/>
                <w:bCs w:val="1"/>
                <w:color w:val="auto"/>
              </w:rPr>
              <w:t>894</w:t>
            </w:r>
          </w:p>
        </w:tc>
        <w:tc>
          <w:tcPr>
            <w:tcW w:w="800" w:type="dxa"/>
            <w:vAlign w:val="bottom"/>
            <w:tcBorders>
              <w:top w:val="single" w:sz="8" w:color="0077C0"/>
              <w:bottom w:val="single" w:sz="8" w:color="0077C0"/>
            </w:tcBorders>
          </w:tcPr>
          <w:p>
            <w:pPr>
              <w:jc w:val="right"/>
              <w:ind w:right="215"/>
              <w:spacing w:after="0" w:line="96" w:lineRule="exact"/>
              <w:rPr>
                <w:sz w:val="20"/>
                <w:szCs w:val="20"/>
                <w:color w:val="auto"/>
              </w:rPr>
            </w:pPr>
            <w:r>
              <w:rPr>
                <w:rFonts w:ascii="Arial" w:cs="Arial" w:eastAsia="Arial" w:hAnsi="Arial"/>
                <w:sz w:val="9"/>
                <w:szCs w:val="9"/>
                <w:b w:val="1"/>
                <w:bCs w:val="1"/>
                <w:color w:val="auto"/>
              </w:rPr>
              <w:t>140</w:t>
            </w:r>
          </w:p>
        </w:tc>
        <w:tc>
          <w:tcPr>
            <w:tcW w:w="740" w:type="dxa"/>
            <w:vAlign w:val="bottom"/>
            <w:tcBorders>
              <w:top w:val="single" w:sz="8" w:color="0077C0"/>
              <w:bottom w:val="single" w:sz="8" w:color="0077C0"/>
            </w:tcBorders>
          </w:tcPr>
          <w:p>
            <w:pPr>
              <w:jc w:val="right"/>
              <w:ind w:right="195"/>
              <w:spacing w:after="0" w:line="96" w:lineRule="exact"/>
              <w:rPr>
                <w:sz w:val="20"/>
                <w:szCs w:val="20"/>
                <w:color w:val="auto"/>
              </w:rPr>
            </w:pPr>
            <w:r>
              <w:rPr>
                <w:rFonts w:ascii="Arial" w:cs="Arial" w:eastAsia="Arial" w:hAnsi="Arial"/>
                <w:sz w:val="9"/>
                <w:szCs w:val="9"/>
                <w:b w:val="1"/>
                <w:bCs w:val="1"/>
                <w:color w:val="auto"/>
              </w:rPr>
              <w:t>159</w:t>
            </w:r>
          </w:p>
        </w:tc>
        <w:tc>
          <w:tcPr>
            <w:tcW w:w="900" w:type="dxa"/>
            <w:vAlign w:val="bottom"/>
            <w:tcBorders>
              <w:top w:val="single" w:sz="8" w:color="0077C0"/>
              <w:bottom w:val="single" w:sz="8" w:color="0077C0"/>
            </w:tcBorders>
            <w:gridSpan w:val="3"/>
          </w:tcPr>
          <w:p>
            <w:pPr>
              <w:jc w:val="right"/>
              <w:ind w:right="280"/>
              <w:spacing w:after="0" w:line="96" w:lineRule="exact"/>
              <w:rPr>
                <w:sz w:val="20"/>
                <w:szCs w:val="20"/>
                <w:color w:val="auto"/>
              </w:rPr>
            </w:pPr>
            <w:r>
              <w:rPr>
                <w:rFonts w:ascii="Arial" w:cs="Arial" w:eastAsia="Arial" w:hAnsi="Arial"/>
                <w:sz w:val="9"/>
                <w:szCs w:val="9"/>
                <w:b w:val="1"/>
                <w:bCs w:val="1"/>
                <w:color w:val="auto"/>
              </w:rPr>
              <w:t>523</w:t>
            </w:r>
          </w:p>
        </w:tc>
        <w:tc>
          <w:tcPr>
            <w:tcW w:w="48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b w:val="1"/>
                <w:bCs w:val="1"/>
                <w:color w:val="auto"/>
              </w:rPr>
              <w:t>4,295</w:t>
            </w:r>
          </w:p>
        </w:tc>
        <w:tc>
          <w:tcPr>
            <w:tcW w:w="440" w:type="dxa"/>
            <w:vAlign w:val="bottom"/>
            <w:tcBorders>
              <w:top w:val="single" w:sz="8" w:color="0077C0"/>
              <w:bottom w:val="single" w:sz="8" w:color="0077C0"/>
            </w:tcBorders>
          </w:tcPr>
          <w:p>
            <w:pPr>
              <w:spacing w:after="0"/>
              <w:rPr>
                <w:sz w:val="9"/>
                <w:szCs w:val="9"/>
                <w:color w:val="auto"/>
              </w:rPr>
            </w:pPr>
          </w:p>
        </w:tc>
        <w:tc>
          <w:tcPr>
            <w:tcW w:w="36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b w:val="1"/>
                <w:bCs w:val="1"/>
                <w:color w:val="auto"/>
              </w:rPr>
              <w:t>1,759</w:t>
            </w:r>
          </w:p>
        </w:tc>
        <w:tc>
          <w:tcPr>
            <w:tcW w:w="1060" w:type="dxa"/>
            <w:vAlign w:val="bottom"/>
            <w:tcBorders>
              <w:top w:val="single" w:sz="8" w:color="0077C0"/>
              <w:bottom w:val="single" w:sz="8" w:color="0077C0"/>
            </w:tcBorders>
            <w:gridSpan w:val="3"/>
          </w:tcPr>
          <w:p>
            <w:pPr>
              <w:jc w:val="right"/>
              <w:ind w:right="280"/>
              <w:spacing w:after="0" w:line="96" w:lineRule="exact"/>
              <w:rPr>
                <w:sz w:val="20"/>
                <w:szCs w:val="20"/>
                <w:color w:val="auto"/>
              </w:rPr>
            </w:pPr>
            <w:r>
              <w:rPr>
                <w:rFonts w:ascii="Arial" w:cs="Arial" w:eastAsia="Arial" w:hAnsi="Arial"/>
                <w:sz w:val="9"/>
                <w:szCs w:val="9"/>
                <w:b w:val="1"/>
                <w:bCs w:val="1"/>
                <w:color w:val="auto"/>
              </w:rPr>
              <w:t>244</w:t>
            </w:r>
          </w:p>
        </w:tc>
        <w:tc>
          <w:tcPr>
            <w:tcW w:w="940" w:type="dxa"/>
            <w:vAlign w:val="bottom"/>
            <w:tcBorders>
              <w:top w:val="single" w:sz="8" w:color="0077C0"/>
              <w:bottom w:val="single" w:sz="8" w:color="0077C0"/>
            </w:tcBorders>
            <w:gridSpan w:val="2"/>
          </w:tcPr>
          <w:p>
            <w:pPr>
              <w:jc w:val="right"/>
              <w:ind w:right="440"/>
              <w:spacing w:after="0" w:line="96" w:lineRule="exact"/>
              <w:rPr>
                <w:sz w:val="20"/>
                <w:szCs w:val="20"/>
                <w:color w:val="auto"/>
              </w:rPr>
            </w:pPr>
            <w:r>
              <w:rPr>
                <w:rFonts w:ascii="Arial" w:cs="Arial" w:eastAsia="Arial" w:hAnsi="Arial"/>
                <w:sz w:val="9"/>
                <w:szCs w:val="9"/>
                <w:b w:val="1"/>
                <w:bCs w:val="1"/>
                <w:color w:val="auto"/>
              </w:rPr>
              <w:t>157</w:t>
            </w:r>
          </w:p>
        </w:tc>
        <w:tc>
          <w:tcPr>
            <w:tcW w:w="480" w:type="dxa"/>
            <w:vAlign w:val="bottom"/>
            <w:tcBorders>
              <w:top w:val="single" w:sz="8" w:color="0077C0"/>
              <w:bottom w:val="single" w:sz="8" w:color="0077C0"/>
            </w:tcBorders>
          </w:tcPr>
          <w:p>
            <w:pPr>
              <w:jc w:val="right"/>
              <w:spacing w:after="0" w:line="96" w:lineRule="exact"/>
              <w:rPr>
                <w:sz w:val="20"/>
                <w:szCs w:val="20"/>
                <w:color w:val="auto"/>
              </w:rPr>
            </w:pPr>
            <w:r>
              <w:rPr>
                <w:rFonts w:ascii="Arial" w:cs="Arial" w:eastAsia="Arial" w:hAnsi="Arial"/>
                <w:sz w:val="9"/>
                <w:szCs w:val="9"/>
                <w:b w:val="1"/>
                <w:bCs w:val="1"/>
                <w:color w:val="auto"/>
              </w:rPr>
              <w:t>6,455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3" w:hanging="203"/>
        <w:spacing w:after="0"/>
        <w:tabs>
          <w:tab w:leader="none" w:pos="203" w:val="left"/>
        </w:tabs>
        <w:numPr>
          <w:ilvl w:val="0"/>
          <w:numId w:val="53"/>
        </w:numPr>
        <w:rPr>
          <w:rFonts w:ascii="Arial" w:cs="Arial" w:eastAsia="Arial" w:hAnsi="Arial"/>
          <w:sz w:val="8"/>
          <w:szCs w:val="8"/>
          <w:color w:val="auto"/>
        </w:rPr>
      </w:pPr>
      <w:r>
        <w:rPr>
          <w:rFonts w:ascii="Arial" w:cs="Arial" w:eastAsia="Arial" w:hAnsi="Arial"/>
          <w:sz w:val="9"/>
          <w:szCs w:val="9"/>
          <w:color w:val="auto"/>
        </w:rPr>
        <w:t>Ending reserve balances in North America were 13, 14 and 12 and in South America were 100, 94 and 92 in 2011, 2010 and 2009, respectively.</w:t>
      </w:r>
    </w:p>
    <w:p>
      <w:pPr>
        <w:spacing w:after="0" w:line="10"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 xml:space="preserve">2Prospective reporting effective December 31, 2009, in accordance with the SEC rule on </w:t>
      </w:r>
      <w:r>
        <w:rPr>
          <w:rFonts w:ascii="Arial" w:cs="Arial" w:eastAsia="Arial" w:hAnsi="Arial"/>
          <w:sz w:val="8"/>
          <w:szCs w:val="8"/>
          <w:i w:val="1"/>
          <w:iCs w:val="1"/>
          <w:color w:val="auto"/>
        </w:rPr>
        <w:t>Modernization of Oil and Gas Reporting.</w:t>
      </w:r>
    </w:p>
    <w:p>
      <w:pPr>
        <w:spacing w:after="0" w:line="13"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3</w:t>
      </w:r>
      <w:r>
        <w:rPr>
          <w:rFonts w:ascii="Arial" w:cs="Arial" w:eastAsia="Arial" w:hAnsi="Arial"/>
          <w:sz w:val="7"/>
          <w:szCs w:val="7"/>
          <w:color w:val="auto"/>
        </w:rPr>
        <w:t>Reserves associated with Canada.</w:t>
      </w:r>
    </w:p>
    <w:p>
      <w:pPr>
        <w:spacing w:after="0" w:line="13"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4Ending reserve balances in Africa were 38, 36 and 31 and in South America were 119, 121 and 120 in 2011, 2010 and 2009, respectively.</w:t>
      </w:r>
    </w:p>
    <w:p>
      <w:pPr>
        <w:spacing w:after="0" w:line="13"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5Included are year-end reserve quantities related to production-sharing contracts (PSC) (refer to page E-11 for the definition of a PSC). PSC-related reserve quantities are 22 percent, 24 percent and 26 percent for consolidated companies for 2011, 2010 and 2009, respectively.</w:t>
      </w:r>
    </w:p>
    <w:p>
      <w:pPr>
        <w:sectPr>
          <w:pgSz w:w="11900" w:h="16838" w:orient="portrait"/>
          <w:cols w:equalWidth="0" w:num="1">
            <w:col w:w="11463"/>
          </w:cols>
          <w:pgMar w:left="217" w:top="338" w:right="219" w:bottom="1440" w:gutter="0" w:footer="0" w:header="0"/>
        </w:sectPr>
      </w:pPr>
    </w:p>
    <w:p>
      <w:pPr>
        <w:spacing w:after="0" w:line="229" w:lineRule="exact"/>
        <w:rPr>
          <w:sz w:val="20"/>
          <w:szCs w:val="20"/>
          <w:color w:val="auto"/>
        </w:rPr>
      </w:pPr>
    </w:p>
    <w:p>
      <w:pPr>
        <w:ind w:left="3" w:right="260" w:firstLine="160"/>
        <w:spacing w:after="0" w:line="253" w:lineRule="auto"/>
        <w:rPr>
          <w:sz w:val="20"/>
          <w:szCs w:val="20"/>
          <w:color w:val="auto"/>
        </w:rPr>
      </w:pPr>
      <w:r>
        <w:rPr>
          <w:rFonts w:ascii="Arial" w:cs="Arial" w:eastAsia="Arial" w:hAnsi="Arial"/>
          <w:sz w:val="13"/>
          <w:szCs w:val="13"/>
          <w:color w:val="auto"/>
        </w:rPr>
        <w:t>Noteworthy amounts in the categories of liquids proved reserve changes for 2009 through 2011 are discussed below:</w:t>
      </w:r>
    </w:p>
    <w:p>
      <w:pPr>
        <w:spacing w:after="0" w:line="1" w:lineRule="exact"/>
        <w:rPr>
          <w:sz w:val="20"/>
          <w:szCs w:val="20"/>
          <w:color w:val="auto"/>
        </w:rPr>
      </w:pPr>
    </w:p>
    <w:p>
      <w:pPr>
        <w:ind w:left="3" w:firstLine="160"/>
        <w:spacing w:after="0" w:line="298" w:lineRule="auto"/>
        <w:rPr>
          <w:sz w:val="20"/>
          <w:szCs w:val="20"/>
          <w:color w:val="auto"/>
        </w:rPr>
      </w:pPr>
      <w:r>
        <w:rPr>
          <w:rFonts w:ascii="Arial" w:cs="Arial" w:eastAsia="Arial" w:hAnsi="Arial"/>
          <w:sz w:val="11"/>
          <w:szCs w:val="11"/>
          <w:i w:val="1"/>
          <w:iCs w:val="1"/>
          <w:color w:val="E51837"/>
        </w:rPr>
        <w:t xml:space="preserve">Revisions </w:t>
      </w:r>
      <w:r>
        <w:rPr>
          <w:rFonts w:ascii="Arial" w:cs="Arial" w:eastAsia="Arial" w:hAnsi="Arial"/>
          <w:sz w:val="11"/>
          <w:szCs w:val="11"/>
          <w:color w:val="000000"/>
        </w:rPr>
        <w:t>In 2009, net revisions increased reserves by 355 million barrels for worldwide consolidated</w:t>
      </w:r>
      <w:r>
        <w:rPr>
          <w:rFonts w:ascii="Arial" w:cs="Arial" w:eastAsia="Arial" w:hAnsi="Arial"/>
          <w:sz w:val="11"/>
          <w:szCs w:val="11"/>
          <w:i w:val="1"/>
          <w:iCs w:val="1"/>
          <w:color w:val="E51837"/>
        </w:rPr>
        <w:t xml:space="preserve"> </w:t>
      </w:r>
      <w:r>
        <w:rPr>
          <w:rFonts w:ascii="Arial" w:cs="Arial" w:eastAsia="Arial" w:hAnsi="Arial"/>
          <w:sz w:val="11"/>
          <w:szCs w:val="11"/>
          <w:color w:val="000000"/>
        </w:rPr>
        <w:t>companies and decreased reserves by 187 million barrels for equity affiliates. For consolidated companies, the largest increase was 460 million barrels in Other Americas due to the inclusion of synthetic oil related to Canadian oil sands. In the United States, reserves increased 63 million barrels as a result of development drilling and performance revisions. The increases were partially offset by decreases of 121 million barrels in Asia and 46 million barrels in Africa. In Asia, decreases in Indonesia and Azerbaijan were driven by the effect of higher 12-month average prices on the calculation of reserves associated with production-sharing contracts and the effect of reservoir performance revisions. In Africa, reserves in Nigeria declined as a result of higher prices on production-sharing contracts as well as reservoir performance.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60" w:firstLine="160"/>
        <w:spacing w:after="0" w:line="272" w:lineRule="auto"/>
        <w:rPr>
          <w:sz w:val="20"/>
          <w:szCs w:val="20"/>
          <w:color w:val="auto"/>
        </w:rPr>
      </w:pPr>
      <w:r>
        <w:rPr>
          <w:rFonts w:ascii="Arial" w:cs="Arial" w:eastAsia="Arial" w:hAnsi="Arial"/>
          <w:sz w:val="12"/>
          <w:szCs w:val="12"/>
          <w:color w:val="auto"/>
        </w:rPr>
        <w:t>For affiliated companies, TCO declined by 184 million barrels primarily due to the effect of higher 12-month average prices on royalty determination. For Other affiliated companies, 266 million barrels of heavy crude oil were reclassified to synthetic oil for the activities in Venezuela.</w:t>
      </w:r>
    </w:p>
    <w:p>
      <w:pPr>
        <w:ind w:firstLine="160"/>
        <w:spacing w:after="0" w:line="271" w:lineRule="auto"/>
        <w:rPr>
          <w:sz w:val="20"/>
          <w:szCs w:val="20"/>
          <w:color w:val="auto"/>
        </w:rPr>
      </w:pPr>
      <w:r>
        <w:rPr>
          <w:rFonts w:ascii="Arial" w:cs="Arial" w:eastAsia="Arial" w:hAnsi="Arial"/>
          <w:sz w:val="12"/>
          <w:szCs w:val="12"/>
          <w:color w:val="auto"/>
        </w:rPr>
        <w:t>In 2010, net revisions increased reserves 103 million barrels for consolidated companies and decreased reserves 21 million barrels for affiliated companies. For consolidated companies, improved reservoir performance accounted for a majority of the 63 million barrel increase in the United States. Increases in the other regions were partially offset by Asia, which decreased as a result of the effect of higher prices on production-sharing contracts in Kazakhstan. For affiliated companies, the price effect on royalty determination at TCO decreased reserves by 33 million barrels. This was partially offset by improved reservoir performance and development drilling in Venezuela.</w:t>
      </w:r>
    </w:p>
    <w:p>
      <w:pPr>
        <w:spacing w:after="0" w:line="445" w:lineRule="exact"/>
        <w:rPr>
          <w:sz w:val="20"/>
          <w:szCs w:val="20"/>
          <w:color w:val="auto"/>
        </w:rPr>
      </w:pPr>
    </w:p>
    <w:p>
      <w:pPr>
        <w:sectPr>
          <w:pgSz w:w="11900" w:h="16838" w:orient="portrait"/>
          <w:cols w:equalWidth="0" w:num="2">
            <w:col w:w="5503" w:space="460"/>
            <w:col w:w="5500"/>
          </w:cols>
          <w:pgMar w:left="217" w:top="338" w:right="219" w:bottom="1440" w:gutter="0" w:footer="0" w:header="0"/>
          <w:type w:val="continuous"/>
        </w:sectPr>
      </w:pPr>
    </w:p>
    <w:p>
      <w:pPr>
        <w:spacing w:after="0" w:line="43"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ectPr>
          <w:pgSz w:w="11900" w:h="16838" w:orient="portrait"/>
          <w:cols w:equalWidth="0" w:num="1">
            <w:col w:w="11460"/>
          </w:cols>
          <w:pgMar w:left="220" w:top="338" w:right="219" w:bottom="1440" w:gutter="0" w:footer="0" w:header="0"/>
        </w:sectPr>
      </w:pPr>
    </w:p>
    <w:p>
      <w:pPr>
        <w:spacing w:after="0" w:line="327" w:lineRule="exact"/>
        <w:rPr>
          <w:sz w:val="20"/>
          <w:szCs w:val="20"/>
          <w:color w:val="auto"/>
        </w:rPr>
      </w:pPr>
    </w:p>
    <w:p>
      <w:pPr>
        <w:ind w:right="20" w:firstLine="160"/>
        <w:spacing w:after="0" w:line="293" w:lineRule="auto"/>
        <w:rPr>
          <w:sz w:val="20"/>
          <w:szCs w:val="20"/>
          <w:color w:val="auto"/>
        </w:rPr>
      </w:pPr>
      <w:r>
        <w:rPr>
          <w:rFonts w:ascii="Arial" w:cs="Arial" w:eastAsia="Arial" w:hAnsi="Arial"/>
          <w:sz w:val="11"/>
          <w:szCs w:val="11"/>
          <w:color w:val="auto"/>
        </w:rPr>
        <w:t>In 2011, net revisions increased reserves 197 million barrels for consolidated companies and increased reserves 38 million barrels for affiliated companies. For consolidated companies, improved reservoir performance accounted for a majority of the 63 million barrel increase in the United States. In Africa, improved field performance drove the 60 million barrel increase. In Asia, increases from improved reservoir performance were partially offset by the effects of higher prices on production-sharing contracts. Synthetic oil reserves in Canada increased by 32 million barrels, primarily due to geotechnical revisions. For affiliated companies, improved facility and reservoir performance was partially offset by the price effect on royalty determination at TCO. Continued development drilling increased reserves in Venezuela.</w:t>
      </w:r>
    </w:p>
    <w:p>
      <w:pPr>
        <w:spacing w:after="0" w:line="3" w:lineRule="exact"/>
        <w:rPr>
          <w:sz w:val="20"/>
          <w:szCs w:val="20"/>
          <w:color w:val="auto"/>
        </w:rPr>
      </w:pPr>
    </w:p>
    <w:p>
      <w:pPr>
        <w:ind w:firstLine="160"/>
        <w:spacing w:after="0" w:line="291" w:lineRule="auto"/>
        <w:rPr>
          <w:sz w:val="20"/>
          <w:szCs w:val="20"/>
          <w:color w:val="auto"/>
        </w:rPr>
      </w:pPr>
      <w:r>
        <w:rPr>
          <w:rFonts w:ascii="Arial" w:cs="Arial" w:eastAsia="Arial" w:hAnsi="Arial"/>
          <w:sz w:val="11"/>
          <w:szCs w:val="11"/>
          <w:i w:val="1"/>
          <w:iCs w:val="1"/>
          <w:color w:val="E51837"/>
        </w:rPr>
        <w:t xml:space="preserve">Improved Recovery </w:t>
      </w:r>
      <w:r>
        <w:rPr>
          <w:rFonts w:ascii="Arial" w:cs="Arial" w:eastAsia="Arial" w:hAnsi="Arial"/>
          <w:sz w:val="11"/>
          <w:szCs w:val="11"/>
          <w:color w:val="000000"/>
        </w:rPr>
        <w:t>In 2009, improved recovery increased liquids volumes by 86 million barrels</w:t>
      </w:r>
      <w:r>
        <w:rPr>
          <w:rFonts w:ascii="Arial" w:cs="Arial" w:eastAsia="Arial" w:hAnsi="Arial"/>
          <w:sz w:val="11"/>
          <w:szCs w:val="11"/>
          <w:i w:val="1"/>
          <w:iCs w:val="1"/>
          <w:color w:val="E51837"/>
        </w:rPr>
        <w:t xml:space="preserve"> </w:t>
      </w:r>
      <w:r>
        <w:rPr>
          <w:rFonts w:ascii="Arial" w:cs="Arial" w:eastAsia="Arial" w:hAnsi="Arial"/>
          <w:sz w:val="11"/>
          <w:szCs w:val="11"/>
          <w:color w:val="000000"/>
        </w:rPr>
        <w:t>worldwide. Consolidated companies accounted for 50 million barrels. The largest addition was related to improved secondary recovery in Nigeria. Affiliated companies increased reserves 36 million barrels due to improvements related to the TCO Sour Gas Injection/Second Generation Plant (SGI/SGP) facilities.</w:t>
      </w:r>
    </w:p>
    <w:p>
      <w:pPr>
        <w:spacing w:after="0" w:line="2" w:lineRule="exact"/>
        <w:rPr>
          <w:sz w:val="20"/>
          <w:szCs w:val="20"/>
          <w:color w:val="auto"/>
        </w:rPr>
      </w:pPr>
    </w:p>
    <w:p>
      <w:pPr>
        <w:ind w:right="280" w:firstLine="160"/>
        <w:spacing w:after="0" w:line="246" w:lineRule="auto"/>
        <w:rPr>
          <w:sz w:val="20"/>
          <w:szCs w:val="20"/>
          <w:color w:val="auto"/>
        </w:rPr>
      </w:pPr>
      <w:r>
        <w:rPr>
          <w:rFonts w:ascii="Arial" w:cs="Arial" w:eastAsia="Arial" w:hAnsi="Arial"/>
          <w:sz w:val="13"/>
          <w:szCs w:val="13"/>
          <w:color w:val="auto"/>
        </w:rPr>
        <w:t>In 2010, improved recovery increased volumes by 77 million barrels worldwide. For consolidated companies, reserves in Africa increased 58 million barrels due primarily to secondary recovery performance in Nigeria. Reserves in the United States increased 11 million, primarily in California. Affiliated companies increased reserves 3 million barrels.</w:t>
      </w:r>
    </w:p>
    <w:p>
      <w:pPr>
        <w:spacing w:after="0" w:line="2" w:lineRule="exact"/>
        <w:rPr>
          <w:sz w:val="20"/>
          <w:szCs w:val="20"/>
          <w:color w:val="auto"/>
        </w:rPr>
      </w:pPr>
    </w:p>
    <w:p>
      <w:pPr>
        <w:ind w:right="280" w:firstLine="160"/>
        <w:spacing w:after="0" w:line="249" w:lineRule="auto"/>
        <w:rPr>
          <w:sz w:val="20"/>
          <w:szCs w:val="20"/>
          <w:color w:val="auto"/>
        </w:rPr>
      </w:pPr>
      <w:r>
        <w:rPr>
          <w:rFonts w:ascii="Arial" w:cs="Arial" w:eastAsia="Arial" w:hAnsi="Arial"/>
          <w:sz w:val="13"/>
          <w:szCs w:val="13"/>
          <w:color w:val="auto"/>
        </w:rPr>
        <w:t>In 2011, improved recovery increased volumes by 58 million barrels worldwide. For consolidated companies, reserves in Africa increased 48 million barrels due primarily to secondary recovery performance in Nigeria. Reserves in the United States increased by 6 million, primarily in California. Other Americas increased 4 million barrels.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20" w:firstLine="160"/>
        <w:spacing w:after="0" w:line="271" w:lineRule="auto"/>
        <w:rPr>
          <w:sz w:val="20"/>
          <w:szCs w:val="20"/>
          <w:color w:val="auto"/>
        </w:rPr>
      </w:pPr>
      <w:r>
        <w:rPr>
          <w:rFonts w:ascii="Arial" w:cs="Arial" w:eastAsia="Arial" w:hAnsi="Arial"/>
          <w:sz w:val="12"/>
          <w:szCs w:val="12"/>
          <w:i w:val="1"/>
          <w:iCs w:val="1"/>
          <w:color w:val="E51837"/>
        </w:rPr>
        <w:t xml:space="preserve">Extensions and Discoveries </w:t>
      </w:r>
      <w:r>
        <w:rPr>
          <w:rFonts w:ascii="Arial" w:cs="Arial" w:eastAsia="Arial" w:hAnsi="Arial"/>
          <w:sz w:val="12"/>
          <w:szCs w:val="12"/>
          <w:color w:val="000000"/>
        </w:rPr>
        <w:t>In 2009, extensions and discoveries increased liquids volumes by 52</w:t>
      </w:r>
      <w:r>
        <w:rPr>
          <w:rFonts w:ascii="Arial" w:cs="Arial" w:eastAsia="Arial" w:hAnsi="Arial"/>
          <w:sz w:val="12"/>
          <w:szCs w:val="12"/>
          <w:i w:val="1"/>
          <w:iCs w:val="1"/>
          <w:color w:val="E51837"/>
        </w:rPr>
        <w:t xml:space="preserve"> </w:t>
      </w:r>
      <w:r>
        <w:rPr>
          <w:rFonts w:ascii="Arial" w:cs="Arial" w:eastAsia="Arial" w:hAnsi="Arial"/>
          <w:sz w:val="12"/>
          <w:szCs w:val="12"/>
          <w:color w:val="000000"/>
        </w:rPr>
        <w:t>million barrels worldwide. The largest additions were 20 million barrels in Australia related to the Gorgon Project and 13 million barrels in Other Americas related to delineation drilling in Argentina. Africa and the United States accounted for 10 million barrels and 6 million barrels, respectively.</w:t>
      </w:r>
    </w:p>
    <w:p>
      <w:pPr>
        <w:ind w:right="120" w:firstLine="160"/>
        <w:spacing w:after="0" w:line="267" w:lineRule="auto"/>
        <w:rPr>
          <w:sz w:val="20"/>
          <w:szCs w:val="20"/>
          <w:color w:val="auto"/>
        </w:rPr>
      </w:pPr>
      <w:r>
        <w:rPr>
          <w:rFonts w:ascii="Arial" w:cs="Arial" w:eastAsia="Arial" w:hAnsi="Arial"/>
          <w:sz w:val="12"/>
          <w:szCs w:val="12"/>
          <w:color w:val="auto"/>
        </w:rPr>
        <w:t>In 2010, extensions and discoveries increased consolidated companies reserves 63 million barrels worldwide. The United States and Other Americas each increased reserves 19 million barrels, and Asia increased reserves 16 million barrels. No single area in the United States was individually significant. Drilling activity in Argentina and Brazil accounted for the majority of the increase in Other Americas. In Asia, the increase was primarily related to activity in Azerbaijan.</w:t>
      </w:r>
    </w:p>
    <w:p>
      <w:pPr>
        <w:spacing w:after="0" w:line="1" w:lineRule="exact"/>
        <w:rPr>
          <w:sz w:val="20"/>
          <w:szCs w:val="20"/>
          <w:color w:val="auto"/>
        </w:rPr>
      </w:pPr>
    </w:p>
    <w:p>
      <w:pPr>
        <w:ind w:firstLine="160"/>
        <w:spacing w:after="0" w:line="267" w:lineRule="auto"/>
        <w:rPr>
          <w:sz w:val="20"/>
          <w:szCs w:val="20"/>
          <w:color w:val="auto"/>
        </w:rPr>
      </w:pPr>
      <w:r>
        <w:rPr>
          <w:rFonts w:ascii="Arial" w:cs="Arial" w:eastAsia="Arial" w:hAnsi="Arial"/>
          <w:sz w:val="12"/>
          <w:szCs w:val="12"/>
          <w:color w:val="auto"/>
        </w:rPr>
        <w:t>In 2011, extensions and discoveries increased consolidated companies reserves 299 million barrels worldwide. In the United States, additions related to two Gulf of Mexico projects resulted in the majority of the 140 million barrel increase. In Australia, the Wheatstone Project increased liquid volumes 65 million barrels. Africa and Other Americas increased reserves 34 million and 30 million barrels, respectively, following the start of new projects in these areas. In Europe, a new project in the United Kingdom increased reserves 26 million barrels. In Asia, reserves increased 4 million barrels.</w:t>
      </w:r>
    </w:p>
    <w:p>
      <w:pPr>
        <w:spacing w:after="0" w:line="1" w:lineRule="exact"/>
        <w:rPr>
          <w:sz w:val="20"/>
          <w:szCs w:val="20"/>
          <w:color w:val="auto"/>
        </w:rPr>
      </w:pPr>
    </w:p>
    <w:p>
      <w:pPr>
        <w:ind w:right="120" w:firstLine="160"/>
        <w:spacing w:after="0" w:line="294" w:lineRule="auto"/>
        <w:rPr>
          <w:sz w:val="20"/>
          <w:szCs w:val="20"/>
          <w:color w:val="auto"/>
        </w:rPr>
      </w:pPr>
      <w:r>
        <w:rPr>
          <w:rFonts w:ascii="Arial" w:cs="Arial" w:eastAsia="Arial" w:hAnsi="Arial"/>
          <w:sz w:val="12"/>
          <w:szCs w:val="12"/>
          <w:i w:val="1"/>
          <w:iCs w:val="1"/>
          <w:color w:val="E51837"/>
        </w:rPr>
        <w:t xml:space="preserve">Purchases </w:t>
      </w:r>
      <w:r>
        <w:rPr>
          <w:rFonts w:ascii="Arial" w:cs="Arial" w:eastAsia="Arial" w:hAnsi="Arial"/>
          <w:sz w:val="12"/>
          <w:szCs w:val="12"/>
          <w:color w:val="000000"/>
        </w:rPr>
        <w:t>In 2011, purchases increased worldwide liquid volumes 42 million barrels. The acquisition</w:t>
      </w:r>
      <w:r>
        <w:rPr>
          <w:rFonts w:ascii="Arial" w:cs="Arial" w:eastAsia="Arial" w:hAnsi="Arial"/>
          <w:sz w:val="12"/>
          <w:szCs w:val="12"/>
          <w:i w:val="1"/>
          <w:iCs w:val="1"/>
          <w:color w:val="E51837"/>
        </w:rPr>
        <w:t xml:space="preserve"> </w:t>
      </w:r>
      <w:r>
        <w:rPr>
          <w:rFonts w:ascii="Arial" w:cs="Arial" w:eastAsia="Arial" w:hAnsi="Arial"/>
          <w:sz w:val="12"/>
          <w:szCs w:val="12"/>
          <w:color w:val="000000"/>
        </w:rPr>
        <w:t>of additional acreage in Canada increased synthetic oil reserves 40 million barrels.</w:t>
      </w:r>
    </w:p>
    <w:p>
      <w:pPr>
        <w:spacing w:after="0" w:line="636" w:lineRule="exact"/>
        <w:rPr>
          <w:sz w:val="20"/>
          <w:szCs w:val="20"/>
          <w:color w:val="auto"/>
        </w:rPr>
      </w:pPr>
    </w:p>
    <w:p>
      <w:pPr>
        <w:sectPr>
          <w:pgSz w:w="11900" w:h="16838" w:orient="portrait"/>
          <w:cols w:equalWidth="0" w:num="2">
            <w:col w:w="5460" w:space="500"/>
            <w:col w:w="5500"/>
          </w:cols>
          <w:pgMar w:left="220" w:top="338" w:right="21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type w:val="continuous"/>
        </w:sectPr>
      </w:pPr>
    </w:p>
    <w:bookmarkStart w:id="113" w:name="page114"/>
    <w:bookmarkEnd w:id="113"/>
    <w:p>
      <w:pPr>
        <w:ind w:left="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85990" cy="5003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3"/>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pacing w:after="0" w:line="314" w:lineRule="exact"/>
        <w:rPr>
          <w:sz w:val="20"/>
          <w:szCs w:val="20"/>
          <w:color w:val="auto"/>
        </w:rPr>
      </w:pPr>
    </w:p>
    <w:tbl>
      <w:tblPr>
        <w:tblLayout w:type="fixed"/>
        <w:tblInd w:w="3" w:type="dxa"/>
        <w:tblCellMar>
          <w:top w:w="0" w:type="dxa"/>
          <w:left w:w="0" w:type="dxa"/>
          <w:bottom w:w="0" w:type="dxa"/>
          <w:right w:w="0" w:type="dxa"/>
        </w:tblCellMar>
      </w:tblPr>
      <w:tr>
        <w:trPr>
          <w:trHeight w:val="92"/>
        </w:trPr>
        <w:tc>
          <w:tcPr>
            <w:tcW w:w="2640" w:type="dxa"/>
            <w:vAlign w:val="bottom"/>
            <w:gridSpan w:val="2"/>
          </w:tcPr>
          <w:p>
            <w:pPr>
              <w:spacing w:after="0"/>
              <w:rPr>
                <w:sz w:val="20"/>
                <w:szCs w:val="20"/>
                <w:color w:val="auto"/>
              </w:rPr>
            </w:pPr>
            <w:r>
              <w:rPr>
                <w:rFonts w:ascii="Arial" w:cs="Arial" w:eastAsia="Arial" w:hAnsi="Arial"/>
                <w:sz w:val="8"/>
                <w:szCs w:val="8"/>
                <w:color w:val="auto"/>
              </w:rPr>
              <w:t>Net Proved Reserves of Natural Gas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gridSpan w:val="3"/>
            <w:vMerge w:val="restart"/>
          </w:tcPr>
          <w:p>
            <w:pPr>
              <w:jc w:val="right"/>
              <w:ind w:right="460"/>
              <w:spacing w:after="0"/>
              <w:rPr>
                <w:sz w:val="20"/>
                <w:szCs w:val="20"/>
                <w:color w:val="auto"/>
              </w:rPr>
            </w:pPr>
            <w:r>
              <w:rPr>
                <w:rFonts w:ascii="Arial" w:cs="Arial" w:eastAsia="Arial" w:hAnsi="Arial"/>
                <w:sz w:val="9"/>
                <w:szCs w:val="9"/>
                <w:color w:val="auto"/>
              </w:rPr>
              <w:t>Consolidated Companies</w:t>
            </w:r>
          </w:p>
        </w:tc>
        <w:tc>
          <w:tcPr>
            <w:tcW w:w="520" w:type="dxa"/>
            <w:vAlign w:val="bottom"/>
          </w:tcPr>
          <w:p>
            <w:pPr>
              <w:spacing w:after="0"/>
              <w:rPr>
                <w:sz w:val="17"/>
                <w:szCs w:val="17"/>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9"/>
                <w:szCs w:val="9"/>
                <w:color w:val="auto"/>
                <w:w w:val="94"/>
              </w:rPr>
              <w:t>Affiliated Companies</w:t>
            </w:r>
          </w:p>
        </w:tc>
        <w:tc>
          <w:tcPr>
            <w:tcW w:w="540" w:type="dxa"/>
            <w:vAlign w:val="bottom"/>
            <w:gridSpan w:val="3"/>
          </w:tcPr>
          <w:p>
            <w:pPr>
              <w:jc w:val="right"/>
              <w:ind w:right="40"/>
              <w:spacing w:after="0"/>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4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w w:val="91"/>
              </w:rPr>
              <w:t>Consolidated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740" w:type="dxa"/>
            <w:vAlign w:val="bottom"/>
            <w:tcBorders>
              <w:top w:val="single" w:sz="8" w:color="0077C0"/>
            </w:tcBorders>
          </w:tcPr>
          <w:p>
            <w:pPr>
              <w:spacing w:after="0"/>
              <w:rPr>
                <w:sz w:val="6"/>
                <w:szCs w:val="6"/>
                <w:color w:val="auto"/>
              </w:rPr>
            </w:pPr>
          </w:p>
        </w:tc>
        <w:tc>
          <w:tcPr>
            <w:tcW w:w="1000" w:type="dxa"/>
            <w:vAlign w:val="bottom"/>
            <w:tcBorders>
              <w:top w:val="single" w:sz="8" w:color="0077C0"/>
            </w:tcBorders>
          </w:tcPr>
          <w:p>
            <w:pPr>
              <w:jc w:val="right"/>
              <w:ind w:right="310"/>
              <w:spacing w:after="0" w:line="75" w:lineRule="exact"/>
              <w:rPr>
                <w:sz w:val="20"/>
                <w:szCs w:val="20"/>
                <w:color w:val="auto"/>
              </w:rPr>
            </w:pPr>
            <w:r>
              <w:rPr>
                <w:rFonts w:ascii="Arial" w:cs="Arial" w:eastAsia="Arial" w:hAnsi="Arial"/>
                <w:sz w:val="8"/>
                <w:szCs w:val="8"/>
                <w:color w:val="auto"/>
              </w:rPr>
              <w:t>Other</w:t>
            </w:r>
          </w:p>
        </w:tc>
        <w:tc>
          <w:tcPr>
            <w:tcW w:w="920" w:type="dxa"/>
            <w:vAlign w:val="bottom"/>
            <w:tcBorders>
              <w:top w:val="single" w:sz="8" w:color="0077C0"/>
            </w:tcBorders>
          </w:tcPr>
          <w:p>
            <w:pPr>
              <w:spacing w:after="0"/>
              <w:rPr>
                <w:sz w:val="6"/>
                <w:szCs w:val="6"/>
                <w:color w:val="auto"/>
              </w:rPr>
            </w:pPr>
          </w:p>
        </w:tc>
        <w:tc>
          <w:tcPr>
            <w:tcW w:w="880" w:type="dxa"/>
            <w:vAlign w:val="bottom"/>
            <w:tcBorders>
              <w:top w:val="single" w:sz="8" w:color="0077C0"/>
            </w:tcBorders>
          </w:tcPr>
          <w:p>
            <w:pPr>
              <w:spacing w:after="0"/>
              <w:rPr>
                <w:sz w:val="6"/>
                <w:szCs w:val="6"/>
                <w:color w:val="auto"/>
              </w:rPr>
            </w:pPr>
          </w:p>
        </w:tc>
        <w:tc>
          <w:tcPr>
            <w:tcW w:w="960" w:type="dxa"/>
            <w:vAlign w:val="bottom"/>
            <w:tcBorders>
              <w:top w:val="single" w:sz="8" w:color="0077C0"/>
            </w:tcBorders>
          </w:tcPr>
          <w:p>
            <w:pPr>
              <w:spacing w:after="0"/>
              <w:rPr>
                <w:sz w:val="6"/>
                <w:szCs w:val="6"/>
                <w:color w:val="auto"/>
              </w:rPr>
            </w:pPr>
          </w:p>
        </w:tc>
        <w:tc>
          <w:tcPr>
            <w:tcW w:w="920" w:type="dxa"/>
            <w:vAlign w:val="bottom"/>
            <w:tcBorders>
              <w:top w:val="single" w:sz="8" w:color="0077C0"/>
            </w:tcBorders>
          </w:tcPr>
          <w:p>
            <w:pPr>
              <w:spacing w:after="0"/>
              <w:rPr>
                <w:sz w:val="6"/>
                <w:szCs w:val="6"/>
                <w:color w:val="auto"/>
              </w:rPr>
            </w:pPr>
          </w:p>
        </w:tc>
        <w:tc>
          <w:tcPr>
            <w:tcW w:w="580" w:type="dxa"/>
            <w:vAlign w:val="bottom"/>
            <w:tcBorders>
              <w:top w:val="single" w:sz="8" w:color="0077C0"/>
            </w:tcBorders>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Borders>
              <w:top w:val="single" w:sz="8" w:color="0077C0"/>
            </w:tcBorders>
          </w:tcPr>
          <w:p>
            <w:pPr>
              <w:spacing w:after="0"/>
              <w:rPr>
                <w:sz w:val="6"/>
                <w:szCs w:val="6"/>
                <w:color w:val="auto"/>
              </w:rPr>
            </w:pPr>
          </w:p>
        </w:tc>
        <w:tc>
          <w:tcPr>
            <w:tcW w:w="800" w:type="dxa"/>
            <w:vAlign w:val="bottom"/>
            <w:tcBorders>
              <w:top w:val="single" w:sz="8" w:color="0077C0"/>
            </w:tcBorders>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gridSpan w:val="3"/>
          </w:tcPr>
          <w:p>
            <w:pPr>
              <w:jc w:val="right"/>
              <w:ind w:right="40"/>
              <w:spacing w:after="0" w:line="75" w:lineRule="exact"/>
              <w:rPr>
                <w:sz w:val="20"/>
                <w:szCs w:val="20"/>
                <w:color w:val="auto"/>
              </w:rPr>
            </w:pPr>
            <w:r>
              <w:rPr>
                <w:rFonts w:ascii="Arial" w:cs="Arial" w:eastAsia="Arial" w:hAnsi="Arial"/>
                <w:sz w:val="8"/>
                <w:szCs w:val="8"/>
                <w:color w:val="auto"/>
              </w:rPr>
              <w:t>and Affiliated</w:t>
            </w:r>
          </w:p>
        </w:tc>
        <w:tc>
          <w:tcPr>
            <w:tcW w:w="0" w:type="dxa"/>
            <w:vAlign w:val="bottom"/>
          </w:tcPr>
          <w:p>
            <w:pPr>
              <w:spacing w:after="0"/>
              <w:rPr>
                <w:sz w:val="1"/>
                <w:szCs w:val="1"/>
                <w:color w:val="auto"/>
              </w:rPr>
            </w:pPr>
          </w:p>
        </w:tc>
      </w:tr>
      <w:tr>
        <w:trPr>
          <w:trHeight w:val="107"/>
        </w:trPr>
        <w:tc>
          <w:tcPr>
            <w:tcW w:w="2640" w:type="dxa"/>
            <w:vAlign w:val="bottom"/>
            <w:gridSpan w:val="2"/>
          </w:tcPr>
          <w:p>
            <w:pPr>
              <w:spacing w:after="0"/>
              <w:rPr>
                <w:sz w:val="20"/>
                <w:szCs w:val="20"/>
                <w:color w:val="auto"/>
              </w:rPr>
            </w:pPr>
            <w:r>
              <w:rPr>
                <w:rFonts w:ascii="Arial" w:cs="Arial" w:eastAsia="Arial" w:hAnsi="Arial"/>
                <w:sz w:val="9"/>
                <w:szCs w:val="9"/>
                <w:i w:val="1"/>
                <w:iCs w:val="1"/>
                <w:color w:val="auto"/>
              </w:rPr>
              <w:t>Billions of cubic feet (BCF)</w:t>
            </w:r>
          </w:p>
        </w:tc>
        <w:tc>
          <w:tcPr>
            <w:tcW w:w="740" w:type="dxa"/>
            <w:vAlign w:val="bottom"/>
          </w:tcPr>
          <w:p>
            <w:pPr>
              <w:jc w:val="right"/>
              <w:ind w:right="229"/>
              <w:spacing w:after="0"/>
              <w:rPr>
                <w:sz w:val="20"/>
                <w:szCs w:val="20"/>
                <w:color w:val="auto"/>
              </w:rPr>
            </w:pPr>
            <w:r>
              <w:rPr>
                <w:rFonts w:ascii="Arial" w:cs="Arial" w:eastAsia="Arial" w:hAnsi="Arial"/>
                <w:sz w:val="9"/>
                <w:szCs w:val="9"/>
                <w:color w:val="auto"/>
              </w:rPr>
              <w:t>U.S.</w:t>
            </w:r>
          </w:p>
        </w:tc>
        <w:tc>
          <w:tcPr>
            <w:tcW w:w="1000" w:type="dxa"/>
            <w:vAlign w:val="bottom"/>
          </w:tcPr>
          <w:p>
            <w:pPr>
              <w:jc w:val="right"/>
              <w:ind w:right="310"/>
              <w:spacing w:after="0"/>
              <w:rPr>
                <w:sz w:val="20"/>
                <w:szCs w:val="20"/>
                <w:color w:val="auto"/>
              </w:rPr>
            </w:pPr>
            <w:r>
              <w:rPr>
                <w:rFonts w:ascii="Arial" w:cs="Arial" w:eastAsia="Arial" w:hAnsi="Arial"/>
                <w:sz w:val="9"/>
                <w:szCs w:val="9"/>
                <w:color w:val="auto"/>
              </w:rPr>
              <w:t>Americas</w:t>
            </w:r>
            <w:r>
              <w:rPr>
                <w:rFonts w:ascii="Arial" w:cs="Arial" w:eastAsia="Arial" w:hAnsi="Arial"/>
                <w:sz w:val="7"/>
                <w:szCs w:val="7"/>
                <w:color w:val="auto"/>
              </w:rPr>
              <w:t>1</w:t>
            </w:r>
          </w:p>
        </w:tc>
        <w:tc>
          <w:tcPr>
            <w:tcW w:w="920" w:type="dxa"/>
            <w:vAlign w:val="bottom"/>
          </w:tcPr>
          <w:p>
            <w:pPr>
              <w:jc w:val="right"/>
              <w:ind w:right="309"/>
              <w:spacing w:after="0"/>
              <w:rPr>
                <w:sz w:val="20"/>
                <w:szCs w:val="20"/>
                <w:color w:val="auto"/>
              </w:rPr>
            </w:pPr>
            <w:r>
              <w:rPr>
                <w:rFonts w:ascii="Arial" w:cs="Arial" w:eastAsia="Arial" w:hAnsi="Arial"/>
                <w:sz w:val="9"/>
                <w:szCs w:val="9"/>
                <w:color w:val="auto"/>
              </w:rPr>
              <w:t>Africa</w:t>
            </w:r>
          </w:p>
        </w:tc>
        <w:tc>
          <w:tcPr>
            <w:tcW w:w="880" w:type="dxa"/>
            <w:vAlign w:val="bottom"/>
          </w:tcPr>
          <w:p>
            <w:pPr>
              <w:jc w:val="right"/>
              <w:ind w:right="269"/>
              <w:spacing w:after="0"/>
              <w:rPr>
                <w:sz w:val="20"/>
                <w:szCs w:val="20"/>
                <w:color w:val="auto"/>
              </w:rPr>
            </w:pPr>
            <w:r>
              <w:rPr>
                <w:rFonts w:ascii="Arial" w:cs="Arial" w:eastAsia="Arial" w:hAnsi="Arial"/>
                <w:sz w:val="9"/>
                <w:szCs w:val="9"/>
                <w:color w:val="auto"/>
              </w:rPr>
              <w:t>Asia</w:t>
            </w:r>
          </w:p>
        </w:tc>
        <w:tc>
          <w:tcPr>
            <w:tcW w:w="960" w:type="dxa"/>
            <w:vAlign w:val="bottom"/>
          </w:tcPr>
          <w:p>
            <w:pPr>
              <w:jc w:val="right"/>
              <w:ind w:right="289"/>
              <w:spacing w:after="0"/>
              <w:rPr>
                <w:sz w:val="20"/>
                <w:szCs w:val="20"/>
                <w:color w:val="auto"/>
              </w:rPr>
            </w:pPr>
            <w:r>
              <w:rPr>
                <w:rFonts w:ascii="Arial" w:cs="Arial" w:eastAsia="Arial" w:hAnsi="Arial"/>
                <w:sz w:val="9"/>
                <w:szCs w:val="9"/>
                <w:color w:val="auto"/>
              </w:rPr>
              <w:t>Australia</w:t>
            </w:r>
          </w:p>
        </w:tc>
        <w:tc>
          <w:tcPr>
            <w:tcW w:w="920" w:type="dxa"/>
            <w:vAlign w:val="bottom"/>
          </w:tcPr>
          <w:p>
            <w:pPr>
              <w:jc w:val="right"/>
              <w:ind w:right="290"/>
              <w:spacing w:after="0"/>
              <w:rPr>
                <w:sz w:val="20"/>
                <w:szCs w:val="20"/>
                <w:color w:val="auto"/>
              </w:rPr>
            </w:pPr>
            <w:r>
              <w:rPr>
                <w:rFonts w:ascii="Arial" w:cs="Arial" w:eastAsia="Arial" w:hAnsi="Arial"/>
                <w:sz w:val="9"/>
                <w:szCs w:val="9"/>
                <w:color w:val="auto"/>
              </w:rPr>
              <w:t>Europe</w:t>
            </w:r>
          </w:p>
        </w:tc>
        <w:tc>
          <w:tcPr>
            <w:tcW w:w="1040" w:type="dxa"/>
            <w:vAlign w:val="bottom"/>
            <w:gridSpan w:val="2"/>
          </w:tcPr>
          <w:p>
            <w:pPr>
              <w:jc w:val="right"/>
              <w:ind w:right="460"/>
              <w:spacing w:after="0"/>
              <w:rPr>
                <w:sz w:val="20"/>
                <w:szCs w:val="20"/>
                <w:color w:val="auto"/>
              </w:rPr>
            </w:pPr>
            <w:r>
              <w:rPr>
                <w:rFonts w:ascii="Arial" w:cs="Arial" w:eastAsia="Arial" w:hAnsi="Arial"/>
                <w:sz w:val="9"/>
                <w:szCs w:val="9"/>
                <w:color w:val="auto"/>
              </w:rPr>
              <w:t>Total</w:t>
            </w:r>
          </w:p>
        </w:tc>
        <w:tc>
          <w:tcPr>
            <w:tcW w:w="520" w:type="dxa"/>
            <w:vAlign w:val="bottom"/>
          </w:tcPr>
          <w:p>
            <w:pPr>
              <w:jc w:val="right"/>
              <w:ind w:right="29"/>
              <w:spacing w:after="0"/>
              <w:rPr>
                <w:sz w:val="20"/>
                <w:szCs w:val="20"/>
                <w:color w:val="auto"/>
              </w:rPr>
            </w:pPr>
            <w:r>
              <w:rPr>
                <w:rFonts w:ascii="Arial" w:cs="Arial" w:eastAsia="Arial" w:hAnsi="Arial"/>
                <w:sz w:val="9"/>
                <w:szCs w:val="9"/>
                <w:color w:val="auto"/>
              </w:rPr>
              <w:t>TCO</w:t>
            </w:r>
          </w:p>
        </w:tc>
        <w:tc>
          <w:tcPr>
            <w:tcW w:w="1240" w:type="dxa"/>
            <w:vAlign w:val="bottom"/>
            <w:gridSpan w:val="2"/>
          </w:tcPr>
          <w:p>
            <w:pPr>
              <w:jc w:val="right"/>
              <w:ind w:right="440"/>
              <w:spacing w:after="0"/>
              <w:rPr>
                <w:sz w:val="20"/>
                <w:szCs w:val="20"/>
                <w:color w:val="auto"/>
              </w:rPr>
            </w:pPr>
            <w:r>
              <w:rPr>
                <w:rFonts w:ascii="Arial" w:cs="Arial" w:eastAsia="Arial" w:hAnsi="Arial"/>
                <w:sz w:val="9"/>
                <w:szCs w:val="9"/>
                <w:color w:val="auto"/>
              </w:rPr>
              <w:t>Other</w:t>
            </w:r>
            <w:r>
              <w:rPr>
                <w:rFonts w:ascii="Arial" w:cs="Arial" w:eastAsia="Arial" w:hAnsi="Arial"/>
                <w:sz w:val="7"/>
                <w:szCs w:val="7"/>
                <w:color w:val="auto"/>
              </w:rPr>
              <w:t>2</w:t>
            </w:r>
          </w:p>
        </w:tc>
        <w:tc>
          <w:tcPr>
            <w:tcW w:w="540" w:type="dxa"/>
            <w:vAlign w:val="bottom"/>
            <w:gridSpan w:val="3"/>
          </w:tcPr>
          <w:p>
            <w:pPr>
              <w:jc w:val="right"/>
              <w:ind w:right="40"/>
              <w:spacing w:after="0"/>
              <w:rPr>
                <w:sz w:val="20"/>
                <w:szCs w:val="20"/>
                <w:color w:val="auto"/>
              </w:rPr>
            </w:pPr>
            <w:r>
              <w:rPr>
                <w:rFonts w:ascii="Arial" w:cs="Arial" w:eastAsia="Arial" w:hAnsi="Arial"/>
                <w:sz w:val="9"/>
                <w:szCs w:val="9"/>
                <w:color w:val="auto"/>
              </w:rPr>
              <w:t>Companies</w:t>
            </w:r>
          </w:p>
        </w:tc>
        <w:tc>
          <w:tcPr>
            <w:tcW w:w="0" w:type="dxa"/>
            <w:vAlign w:val="bottom"/>
          </w:tcPr>
          <w:p>
            <w:pPr>
              <w:spacing w:after="0"/>
              <w:rPr>
                <w:sz w:val="1"/>
                <w:szCs w:val="1"/>
                <w:color w:val="auto"/>
              </w:rPr>
            </w:pPr>
          </w:p>
        </w:tc>
      </w:tr>
      <w:tr>
        <w:trPr>
          <w:trHeight w:val="83"/>
        </w:trPr>
        <w:tc>
          <w:tcPr>
            <w:tcW w:w="2640" w:type="dxa"/>
            <w:vAlign w:val="bottom"/>
            <w:tcBorders>
              <w:top w:val="single" w:sz="8" w:color="0077C0"/>
            </w:tcBorders>
            <w:gridSpan w:val="2"/>
          </w:tcPr>
          <w:p>
            <w:pPr>
              <w:spacing w:after="0" w:line="83" w:lineRule="exact"/>
              <w:rPr>
                <w:sz w:val="20"/>
                <w:szCs w:val="20"/>
                <w:color w:val="auto"/>
              </w:rPr>
            </w:pPr>
            <w:r>
              <w:rPr>
                <w:rFonts w:ascii="Arial" w:cs="Arial" w:eastAsia="Arial" w:hAnsi="Arial"/>
                <w:sz w:val="9"/>
                <w:szCs w:val="9"/>
                <w:b w:val="1"/>
                <w:bCs w:val="1"/>
                <w:color w:val="0077C0"/>
              </w:rPr>
              <w:t>Reserves at January 1, 2009</w:t>
            </w:r>
          </w:p>
        </w:tc>
        <w:tc>
          <w:tcPr>
            <w:tcW w:w="740" w:type="dxa"/>
            <w:vAlign w:val="bottom"/>
            <w:tcBorders>
              <w:top w:val="single" w:sz="8" w:color="0077C0"/>
            </w:tcBorders>
          </w:tcPr>
          <w:p>
            <w:pPr>
              <w:jc w:val="right"/>
              <w:ind w:right="229"/>
              <w:spacing w:after="0" w:line="83" w:lineRule="exact"/>
              <w:rPr>
                <w:sz w:val="20"/>
                <w:szCs w:val="20"/>
                <w:color w:val="auto"/>
              </w:rPr>
            </w:pPr>
            <w:r>
              <w:rPr>
                <w:rFonts w:ascii="Arial" w:cs="Arial" w:eastAsia="Arial" w:hAnsi="Arial"/>
                <w:sz w:val="9"/>
                <w:szCs w:val="9"/>
                <w:color w:val="auto"/>
              </w:rPr>
              <w:t>3,150</w:t>
            </w:r>
          </w:p>
        </w:tc>
        <w:tc>
          <w:tcPr>
            <w:tcW w:w="1000" w:type="dxa"/>
            <w:vAlign w:val="bottom"/>
            <w:tcBorders>
              <w:top w:val="single" w:sz="8" w:color="0077C0"/>
            </w:tcBorders>
          </w:tcPr>
          <w:p>
            <w:pPr>
              <w:jc w:val="right"/>
              <w:ind w:right="310"/>
              <w:spacing w:after="0" w:line="83" w:lineRule="exact"/>
              <w:rPr>
                <w:sz w:val="20"/>
                <w:szCs w:val="20"/>
                <w:color w:val="auto"/>
              </w:rPr>
            </w:pPr>
            <w:r>
              <w:rPr>
                <w:rFonts w:ascii="Arial" w:cs="Arial" w:eastAsia="Arial" w:hAnsi="Arial"/>
                <w:sz w:val="9"/>
                <w:szCs w:val="9"/>
                <w:color w:val="auto"/>
              </w:rPr>
              <w:t>2,368</w:t>
            </w:r>
          </w:p>
        </w:tc>
        <w:tc>
          <w:tcPr>
            <w:tcW w:w="920" w:type="dxa"/>
            <w:vAlign w:val="bottom"/>
            <w:tcBorders>
              <w:top w:val="single" w:sz="8" w:color="0077C0"/>
            </w:tcBorders>
          </w:tcPr>
          <w:p>
            <w:pPr>
              <w:jc w:val="right"/>
              <w:ind w:right="309"/>
              <w:spacing w:after="0" w:line="83" w:lineRule="exact"/>
              <w:rPr>
                <w:sz w:val="20"/>
                <w:szCs w:val="20"/>
                <w:color w:val="auto"/>
              </w:rPr>
            </w:pPr>
            <w:r>
              <w:rPr>
                <w:rFonts w:ascii="Arial" w:cs="Arial" w:eastAsia="Arial" w:hAnsi="Arial"/>
                <w:sz w:val="9"/>
                <w:szCs w:val="9"/>
                <w:color w:val="auto"/>
              </w:rPr>
              <w:t>3,056</w:t>
            </w:r>
          </w:p>
        </w:tc>
        <w:tc>
          <w:tcPr>
            <w:tcW w:w="880" w:type="dxa"/>
            <w:vAlign w:val="bottom"/>
            <w:tcBorders>
              <w:top w:val="single" w:sz="8" w:color="0077C0"/>
            </w:tcBorders>
          </w:tcPr>
          <w:p>
            <w:pPr>
              <w:jc w:val="right"/>
              <w:ind w:right="269"/>
              <w:spacing w:after="0" w:line="83" w:lineRule="exact"/>
              <w:rPr>
                <w:sz w:val="20"/>
                <w:szCs w:val="20"/>
                <w:color w:val="auto"/>
              </w:rPr>
            </w:pPr>
            <w:r>
              <w:rPr>
                <w:rFonts w:ascii="Arial" w:cs="Arial" w:eastAsia="Arial" w:hAnsi="Arial"/>
                <w:sz w:val="9"/>
                <w:szCs w:val="9"/>
                <w:color w:val="auto"/>
              </w:rPr>
              <w:t>7,996</w:t>
            </w:r>
          </w:p>
        </w:tc>
        <w:tc>
          <w:tcPr>
            <w:tcW w:w="960" w:type="dxa"/>
            <w:vAlign w:val="bottom"/>
            <w:tcBorders>
              <w:top w:val="single" w:sz="8" w:color="0077C0"/>
            </w:tcBorders>
          </w:tcPr>
          <w:p>
            <w:pPr>
              <w:jc w:val="right"/>
              <w:ind w:right="289"/>
              <w:spacing w:after="0" w:line="83" w:lineRule="exact"/>
              <w:rPr>
                <w:sz w:val="20"/>
                <w:szCs w:val="20"/>
                <w:color w:val="auto"/>
              </w:rPr>
            </w:pPr>
            <w:r>
              <w:rPr>
                <w:rFonts w:ascii="Arial" w:cs="Arial" w:eastAsia="Arial" w:hAnsi="Arial"/>
                <w:sz w:val="9"/>
                <w:szCs w:val="9"/>
                <w:color w:val="auto"/>
              </w:rPr>
              <w:t>1,962</w:t>
            </w:r>
          </w:p>
        </w:tc>
        <w:tc>
          <w:tcPr>
            <w:tcW w:w="920" w:type="dxa"/>
            <w:vAlign w:val="bottom"/>
            <w:tcBorders>
              <w:top w:val="single" w:sz="8" w:color="0077C0"/>
            </w:tcBorders>
          </w:tcPr>
          <w:p>
            <w:pPr>
              <w:jc w:val="right"/>
              <w:ind w:right="290"/>
              <w:spacing w:after="0" w:line="83" w:lineRule="exact"/>
              <w:rPr>
                <w:sz w:val="20"/>
                <w:szCs w:val="20"/>
                <w:color w:val="auto"/>
              </w:rPr>
            </w:pPr>
            <w:r>
              <w:rPr>
                <w:rFonts w:ascii="Arial" w:cs="Arial" w:eastAsia="Arial" w:hAnsi="Arial"/>
                <w:sz w:val="9"/>
                <w:szCs w:val="9"/>
                <w:color w:val="auto"/>
              </w:rPr>
              <w:t>490</w:t>
            </w:r>
          </w:p>
        </w:tc>
        <w:tc>
          <w:tcPr>
            <w:tcW w:w="580" w:type="dxa"/>
            <w:vAlign w:val="bottom"/>
            <w:tcBorders>
              <w:top w:val="single" w:sz="8" w:color="0077C0"/>
            </w:tcBorders>
          </w:tcPr>
          <w:p>
            <w:pPr>
              <w:jc w:val="right"/>
              <w:spacing w:after="0" w:line="83" w:lineRule="exact"/>
              <w:rPr>
                <w:sz w:val="20"/>
                <w:szCs w:val="20"/>
                <w:color w:val="auto"/>
              </w:rPr>
            </w:pPr>
            <w:r>
              <w:rPr>
                <w:rFonts w:ascii="Arial" w:cs="Arial" w:eastAsia="Arial" w:hAnsi="Arial"/>
                <w:sz w:val="9"/>
                <w:szCs w:val="9"/>
                <w:color w:val="auto"/>
              </w:rPr>
              <w:t>19,022</w:t>
            </w:r>
          </w:p>
        </w:tc>
        <w:tc>
          <w:tcPr>
            <w:tcW w:w="460" w:type="dxa"/>
            <w:vAlign w:val="bottom"/>
          </w:tcPr>
          <w:p>
            <w:pPr>
              <w:spacing w:after="0"/>
              <w:rPr>
                <w:sz w:val="7"/>
                <w:szCs w:val="7"/>
                <w:color w:val="auto"/>
              </w:rPr>
            </w:pPr>
          </w:p>
        </w:tc>
        <w:tc>
          <w:tcPr>
            <w:tcW w:w="520" w:type="dxa"/>
            <w:vAlign w:val="bottom"/>
            <w:tcBorders>
              <w:top w:val="single" w:sz="8" w:color="0077C0"/>
            </w:tcBorders>
          </w:tcPr>
          <w:p>
            <w:pPr>
              <w:jc w:val="right"/>
              <w:ind w:right="29"/>
              <w:spacing w:after="0" w:line="83" w:lineRule="exact"/>
              <w:rPr>
                <w:sz w:val="20"/>
                <w:szCs w:val="20"/>
                <w:color w:val="auto"/>
              </w:rPr>
            </w:pPr>
            <w:r>
              <w:rPr>
                <w:rFonts w:ascii="Arial" w:cs="Arial" w:eastAsia="Arial" w:hAnsi="Arial"/>
                <w:sz w:val="9"/>
                <w:szCs w:val="9"/>
                <w:color w:val="auto"/>
              </w:rPr>
              <w:t>3,175</w:t>
            </w:r>
          </w:p>
        </w:tc>
        <w:tc>
          <w:tcPr>
            <w:tcW w:w="800" w:type="dxa"/>
            <w:vAlign w:val="bottom"/>
            <w:tcBorders>
              <w:top w:val="single" w:sz="8" w:color="0077C0"/>
            </w:tcBorders>
          </w:tcPr>
          <w:p>
            <w:pPr>
              <w:jc w:val="right"/>
              <w:spacing w:after="0" w:line="83" w:lineRule="exact"/>
              <w:rPr>
                <w:sz w:val="20"/>
                <w:szCs w:val="20"/>
                <w:color w:val="auto"/>
              </w:rPr>
            </w:pPr>
            <w:r>
              <w:rPr>
                <w:rFonts w:ascii="Arial" w:cs="Arial" w:eastAsia="Arial" w:hAnsi="Arial"/>
                <w:sz w:val="9"/>
                <w:szCs w:val="9"/>
                <w:color w:val="auto"/>
              </w:rPr>
              <w:t>878</w:t>
            </w:r>
          </w:p>
        </w:tc>
        <w:tc>
          <w:tcPr>
            <w:tcW w:w="440" w:type="dxa"/>
            <w:vAlign w:val="bottom"/>
          </w:tcPr>
          <w:p>
            <w:pPr>
              <w:spacing w:after="0"/>
              <w:rPr>
                <w:sz w:val="7"/>
                <w:szCs w:val="7"/>
                <w:color w:val="auto"/>
              </w:rPr>
            </w:pPr>
          </w:p>
        </w:tc>
        <w:tc>
          <w:tcPr>
            <w:tcW w:w="500" w:type="dxa"/>
            <w:vAlign w:val="bottom"/>
            <w:tcBorders>
              <w:top w:val="single" w:sz="8" w:color="0077C0"/>
            </w:tcBorders>
          </w:tcPr>
          <w:p>
            <w:pPr>
              <w:jc w:val="right"/>
              <w:spacing w:after="0" w:line="83" w:lineRule="exact"/>
              <w:rPr>
                <w:sz w:val="20"/>
                <w:szCs w:val="20"/>
                <w:color w:val="auto"/>
              </w:rPr>
            </w:pPr>
            <w:r>
              <w:rPr>
                <w:rFonts w:ascii="Arial" w:cs="Arial" w:eastAsia="Arial" w:hAnsi="Arial"/>
                <w:sz w:val="9"/>
                <w:szCs w:val="9"/>
                <w:color w:val="auto"/>
              </w:rPr>
              <w:t>23,075</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Revisions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39</w:t>
            </w:r>
          </w:p>
        </w:tc>
        <w:tc>
          <w:tcPr>
            <w:tcW w:w="1000" w:type="dxa"/>
            <w:vAlign w:val="bottom"/>
          </w:tcPr>
          <w:p>
            <w:pPr>
              <w:jc w:val="right"/>
              <w:ind w:right="270"/>
              <w:spacing w:after="0" w:line="106" w:lineRule="exact"/>
              <w:rPr>
                <w:sz w:val="20"/>
                <w:szCs w:val="20"/>
                <w:color w:val="auto"/>
              </w:rPr>
            </w:pPr>
            <w:r>
              <w:rPr>
                <w:rFonts w:ascii="Arial" w:cs="Arial" w:eastAsia="Arial" w:hAnsi="Arial"/>
                <w:sz w:val="10"/>
                <w:szCs w:val="10"/>
                <w:color w:val="auto"/>
              </w:rPr>
              <w:t>(126)</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4</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493</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166</w:t>
            </w:r>
          </w:p>
        </w:tc>
        <w:tc>
          <w:tcPr>
            <w:tcW w:w="920" w:type="dxa"/>
            <w:vAlign w:val="bottom"/>
          </w:tcPr>
          <w:p>
            <w:pPr>
              <w:jc w:val="right"/>
              <w:ind w:right="270"/>
              <w:spacing w:after="0" w:line="106" w:lineRule="exact"/>
              <w:rPr>
                <w:sz w:val="20"/>
                <w:szCs w:val="20"/>
                <w:color w:val="auto"/>
              </w:rPr>
            </w:pPr>
            <w:r>
              <w:rPr>
                <w:rFonts w:ascii="Arial" w:cs="Arial" w:eastAsia="Arial" w:hAnsi="Arial"/>
                <w:sz w:val="10"/>
                <w:szCs w:val="10"/>
                <w:color w:val="auto"/>
              </w:rPr>
              <w:t>(7)</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569</w:t>
            </w:r>
          </w:p>
        </w:tc>
        <w:tc>
          <w:tcPr>
            <w:tcW w:w="4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(237)</w:t>
            </w:r>
          </w:p>
        </w:tc>
        <w:tc>
          <w:tcPr>
            <w:tcW w:w="800" w:type="dxa"/>
            <w:vAlign w:val="bottom"/>
          </w:tcPr>
          <w:p>
            <w:pPr>
              <w:jc w:val="right"/>
              <w:spacing w:after="0" w:line="106" w:lineRule="exact"/>
              <w:rPr>
                <w:sz w:val="20"/>
                <w:szCs w:val="20"/>
                <w:color w:val="auto"/>
              </w:rPr>
            </w:pPr>
            <w:r>
              <w:rPr>
                <w:rFonts w:ascii="Arial" w:cs="Arial" w:eastAsia="Arial" w:hAnsi="Arial"/>
                <w:sz w:val="10"/>
                <w:szCs w:val="10"/>
                <w:color w:val="auto"/>
              </w:rPr>
              <w:t>193</w:t>
            </w:r>
          </w:p>
        </w:tc>
        <w:tc>
          <w:tcPr>
            <w:tcW w:w="44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525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Improved recovery</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Extensions and discoveries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53</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1</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3</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54</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4,276</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4,387</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4,387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Purchases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Sales</w:t>
            </w:r>
          </w:p>
        </w:tc>
        <w:tc>
          <w:tcPr>
            <w:tcW w:w="7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(33)</w:t>
            </w:r>
          </w:p>
        </w:tc>
        <w:tc>
          <w:tcPr>
            <w:tcW w:w="1000" w:type="dxa"/>
            <w:vAlign w:val="bottom"/>
          </w:tcPr>
          <w:p>
            <w:pPr>
              <w:jc w:val="right"/>
              <w:ind w:right="270"/>
              <w:spacing w:after="0" w:line="106" w:lineRule="exact"/>
              <w:rPr>
                <w:sz w:val="20"/>
                <w:szCs w:val="20"/>
                <w:color w:val="auto"/>
              </w:rPr>
            </w:pPr>
            <w:r>
              <w:rPr>
                <w:rFonts w:ascii="Arial" w:cs="Arial" w:eastAsia="Arial" w:hAnsi="Arial"/>
                <w:sz w:val="10"/>
                <w:szCs w:val="10"/>
                <w:color w:val="auto"/>
              </w:rPr>
              <w:t>(84)</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(117)</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ind w:left="120"/>
              <w:spacing w:after="0"/>
              <w:rPr>
                <w:sz w:val="20"/>
                <w:szCs w:val="20"/>
                <w:color w:val="auto"/>
              </w:rPr>
            </w:pPr>
            <w:r>
              <w:rPr>
                <w:rFonts w:ascii="Arial" w:cs="Arial" w:eastAsia="Arial" w:hAnsi="Arial"/>
                <w:sz w:val="10"/>
                <w:szCs w:val="10"/>
                <w:color w:val="auto"/>
              </w:rPr>
              <w:t>Production</w:t>
            </w:r>
            <w:r>
              <w:rPr>
                <w:rFonts w:ascii="Arial" w:cs="Arial" w:eastAsia="Arial" w:hAnsi="Arial"/>
                <w:sz w:val="8"/>
                <w:szCs w:val="8"/>
                <w:color w:val="auto"/>
              </w:rPr>
              <w:t>3</w:t>
            </w:r>
          </w:p>
        </w:tc>
        <w:tc>
          <w:tcPr>
            <w:tcW w:w="740" w:type="dxa"/>
            <w:vAlign w:val="bottom"/>
          </w:tcPr>
          <w:p>
            <w:pPr>
              <w:jc w:val="right"/>
              <w:ind w:right="189"/>
              <w:spacing w:after="0"/>
              <w:rPr>
                <w:sz w:val="20"/>
                <w:szCs w:val="20"/>
                <w:color w:val="auto"/>
              </w:rPr>
            </w:pPr>
            <w:r>
              <w:rPr>
                <w:rFonts w:ascii="Arial" w:cs="Arial" w:eastAsia="Arial" w:hAnsi="Arial"/>
                <w:sz w:val="10"/>
                <w:szCs w:val="10"/>
                <w:color w:val="auto"/>
              </w:rPr>
              <w:t>(511)</w:t>
            </w:r>
          </w:p>
        </w:tc>
        <w:tc>
          <w:tcPr>
            <w:tcW w:w="1000" w:type="dxa"/>
            <w:vAlign w:val="bottom"/>
          </w:tcPr>
          <w:p>
            <w:pPr>
              <w:jc w:val="right"/>
              <w:ind w:right="270"/>
              <w:spacing w:after="0"/>
              <w:rPr>
                <w:sz w:val="20"/>
                <w:szCs w:val="20"/>
                <w:color w:val="auto"/>
              </w:rPr>
            </w:pPr>
            <w:r>
              <w:rPr>
                <w:rFonts w:ascii="Arial" w:cs="Arial" w:eastAsia="Arial" w:hAnsi="Arial"/>
                <w:sz w:val="10"/>
                <w:szCs w:val="10"/>
                <w:color w:val="auto"/>
              </w:rPr>
              <w:t>(174)</w:t>
            </w:r>
          </w:p>
        </w:tc>
        <w:tc>
          <w:tcPr>
            <w:tcW w:w="920" w:type="dxa"/>
            <w:vAlign w:val="bottom"/>
          </w:tcPr>
          <w:p>
            <w:pPr>
              <w:jc w:val="right"/>
              <w:ind w:right="269"/>
              <w:spacing w:after="0"/>
              <w:rPr>
                <w:sz w:val="20"/>
                <w:szCs w:val="20"/>
                <w:color w:val="auto"/>
              </w:rPr>
            </w:pPr>
            <w:r>
              <w:rPr>
                <w:rFonts w:ascii="Arial" w:cs="Arial" w:eastAsia="Arial" w:hAnsi="Arial"/>
                <w:sz w:val="10"/>
                <w:szCs w:val="10"/>
                <w:color w:val="auto"/>
              </w:rPr>
              <w:t>(42)</w:t>
            </w:r>
          </w:p>
        </w:tc>
        <w:tc>
          <w:tcPr>
            <w:tcW w:w="880" w:type="dxa"/>
            <w:vAlign w:val="bottom"/>
          </w:tcPr>
          <w:p>
            <w:pPr>
              <w:jc w:val="right"/>
              <w:ind w:right="229"/>
              <w:spacing w:after="0"/>
              <w:rPr>
                <w:sz w:val="20"/>
                <w:szCs w:val="20"/>
                <w:color w:val="auto"/>
              </w:rPr>
            </w:pPr>
            <w:r>
              <w:rPr>
                <w:rFonts w:ascii="Arial" w:cs="Arial" w:eastAsia="Arial" w:hAnsi="Arial"/>
                <w:sz w:val="10"/>
                <w:szCs w:val="10"/>
                <w:color w:val="auto"/>
              </w:rPr>
              <w:t>(683)</w:t>
            </w:r>
          </w:p>
        </w:tc>
        <w:tc>
          <w:tcPr>
            <w:tcW w:w="960" w:type="dxa"/>
            <w:vAlign w:val="bottom"/>
          </w:tcPr>
          <w:p>
            <w:pPr>
              <w:jc w:val="right"/>
              <w:ind w:right="269"/>
              <w:spacing w:after="0"/>
              <w:rPr>
                <w:sz w:val="20"/>
                <w:szCs w:val="20"/>
                <w:color w:val="auto"/>
              </w:rPr>
            </w:pPr>
            <w:r>
              <w:rPr>
                <w:rFonts w:ascii="Arial" w:cs="Arial" w:eastAsia="Arial" w:hAnsi="Arial"/>
                <w:sz w:val="10"/>
                <w:szCs w:val="10"/>
                <w:color w:val="auto"/>
              </w:rPr>
              <w:t>(159)</w:t>
            </w:r>
          </w:p>
        </w:tc>
        <w:tc>
          <w:tcPr>
            <w:tcW w:w="920" w:type="dxa"/>
            <w:vAlign w:val="bottom"/>
          </w:tcPr>
          <w:p>
            <w:pPr>
              <w:jc w:val="right"/>
              <w:ind w:right="270"/>
              <w:spacing w:after="0"/>
              <w:rPr>
                <w:sz w:val="20"/>
                <w:szCs w:val="20"/>
                <w:color w:val="auto"/>
              </w:rPr>
            </w:pPr>
            <w:r>
              <w:rPr>
                <w:rFonts w:ascii="Arial" w:cs="Arial" w:eastAsia="Arial" w:hAnsi="Arial"/>
                <w:sz w:val="10"/>
                <w:szCs w:val="10"/>
                <w:color w:val="auto"/>
              </w:rPr>
              <w:t>(139)</w:t>
            </w:r>
          </w:p>
        </w:tc>
        <w:tc>
          <w:tcPr>
            <w:tcW w:w="1040" w:type="dxa"/>
            <w:vAlign w:val="bottom"/>
            <w:gridSpan w:val="2"/>
          </w:tcPr>
          <w:p>
            <w:pPr>
              <w:jc w:val="right"/>
              <w:ind w:right="420"/>
              <w:spacing w:after="0"/>
              <w:rPr>
                <w:sz w:val="20"/>
                <w:szCs w:val="20"/>
                <w:color w:val="auto"/>
              </w:rPr>
            </w:pPr>
            <w:r>
              <w:rPr>
                <w:rFonts w:ascii="Arial" w:cs="Arial" w:eastAsia="Arial" w:hAnsi="Arial"/>
                <w:sz w:val="10"/>
                <w:szCs w:val="10"/>
                <w:color w:val="auto"/>
              </w:rPr>
              <w:t>(1,708)</w:t>
            </w:r>
          </w:p>
        </w:tc>
        <w:tc>
          <w:tcPr>
            <w:tcW w:w="520" w:type="dxa"/>
            <w:vAlign w:val="bottom"/>
          </w:tcPr>
          <w:p>
            <w:pPr>
              <w:jc w:val="right"/>
              <w:spacing w:after="0"/>
              <w:rPr>
                <w:sz w:val="20"/>
                <w:szCs w:val="20"/>
                <w:color w:val="auto"/>
              </w:rPr>
            </w:pPr>
            <w:r>
              <w:rPr>
                <w:rFonts w:ascii="Arial" w:cs="Arial" w:eastAsia="Arial" w:hAnsi="Arial"/>
                <w:sz w:val="10"/>
                <w:szCs w:val="10"/>
                <w:color w:val="auto"/>
              </w:rPr>
              <w:t>(105)</w:t>
            </w:r>
          </w:p>
        </w:tc>
        <w:tc>
          <w:tcPr>
            <w:tcW w:w="1240" w:type="dxa"/>
            <w:vAlign w:val="bottom"/>
            <w:gridSpan w:val="2"/>
          </w:tcPr>
          <w:p>
            <w:pPr>
              <w:jc w:val="right"/>
              <w:ind w:right="400"/>
              <w:spacing w:after="0"/>
              <w:rPr>
                <w:sz w:val="20"/>
                <w:szCs w:val="20"/>
                <w:color w:val="auto"/>
              </w:rPr>
            </w:pPr>
            <w:r>
              <w:rPr>
                <w:rFonts w:ascii="Arial" w:cs="Arial" w:eastAsia="Arial" w:hAnsi="Arial"/>
                <w:sz w:val="10"/>
                <w:szCs w:val="10"/>
                <w:color w:val="auto"/>
              </w:rPr>
              <w:t>(8)</w:t>
            </w:r>
          </w:p>
        </w:tc>
        <w:tc>
          <w:tcPr>
            <w:tcW w:w="540" w:type="dxa"/>
            <w:vAlign w:val="bottom"/>
            <w:gridSpan w:val="3"/>
          </w:tcPr>
          <w:p>
            <w:pPr>
              <w:jc w:val="right"/>
              <w:spacing w:after="0"/>
              <w:rPr>
                <w:sz w:val="20"/>
                <w:szCs w:val="20"/>
                <w:color w:val="auto"/>
              </w:rPr>
            </w:pPr>
            <w:r>
              <w:rPr>
                <w:rFonts w:ascii="Arial" w:cs="Arial" w:eastAsia="Arial" w:hAnsi="Arial"/>
                <w:sz w:val="10"/>
                <w:szCs w:val="10"/>
                <w:color w:val="auto"/>
              </w:rPr>
              <w:t>(1,821)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December 31, 2009</w:t>
            </w:r>
            <w:r>
              <w:rPr>
                <w:rFonts w:ascii="Arial" w:cs="Arial" w:eastAsia="Arial" w:hAnsi="Arial"/>
                <w:sz w:val="8"/>
                <w:szCs w:val="8"/>
                <w:b w:val="1"/>
                <w:bCs w:val="1"/>
                <w:color w:val="0077C0"/>
              </w:rPr>
              <w:t>4</w:t>
            </w:r>
          </w:p>
        </w:tc>
        <w:tc>
          <w:tcPr>
            <w:tcW w:w="7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2,698</w:t>
            </w:r>
          </w:p>
        </w:tc>
        <w:tc>
          <w:tcPr>
            <w:tcW w:w="1000" w:type="dxa"/>
            <w:vAlign w:val="bottom"/>
            <w:tcBorders>
              <w:top w:val="single" w:sz="8" w:color="0077C0"/>
            </w:tcBorders>
          </w:tcPr>
          <w:p>
            <w:pPr>
              <w:jc w:val="right"/>
              <w:ind w:right="310"/>
              <w:spacing w:after="0" w:line="92" w:lineRule="exact"/>
              <w:rPr>
                <w:sz w:val="20"/>
                <w:szCs w:val="20"/>
                <w:color w:val="auto"/>
              </w:rPr>
            </w:pPr>
            <w:r>
              <w:rPr>
                <w:rFonts w:ascii="Arial" w:cs="Arial" w:eastAsia="Arial" w:hAnsi="Arial"/>
                <w:sz w:val="10"/>
                <w:szCs w:val="10"/>
                <w:color w:val="auto"/>
              </w:rPr>
              <w:t>1,985</w:t>
            </w:r>
          </w:p>
        </w:tc>
        <w:tc>
          <w:tcPr>
            <w:tcW w:w="920" w:type="dxa"/>
            <w:vAlign w:val="bottom"/>
            <w:tcBorders>
              <w:top w:val="single" w:sz="8" w:color="0077C0"/>
            </w:tcBorders>
          </w:tcPr>
          <w:p>
            <w:pPr>
              <w:jc w:val="right"/>
              <w:ind w:right="309"/>
              <w:spacing w:after="0" w:line="92" w:lineRule="exact"/>
              <w:rPr>
                <w:sz w:val="20"/>
                <w:szCs w:val="20"/>
                <w:color w:val="auto"/>
              </w:rPr>
            </w:pPr>
            <w:r>
              <w:rPr>
                <w:rFonts w:ascii="Arial" w:cs="Arial" w:eastAsia="Arial" w:hAnsi="Arial"/>
                <w:sz w:val="10"/>
                <w:szCs w:val="10"/>
                <w:color w:val="auto"/>
              </w:rPr>
              <w:t>3,021</w:t>
            </w:r>
          </w:p>
        </w:tc>
        <w:tc>
          <w:tcPr>
            <w:tcW w:w="88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7,860</w:t>
            </w:r>
          </w:p>
        </w:tc>
        <w:tc>
          <w:tcPr>
            <w:tcW w:w="960" w:type="dxa"/>
            <w:vAlign w:val="bottom"/>
            <w:tcBorders>
              <w:top w:val="single" w:sz="8" w:color="0077C0"/>
            </w:tcBorders>
          </w:tcPr>
          <w:p>
            <w:pPr>
              <w:jc w:val="right"/>
              <w:ind w:right="289"/>
              <w:spacing w:after="0" w:line="92" w:lineRule="exact"/>
              <w:rPr>
                <w:sz w:val="20"/>
                <w:szCs w:val="20"/>
                <w:color w:val="auto"/>
              </w:rPr>
            </w:pPr>
            <w:r>
              <w:rPr>
                <w:rFonts w:ascii="Arial" w:cs="Arial" w:eastAsia="Arial" w:hAnsi="Arial"/>
                <w:sz w:val="10"/>
                <w:szCs w:val="10"/>
                <w:color w:val="auto"/>
              </w:rPr>
              <w:t>6,245</w:t>
            </w:r>
          </w:p>
        </w:tc>
        <w:tc>
          <w:tcPr>
            <w:tcW w:w="920" w:type="dxa"/>
            <w:vAlign w:val="bottom"/>
            <w:tcBorders>
              <w:top w:val="single" w:sz="8" w:color="0077C0"/>
            </w:tcBorders>
          </w:tcPr>
          <w:p>
            <w:pPr>
              <w:jc w:val="right"/>
              <w:ind w:right="290"/>
              <w:spacing w:after="0" w:line="92" w:lineRule="exact"/>
              <w:rPr>
                <w:sz w:val="20"/>
                <w:szCs w:val="20"/>
                <w:color w:val="auto"/>
              </w:rPr>
            </w:pPr>
            <w:r>
              <w:rPr>
                <w:rFonts w:ascii="Arial" w:cs="Arial" w:eastAsia="Arial" w:hAnsi="Arial"/>
                <w:sz w:val="10"/>
                <w:szCs w:val="10"/>
                <w:color w:val="auto"/>
              </w:rPr>
              <w:t>344</w:t>
            </w:r>
          </w:p>
        </w:tc>
        <w:tc>
          <w:tcPr>
            <w:tcW w:w="5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22,153</w:t>
            </w:r>
          </w:p>
        </w:tc>
        <w:tc>
          <w:tcPr>
            <w:tcW w:w="46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29"/>
              <w:spacing w:after="0" w:line="92" w:lineRule="exact"/>
              <w:rPr>
                <w:sz w:val="20"/>
                <w:szCs w:val="20"/>
                <w:color w:val="auto"/>
              </w:rPr>
            </w:pPr>
            <w:r>
              <w:rPr>
                <w:rFonts w:ascii="Arial" w:cs="Arial" w:eastAsia="Arial" w:hAnsi="Arial"/>
                <w:sz w:val="10"/>
                <w:szCs w:val="10"/>
                <w:color w:val="auto"/>
              </w:rPr>
              <w:t>2,833</w:t>
            </w:r>
          </w:p>
        </w:tc>
        <w:tc>
          <w:tcPr>
            <w:tcW w:w="1240" w:type="dxa"/>
            <w:vAlign w:val="bottom"/>
            <w:tcBorders>
              <w:top w:val="single" w:sz="8" w:color="0077C0"/>
            </w:tcBorders>
            <w:gridSpan w:val="2"/>
          </w:tcPr>
          <w:p>
            <w:pPr>
              <w:jc w:val="right"/>
              <w:ind w:right="440"/>
              <w:spacing w:after="0" w:line="92" w:lineRule="exact"/>
              <w:rPr>
                <w:sz w:val="20"/>
                <w:szCs w:val="20"/>
                <w:color w:val="auto"/>
              </w:rPr>
            </w:pPr>
            <w:r>
              <w:rPr>
                <w:rFonts w:ascii="Arial" w:cs="Arial" w:eastAsia="Arial" w:hAnsi="Arial"/>
                <w:sz w:val="10"/>
                <w:szCs w:val="10"/>
                <w:color w:val="auto"/>
              </w:rPr>
              <w:t>1,063</w:t>
            </w:r>
          </w:p>
        </w:tc>
        <w:tc>
          <w:tcPr>
            <w:tcW w:w="520" w:type="dxa"/>
            <w:vAlign w:val="bottom"/>
            <w:tcBorders>
              <w:top w:val="single" w:sz="8" w:color="0077C0"/>
            </w:tcBorders>
            <w:gridSpan w:val="2"/>
          </w:tcPr>
          <w:p>
            <w:pPr>
              <w:jc w:val="right"/>
              <w:ind w:right="20"/>
              <w:spacing w:after="0" w:line="92" w:lineRule="exact"/>
              <w:rPr>
                <w:sz w:val="20"/>
                <w:szCs w:val="20"/>
                <w:color w:val="auto"/>
              </w:rPr>
            </w:pPr>
            <w:r>
              <w:rPr>
                <w:rFonts w:ascii="Arial" w:cs="Arial" w:eastAsia="Arial" w:hAnsi="Arial"/>
                <w:sz w:val="10"/>
                <w:szCs w:val="10"/>
                <w:color w:val="auto"/>
              </w:rPr>
              <w:t>26,049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Revisions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220</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4</w:t>
            </w:r>
          </w:p>
        </w:tc>
        <w:tc>
          <w:tcPr>
            <w:tcW w:w="92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(20)</w:t>
            </w:r>
          </w:p>
        </w:tc>
        <w:tc>
          <w:tcPr>
            <w:tcW w:w="88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(31)</w:t>
            </w:r>
          </w:p>
        </w:tc>
        <w:tc>
          <w:tcPr>
            <w:tcW w:w="96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(22)</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46</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197</w:t>
            </w:r>
          </w:p>
        </w:tc>
        <w:tc>
          <w:tcPr>
            <w:tcW w:w="4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(324)</w:t>
            </w:r>
          </w:p>
        </w:tc>
        <w:tc>
          <w:tcPr>
            <w:tcW w:w="800" w:type="dxa"/>
            <w:vAlign w:val="bottom"/>
          </w:tcPr>
          <w:p>
            <w:pPr>
              <w:jc w:val="right"/>
              <w:spacing w:after="0" w:line="106" w:lineRule="exact"/>
              <w:rPr>
                <w:sz w:val="20"/>
                <w:szCs w:val="20"/>
                <w:color w:val="auto"/>
              </w:rPr>
            </w:pPr>
            <w:r>
              <w:rPr>
                <w:rFonts w:ascii="Arial" w:cs="Arial" w:eastAsia="Arial" w:hAnsi="Arial"/>
                <w:sz w:val="10"/>
                <w:szCs w:val="10"/>
                <w:color w:val="auto"/>
              </w:rPr>
              <w:t>56</w:t>
            </w:r>
          </w:p>
        </w:tc>
        <w:tc>
          <w:tcPr>
            <w:tcW w:w="440" w:type="dxa"/>
            <w:vAlign w:val="bottom"/>
          </w:tcPr>
          <w:p>
            <w:pPr>
              <w:spacing w:after="0"/>
              <w:rPr>
                <w:sz w:val="9"/>
                <w:szCs w:val="9"/>
                <w:color w:val="auto"/>
              </w:rPr>
            </w:pPr>
          </w:p>
        </w:tc>
        <w:tc>
          <w:tcPr>
            <w:tcW w:w="54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Improved recovery</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1</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1</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Extensions and discoveries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36</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4</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59</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11</w:t>
            </w:r>
          </w:p>
        </w:tc>
        <w:tc>
          <w:tcPr>
            <w:tcW w:w="1040" w:type="dxa"/>
            <w:vAlign w:val="bottom"/>
            <w:gridSpan w:val="2"/>
          </w:tcPr>
          <w:p>
            <w:pPr>
              <w:jc w:val="right"/>
              <w:ind w:right="460"/>
              <w:spacing w:after="0" w:line="106" w:lineRule="exact"/>
              <w:rPr>
                <w:sz w:val="20"/>
                <w:szCs w:val="20"/>
                <w:color w:val="auto"/>
              </w:rPr>
            </w:pPr>
            <w:r>
              <w:rPr>
                <w:rFonts w:ascii="Arial" w:cs="Arial" w:eastAsia="Arial" w:hAnsi="Arial"/>
                <w:sz w:val="10"/>
                <w:szCs w:val="10"/>
                <w:color w:val="auto"/>
              </w:rPr>
              <w:t>110</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Purchases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color w:val="auto"/>
              </w:rPr>
              <w:t>3</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4</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00" w:type="dxa"/>
            <w:vAlign w:val="bottom"/>
          </w:tcPr>
          <w:p>
            <w:pPr>
              <w:jc w:val="right"/>
              <w:spacing w:after="0" w:line="106" w:lineRule="exact"/>
              <w:rPr>
                <w:sz w:val="20"/>
                <w:szCs w:val="20"/>
                <w:color w:val="auto"/>
              </w:rPr>
            </w:pPr>
            <w:r>
              <w:rPr>
                <w:rFonts w:ascii="Arial" w:cs="Arial" w:eastAsia="Arial" w:hAnsi="Arial"/>
                <w:sz w:val="10"/>
                <w:szCs w:val="10"/>
                <w:color w:val="auto"/>
              </w:rPr>
              <w:t>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Sales</w:t>
            </w:r>
          </w:p>
        </w:tc>
        <w:tc>
          <w:tcPr>
            <w:tcW w:w="740" w:type="dxa"/>
            <w:vAlign w:val="bottom"/>
          </w:tcPr>
          <w:p>
            <w:pPr>
              <w:jc w:val="right"/>
              <w:ind w:right="189"/>
              <w:spacing w:after="0" w:line="106" w:lineRule="exact"/>
              <w:rPr>
                <w:sz w:val="20"/>
                <w:szCs w:val="20"/>
                <w:color w:val="auto"/>
              </w:rPr>
            </w:pPr>
            <w:r>
              <w:rPr>
                <w:rFonts w:ascii="Arial" w:cs="Arial" w:eastAsia="Arial" w:hAnsi="Arial"/>
                <w:sz w:val="10"/>
                <w:szCs w:val="10"/>
                <w:color w:val="auto"/>
              </w:rPr>
              <w:t>(7)</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20"/>
              <w:spacing w:after="0" w:line="106" w:lineRule="exact"/>
              <w:rPr>
                <w:sz w:val="20"/>
                <w:szCs w:val="20"/>
                <w:color w:val="auto"/>
              </w:rPr>
            </w:pPr>
            <w:r>
              <w:rPr>
                <w:rFonts w:ascii="Arial" w:cs="Arial" w:eastAsia="Arial" w:hAnsi="Arial"/>
                <w:sz w:val="10"/>
                <w:szCs w:val="10"/>
                <w:color w:val="auto"/>
              </w:rPr>
              <w:t>(7)</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ind w:left="120"/>
              <w:spacing w:after="0"/>
              <w:rPr>
                <w:sz w:val="20"/>
                <w:szCs w:val="20"/>
                <w:color w:val="auto"/>
              </w:rPr>
            </w:pPr>
            <w:r>
              <w:rPr>
                <w:rFonts w:ascii="Arial" w:cs="Arial" w:eastAsia="Arial" w:hAnsi="Arial"/>
                <w:sz w:val="10"/>
                <w:szCs w:val="10"/>
                <w:color w:val="auto"/>
              </w:rPr>
              <w:t>Production</w:t>
            </w:r>
            <w:r>
              <w:rPr>
                <w:rFonts w:ascii="Arial" w:cs="Arial" w:eastAsia="Arial" w:hAnsi="Arial"/>
                <w:sz w:val="8"/>
                <w:szCs w:val="8"/>
                <w:color w:val="auto"/>
              </w:rPr>
              <w:t>3</w:t>
            </w:r>
          </w:p>
        </w:tc>
        <w:tc>
          <w:tcPr>
            <w:tcW w:w="740" w:type="dxa"/>
            <w:vAlign w:val="bottom"/>
          </w:tcPr>
          <w:p>
            <w:pPr>
              <w:jc w:val="right"/>
              <w:ind w:right="189"/>
              <w:spacing w:after="0"/>
              <w:rPr>
                <w:sz w:val="20"/>
                <w:szCs w:val="20"/>
                <w:color w:val="auto"/>
              </w:rPr>
            </w:pPr>
            <w:r>
              <w:rPr>
                <w:rFonts w:ascii="Arial" w:cs="Arial" w:eastAsia="Arial" w:hAnsi="Arial"/>
                <w:sz w:val="10"/>
                <w:szCs w:val="10"/>
                <w:color w:val="auto"/>
              </w:rPr>
              <w:t>(479)</w:t>
            </w:r>
          </w:p>
        </w:tc>
        <w:tc>
          <w:tcPr>
            <w:tcW w:w="1000" w:type="dxa"/>
            <w:vAlign w:val="bottom"/>
          </w:tcPr>
          <w:p>
            <w:pPr>
              <w:jc w:val="right"/>
              <w:ind w:right="270"/>
              <w:spacing w:after="0"/>
              <w:rPr>
                <w:sz w:val="20"/>
                <w:szCs w:val="20"/>
                <w:color w:val="auto"/>
              </w:rPr>
            </w:pPr>
            <w:r>
              <w:rPr>
                <w:rFonts w:ascii="Arial" w:cs="Arial" w:eastAsia="Arial" w:hAnsi="Arial"/>
                <w:sz w:val="10"/>
                <w:szCs w:val="10"/>
                <w:color w:val="auto"/>
              </w:rPr>
              <w:t>(179)</w:t>
            </w:r>
          </w:p>
        </w:tc>
        <w:tc>
          <w:tcPr>
            <w:tcW w:w="920" w:type="dxa"/>
            <w:vAlign w:val="bottom"/>
          </w:tcPr>
          <w:p>
            <w:pPr>
              <w:jc w:val="right"/>
              <w:ind w:right="269"/>
              <w:spacing w:after="0"/>
              <w:rPr>
                <w:sz w:val="20"/>
                <w:szCs w:val="20"/>
                <w:color w:val="auto"/>
              </w:rPr>
            </w:pPr>
            <w:r>
              <w:rPr>
                <w:rFonts w:ascii="Arial" w:cs="Arial" w:eastAsia="Arial" w:hAnsi="Arial"/>
                <w:sz w:val="10"/>
                <w:szCs w:val="10"/>
                <w:color w:val="auto"/>
              </w:rPr>
              <w:t>(57)</w:t>
            </w:r>
          </w:p>
        </w:tc>
        <w:tc>
          <w:tcPr>
            <w:tcW w:w="880" w:type="dxa"/>
            <w:vAlign w:val="bottom"/>
          </w:tcPr>
          <w:p>
            <w:pPr>
              <w:jc w:val="right"/>
              <w:ind w:right="229"/>
              <w:spacing w:after="0"/>
              <w:rPr>
                <w:sz w:val="20"/>
                <w:szCs w:val="20"/>
                <w:color w:val="auto"/>
              </w:rPr>
            </w:pPr>
            <w:r>
              <w:rPr>
                <w:rFonts w:ascii="Arial" w:cs="Arial" w:eastAsia="Arial" w:hAnsi="Arial"/>
                <w:sz w:val="10"/>
                <w:szCs w:val="10"/>
                <w:color w:val="auto"/>
              </w:rPr>
              <w:t>(699)</w:t>
            </w:r>
          </w:p>
        </w:tc>
        <w:tc>
          <w:tcPr>
            <w:tcW w:w="960" w:type="dxa"/>
            <w:vAlign w:val="bottom"/>
          </w:tcPr>
          <w:p>
            <w:pPr>
              <w:jc w:val="right"/>
              <w:ind w:right="269"/>
              <w:spacing w:after="0"/>
              <w:rPr>
                <w:sz w:val="20"/>
                <w:szCs w:val="20"/>
                <w:color w:val="auto"/>
              </w:rPr>
            </w:pPr>
            <w:r>
              <w:rPr>
                <w:rFonts w:ascii="Arial" w:cs="Arial" w:eastAsia="Arial" w:hAnsi="Arial"/>
                <w:sz w:val="10"/>
                <w:szCs w:val="10"/>
                <w:color w:val="auto"/>
              </w:rPr>
              <w:t>(167)</w:t>
            </w:r>
          </w:p>
        </w:tc>
        <w:tc>
          <w:tcPr>
            <w:tcW w:w="920" w:type="dxa"/>
            <w:vAlign w:val="bottom"/>
          </w:tcPr>
          <w:p>
            <w:pPr>
              <w:jc w:val="right"/>
              <w:ind w:right="270"/>
              <w:spacing w:after="0"/>
              <w:rPr>
                <w:sz w:val="20"/>
                <w:szCs w:val="20"/>
                <w:color w:val="auto"/>
              </w:rPr>
            </w:pPr>
            <w:r>
              <w:rPr>
                <w:rFonts w:ascii="Arial" w:cs="Arial" w:eastAsia="Arial" w:hAnsi="Arial"/>
                <w:sz w:val="10"/>
                <w:szCs w:val="10"/>
                <w:color w:val="auto"/>
              </w:rPr>
              <w:t>(126)</w:t>
            </w:r>
          </w:p>
        </w:tc>
        <w:tc>
          <w:tcPr>
            <w:tcW w:w="1040" w:type="dxa"/>
            <w:vAlign w:val="bottom"/>
            <w:gridSpan w:val="2"/>
          </w:tcPr>
          <w:p>
            <w:pPr>
              <w:jc w:val="right"/>
              <w:ind w:right="420"/>
              <w:spacing w:after="0"/>
              <w:rPr>
                <w:sz w:val="20"/>
                <w:szCs w:val="20"/>
                <w:color w:val="auto"/>
              </w:rPr>
            </w:pPr>
            <w:r>
              <w:rPr>
                <w:rFonts w:ascii="Arial" w:cs="Arial" w:eastAsia="Arial" w:hAnsi="Arial"/>
                <w:sz w:val="10"/>
                <w:szCs w:val="10"/>
                <w:color w:val="auto"/>
              </w:rPr>
              <w:t>(1,707)</w:t>
            </w:r>
          </w:p>
        </w:tc>
        <w:tc>
          <w:tcPr>
            <w:tcW w:w="520" w:type="dxa"/>
            <w:vAlign w:val="bottom"/>
          </w:tcPr>
          <w:p>
            <w:pPr>
              <w:jc w:val="right"/>
              <w:spacing w:after="0"/>
              <w:rPr>
                <w:sz w:val="20"/>
                <w:szCs w:val="20"/>
                <w:color w:val="auto"/>
              </w:rPr>
            </w:pPr>
            <w:r>
              <w:rPr>
                <w:rFonts w:ascii="Arial" w:cs="Arial" w:eastAsia="Arial" w:hAnsi="Arial"/>
                <w:sz w:val="10"/>
                <w:szCs w:val="10"/>
                <w:color w:val="auto"/>
              </w:rPr>
              <w:t>(123)</w:t>
            </w:r>
          </w:p>
        </w:tc>
        <w:tc>
          <w:tcPr>
            <w:tcW w:w="1240" w:type="dxa"/>
            <w:vAlign w:val="bottom"/>
            <w:gridSpan w:val="2"/>
          </w:tcPr>
          <w:p>
            <w:pPr>
              <w:jc w:val="right"/>
              <w:ind w:right="400"/>
              <w:spacing w:after="0"/>
              <w:rPr>
                <w:sz w:val="20"/>
                <w:szCs w:val="20"/>
                <w:color w:val="auto"/>
              </w:rPr>
            </w:pPr>
            <w:r>
              <w:rPr>
                <w:rFonts w:ascii="Arial" w:cs="Arial" w:eastAsia="Arial" w:hAnsi="Arial"/>
                <w:sz w:val="10"/>
                <w:szCs w:val="10"/>
                <w:color w:val="auto"/>
              </w:rPr>
              <w:t>(9)</w:t>
            </w:r>
          </w:p>
        </w:tc>
        <w:tc>
          <w:tcPr>
            <w:tcW w:w="540" w:type="dxa"/>
            <w:vAlign w:val="bottom"/>
            <w:gridSpan w:val="3"/>
          </w:tcPr>
          <w:p>
            <w:pPr>
              <w:jc w:val="right"/>
              <w:spacing w:after="0"/>
              <w:rPr>
                <w:sz w:val="20"/>
                <w:szCs w:val="20"/>
                <w:color w:val="auto"/>
              </w:rPr>
            </w:pPr>
            <w:r>
              <w:rPr>
                <w:rFonts w:ascii="Arial" w:cs="Arial" w:eastAsia="Arial" w:hAnsi="Arial"/>
                <w:sz w:val="10"/>
                <w:szCs w:val="10"/>
                <w:color w:val="auto"/>
              </w:rPr>
              <w:t>(1,839)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Reserves at December 31, 2010</w:t>
            </w:r>
            <w:r>
              <w:rPr>
                <w:rFonts w:ascii="Arial" w:cs="Arial" w:eastAsia="Arial" w:hAnsi="Arial"/>
                <w:sz w:val="8"/>
                <w:szCs w:val="8"/>
                <w:b w:val="1"/>
                <w:bCs w:val="1"/>
                <w:color w:val="0077C0"/>
              </w:rPr>
              <w:t>4</w:t>
            </w:r>
          </w:p>
        </w:tc>
        <w:tc>
          <w:tcPr>
            <w:tcW w:w="740" w:type="dxa"/>
            <w:vAlign w:val="bottom"/>
            <w:tcBorders>
              <w:top w:val="single" w:sz="8" w:color="0077C0"/>
            </w:tcBorders>
          </w:tcPr>
          <w:p>
            <w:pPr>
              <w:jc w:val="right"/>
              <w:ind w:right="229"/>
              <w:spacing w:after="0" w:line="92" w:lineRule="exact"/>
              <w:rPr>
                <w:sz w:val="20"/>
                <w:szCs w:val="20"/>
                <w:color w:val="auto"/>
              </w:rPr>
            </w:pPr>
            <w:r>
              <w:rPr>
                <w:rFonts w:ascii="Arial" w:cs="Arial" w:eastAsia="Arial" w:hAnsi="Arial"/>
                <w:sz w:val="10"/>
                <w:szCs w:val="10"/>
                <w:color w:val="auto"/>
              </w:rPr>
              <w:t>2,472</w:t>
            </w:r>
          </w:p>
        </w:tc>
        <w:tc>
          <w:tcPr>
            <w:tcW w:w="1000" w:type="dxa"/>
            <w:vAlign w:val="bottom"/>
            <w:tcBorders>
              <w:top w:val="single" w:sz="8" w:color="0077C0"/>
            </w:tcBorders>
          </w:tcPr>
          <w:p>
            <w:pPr>
              <w:jc w:val="right"/>
              <w:ind w:right="310"/>
              <w:spacing w:after="0" w:line="92" w:lineRule="exact"/>
              <w:rPr>
                <w:sz w:val="20"/>
                <w:szCs w:val="20"/>
                <w:color w:val="auto"/>
              </w:rPr>
            </w:pPr>
            <w:r>
              <w:rPr>
                <w:rFonts w:ascii="Arial" w:cs="Arial" w:eastAsia="Arial" w:hAnsi="Arial"/>
                <w:sz w:val="10"/>
                <w:szCs w:val="10"/>
                <w:color w:val="auto"/>
              </w:rPr>
              <w:t>1,815</w:t>
            </w:r>
          </w:p>
        </w:tc>
        <w:tc>
          <w:tcPr>
            <w:tcW w:w="920" w:type="dxa"/>
            <w:vAlign w:val="bottom"/>
            <w:tcBorders>
              <w:top w:val="single" w:sz="8" w:color="0077C0"/>
            </w:tcBorders>
          </w:tcPr>
          <w:p>
            <w:pPr>
              <w:jc w:val="right"/>
              <w:ind w:right="309"/>
              <w:spacing w:after="0" w:line="92" w:lineRule="exact"/>
              <w:rPr>
                <w:sz w:val="20"/>
                <w:szCs w:val="20"/>
                <w:color w:val="auto"/>
              </w:rPr>
            </w:pPr>
            <w:r>
              <w:rPr>
                <w:rFonts w:ascii="Arial" w:cs="Arial" w:eastAsia="Arial" w:hAnsi="Arial"/>
                <w:sz w:val="10"/>
                <w:szCs w:val="10"/>
                <w:color w:val="auto"/>
              </w:rPr>
              <w:t>2,944</w:t>
            </w:r>
          </w:p>
        </w:tc>
        <w:tc>
          <w:tcPr>
            <w:tcW w:w="880" w:type="dxa"/>
            <w:vAlign w:val="bottom"/>
            <w:tcBorders>
              <w:top w:val="single" w:sz="8" w:color="0077C0"/>
            </w:tcBorders>
          </w:tcPr>
          <w:p>
            <w:pPr>
              <w:jc w:val="right"/>
              <w:ind w:right="269"/>
              <w:spacing w:after="0" w:line="92" w:lineRule="exact"/>
              <w:rPr>
                <w:sz w:val="20"/>
                <w:szCs w:val="20"/>
                <w:color w:val="auto"/>
              </w:rPr>
            </w:pPr>
            <w:r>
              <w:rPr>
                <w:rFonts w:ascii="Arial" w:cs="Arial" w:eastAsia="Arial" w:hAnsi="Arial"/>
                <w:sz w:val="10"/>
                <w:szCs w:val="10"/>
                <w:color w:val="auto"/>
              </w:rPr>
              <w:t>7,193</w:t>
            </w:r>
          </w:p>
        </w:tc>
        <w:tc>
          <w:tcPr>
            <w:tcW w:w="960" w:type="dxa"/>
            <w:vAlign w:val="bottom"/>
            <w:tcBorders>
              <w:top w:val="single" w:sz="8" w:color="0077C0"/>
            </w:tcBorders>
          </w:tcPr>
          <w:p>
            <w:pPr>
              <w:jc w:val="right"/>
              <w:ind w:right="289"/>
              <w:spacing w:after="0" w:line="92" w:lineRule="exact"/>
              <w:rPr>
                <w:sz w:val="20"/>
                <w:szCs w:val="20"/>
                <w:color w:val="auto"/>
              </w:rPr>
            </w:pPr>
            <w:r>
              <w:rPr>
                <w:rFonts w:ascii="Arial" w:cs="Arial" w:eastAsia="Arial" w:hAnsi="Arial"/>
                <w:sz w:val="10"/>
                <w:szCs w:val="10"/>
                <w:color w:val="auto"/>
              </w:rPr>
              <w:t>6,056</w:t>
            </w:r>
          </w:p>
        </w:tc>
        <w:tc>
          <w:tcPr>
            <w:tcW w:w="920" w:type="dxa"/>
            <w:vAlign w:val="bottom"/>
            <w:tcBorders>
              <w:top w:val="single" w:sz="8" w:color="0077C0"/>
            </w:tcBorders>
          </w:tcPr>
          <w:p>
            <w:pPr>
              <w:jc w:val="right"/>
              <w:ind w:right="290"/>
              <w:spacing w:after="0" w:line="92" w:lineRule="exact"/>
              <w:rPr>
                <w:sz w:val="20"/>
                <w:szCs w:val="20"/>
                <w:color w:val="auto"/>
              </w:rPr>
            </w:pPr>
            <w:r>
              <w:rPr>
                <w:rFonts w:ascii="Arial" w:cs="Arial" w:eastAsia="Arial" w:hAnsi="Arial"/>
                <w:sz w:val="10"/>
                <w:szCs w:val="10"/>
                <w:color w:val="auto"/>
              </w:rPr>
              <w:t>275</w:t>
            </w:r>
          </w:p>
        </w:tc>
        <w:tc>
          <w:tcPr>
            <w:tcW w:w="5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20,755</w:t>
            </w:r>
          </w:p>
        </w:tc>
        <w:tc>
          <w:tcPr>
            <w:tcW w:w="46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tcPr>
          <w:p>
            <w:pPr>
              <w:jc w:val="right"/>
              <w:ind w:right="29"/>
              <w:spacing w:after="0" w:line="92" w:lineRule="exact"/>
              <w:rPr>
                <w:sz w:val="20"/>
                <w:szCs w:val="20"/>
                <w:color w:val="auto"/>
              </w:rPr>
            </w:pPr>
            <w:r>
              <w:rPr>
                <w:rFonts w:ascii="Arial" w:cs="Arial" w:eastAsia="Arial" w:hAnsi="Arial"/>
                <w:sz w:val="10"/>
                <w:szCs w:val="10"/>
                <w:color w:val="auto"/>
              </w:rPr>
              <w:t>2,386</w:t>
            </w:r>
          </w:p>
        </w:tc>
        <w:tc>
          <w:tcPr>
            <w:tcW w:w="80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1,110</w:t>
            </w:r>
          </w:p>
        </w:tc>
        <w:tc>
          <w:tcPr>
            <w:tcW w:w="440" w:type="dxa"/>
            <w:vAlign w:val="bottom"/>
            <w:tcBorders>
              <w:top w:val="single" w:sz="8" w:color="0077C0"/>
            </w:tcBorders>
          </w:tcPr>
          <w:p>
            <w:pPr>
              <w:spacing w:after="0"/>
              <w:rPr>
                <w:sz w:val="8"/>
                <w:szCs w:val="8"/>
                <w:color w:val="auto"/>
              </w:rPr>
            </w:pPr>
          </w:p>
        </w:tc>
        <w:tc>
          <w:tcPr>
            <w:tcW w:w="520" w:type="dxa"/>
            <w:vAlign w:val="bottom"/>
            <w:tcBorders>
              <w:top w:val="single" w:sz="8" w:color="0077C0"/>
            </w:tcBorders>
            <w:gridSpan w:val="2"/>
          </w:tcPr>
          <w:p>
            <w:pPr>
              <w:jc w:val="right"/>
              <w:ind w:right="20"/>
              <w:spacing w:after="0" w:line="92" w:lineRule="exact"/>
              <w:rPr>
                <w:sz w:val="20"/>
                <w:szCs w:val="20"/>
                <w:color w:val="auto"/>
              </w:rPr>
            </w:pPr>
            <w:r>
              <w:rPr>
                <w:rFonts w:ascii="Arial" w:cs="Arial" w:eastAsia="Arial" w:hAnsi="Arial"/>
                <w:sz w:val="10"/>
                <w:szCs w:val="10"/>
                <w:color w:val="auto"/>
              </w:rPr>
              <w:t>24,251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640" w:type="dxa"/>
            <w:vAlign w:val="bottom"/>
            <w:gridSpan w:val="2"/>
          </w:tcPr>
          <w:p>
            <w:pPr>
              <w:spacing w:after="0" w:line="106" w:lineRule="exact"/>
              <w:rPr>
                <w:sz w:val="20"/>
                <w:szCs w:val="20"/>
                <w:color w:val="auto"/>
              </w:rPr>
            </w:pPr>
            <w:r>
              <w:rPr>
                <w:rFonts w:ascii="Arial" w:cs="Arial" w:eastAsia="Arial" w:hAnsi="Arial"/>
                <w:sz w:val="10"/>
                <w:szCs w:val="10"/>
                <w:color w:val="auto"/>
              </w:rPr>
              <w:t>Changes attributable to:</w:t>
            </w:r>
          </w:p>
        </w:tc>
        <w:tc>
          <w:tcPr>
            <w:tcW w:w="740" w:type="dxa"/>
            <w:vAlign w:val="bottom"/>
            <w:vMerge w:val="restart"/>
          </w:tcPr>
          <w:p>
            <w:pPr>
              <w:jc w:val="right"/>
              <w:ind w:right="229"/>
              <w:spacing w:after="0"/>
              <w:rPr>
                <w:sz w:val="20"/>
                <w:szCs w:val="20"/>
                <w:color w:val="auto"/>
              </w:rPr>
            </w:pPr>
            <w:r>
              <w:rPr>
                <w:rFonts w:ascii="Arial" w:cs="Arial" w:eastAsia="Arial" w:hAnsi="Arial"/>
                <w:sz w:val="10"/>
                <w:szCs w:val="10"/>
                <w:b w:val="1"/>
                <w:bCs w:val="1"/>
                <w:color w:val="auto"/>
              </w:rPr>
              <w:t>217</w:t>
            </w:r>
          </w:p>
        </w:tc>
        <w:tc>
          <w:tcPr>
            <w:tcW w:w="1000" w:type="dxa"/>
            <w:vAlign w:val="bottom"/>
            <w:vMerge w:val="restart"/>
          </w:tcPr>
          <w:p>
            <w:pPr>
              <w:jc w:val="right"/>
              <w:ind w:right="270"/>
              <w:spacing w:after="0"/>
              <w:rPr>
                <w:sz w:val="20"/>
                <w:szCs w:val="20"/>
                <w:color w:val="auto"/>
              </w:rPr>
            </w:pPr>
            <w:r>
              <w:rPr>
                <w:rFonts w:ascii="Arial" w:cs="Arial" w:eastAsia="Arial" w:hAnsi="Arial"/>
                <w:sz w:val="10"/>
                <w:szCs w:val="10"/>
                <w:b w:val="1"/>
                <w:bCs w:val="1"/>
                <w:color w:val="auto"/>
              </w:rPr>
              <w:t>(4)</w:t>
            </w:r>
          </w:p>
        </w:tc>
        <w:tc>
          <w:tcPr>
            <w:tcW w:w="920" w:type="dxa"/>
            <w:vAlign w:val="bottom"/>
            <w:vMerge w:val="restart"/>
          </w:tcPr>
          <w:p>
            <w:pPr>
              <w:jc w:val="right"/>
              <w:ind w:right="309"/>
              <w:spacing w:after="0"/>
              <w:rPr>
                <w:sz w:val="20"/>
                <w:szCs w:val="20"/>
                <w:color w:val="auto"/>
              </w:rPr>
            </w:pPr>
            <w:r>
              <w:rPr>
                <w:rFonts w:ascii="Arial" w:cs="Arial" w:eastAsia="Arial" w:hAnsi="Arial"/>
                <w:sz w:val="10"/>
                <w:szCs w:val="10"/>
                <w:b w:val="1"/>
                <w:bCs w:val="1"/>
                <w:color w:val="auto"/>
              </w:rPr>
              <w:t>39</w:t>
            </w:r>
          </w:p>
        </w:tc>
        <w:tc>
          <w:tcPr>
            <w:tcW w:w="880" w:type="dxa"/>
            <w:vAlign w:val="bottom"/>
            <w:vMerge w:val="restart"/>
          </w:tcPr>
          <w:p>
            <w:pPr>
              <w:jc w:val="right"/>
              <w:ind w:right="269"/>
              <w:spacing w:after="0"/>
              <w:rPr>
                <w:sz w:val="20"/>
                <w:szCs w:val="20"/>
                <w:color w:val="auto"/>
              </w:rPr>
            </w:pPr>
            <w:r>
              <w:rPr>
                <w:rFonts w:ascii="Arial" w:cs="Arial" w:eastAsia="Arial" w:hAnsi="Arial"/>
                <w:sz w:val="10"/>
                <w:szCs w:val="10"/>
                <w:b w:val="1"/>
                <w:bCs w:val="1"/>
                <w:color w:val="auto"/>
              </w:rPr>
              <w:t>196</w:t>
            </w:r>
          </w:p>
        </w:tc>
        <w:tc>
          <w:tcPr>
            <w:tcW w:w="960" w:type="dxa"/>
            <w:vAlign w:val="bottom"/>
            <w:vMerge w:val="restart"/>
          </w:tcPr>
          <w:p>
            <w:pPr>
              <w:jc w:val="right"/>
              <w:ind w:right="269"/>
              <w:spacing w:after="0"/>
              <w:rPr>
                <w:sz w:val="20"/>
                <w:szCs w:val="20"/>
                <w:color w:val="auto"/>
              </w:rPr>
            </w:pPr>
            <w:r>
              <w:rPr>
                <w:rFonts w:ascii="Arial" w:cs="Arial" w:eastAsia="Arial" w:hAnsi="Arial"/>
                <w:sz w:val="10"/>
                <w:szCs w:val="10"/>
                <w:b w:val="1"/>
                <w:bCs w:val="1"/>
                <w:color w:val="auto"/>
              </w:rPr>
              <w:t>(107)</w:t>
            </w:r>
          </w:p>
        </w:tc>
        <w:tc>
          <w:tcPr>
            <w:tcW w:w="920" w:type="dxa"/>
            <w:vAlign w:val="bottom"/>
            <w:vMerge w:val="restart"/>
          </w:tcPr>
          <w:p>
            <w:pPr>
              <w:jc w:val="right"/>
              <w:ind w:right="290"/>
              <w:spacing w:after="0"/>
              <w:rPr>
                <w:sz w:val="20"/>
                <w:szCs w:val="20"/>
                <w:color w:val="auto"/>
              </w:rPr>
            </w:pPr>
            <w:r>
              <w:rPr>
                <w:rFonts w:ascii="Arial" w:cs="Arial" w:eastAsia="Arial" w:hAnsi="Arial"/>
                <w:sz w:val="10"/>
                <w:szCs w:val="10"/>
                <w:b w:val="1"/>
                <w:bCs w:val="1"/>
                <w:color w:val="auto"/>
              </w:rPr>
              <w:t>74</w:t>
            </w:r>
          </w:p>
        </w:tc>
        <w:tc>
          <w:tcPr>
            <w:tcW w:w="5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415</w:t>
            </w:r>
          </w:p>
        </w:tc>
        <w:tc>
          <w:tcPr>
            <w:tcW w:w="4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(21)</w:t>
            </w: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103</w:t>
            </w:r>
          </w:p>
        </w:tc>
        <w:tc>
          <w:tcPr>
            <w:tcW w:w="4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497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20" w:type="dxa"/>
            <w:vAlign w:val="bottom"/>
          </w:tcPr>
          <w:p>
            <w:pPr>
              <w:ind w:left="120"/>
              <w:spacing w:after="0" w:line="104" w:lineRule="exact"/>
              <w:rPr>
                <w:sz w:val="20"/>
                <w:szCs w:val="20"/>
                <w:color w:val="auto"/>
              </w:rPr>
            </w:pPr>
            <w:r>
              <w:rPr>
                <w:rFonts w:ascii="Arial" w:cs="Arial" w:eastAsia="Arial" w:hAnsi="Arial"/>
                <w:sz w:val="10"/>
                <w:szCs w:val="10"/>
                <w:color w:val="auto"/>
              </w:rPr>
              <w:t>Revisions</w:t>
            </w:r>
          </w:p>
        </w:tc>
        <w:tc>
          <w:tcPr>
            <w:tcW w:w="7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Improved recovery</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b w:val="1"/>
                <w:bCs w:val="1"/>
                <w:color w:val="auto"/>
              </w:rPr>
              <w:t>–</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1</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Extensions and discoveries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b w:val="1"/>
                <w:bCs w:val="1"/>
                <w:color w:val="auto"/>
              </w:rPr>
              <w:t>287</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13</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290</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46</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4,035</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9</w:t>
            </w:r>
          </w:p>
        </w:tc>
        <w:tc>
          <w:tcPr>
            <w:tcW w:w="5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4,680</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b w:val="1"/>
                <w:bCs w:val="1"/>
                <w:color w:val="auto"/>
              </w:rPr>
              <w:t>–</w:t>
            </w: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4,680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Purchases</w:t>
            </w:r>
          </w:p>
        </w:tc>
        <w:tc>
          <w:tcPr>
            <w:tcW w:w="740" w:type="dxa"/>
            <w:vAlign w:val="bottom"/>
          </w:tcPr>
          <w:p>
            <w:pPr>
              <w:jc w:val="right"/>
              <w:ind w:right="229"/>
              <w:spacing w:after="0" w:line="106" w:lineRule="exact"/>
              <w:rPr>
                <w:sz w:val="20"/>
                <w:szCs w:val="20"/>
                <w:color w:val="auto"/>
              </w:rPr>
            </w:pPr>
            <w:r>
              <w:rPr>
                <w:rFonts w:ascii="Arial" w:cs="Arial" w:eastAsia="Arial" w:hAnsi="Arial"/>
                <w:sz w:val="10"/>
                <w:szCs w:val="10"/>
                <w:b w:val="1"/>
                <w:bCs w:val="1"/>
                <w:color w:val="auto"/>
              </w:rPr>
              <w:t>1,231</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2</w:t>
            </w:r>
          </w:p>
        </w:tc>
        <w:tc>
          <w:tcPr>
            <w:tcW w:w="960" w:type="dxa"/>
            <w:vAlign w:val="bottom"/>
          </w:tcPr>
          <w:p>
            <w:pPr>
              <w:jc w:val="right"/>
              <w:ind w:right="289"/>
              <w:spacing w:after="0" w:line="106" w:lineRule="exact"/>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w:t>
            </w:r>
          </w:p>
        </w:tc>
        <w:tc>
          <w:tcPr>
            <w:tcW w:w="58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1,233</w:t>
            </w:r>
          </w:p>
        </w:tc>
        <w:tc>
          <w:tcPr>
            <w:tcW w:w="460" w:type="dxa"/>
            <w:vAlign w:val="bottom"/>
          </w:tcPr>
          <w:p>
            <w:pPr>
              <w:spacing w:after="0"/>
              <w:rPr>
                <w:sz w:val="9"/>
                <w:szCs w:val="9"/>
                <w:color w:val="auto"/>
              </w:rPr>
            </w:pP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b w:val="1"/>
                <w:bCs w:val="1"/>
                <w:color w:val="auto"/>
              </w:rPr>
              <w:t>–</w:t>
            </w:r>
          </w:p>
        </w:tc>
        <w:tc>
          <w:tcPr>
            <w:tcW w:w="52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1,233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ind w:left="120"/>
              <w:spacing w:after="0" w:line="106" w:lineRule="exact"/>
              <w:rPr>
                <w:sz w:val="20"/>
                <w:szCs w:val="20"/>
                <w:color w:val="auto"/>
              </w:rPr>
            </w:pPr>
            <w:r>
              <w:rPr>
                <w:rFonts w:ascii="Arial" w:cs="Arial" w:eastAsia="Arial" w:hAnsi="Arial"/>
                <w:sz w:val="10"/>
                <w:szCs w:val="10"/>
                <w:color w:val="auto"/>
              </w:rPr>
              <w:t>Sales</w:t>
            </w:r>
          </w:p>
        </w:tc>
        <w:tc>
          <w:tcPr>
            <w:tcW w:w="740" w:type="dxa"/>
            <w:vAlign w:val="bottom"/>
          </w:tcPr>
          <w:p>
            <w:pPr>
              <w:jc w:val="right"/>
              <w:ind w:right="189"/>
              <w:spacing w:after="0" w:line="106" w:lineRule="exact"/>
              <w:rPr>
                <w:sz w:val="20"/>
                <w:szCs w:val="20"/>
                <w:color w:val="auto"/>
              </w:rPr>
            </w:pPr>
            <w:r>
              <w:rPr>
                <w:rFonts w:ascii="Arial" w:cs="Arial" w:eastAsia="Arial" w:hAnsi="Arial"/>
                <w:sz w:val="10"/>
                <w:szCs w:val="10"/>
                <w:b w:val="1"/>
                <w:bCs w:val="1"/>
                <w:color w:val="auto"/>
              </w:rPr>
              <w:t>(95)</w:t>
            </w:r>
          </w:p>
        </w:tc>
        <w:tc>
          <w:tcPr>
            <w:tcW w:w="1000" w:type="dxa"/>
            <w:vAlign w:val="bottom"/>
          </w:tcPr>
          <w:p>
            <w:pPr>
              <w:jc w:val="right"/>
              <w:ind w:right="310"/>
              <w:spacing w:after="0" w:line="106" w:lineRule="exact"/>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309"/>
              <w:spacing w:after="0" w:line="106" w:lineRule="exact"/>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229"/>
              <w:spacing w:after="0" w:line="106" w:lineRule="exact"/>
              <w:rPr>
                <w:sz w:val="20"/>
                <w:szCs w:val="20"/>
                <w:color w:val="auto"/>
              </w:rPr>
            </w:pPr>
            <w:r>
              <w:rPr>
                <w:rFonts w:ascii="Arial" w:cs="Arial" w:eastAsia="Arial" w:hAnsi="Arial"/>
                <w:sz w:val="10"/>
                <w:szCs w:val="10"/>
                <w:b w:val="1"/>
                <w:bCs w:val="1"/>
                <w:color w:val="auto"/>
              </w:rPr>
              <w:t>(2)</w:t>
            </w:r>
          </w:p>
        </w:tc>
        <w:tc>
          <w:tcPr>
            <w:tcW w:w="960" w:type="dxa"/>
            <w:vAlign w:val="bottom"/>
          </w:tcPr>
          <w:p>
            <w:pPr>
              <w:jc w:val="right"/>
              <w:ind w:right="269"/>
              <w:spacing w:after="0" w:line="106" w:lineRule="exact"/>
              <w:rPr>
                <w:sz w:val="20"/>
                <w:szCs w:val="20"/>
                <w:color w:val="auto"/>
              </w:rPr>
            </w:pPr>
            <w:r>
              <w:rPr>
                <w:rFonts w:ascii="Arial" w:cs="Arial" w:eastAsia="Arial" w:hAnsi="Arial"/>
                <w:sz w:val="10"/>
                <w:szCs w:val="10"/>
                <w:b w:val="1"/>
                <w:bCs w:val="1"/>
                <w:color w:val="auto"/>
              </w:rPr>
              <w:t>(77)</w:t>
            </w:r>
          </w:p>
        </w:tc>
        <w:tc>
          <w:tcPr>
            <w:tcW w:w="920" w:type="dxa"/>
            <w:vAlign w:val="bottom"/>
          </w:tcPr>
          <w:p>
            <w:pPr>
              <w:jc w:val="right"/>
              <w:ind w:right="290"/>
              <w:spacing w:after="0" w:line="106" w:lineRule="exact"/>
              <w:rPr>
                <w:sz w:val="20"/>
                <w:szCs w:val="20"/>
                <w:color w:val="auto"/>
              </w:rPr>
            </w:pPr>
            <w:r>
              <w:rPr>
                <w:rFonts w:ascii="Arial" w:cs="Arial" w:eastAsia="Arial" w:hAnsi="Arial"/>
                <w:sz w:val="10"/>
                <w:szCs w:val="10"/>
                <w:b w:val="1"/>
                <w:bCs w:val="1"/>
                <w:color w:val="auto"/>
              </w:rPr>
              <w:t>–</w:t>
            </w:r>
          </w:p>
        </w:tc>
        <w:tc>
          <w:tcPr>
            <w:tcW w:w="1040" w:type="dxa"/>
            <w:vAlign w:val="bottom"/>
            <w:gridSpan w:val="2"/>
          </w:tcPr>
          <w:p>
            <w:pPr>
              <w:jc w:val="right"/>
              <w:ind w:right="420"/>
              <w:spacing w:after="0" w:line="106" w:lineRule="exact"/>
              <w:rPr>
                <w:sz w:val="20"/>
                <w:szCs w:val="20"/>
                <w:color w:val="auto"/>
              </w:rPr>
            </w:pPr>
            <w:r>
              <w:rPr>
                <w:rFonts w:ascii="Arial" w:cs="Arial" w:eastAsia="Arial" w:hAnsi="Arial"/>
                <w:sz w:val="10"/>
                <w:szCs w:val="10"/>
                <w:b w:val="1"/>
                <w:bCs w:val="1"/>
                <w:color w:val="auto"/>
              </w:rPr>
              <w:t>(174)</w:t>
            </w:r>
          </w:p>
        </w:tc>
        <w:tc>
          <w:tcPr>
            <w:tcW w:w="520" w:type="dxa"/>
            <w:vAlign w:val="bottom"/>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right"/>
              <w:ind w:right="440"/>
              <w:spacing w:after="0" w:line="106" w:lineRule="exact"/>
              <w:rPr>
                <w:sz w:val="20"/>
                <w:szCs w:val="20"/>
                <w:color w:val="auto"/>
              </w:rPr>
            </w:pPr>
            <w:r>
              <w:rPr>
                <w:rFonts w:ascii="Arial" w:cs="Arial" w:eastAsia="Arial" w:hAnsi="Arial"/>
                <w:sz w:val="10"/>
                <w:szCs w:val="10"/>
                <w:b w:val="1"/>
                <w:bCs w:val="1"/>
                <w:color w:val="auto"/>
              </w:rPr>
              <w:t>–</w:t>
            </w:r>
          </w:p>
        </w:tc>
        <w:tc>
          <w:tcPr>
            <w:tcW w:w="540" w:type="dxa"/>
            <w:vAlign w:val="bottom"/>
            <w:gridSpan w:val="3"/>
          </w:tcPr>
          <w:p>
            <w:pPr>
              <w:jc w:val="right"/>
              <w:spacing w:after="0" w:line="106" w:lineRule="exact"/>
              <w:rPr>
                <w:sz w:val="20"/>
                <w:szCs w:val="20"/>
                <w:color w:val="auto"/>
              </w:rPr>
            </w:pPr>
            <w:r>
              <w:rPr>
                <w:rFonts w:ascii="Arial" w:cs="Arial" w:eastAsia="Arial" w:hAnsi="Arial"/>
                <w:sz w:val="10"/>
                <w:szCs w:val="10"/>
                <w:b w:val="1"/>
                <w:bCs w:val="1"/>
                <w:color w:val="auto"/>
              </w:rPr>
              <w:t>(174)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ind w:left="120"/>
              <w:spacing w:after="0"/>
              <w:rPr>
                <w:sz w:val="20"/>
                <w:szCs w:val="20"/>
                <w:color w:val="auto"/>
              </w:rPr>
            </w:pPr>
            <w:r>
              <w:rPr>
                <w:rFonts w:ascii="Arial" w:cs="Arial" w:eastAsia="Arial" w:hAnsi="Arial"/>
                <w:sz w:val="10"/>
                <w:szCs w:val="10"/>
                <w:color w:val="auto"/>
              </w:rPr>
              <w:t>Production</w:t>
            </w:r>
            <w:r>
              <w:rPr>
                <w:rFonts w:ascii="Arial" w:cs="Arial" w:eastAsia="Arial" w:hAnsi="Arial"/>
                <w:sz w:val="8"/>
                <w:szCs w:val="8"/>
                <w:color w:val="auto"/>
              </w:rPr>
              <w:t>3</w:t>
            </w:r>
          </w:p>
        </w:tc>
        <w:tc>
          <w:tcPr>
            <w:tcW w:w="740" w:type="dxa"/>
            <w:vAlign w:val="bottom"/>
          </w:tcPr>
          <w:p>
            <w:pPr>
              <w:jc w:val="right"/>
              <w:ind w:right="189"/>
              <w:spacing w:after="0"/>
              <w:rPr>
                <w:sz w:val="20"/>
                <w:szCs w:val="20"/>
                <w:color w:val="auto"/>
              </w:rPr>
            </w:pPr>
            <w:r>
              <w:rPr>
                <w:rFonts w:ascii="Arial" w:cs="Arial" w:eastAsia="Arial" w:hAnsi="Arial"/>
                <w:sz w:val="10"/>
                <w:szCs w:val="10"/>
                <w:b w:val="1"/>
                <w:bCs w:val="1"/>
                <w:color w:val="auto"/>
              </w:rPr>
              <w:t>(466)</w:t>
            </w:r>
          </w:p>
        </w:tc>
        <w:tc>
          <w:tcPr>
            <w:tcW w:w="1000" w:type="dxa"/>
            <w:vAlign w:val="bottom"/>
          </w:tcPr>
          <w:p>
            <w:pPr>
              <w:jc w:val="right"/>
              <w:ind w:right="270"/>
              <w:spacing w:after="0"/>
              <w:rPr>
                <w:sz w:val="20"/>
                <w:szCs w:val="20"/>
                <w:color w:val="auto"/>
              </w:rPr>
            </w:pPr>
            <w:r>
              <w:rPr>
                <w:rFonts w:ascii="Arial" w:cs="Arial" w:eastAsia="Arial" w:hAnsi="Arial"/>
                <w:sz w:val="10"/>
                <w:szCs w:val="10"/>
                <w:b w:val="1"/>
                <w:bCs w:val="1"/>
                <w:color w:val="auto"/>
              </w:rPr>
              <w:t>(161)</w:t>
            </w:r>
          </w:p>
        </w:tc>
        <w:tc>
          <w:tcPr>
            <w:tcW w:w="920" w:type="dxa"/>
            <w:vAlign w:val="bottom"/>
          </w:tcPr>
          <w:p>
            <w:pPr>
              <w:jc w:val="right"/>
              <w:ind w:right="269"/>
              <w:spacing w:after="0"/>
              <w:rPr>
                <w:sz w:val="20"/>
                <w:szCs w:val="20"/>
                <w:color w:val="auto"/>
              </w:rPr>
            </w:pPr>
            <w:r>
              <w:rPr>
                <w:rFonts w:ascii="Arial" w:cs="Arial" w:eastAsia="Arial" w:hAnsi="Arial"/>
                <w:sz w:val="10"/>
                <w:szCs w:val="10"/>
                <w:b w:val="1"/>
                <w:bCs w:val="1"/>
                <w:color w:val="auto"/>
              </w:rPr>
              <w:t>(77)</w:t>
            </w:r>
          </w:p>
        </w:tc>
        <w:tc>
          <w:tcPr>
            <w:tcW w:w="880" w:type="dxa"/>
            <w:vAlign w:val="bottom"/>
          </w:tcPr>
          <w:p>
            <w:pPr>
              <w:jc w:val="right"/>
              <w:ind w:right="229"/>
              <w:spacing w:after="0"/>
              <w:rPr>
                <w:sz w:val="20"/>
                <w:szCs w:val="20"/>
                <w:color w:val="auto"/>
              </w:rPr>
            </w:pPr>
            <w:r>
              <w:rPr>
                <w:rFonts w:ascii="Arial" w:cs="Arial" w:eastAsia="Arial" w:hAnsi="Arial"/>
                <w:sz w:val="10"/>
                <w:szCs w:val="10"/>
                <w:b w:val="1"/>
                <w:bCs w:val="1"/>
                <w:color w:val="auto"/>
              </w:rPr>
              <w:t>(714)</w:t>
            </w:r>
          </w:p>
        </w:tc>
        <w:tc>
          <w:tcPr>
            <w:tcW w:w="960" w:type="dxa"/>
            <w:vAlign w:val="bottom"/>
          </w:tcPr>
          <w:p>
            <w:pPr>
              <w:jc w:val="right"/>
              <w:ind w:right="269"/>
              <w:spacing w:after="0"/>
              <w:rPr>
                <w:sz w:val="20"/>
                <w:szCs w:val="20"/>
                <w:color w:val="auto"/>
              </w:rPr>
            </w:pPr>
            <w:r>
              <w:rPr>
                <w:rFonts w:ascii="Arial" w:cs="Arial" w:eastAsia="Arial" w:hAnsi="Arial"/>
                <w:sz w:val="10"/>
                <w:szCs w:val="10"/>
                <w:b w:val="1"/>
                <w:bCs w:val="1"/>
                <w:color w:val="auto"/>
              </w:rPr>
              <w:t>(163)</w:t>
            </w:r>
          </w:p>
        </w:tc>
        <w:tc>
          <w:tcPr>
            <w:tcW w:w="920" w:type="dxa"/>
            <w:vAlign w:val="bottom"/>
          </w:tcPr>
          <w:p>
            <w:pPr>
              <w:jc w:val="right"/>
              <w:ind w:right="270"/>
              <w:spacing w:after="0"/>
              <w:rPr>
                <w:sz w:val="20"/>
                <w:szCs w:val="20"/>
                <w:color w:val="auto"/>
              </w:rPr>
            </w:pPr>
            <w:r>
              <w:rPr>
                <w:rFonts w:ascii="Arial" w:cs="Arial" w:eastAsia="Arial" w:hAnsi="Arial"/>
                <w:sz w:val="10"/>
                <w:szCs w:val="10"/>
                <w:b w:val="1"/>
                <w:bCs w:val="1"/>
                <w:color w:val="auto"/>
              </w:rPr>
              <w:t>(100)</w:t>
            </w:r>
          </w:p>
        </w:tc>
        <w:tc>
          <w:tcPr>
            <w:tcW w:w="10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(1,681)</w:t>
            </w: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(114)</w:t>
            </w:r>
          </w:p>
        </w:tc>
        <w:tc>
          <w:tcPr>
            <w:tcW w:w="12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(10)</w:t>
            </w:r>
          </w:p>
        </w:tc>
        <w:tc>
          <w:tcPr>
            <w:tcW w:w="540" w:type="dxa"/>
            <w:vAlign w:val="bottom"/>
            <w:gridSpan w:val="3"/>
          </w:tcPr>
          <w:p>
            <w:pPr>
              <w:jc w:val="right"/>
              <w:spacing w:after="0"/>
              <w:rPr>
                <w:sz w:val="20"/>
                <w:szCs w:val="20"/>
                <w:color w:val="auto"/>
              </w:rPr>
            </w:pPr>
            <w:r>
              <w:rPr>
                <w:rFonts w:ascii="Arial" w:cs="Arial" w:eastAsia="Arial" w:hAnsi="Arial"/>
                <w:sz w:val="10"/>
                <w:szCs w:val="10"/>
                <w:b w:val="1"/>
                <w:bCs w:val="1"/>
                <w:color w:val="auto"/>
              </w:rPr>
              <w:t>(1,805)</w:t>
            </w:r>
          </w:p>
        </w:tc>
        <w:tc>
          <w:tcPr>
            <w:tcW w:w="0" w:type="dxa"/>
            <w:vAlign w:val="bottom"/>
          </w:tcPr>
          <w:p>
            <w:pPr>
              <w:spacing w:after="0"/>
              <w:rPr>
                <w:sz w:val="1"/>
                <w:szCs w:val="1"/>
                <w:color w:val="auto"/>
              </w:rPr>
            </w:pPr>
          </w:p>
        </w:tc>
      </w:tr>
      <w:tr>
        <w:trPr>
          <w:trHeight w:val="114"/>
        </w:trPr>
        <w:tc>
          <w:tcPr>
            <w:tcW w:w="20" w:type="dxa"/>
            <w:vAlign w:val="bottom"/>
            <w:tcBorders>
              <w:bottom w:val="single" w:sz="8" w:color="0077C0"/>
            </w:tcBorders>
          </w:tcPr>
          <w:p>
            <w:pPr>
              <w:spacing w:after="0"/>
              <w:rPr>
                <w:sz w:val="9"/>
                <w:szCs w:val="9"/>
                <w:color w:val="auto"/>
              </w:rPr>
            </w:pPr>
          </w:p>
        </w:tc>
        <w:tc>
          <w:tcPr>
            <w:tcW w:w="262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b w:val="1"/>
                <w:bCs w:val="1"/>
                <w:color w:val="0077C0"/>
              </w:rPr>
              <w:t>Reserves at December 31, 2011</w:t>
            </w:r>
            <w:r>
              <w:rPr>
                <w:rFonts w:ascii="Arial" w:cs="Arial" w:eastAsia="Arial" w:hAnsi="Arial"/>
                <w:sz w:val="8"/>
                <w:szCs w:val="8"/>
                <w:b w:val="1"/>
                <w:bCs w:val="1"/>
                <w:color w:val="0077C0"/>
              </w:rPr>
              <w:t>4</w:t>
            </w:r>
          </w:p>
        </w:tc>
        <w:tc>
          <w:tcPr>
            <w:tcW w:w="740" w:type="dxa"/>
            <w:vAlign w:val="bottom"/>
            <w:tcBorders>
              <w:top w:val="single" w:sz="8" w:color="0077C0"/>
              <w:bottom w:val="single" w:sz="8" w:color="0077C0"/>
            </w:tcBorders>
          </w:tcPr>
          <w:p>
            <w:pPr>
              <w:jc w:val="right"/>
              <w:ind w:right="229"/>
              <w:spacing w:after="0" w:line="105" w:lineRule="exact"/>
              <w:rPr>
                <w:sz w:val="20"/>
                <w:szCs w:val="20"/>
                <w:color w:val="auto"/>
              </w:rPr>
            </w:pPr>
            <w:r>
              <w:rPr>
                <w:rFonts w:ascii="Arial" w:cs="Arial" w:eastAsia="Arial" w:hAnsi="Arial"/>
                <w:sz w:val="10"/>
                <w:szCs w:val="10"/>
                <w:b w:val="1"/>
                <w:bCs w:val="1"/>
                <w:color w:val="auto"/>
              </w:rPr>
              <w:t>3,646</w:t>
            </w:r>
          </w:p>
        </w:tc>
        <w:tc>
          <w:tcPr>
            <w:tcW w:w="1000" w:type="dxa"/>
            <w:vAlign w:val="bottom"/>
            <w:tcBorders>
              <w:top w:val="single" w:sz="8" w:color="0077C0"/>
              <w:bottom w:val="single" w:sz="8" w:color="0077C0"/>
            </w:tcBorders>
          </w:tcPr>
          <w:p>
            <w:pPr>
              <w:jc w:val="right"/>
              <w:ind w:right="310"/>
              <w:spacing w:after="0" w:line="105" w:lineRule="exact"/>
              <w:rPr>
                <w:sz w:val="20"/>
                <w:szCs w:val="20"/>
                <w:color w:val="auto"/>
              </w:rPr>
            </w:pPr>
            <w:r>
              <w:rPr>
                <w:rFonts w:ascii="Arial" w:cs="Arial" w:eastAsia="Arial" w:hAnsi="Arial"/>
                <w:sz w:val="10"/>
                <w:szCs w:val="10"/>
                <w:b w:val="1"/>
                <w:bCs w:val="1"/>
                <w:color w:val="auto"/>
              </w:rPr>
              <w:t>1,664</w:t>
            </w:r>
          </w:p>
        </w:tc>
        <w:tc>
          <w:tcPr>
            <w:tcW w:w="920" w:type="dxa"/>
            <w:vAlign w:val="bottom"/>
            <w:tcBorders>
              <w:top w:val="single" w:sz="8" w:color="0077C0"/>
              <w:bottom w:val="single" w:sz="8" w:color="0077C0"/>
            </w:tcBorders>
          </w:tcPr>
          <w:p>
            <w:pPr>
              <w:jc w:val="right"/>
              <w:ind w:right="309"/>
              <w:spacing w:after="0" w:line="105" w:lineRule="exact"/>
              <w:rPr>
                <w:sz w:val="20"/>
                <w:szCs w:val="20"/>
                <w:color w:val="auto"/>
              </w:rPr>
            </w:pPr>
            <w:r>
              <w:rPr>
                <w:rFonts w:ascii="Arial" w:cs="Arial" w:eastAsia="Arial" w:hAnsi="Arial"/>
                <w:sz w:val="10"/>
                <w:szCs w:val="10"/>
                <w:b w:val="1"/>
                <w:bCs w:val="1"/>
                <w:color w:val="auto"/>
              </w:rPr>
              <w:t>3,196</w:t>
            </w:r>
          </w:p>
        </w:tc>
        <w:tc>
          <w:tcPr>
            <w:tcW w:w="880" w:type="dxa"/>
            <w:vAlign w:val="bottom"/>
            <w:tcBorders>
              <w:top w:val="single" w:sz="8" w:color="0077C0"/>
              <w:bottom w:val="single" w:sz="8" w:color="0077C0"/>
            </w:tcBorders>
          </w:tcPr>
          <w:p>
            <w:pPr>
              <w:jc w:val="right"/>
              <w:ind w:right="269"/>
              <w:spacing w:after="0" w:line="105" w:lineRule="exact"/>
              <w:rPr>
                <w:sz w:val="20"/>
                <w:szCs w:val="20"/>
                <w:color w:val="auto"/>
              </w:rPr>
            </w:pPr>
            <w:r>
              <w:rPr>
                <w:rFonts w:ascii="Arial" w:cs="Arial" w:eastAsia="Arial" w:hAnsi="Arial"/>
                <w:sz w:val="10"/>
                <w:szCs w:val="10"/>
                <w:b w:val="1"/>
                <w:bCs w:val="1"/>
                <w:color w:val="auto"/>
              </w:rPr>
              <w:t>6,721</w:t>
            </w:r>
          </w:p>
        </w:tc>
        <w:tc>
          <w:tcPr>
            <w:tcW w:w="960" w:type="dxa"/>
            <w:vAlign w:val="bottom"/>
            <w:tcBorders>
              <w:top w:val="single" w:sz="8" w:color="0077C0"/>
              <w:bottom w:val="single" w:sz="8" w:color="0077C0"/>
            </w:tcBorders>
          </w:tcPr>
          <w:p>
            <w:pPr>
              <w:jc w:val="right"/>
              <w:ind w:right="289"/>
              <w:spacing w:after="0" w:line="105" w:lineRule="exact"/>
              <w:rPr>
                <w:sz w:val="20"/>
                <w:szCs w:val="20"/>
                <w:color w:val="auto"/>
              </w:rPr>
            </w:pPr>
            <w:r>
              <w:rPr>
                <w:rFonts w:ascii="Arial" w:cs="Arial" w:eastAsia="Arial" w:hAnsi="Arial"/>
                <w:sz w:val="10"/>
                <w:szCs w:val="10"/>
                <w:b w:val="1"/>
                <w:bCs w:val="1"/>
                <w:color w:val="auto"/>
              </w:rPr>
              <w:t>9,744</w:t>
            </w:r>
          </w:p>
        </w:tc>
        <w:tc>
          <w:tcPr>
            <w:tcW w:w="920" w:type="dxa"/>
            <w:vAlign w:val="bottom"/>
            <w:tcBorders>
              <w:top w:val="single" w:sz="8" w:color="0077C0"/>
              <w:bottom w:val="single" w:sz="8" w:color="0077C0"/>
            </w:tcBorders>
          </w:tcPr>
          <w:p>
            <w:pPr>
              <w:jc w:val="right"/>
              <w:ind w:right="290"/>
              <w:spacing w:after="0" w:line="105" w:lineRule="exact"/>
              <w:rPr>
                <w:sz w:val="20"/>
                <w:szCs w:val="20"/>
                <w:color w:val="auto"/>
              </w:rPr>
            </w:pPr>
            <w:r>
              <w:rPr>
                <w:rFonts w:ascii="Arial" w:cs="Arial" w:eastAsia="Arial" w:hAnsi="Arial"/>
                <w:sz w:val="10"/>
                <w:szCs w:val="10"/>
                <w:b w:val="1"/>
                <w:bCs w:val="1"/>
                <w:color w:val="auto"/>
              </w:rPr>
              <w:t>258</w:t>
            </w:r>
          </w:p>
        </w:tc>
        <w:tc>
          <w:tcPr>
            <w:tcW w:w="580" w:type="dxa"/>
            <w:vAlign w:val="bottom"/>
            <w:tcBorders>
              <w:top w:val="single" w:sz="8" w:color="0077C0"/>
              <w:bottom w:val="single" w:sz="8" w:color="0077C0"/>
            </w:tcBorders>
          </w:tcPr>
          <w:p>
            <w:pPr>
              <w:jc w:val="right"/>
              <w:spacing w:after="0" w:line="105" w:lineRule="exact"/>
              <w:rPr>
                <w:sz w:val="20"/>
                <w:szCs w:val="20"/>
                <w:color w:val="auto"/>
              </w:rPr>
            </w:pPr>
            <w:r>
              <w:rPr>
                <w:rFonts w:ascii="Arial" w:cs="Arial" w:eastAsia="Arial" w:hAnsi="Arial"/>
                <w:sz w:val="10"/>
                <w:szCs w:val="10"/>
                <w:b w:val="1"/>
                <w:bCs w:val="1"/>
                <w:color w:val="auto"/>
              </w:rPr>
              <w:t>25,229</w:t>
            </w:r>
          </w:p>
        </w:tc>
        <w:tc>
          <w:tcPr>
            <w:tcW w:w="460" w:type="dxa"/>
            <w:vAlign w:val="bottom"/>
            <w:tcBorders>
              <w:top w:val="single" w:sz="8" w:color="0077C0"/>
              <w:bottom w:val="single" w:sz="8" w:color="0077C0"/>
            </w:tcBorders>
          </w:tcPr>
          <w:p>
            <w:pPr>
              <w:spacing w:after="0"/>
              <w:rPr>
                <w:sz w:val="9"/>
                <w:szCs w:val="9"/>
                <w:color w:val="auto"/>
              </w:rPr>
            </w:pPr>
          </w:p>
        </w:tc>
        <w:tc>
          <w:tcPr>
            <w:tcW w:w="520" w:type="dxa"/>
            <w:vAlign w:val="bottom"/>
            <w:tcBorders>
              <w:top w:val="single" w:sz="8" w:color="0077C0"/>
              <w:bottom w:val="single" w:sz="8" w:color="0077C0"/>
            </w:tcBorders>
          </w:tcPr>
          <w:p>
            <w:pPr>
              <w:jc w:val="right"/>
              <w:ind w:right="29"/>
              <w:spacing w:after="0" w:line="105" w:lineRule="exact"/>
              <w:rPr>
                <w:sz w:val="20"/>
                <w:szCs w:val="20"/>
                <w:color w:val="auto"/>
              </w:rPr>
            </w:pPr>
            <w:r>
              <w:rPr>
                <w:rFonts w:ascii="Arial" w:cs="Arial" w:eastAsia="Arial" w:hAnsi="Arial"/>
                <w:sz w:val="10"/>
                <w:szCs w:val="10"/>
                <w:b w:val="1"/>
                <w:bCs w:val="1"/>
                <w:color w:val="auto"/>
              </w:rPr>
              <w:t>2,251</w:t>
            </w:r>
          </w:p>
        </w:tc>
        <w:tc>
          <w:tcPr>
            <w:tcW w:w="1240" w:type="dxa"/>
            <w:vAlign w:val="bottom"/>
            <w:tcBorders>
              <w:top w:val="single" w:sz="8" w:color="0077C0"/>
              <w:bottom w:val="single" w:sz="8" w:color="0077C0"/>
            </w:tcBorders>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1,203</w:t>
            </w:r>
          </w:p>
        </w:tc>
        <w:tc>
          <w:tcPr>
            <w:tcW w:w="52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28,683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3" w:hanging="203"/>
        <w:spacing w:after="0"/>
        <w:tabs>
          <w:tab w:leader="none" w:pos="203" w:val="left"/>
        </w:tabs>
        <w:numPr>
          <w:ilvl w:val="0"/>
          <w:numId w:val="54"/>
        </w:numPr>
        <w:rPr>
          <w:rFonts w:ascii="Arial" w:cs="Arial" w:eastAsia="Arial" w:hAnsi="Arial"/>
          <w:sz w:val="8"/>
          <w:szCs w:val="8"/>
          <w:color w:val="auto"/>
        </w:rPr>
      </w:pPr>
      <w:r>
        <w:rPr>
          <w:rFonts w:ascii="Arial" w:cs="Arial" w:eastAsia="Arial" w:hAnsi="Arial"/>
          <w:sz w:val="9"/>
          <w:szCs w:val="9"/>
          <w:color w:val="auto"/>
        </w:rPr>
        <w:t>Ending reserve balances in North America and South America were 19, 21, 23 and 1,645, 1,794, 1,962 in 2011, 2010 and 2009, respectively.</w:t>
      </w:r>
    </w:p>
    <w:p>
      <w:pPr>
        <w:spacing w:after="0" w:line="10"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2Ending reserve balances in Africa and South America were 1,016, 953, 898 and 187, 157, 165 in 2011, 2010 and 2009, respectively.</w:t>
      </w:r>
    </w:p>
    <w:p>
      <w:pPr>
        <w:spacing w:after="0" w:line="13"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3Total “as sold” volumes are 4.4 BCF, 4.5 BCF and 4.5 BCF for 2011, 2010 and 2009, respectively.</w:t>
      </w:r>
    </w:p>
    <w:p>
      <w:pPr>
        <w:spacing w:after="0" w:line="13" w:lineRule="exact"/>
        <w:rPr>
          <w:rFonts w:ascii="Arial" w:cs="Arial" w:eastAsia="Arial" w:hAnsi="Arial"/>
          <w:sz w:val="8"/>
          <w:szCs w:val="8"/>
          <w:color w:val="auto"/>
        </w:rPr>
      </w:pPr>
    </w:p>
    <w:p>
      <w:pPr>
        <w:ind w:left="3"/>
        <w:spacing w:after="0"/>
        <w:rPr>
          <w:rFonts w:ascii="Arial" w:cs="Arial" w:eastAsia="Arial" w:hAnsi="Arial"/>
          <w:sz w:val="8"/>
          <w:szCs w:val="8"/>
          <w:color w:val="auto"/>
        </w:rPr>
      </w:pPr>
      <w:r>
        <w:rPr>
          <w:rFonts w:ascii="Arial" w:cs="Arial" w:eastAsia="Arial" w:hAnsi="Arial"/>
          <w:sz w:val="8"/>
          <w:szCs w:val="8"/>
          <w:color w:val="auto"/>
        </w:rPr>
        <w:t>4Includes reserve quantities related to production-sharing contracts (PSC) (refer to page E-11 for the definition of a PSC). PSC-related reserve quantities are 21 percent, 29 percent and 31 percent for consolidated companies for 2011, 2010 and 2009, respectively.</w:t>
      </w:r>
    </w:p>
    <w:p>
      <w:pPr>
        <w:sectPr>
          <w:pgSz w:w="11900" w:h="16838" w:orient="portrait"/>
          <w:cols w:equalWidth="0" w:num="1">
            <w:col w:w="11463"/>
          </w:cols>
          <w:pgMar w:left="217" w:top="338" w:right="219" w:bottom="1440" w:gutter="0" w:footer="0" w:header="0"/>
        </w:sectPr>
      </w:pPr>
    </w:p>
    <w:p>
      <w:pPr>
        <w:spacing w:after="0" w:line="229" w:lineRule="exact"/>
        <w:rPr>
          <w:sz w:val="20"/>
          <w:szCs w:val="20"/>
          <w:color w:val="auto"/>
        </w:rPr>
      </w:pPr>
    </w:p>
    <w:p>
      <w:pPr>
        <w:ind w:left="3" w:right="20" w:firstLine="160"/>
        <w:spacing w:after="0" w:line="253" w:lineRule="auto"/>
        <w:rPr>
          <w:sz w:val="20"/>
          <w:szCs w:val="20"/>
          <w:color w:val="auto"/>
        </w:rPr>
      </w:pPr>
      <w:r>
        <w:rPr>
          <w:rFonts w:ascii="Arial" w:cs="Arial" w:eastAsia="Arial" w:hAnsi="Arial"/>
          <w:sz w:val="13"/>
          <w:szCs w:val="13"/>
          <w:color w:val="auto"/>
        </w:rPr>
        <w:t>Noteworthy amounts in the categories of natural gas proved-reserve changes for 2009 through 2011 are discussed below:</w:t>
      </w:r>
    </w:p>
    <w:p>
      <w:pPr>
        <w:spacing w:after="0" w:line="1" w:lineRule="exact"/>
        <w:rPr>
          <w:sz w:val="20"/>
          <w:szCs w:val="20"/>
          <w:color w:val="auto"/>
        </w:rPr>
      </w:pPr>
    </w:p>
    <w:p>
      <w:pPr>
        <w:ind w:left="3" w:firstLine="160"/>
        <w:spacing w:after="0" w:line="270" w:lineRule="auto"/>
        <w:rPr>
          <w:sz w:val="20"/>
          <w:szCs w:val="20"/>
          <w:color w:val="auto"/>
        </w:rPr>
      </w:pPr>
      <w:r>
        <w:rPr>
          <w:rFonts w:ascii="Arial" w:cs="Arial" w:eastAsia="Arial" w:hAnsi="Arial"/>
          <w:sz w:val="12"/>
          <w:szCs w:val="12"/>
          <w:i w:val="1"/>
          <w:iCs w:val="1"/>
          <w:color w:val="E51837"/>
        </w:rPr>
        <w:t xml:space="preserve">Revisions </w:t>
      </w:r>
      <w:r>
        <w:rPr>
          <w:rFonts w:ascii="Arial" w:cs="Arial" w:eastAsia="Arial" w:hAnsi="Arial"/>
          <w:sz w:val="12"/>
          <w:szCs w:val="12"/>
          <w:color w:val="000000"/>
        </w:rPr>
        <w:t>In 2009, net revisions increased reserves 569 BCF for consolidated companies and decreased</w:t>
      </w:r>
      <w:r>
        <w:rPr>
          <w:rFonts w:ascii="Arial" w:cs="Arial" w:eastAsia="Arial" w:hAnsi="Arial"/>
          <w:sz w:val="12"/>
          <w:szCs w:val="12"/>
          <w:i w:val="1"/>
          <w:iCs w:val="1"/>
          <w:color w:val="E51837"/>
        </w:rPr>
        <w:t xml:space="preserve"> </w:t>
      </w:r>
      <w:r>
        <w:rPr>
          <w:rFonts w:ascii="Arial" w:cs="Arial" w:eastAsia="Arial" w:hAnsi="Arial"/>
          <w:sz w:val="12"/>
          <w:szCs w:val="12"/>
          <w:color w:val="000000"/>
        </w:rPr>
        <w:t>reserves 44 BCF for affiliated companies. For consolidated companies, net increases were 493 BCF in Asia, primarily as a result of reservoir studies in Bangladesh and development drilling in Thailand. These results were partially offset by a downward revision due to the impact of higher prices on production-sharing contracts in Myanmar. In Australia, the 166 BCF increase in reserves resulted from improved reservoir performance and compression. In Other Americas, reserves decreased 126 BCF, driven primarily by the effect of higher prices on production-sharing contracts in Trinidad and Tobago. In the United States, a net increase of 39 BCF was the result of development drilling in the Gulf of Mexico, partially offset by performance revisions in the California and mid-continent areas.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firstLine="160"/>
        <w:spacing w:after="0" w:line="272" w:lineRule="auto"/>
        <w:rPr>
          <w:sz w:val="20"/>
          <w:szCs w:val="20"/>
          <w:color w:val="auto"/>
        </w:rPr>
      </w:pPr>
      <w:r>
        <w:rPr>
          <w:rFonts w:ascii="Arial" w:cs="Arial" w:eastAsia="Arial" w:hAnsi="Arial"/>
          <w:sz w:val="12"/>
          <w:szCs w:val="12"/>
          <w:color w:val="auto"/>
        </w:rPr>
        <w:t>For equity affiliates, a downward revision of 237 BCF at TCO was due to the effect of higher prices on royalty determination and an increase in gas injection for SGI/SGP facilities. This decline was partially offset by performance and drilling opportunities related to the Angola LNG project.</w:t>
      </w:r>
    </w:p>
    <w:p>
      <w:pPr>
        <w:ind w:firstLine="160"/>
        <w:spacing w:after="0" w:line="270" w:lineRule="auto"/>
        <w:rPr>
          <w:sz w:val="20"/>
          <w:szCs w:val="20"/>
          <w:color w:val="auto"/>
        </w:rPr>
      </w:pPr>
      <w:r>
        <w:rPr>
          <w:rFonts w:ascii="Arial" w:cs="Arial" w:eastAsia="Arial" w:hAnsi="Arial"/>
          <w:sz w:val="12"/>
          <w:szCs w:val="12"/>
          <w:color w:val="auto"/>
        </w:rPr>
        <w:t>In 2010, net revisions increased reserves by 197 BCF for consolidated companies, which was more than offset by a 268 BCF decrease in net revisions for affiliated companies. For consolidated companies, a net increase in the United States of 220 BCF, primarily in the mid-continent area and the Gulf of Mexico, was the result of a number of small upward revisions related to improved reservoir performance and drilling activity, none of which were individually significant. The increase was partially offset by downward revisions due to the impact of higher prices on production-sharing contracts in Asia. For equity affiliates, a downward revision of 324 BCF at TCO was due to the price effect on royalty determination and a change in the variable-royalty calculation. This decline was partially offset by the recognition of additional reserves related to the Angola LNG project.</w:t>
      </w:r>
    </w:p>
    <w:p>
      <w:pPr>
        <w:spacing w:after="0" w:line="200" w:lineRule="exact"/>
        <w:rPr>
          <w:sz w:val="20"/>
          <w:szCs w:val="20"/>
          <w:color w:val="auto"/>
        </w:rPr>
      </w:pPr>
    </w:p>
    <w:p>
      <w:pPr>
        <w:sectPr>
          <w:pgSz w:w="11900" w:h="16838" w:orient="portrait"/>
          <w:cols w:equalWidth="0" w:num="2">
            <w:col w:w="5483" w:space="480"/>
            <w:col w:w="5500"/>
          </w:cols>
          <w:pgMar w:left="217" w:top="338" w:right="219" w:bottom="1440" w:gutter="0" w:footer="0" w:header="0"/>
          <w:type w:val="continuous"/>
        </w:sectPr>
      </w:pPr>
    </w:p>
    <w:p>
      <w:pPr>
        <w:spacing w:after="0" w:line="60" w:lineRule="exact"/>
        <w:rPr>
          <w:sz w:val="20"/>
          <w:szCs w:val="20"/>
          <w:color w:val="auto"/>
        </w:rPr>
      </w:pPr>
    </w:p>
    <w:p>
      <w:pPr>
        <w:jc w:val="center"/>
        <w:ind w:right="-22"/>
        <w:spacing w:after="0"/>
        <w:rPr>
          <w:sz w:val="20"/>
          <w:szCs w:val="20"/>
          <w:color w:val="auto"/>
        </w:rPr>
      </w:pPr>
      <w:r>
        <w:rPr>
          <w:rFonts w:ascii="Arial" w:cs="Arial" w:eastAsia="Arial" w:hAnsi="Arial"/>
          <w:sz w:val="10"/>
          <w:szCs w:val="10"/>
          <w:color w:val="auto"/>
        </w:rPr>
        <w:t>FS-73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297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63"/>
          </w:cols>
          <w:pgMar w:left="217" w:top="338" w:right="219" w:bottom="1440" w:gutter="0" w:footer="0" w:header="0"/>
          <w:type w:val="continuous"/>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003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599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077C0"/>
        </w:rPr>
        <w:t xml:space="preserve">Table V </w:t>
      </w:r>
      <w:r>
        <w:rPr>
          <w:rFonts w:ascii="Arial" w:cs="Arial" w:eastAsia="Arial" w:hAnsi="Arial"/>
          <w:sz w:val="8"/>
          <w:szCs w:val="8"/>
          <w:color w:val="000000"/>
        </w:rPr>
        <w:t>Reserve Quantity Information - Continued</w:t>
      </w:r>
    </w:p>
    <w:p>
      <w:pPr>
        <w:sectPr>
          <w:pgSz w:w="11900" w:h="16838" w:orient="portrait"/>
          <w:cols w:equalWidth="0" w:num="1">
            <w:col w:w="11440"/>
          </w:cols>
          <w:pgMar w:left="220" w:top="339" w:right="239" w:bottom="1440" w:gutter="0" w:footer="0" w:header="0"/>
        </w:sect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2011, net revisions increased reserves 415 BCF for consolidated companies and increased reserves</w:t>
      </w:r>
    </w:p>
    <w:p>
      <w:pPr>
        <w:spacing w:after="0" w:line="36"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82 BCF for affiliated companies. For consolidated companies, improved reservoir performance accounted for a majority of the 217 BCF increase in the United States. In Asia, a net increase of 196 BCF was driven by development drilling and improved field performance in Thailand, partially offset by the effects of higher prices on production-sharing contracts in Kazakhstan. In Other Americas, a negative performance revision in Trinidad and Tobago was partially offset by increases in Colombia from drilling activities and the reactivation of an existing field. For affiliated companies, ongoing reservoir assessment resulted in the recognition of additional reserves related to the Angola LNG project. At TCO, improved facility and reservoir performance was more than offset by the price effect on royalty determination.</w:t>
      </w:r>
    </w:p>
    <w:p>
      <w:pPr>
        <w:spacing w:after="0" w:line="3" w:lineRule="exact"/>
        <w:rPr>
          <w:sz w:val="20"/>
          <w:szCs w:val="20"/>
          <w:color w:val="auto"/>
        </w:rPr>
      </w:pPr>
    </w:p>
    <w:p>
      <w:pPr>
        <w:ind w:right="40" w:firstLine="160"/>
        <w:spacing w:after="0" w:line="276" w:lineRule="auto"/>
        <w:rPr>
          <w:sz w:val="20"/>
          <w:szCs w:val="20"/>
          <w:color w:val="auto"/>
        </w:rPr>
      </w:pPr>
      <w:r>
        <w:rPr>
          <w:rFonts w:ascii="Arial" w:cs="Arial" w:eastAsia="Arial" w:hAnsi="Arial"/>
          <w:sz w:val="12"/>
          <w:szCs w:val="12"/>
          <w:i w:val="1"/>
          <w:iCs w:val="1"/>
          <w:color w:val="E51837"/>
        </w:rPr>
        <w:t xml:space="preserve">Extensions and Discoveries </w:t>
      </w:r>
      <w:r>
        <w:rPr>
          <w:rFonts w:ascii="Arial" w:cs="Arial" w:eastAsia="Arial" w:hAnsi="Arial"/>
          <w:sz w:val="12"/>
          <w:szCs w:val="12"/>
          <w:color w:val="000000"/>
        </w:rPr>
        <w:t>In 2009, worldwide extensions and discoveries of 4,387 BCF were</w:t>
      </w:r>
      <w:r>
        <w:rPr>
          <w:rFonts w:ascii="Arial" w:cs="Arial" w:eastAsia="Arial" w:hAnsi="Arial"/>
          <w:sz w:val="12"/>
          <w:szCs w:val="12"/>
          <w:i w:val="1"/>
          <w:iCs w:val="1"/>
          <w:color w:val="E51837"/>
        </w:rPr>
        <w:t xml:space="preserve"> </w:t>
      </w:r>
      <w:r>
        <w:rPr>
          <w:rFonts w:ascii="Arial" w:cs="Arial" w:eastAsia="Arial" w:hAnsi="Arial"/>
          <w:sz w:val="12"/>
          <w:szCs w:val="12"/>
          <w:color w:val="000000"/>
        </w:rPr>
        <w:t>attributed to consolidated companies. In Australia, the Gorgon Project accounted for all of the 4,276 BCF additions. In Asia, development drilling in Thailand accounted for the majority of the increase. In the United States, delineation drilling in California accounted for the majority of the increase.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firstLine="160"/>
        <w:spacing w:after="0" w:line="271" w:lineRule="auto"/>
        <w:rPr>
          <w:sz w:val="20"/>
          <w:szCs w:val="20"/>
          <w:color w:val="auto"/>
        </w:rPr>
      </w:pPr>
      <w:r>
        <w:rPr>
          <w:rFonts w:ascii="Arial" w:cs="Arial" w:eastAsia="Arial" w:hAnsi="Arial"/>
          <w:sz w:val="12"/>
          <w:szCs w:val="12"/>
          <w:color w:val="auto"/>
        </w:rPr>
        <w:t>In 2011, extensions and discoveries increased consolidated companies’ reserves 4,680 BCF worldwide. In Australia, the Wheatstone Project accounted for the 4,035 BCF in additions. In Africa, the start of a new natural gas development project in Nigeria resulted in the 290 BCF increase. In the United States, development drilling accounted for the majority of the 287 BCF increase.</w:t>
      </w:r>
    </w:p>
    <w:p>
      <w:pPr>
        <w:ind w:right="560" w:firstLine="160"/>
        <w:spacing w:after="0" w:line="246" w:lineRule="auto"/>
        <w:rPr>
          <w:sz w:val="20"/>
          <w:szCs w:val="20"/>
          <w:color w:val="auto"/>
        </w:rPr>
      </w:pPr>
      <w:r>
        <w:rPr>
          <w:rFonts w:ascii="Arial" w:cs="Arial" w:eastAsia="Arial" w:hAnsi="Arial"/>
          <w:sz w:val="13"/>
          <w:szCs w:val="13"/>
          <w:i w:val="1"/>
          <w:iCs w:val="1"/>
          <w:color w:val="E51837"/>
        </w:rPr>
        <w:t xml:space="preserve">Purchases </w:t>
      </w:r>
      <w:r>
        <w:rPr>
          <w:rFonts w:ascii="Arial" w:cs="Arial" w:eastAsia="Arial" w:hAnsi="Arial"/>
          <w:sz w:val="13"/>
          <w:szCs w:val="13"/>
          <w:color w:val="000000"/>
        </w:rPr>
        <w:t>In 2011, purchases increased worldwide reserves 1,233 BCF. In the United States,</w:t>
      </w:r>
      <w:r>
        <w:rPr>
          <w:rFonts w:ascii="Arial" w:cs="Arial" w:eastAsia="Arial" w:hAnsi="Arial"/>
          <w:sz w:val="13"/>
          <w:szCs w:val="13"/>
          <w:i w:val="1"/>
          <w:iCs w:val="1"/>
          <w:color w:val="E51837"/>
        </w:rPr>
        <w:t xml:space="preserve"> </w:t>
      </w:r>
      <w:r>
        <w:rPr>
          <w:rFonts w:ascii="Arial" w:cs="Arial" w:eastAsia="Arial" w:hAnsi="Arial"/>
          <w:sz w:val="13"/>
          <w:szCs w:val="13"/>
          <w:color w:val="000000"/>
        </w:rPr>
        <w:t>acquisitions in the Marcellus Shale increased reserves 1,230 BCF.</w:t>
      </w:r>
    </w:p>
    <w:p>
      <w:pPr>
        <w:spacing w:after="0" w:line="1" w:lineRule="exact"/>
        <w:rPr>
          <w:sz w:val="20"/>
          <w:szCs w:val="20"/>
          <w:color w:val="auto"/>
        </w:rPr>
      </w:pPr>
    </w:p>
    <w:p>
      <w:pPr>
        <w:ind w:right="120" w:firstLine="160"/>
        <w:spacing w:after="0" w:line="267" w:lineRule="auto"/>
        <w:rPr>
          <w:sz w:val="20"/>
          <w:szCs w:val="20"/>
          <w:color w:val="auto"/>
        </w:rPr>
      </w:pPr>
      <w:r>
        <w:rPr>
          <w:rFonts w:ascii="Arial" w:cs="Arial" w:eastAsia="Arial" w:hAnsi="Arial"/>
          <w:sz w:val="12"/>
          <w:szCs w:val="12"/>
          <w:i w:val="1"/>
          <w:iCs w:val="1"/>
          <w:color w:val="E51837"/>
        </w:rPr>
        <w:t xml:space="preserve">Sales </w:t>
      </w:r>
      <w:r>
        <w:rPr>
          <w:rFonts w:ascii="Arial" w:cs="Arial" w:eastAsia="Arial" w:hAnsi="Arial"/>
          <w:sz w:val="12"/>
          <w:szCs w:val="12"/>
          <w:color w:val="000000"/>
        </w:rPr>
        <w:t>In 2009, worldwide sales of 117 BCF were related to consolidated companies. For Other</w:t>
      </w:r>
      <w:r>
        <w:rPr>
          <w:rFonts w:ascii="Arial" w:cs="Arial" w:eastAsia="Arial" w:hAnsi="Arial"/>
          <w:sz w:val="12"/>
          <w:szCs w:val="12"/>
          <w:i w:val="1"/>
          <w:iCs w:val="1"/>
          <w:color w:val="E51837"/>
        </w:rPr>
        <w:t xml:space="preserve"> </w:t>
      </w:r>
      <w:r>
        <w:rPr>
          <w:rFonts w:ascii="Arial" w:cs="Arial" w:eastAsia="Arial" w:hAnsi="Arial"/>
          <w:sz w:val="12"/>
          <w:szCs w:val="12"/>
          <w:color w:val="000000"/>
        </w:rPr>
        <w:t>Americas, the sale of properties in Argentina accounted for 84 BCF. The sale of properties in the Gulf of Mexico accounted for the majority of the 33 BCF decrease in the United States.</w:t>
      </w:r>
    </w:p>
    <w:p>
      <w:pPr>
        <w:spacing w:after="0" w:line="1" w:lineRule="exact"/>
        <w:rPr>
          <w:sz w:val="20"/>
          <w:szCs w:val="20"/>
          <w:color w:val="auto"/>
        </w:rPr>
      </w:pPr>
    </w:p>
    <w:p>
      <w:pPr>
        <w:ind w:firstLine="160"/>
        <w:spacing w:after="0" w:line="250" w:lineRule="auto"/>
        <w:rPr>
          <w:sz w:val="20"/>
          <w:szCs w:val="20"/>
          <w:color w:val="auto"/>
        </w:rPr>
      </w:pPr>
      <w:r>
        <w:rPr>
          <w:rFonts w:ascii="Arial" w:cs="Arial" w:eastAsia="Arial" w:hAnsi="Arial"/>
          <w:sz w:val="13"/>
          <w:szCs w:val="13"/>
          <w:color w:val="auto"/>
        </w:rPr>
        <w:t>In 2011, sales decreased consolidated companies’ reserves 174 BCF worldwide. In Australia, the Wheatstone Project unitization and equity sales agreements reduced reserves 77 BCF. In the United States, sales in Alaska and other smaller fields reduced reserves 95 BCF.</w:t>
      </w:r>
    </w:p>
    <w:p>
      <w:pPr>
        <w:spacing w:after="0" w:line="367" w:lineRule="exact"/>
        <w:rPr>
          <w:sz w:val="20"/>
          <w:szCs w:val="20"/>
          <w:color w:val="auto"/>
        </w:rPr>
      </w:pPr>
    </w:p>
    <w:p>
      <w:pPr>
        <w:sectPr>
          <w:pgSz w:w="11900" w:h="16838" w:orient="portrait"/>
          <w:cols w:equalWidth="0" w:num="2">
            <w:col w:w="5440" w:space="520"/>
            <w:col w:w="5480"/>
          </w:cols>
          <w:pgMar w:left="220" w:top="339" w:right="239" w:bottom="1440" w:gutter="0" w:footer="0" w:header="0"/>
          <w:type w:val="continuous"/>
        </w:sectPr>
      </w:pP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40"/>
          </w:cols>
          <w:pgMar w:left="220" w:top="339" w:right="239" w:bottom="1440" w:gutter="0" w:footer="0" w:header="0"/>
          <w:type w:val="continuous"/>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49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599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2"/>
          <w:szCs w:val="12"/>
          <w:b w:val="1"/>
          <w:bCs w:val="1"/>
          <w:color w:val="0077C0"/>
        </w:rPr>
        <w:t>Table VI</w:t>
      </w:r>
      <w:r>
        <w:rPr>
          <w:sz w:val="20"/>
          <w:szCs w:val="20"/>
          <w:color w:val="auto"/>
        </w:rPr>
        <w:tab/>
      </w:r>
      <w:r>
        <w:rPr>
          <w:rFonts w:ascii="Arial" w:cs="Arial" w:eastAsia="Arial" w:hAnsi="Arial"/>
          <w:sz w:val="10"/>
          <w:szCs w:val="10"/>
          <w:color w:val="auto"/>
        </w:rPr>
        <w:t>Standardized Measure of Discounted Future Net Cash</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0"/>
          <w:szCs w:val="10"/>
          <w:color w:val="auto"/>
        </w:rPr>
        <w:t>Flows Related to Proved Oil and Gas Reserves</w:t>
      </w:r>
    </w:p>
    <w:p>
      <w:pPr>
        <w:sectPr>
          <w:pgSz w:w="11900" w:h="16838" w:orient="portrait"/>
          <w:cols w:equalWidth="0" w:num="1">
            <w:col w:w="11400"/>
          </w:cols>
          <w:pgMar w:left="220" w:top="338" w:right="279" w:bottom="1440" w:gutter="0" w:footer="0" w:header="0"/>
        </w:sectPr>
      </w:pP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The standardized measure of discounted future net cash flows, related to the preceding proved oil and gas reserves, is calculated in accordance with the requirements of the FASB. Estimated future cash inflows from production are computed by applying 12-month average prices for oil and gas to year-end quantities of estimated net proved reserves. Future price changes are limited to those provided by contractual arrangements in existence at the end of each reporting year. Future development and production costs are those estimated future expenditures necessary to develop and produce year-end estimated proved reserves based on year-end cost indices, assuming continuation of year-end economic conditions, and include estimated costs for asset retirement obligations. Estimated future income taxes are calculated by applying appropriate year-end statutory tax rates. These rates reflect allowable deductions and tax credits and are applied to estimated future pretax net cash flows, less the tax basis of related assets. Discounted future net cash flows are calculated</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using 10 percent midperiod discount factors. Discounting requires a year-by-year estimate of when future expenditures will be incurred and when reserves will be produced.</w:t>
      </w:r>
    </w:p>
    <w:p>
      <w:pPr>
        <w:spacing w:after="0" w:line="1" w:lineRule="exact"/>
        <w:rPr>
          <w:sz w:val="20"/>
          <w:szCs w:val="20"/>
          <w:color w:val="auto"/>
        </w:rPr>
      </w:pPr>
    </w:p>
    <w:p>
      <w:pPr>
        <w:ind w:right="20" w:firstLine="158"/>
        <w:spacing w:after="0" w:line="299" w:lineRule="auto"/>
        <w:rPr>
          <w:sz w:val="20"/>
          <w:szCs w:val="20"/>
          <w:color w:val="auto"/>
        </w:rPr>
      </w:pPr>
      <w:r>
        <w:rPr>
          <w:rFonts w:ascii="Arial" w:cs="Arial" w:eastAsia="Arial" w:hAnsi="Arial"/>
          <w:sz w:val="11"/>
          <w:szCs w:val="11"/>
          <w:color w:val="auto"/>
        </w:rPr>
        <w:t>The information provided does not represent management’s estimate of the company’s expected future cash flows or value of proved oil and gas reserves. Estimates of proved-reserve quantities are imprecise and change over time as new information becomes available. Moreover, probable and possible reserves, which may become proved in the future, are excluded from the calculations. The valuation prescribed by the FASB requires assumptions as to the timing and amount of future development and production costs. The calculations are made as of December 31 each year and should not be relied upon as an indication of the company’s future cash flows or value of its oil and gas reserves. In the following table, “Standardized Measure Net Cash Flows” refers to the standardized measure of discounted future net cash flows.</w:t>
      </w:r>
    </w:p>
    <w:p>
      <w:pPr>
        <w:spacing w:after="0" w:line="337" w:lineRule="exact"/>
        <w:rPr>
          <w:sz w:val="20"/>
          <w:szCs w:val="20"/>
          <w:color w:val="auto"/>
        </w:rPr>
      </w:pPr>
    </w:p>
    <w:p>
      <w:pPr>
        <w:sectPr>
          <w:pgSz w:w="11900" w:h="16838" w:orient="portrait"/>
          <w:cols w:equalWidth="0" w:num="2">
            <w:col w:w="5420" w:space="540"/>
            <w:col w:w="5440"/>
          </w:cols>
          <w:pgMar w:left="220" w:top="338" w:right="27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4"/>
            <w:vMerge w:val="restart"/>
          </w:tcPr>
          <w:p>
            <w:pPr>
              <w:jc w:val="center"/>
              <w:ind w:left="75"/>
              <w:spacing w:after="0"/>
              <w:rPr>
                <w:sz w:val="20"/>
                <w:szCs w:val="20"/>
                <w:color w:val="auto"/>
              </w:rPr>
            </w:pPr>
            <w:r>
              <w:rPr>
                <w:rFonts w:ascii="Arial" w:cs="Arial" w:eastAsia="Arial" w:hAnsi="Arial"/>
                <w:sz w:val="9"/>
                <w:szCs w:val="9"/>
                <w:color w:val="auto"/>
                <w:w w:val="89"/>
              </w:rPr>
              <w:t>Consolidated Companies</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3"/>
            <w:vMerge w:val="restart"/>
          </w:tcPr>
          <w:p>
            <w:pPr>
              <w:jc w:val="right"/>
              <w:ind w:right="240"/>
              <w:spacing w:after="0"/>
              <w:rPr>
                <w:sz w:val="20"/>
                <w:szCs w:val="20"/>
                <w:color w:val="auto"/>
              </w:rPr>
            </w:pPr>
            <w:r>
              <w:rPr>
                <w:rFonts w:ascii="Arial" w:cs="Arial" w:eastAsia="Arial" w:hAnsi="Arial"/>
                <w:sz w:val="9"/>
                <w:szCs w:val="9"/>
                <w:color w:val="auto"/>
                <w:w w:val="94"/>
              </w:rPr>
              <w:t>Affiliated Companies</w:t>
            </w:r>
          </w:p>
        </w:tc>
        <w:tc>
          <w:tcPr>
            <w:tcW w:w="280" w:type="dxa"/>
            <w:vAlign w:val="bottom"/>
          </w:tcPr>
          <w:p>
            <w:pPr>
              <w:spacing w:after="0"/>
              <w:rPr>
                <w:sz w:val="8"/>
                <w:szCs w:val="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74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Consolidated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300" w:type="dxa"/>
            <w:vAlign w:val="bottom"/>
            <w:tcBorders>
              <w:top w:val="single" w:sz="8" w:color="0077C0"/>
            </w:tcBorders>
          </w:tcPr>
          <w:p>
            <w:pPr>
              <w:spacing w:after="0"/>
              <w:rPr>
                <w:sz w:val="6"/>
                <w:szCs w:val="6"/>
                <w:color w:val="auto"/>
              </w:rPr>
            </w:pPr>
          </w:p>
        </w:tc>
        <w:tc>
          <w:tcPr>
            <w:tcW w:w="620" w:type="dxa"/>
            <w:vAlign w:val="bottom"/>
            <w:tcBorders>
              <w:top w:val="single" w:sz="8" w:color="0077C0"/>
            </w:tcBorders>
          </w:tcPr>
          <w:p>
            <w:pPr>
              <w:jc w:val="right"/>
              <w:ind w:right="195"/>
              <w:spacing w:after="0" w:line="75" w:lineRule="exact"/>
              <w:rPr>
                <w:sz w:val="20"/>
                <w:szCs w:val="20"/>
                <w:color w:val="auto"/>
              </w:rPr>
            </w:pPr>
            <w:r>
              <w:rPr>
                <w:rFonts w:ascii="Arial" w:cs="Arial" w:eastAsia="Arial" w:hAnsi="Arial"/>
                <w:sz w:val="8"/>
                <w:szCs w:val="8"/>
                <w:color w:val="auto"/>
              </w:rPr>
              <w:t>Other</w:t>
            </w:r>
          </w:p>
        </w:tc>
        <w:tc>
          <w:tcPr>
            <w:tcW w:w="34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320" w:type="dxa"/>
            <w:vAlign w:val="bottom"/>
            <w:tcBorders>
              <w:top w:val="single" w:sz="8" w:color="0077C0"/>
            </w:tcBorders>
          </w:tcPr>
          <w:p>
            <w:pPr>
              <w:spacing w:after="0"/>
              <w:rPr>
                <w:sz w:val="6"/>
                <w:szCs w:val="6"/>
                <w:color w:val="auto"/>
              </w:rPr>
            </w:pPr>
          </w:p>
        </w:tc>
        <w:tc>
          <w:tcPr>
            <w:tcW w:w="600" w:type="dxa"/>
            <w:vAlign w:val="bottom"/>
            <w:tcBorders>
              <w:top w:val="single" w:sz="8" w:color="0077C0"/>
            </w:tcBorders>
          </w:tcPr>
          <w:p>
            <w:pPr>
              <w:spacing w:after="0"/>
              <w:rPr>
                <w:sz w:val="6"/>
                <w:szCs w:val="6"/>
                <w:color w:val="auto"/>
              </w:rPr>
            </w:pPr>
          </w:p>
        </w:tc>
        <w:tc>
          <w:tcPr>
            <w:tcW w:w="300" w:type="dxa"/>
            <w:vAlign w:val="bottom"/>
            <w:tcBorders>
              <w:top w:val="single" w:sz="8" w:color="0077C0"/>
            </w:tcBorders>
          </w:tcPr>
          <w:p>
            <w:pPr>
              <w:spacing w:after="0"/>
              <w:rPr>
                <w:sz w:val="6"/>
                <w:szCs w:val="6"/>
                <w:color w:val="auto"/>
              </w:rPr>
            </w:pPr>
          </w:p>
        </w:tc>
        <w:tc>
          <w:tcPr>
            <w:tcW w:w="62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580" w:type="dxa"/>
            <w:vAlign w:val="bottom"/>
            <w:tcBorders>
              <w:top w:val="single" w:sz="8" w:color="0077C0"/>
            </w:tcBorders>
          </w:tcPr>
          <w:p>
            <w:pPr>
              <w:spacing w:after="0"/>
              <w:rPr>
                <w:sz w:val="6"/>
                <w:szCs w:val="6"/>
                <w:color w:val="auto"/>
              </w:rPr>
            </w:pPr>
          </w:p>
        </w:tc>
        <w:tc>
          <w:tcPr>
            <w:tcW w:w="300" w:type="dxa"/>
            <w:vAlign w:val="bottom"/>
            <w:tcBorders>
              <w:top w:val="single" w:sz="8" w:color="0077C0"/>
            </w:tcBorders>
          </w:tcPr>
          <w:p>
            <w:pPr>
              <w:spacing w:after="0"/>
              <w:rPr>
                <w:sz w:val="6"/>
                <w:szCs w:val="6"/>
                <w:color w:val="auto"/>
              </w:rPr>
            </w:pPr>
          </w:p>
        </w:tc>
        <w:tc>
          <w:tcPr>
            <w:tcW w:w="380" w:type="dxa"/>
            <w:vAlign w:val="bottom"/>
            <w:tcBorders>
              <w:top w:val="single" w:sz="8" w:color="0077C0"/>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77C0"/>
            </w:tcBorders>
          </w:tcPr>
          <w:p>
            <w:pPr>
              <w:spacing w:after="0"/>
              <w:rPr>
                <w:sz w:val="6"/>
                <w:szCs w:val="6"/>
                <w:color w:val="auto"/>
              </w:rPr>
            </w:pPr>
          </w:p>
        </w:tc>
        <w:tc>
          <w:tcPr>
            <w:tcW w:w="420" w:type="dxa"/>
            <w:vAlign w:val="bottom"/>
            <w:tcBorders>
              <w:top w:val="single" w:sz="8" w:color="0077C0"/>
            </w:tcBorders>
          </w:tcPr>
          <w:p>
            <w:pPr>
              <w:spacing w:after="0"/>
              <w:rPr>
                <w:sz w:val="6"/>
                <w:szCs w:val="6"/>
                <w:color w:val="auto"/>
              </w:rPr>
            </w:pPr>
          </w:p>
        </w:tc>
        <w:tc>
          <w:tcPr>
            <w:tcW w:w="460" w:type="dxa"/>
            <w:vAlign w:val="bottom"/>
            <w:tcBorders>
              <w:top w:val="single" w:sz="8" w:color="0077C0"/>
            </w:tcBorders>
          </w:tcPr>
          <w:p>
            <w:pPr>
              <w:spacing w:after="0"/>
              <w:rPr>
                <w:sz w:val="6"/>
                <w:szCs w:val="6"/>
                <w:color w:val="auto"/>
              </w:rPr>
            </w:pPr>
          </w:p>
        </w:tc>
        <w:tc>
          <w:tcPr>
            <w:tcW w:w="340" w:type="dxa"/>
            <w:vAlign w:val="bottom"/>
            <w:tcBorders>
              <w:top w:val="single" w:sz="8" w:color="0077C0"/>
            </w:tcBorders>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gridSpan w:val="3"/>
          </w:tcPr>
          <w:p>
            <w:pPr>
              <w:ind w:left="200"/>
              <w:spacing w:after="0" w:line="75" w:lineRule="exact"/>
              <w:rPr>
                <w:sz w:val="20"/>
                <w:szCs w:val="20"/>
                <w:color w:val="auto"/>
              </w:rPr>
            </w:pPr>
            <w:r>
              <w:rPr>
                <w:rFonts w:ascii="Arial" w:cs="Arial" w:eastAsia="Arial" w:hAnsi="Arial"/>
                <w:sz w:val="8"/>
                <w:szCs w:val="8"/>
                <w:color w:val="auto"/>
              </w:rPr>
              <w:t>and Affiliated</w:t>
            </w:r>
          </w:p>
        </w:tc>
        <w:tc>
          <w:tcPr>
            <w:tcW w:w="0" w:type="dxa"/>
            <w:vAlign w:val="bottom"/>
          </w:tcPr>
          <w:p>
            <w:pPr>
              <w:spacing w:after="0"/>
              <w:rPr>
                <w:sz w:val="1"/>
                <w:szCs w:val="1"/>
                <w:color w:val="auto"/>
              </w:rPr>
            </w:pPr>
          </w:p>
        </w:tc>
      </w:tr>
      <w:tr>
        <w:trPr>
          <w:trHeight w:val="107"/>
        </w:trPr>
        <w:tc>
          <w:tcPr>
            <w:tcW w:w="2000" w:type="dxa"/>
            <w:vAlign w:val="bottom"/>
            <w:gridSpan w:val="2"/>
          </w:tcPr>
          <w:p>
            <w:pPr>
              <w:spacing w:after="0"/>
              <w:rPr>
                <w:sz w:val="20"/>
                <w:szCs w:val="20"/>
                <w:color w:val="auto"/>
              </w:rPr>
            </w:pPr>
            <w:r>
              <w:rPr>
                <w:rFonts w:ascii="Arial" w:cs="Arial" w:eastAsia="Arial" w:hAnsi="Arial"/>
                <w:sz w:val="9"/>
                <w:szCs w:val="9"/>
                <w:i w:val="1"/>
                <w:iCs w:val="1"/>
                <w:color w:val="auto"/>
              </w:rPr>
              <w:t>Millions of dollars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95"/>
              <w:spacing w:after="0"/>
              <w:rPr>
                <w:sz w:val="20"/>
                <w:szCs w:val="20"/>
                <w:color w:val="auto"/>
              </w:rPr>
            </w:pPr>
            <w:r>
              <w:rPr>
                <w:rFonts w:ascii="Arial" w:cs="Arial" w:eastAsia="Arial" w:hAnsi="Arial"/>
                <w:sz w:val="9"/>
                <w:szCs w:val="9"/>
                <w:color w:val="auto"/>
              </w:rPr>
              <w:t>U.S.</w:t>
            </w:r>
          </w:p>
        </w:tc>
        <w:tc>
          <w:tcPr>
            <w:tcW w:w="300" w:type="dxa"/>
            <w:vAlign w:val="bottom"/>
          </w:tcPr>
          <w:p>
            <w:pPr>
              <w:spacing w:after="0"/>
              <w:rPr>
                <w:sz w:val="9"/>
                <w:szCs w:val="9"/>
                <w:color w:val="auto"/>
              </w:rPr>
            </w:pPr>
          </w:p>
        </w:tc>
        <w:tc>
          <w:tcPr>
            <w:tcW w:w="620" w:type="dxa"/>
            <w:vAlign w:val="bottom"/>
          </w:tcPr>
          <w:p>
            <w:pPr>
              <w:jc w:val="right"/>
              <w:ind w:right="195"/>
              <w:spacing w:after="0"/>
              <w:rPr>
                <w:sz w:val="20"/>
                <w:szCs w:val="20"/>
                <w:color w:val="auto"/>
              </w:rPr>
            </w:pPr>
            <w:r>
              <w:rPr>
                <w:rFonts w:ascii="Arial" w:cs="Arial" w:eastAsia="Arial" w:hAnsi="Arial"/>
                <w:sz w:val="9"/>
                <w:szCs w:val="9"/>
                <w:color w:val="auto"/>
                <w:w w:val="95"/>
              </w:rPr>
              <w:t>Americas</w:t>
            </w:r>
          </w:p>
        </w:tc>
        <w:tc>
          <w:tcPr>
            <w:tcW w:w="340" w:type="dxa"/>
            <w:vAlign w:val="bottom"/>
          </w:tcPr>
          <w:p>
            <w:pPr>
              <w:spacing w:after="0"/>
              <w:rPr>
                <w:sz w:val="9"/>
                <w:szCs w:val="9"/>
                <w:color w:val="auto"/>
              </w:rPr>
            </w:pPr>
          </w:p>
        </w:tc>
        <w:tc>
          <w:tcPr>
            <w:tcW w:w="600" w:type="dxa"/>
            <w:vAlign w:val="bottom"/>
          </w:tcPr>
          <w:p>
            <w:pPr>
              <w:jc w:val="right"/>
              <w:ind w:right="215"/>
              <w:spacing w:after="0"/>
              <w:rPr>
                <w:sz w:val="20"/>
                <w:szCs w:val="20"/>
                <w:color w:val="auto"/>
              </w:rPr>
            </w:pPr>
            <w:r>
              <w:rPr>
                <w:rFonts w:ascii="Arial" w:cs="Arial" w:eastAsia="Arial" w:hAnsi="Arial"/>
                <w:sz w:val="9"/>
                <w:szCs w:val="9"/>
                <w:color w:val="auto"/>
              </w:rPr>
              <w:t>Africa</w:t>
            </w:r>
          </w:p>
        </w:tc>
        <w:tc>
          <w:tcPr>
            <w:tcW w:w="320" w:type="dxa"/>
            <w:vAlign w:val="bottom"/>
          </w:tcPr>
          <w:p>
            <w:pPr>
              <w:spacing w:after="0"/>
              <w:rPr>
                <w:sz w:val="9"/>
                <w:szCs w:val="9"/>
                <w:color w:val="auto"/>
              </w:rPr>
            </w:pPr>
          </w:p>
        </w:tc>
        <w:tc>
          <w:tcPr>
            <w:tcW w:w="600" w:type="dxa"/>
            <w:vAlign w:val="bottom"/>
          </w:tcPr>
          <w:p>
            <w:pPr>
              <w:jc w:val="right"/>
              <w:ind w:right="215"/>
              <w:spacing w:after="0"/>
              <w:rPr>
                <w:sz w:val="20"/>
                <w:szCs w:val="20"/>
                <w:color w:val="auto"/>
              </w:rPr>
            </w:pPr>
            <w:r>
              <w:rPr>
                <w:rFonts w:ascii="Arial" w:cs="Arial" w:eastAsia="Arial" w:hAnsi="Arial"/>
                <w:sz w:val="9"/>
                <w:szCs w:val="9"/>
                <w:color w:val="auto"/>
              </w:rPr>
              <w:t>Asia</w:t>
            </w:r>
          </w:p>
        </w:tc>
        <w:tc>
          <w:tcPr>
            <w:tcW w:w="300" w:type="dxa"/>
            <w:vAlign w:val="bottom"/>
          </w:tcPr>
          <w:p>
            <w:pPr>
              <w:spacing w:after="0"/>
              <w:rPr>
                <w:sz w:val="9"/>
                <w:szCs w:val="9"/>
                <w:color w:val="auto"/>
              </w:rPr>
            </w:pPr>
          </w:p>
        </w:tc>
        <w:tc>
          <w:tcPr>
            <w:tcW w:w="620" w:type="dxa"/>
            <w:vAlign w:val="bottom"/>
          </w:tcPr>
          <w:p>
            <w:pPr>
              <w:jc w:val="right"/>
              <w:ind w:right="195"/>
              <w:spacing w:after="0"/>
              <w:rPr>
                <w:sz w:val="20"/>
                <w:szCs w:val="20"/>
                <w:color w:val="auto"/>
              </w:rPr>
            </w:pPr>
            <w:r>
              <w:rPr>
                <w:rFonts w:ascii="Arial" w:cs="Arial" w:eastAsia="Arial" w:hAnsi="Arial"/>
                <w:sz w:val="9"/>
                <w:szCs w:val="9"/>
                <w:color w:val="auto"/>
              </w:rPr>
              <w:t>Australia</w:t>
            </w:r>
          </w:p>
        </w:tc>
        <w:tc>
          <w:tcPr>
            <w:tcW w:w="340" w:type="dxa"/>
            <w:vAlign w:val="bottom"/>
          </w:tcPr>
          <w:p>
            <w:pPr>
              <w:spacing w:after="0"/>
              <w:rPr>
                <w:sz w:val="9"/>
                <w:szCs w:val="9"/>
                <w:color w:val="auto"/>
              </w:rPr>
            </w:pPr>
          </w:p>
        </w:tc>
        <w:tc>
          <w:tcPr>
            <w:tcW w:w="580" w:type="dxa"/>
            <w:vAlign w:val="bottom"/>
          </w:tcPr>
          <w:p>
            <w:pPr>
              <w:jc w:val="right"/>
              <w:ind w:right="195"/>
              <w:spacing w:after="0"/>
              <w:rPr>
                <w:sz w:val="20"/>
                <w:szCs w:val="20"/>
                <w:color w:val="auto"/>
              </w:rPr>
            </w:pPr>
            <w:r>
              <w:rPr>
                <w:rFonts w:ascii="Arial" w:cs="Arial" w:eastAsia="Arial" w:hAnsi="Arial"/>
                <w:sz w:val="9"/>
                <w:szCs w:val="9"/>
                <w:color w:val="auto"/>
              </w:rPr>
              <w:t>Europe</w:t>
            </w:r>
          </w:p>
        </w:tc>
        <w:tc>
          <w:tcPr>
            <w:tcW w:w="300" w:type="dxa"/>
            <w:vAlign w:val="bottom"/>
          </w:tcPr>
          <w:p>
            <w:pPr>
              <w:spacing w:after="0"/>
              <w:rPr>
                <w:sz w:val="9"/>
                <w:szCs w:val="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9"/>
                <w:szCs w:val="9"/>
                <w:color w:val="auto"/>
              </w:rPr>
              <w:t>Total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5"/>
              <w:spacing w:after="0"/>
              <w:rPr>
                <w:sz w:val="20"/>
                <w:szCs w:val="20"/>
                <w:color w:val="auto"/>
              </w:rPr>
            </w:pPr>
            <w:r>
              <w:rPr>
                <w:rFonts w:ascii="Arial" w:cs="Arial" w:eastAsia="Arial" w:hAnsi="Arial"/>
                <w:sz w:val="9"/>
                <w:szCs w:val="9"/>
                <w:color w:val="auto"/>
              </w:rPr>
              <w:t>TCO</w:t>
            </w:r>
          </w:p>
        </w:tc>
        <w:tc>
          <w:tcPr>
            <w:tcW w:w="460" w:type="dxa"/>
            <w:vAlign w:val="bottom"/>
          </w:tcPr>
          <w:p>
            <w:pPr>
              <w:spacing w:after="0"/>
              <w:rPr>
                <w:sz w:val="9"/>
                <w:szCs w:val="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9"/>
                <w:szCs w:val="9"/>
                <w:color w:val="auto"/>
              </w:rPr>
              <w:t>Other</w:t>
            </w:r>
          </w:p>
        </w:tc>
        <w:tc>
          <w:tcPr>
            <w:tcW w:w="28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w w:val="87"/>
              </w:rPr>
              <w:t>Companies</w:t>
            </w:r>
          </w:p>
        </w:tc>
        <w:tc>
          <w:tcPr>
            <w:tcW w:w="0" w:type="dxa"/>
            <w:vAlign w:val="bottom"/>
          </w:tcPr>
          <w:p>
            <w:pPr>
              <w:spacing w:after="0"/>
              <w:rPr>
                <w:sz w:val="1"/>
                <w:szCs w:val="1"/>
                <w:color w:val="auto"/>
              </w:rPr>
            </w:pPr>
          </w:p>
        </w:tc>
      </w:tr>
      <w:tr>
        <w:trPr>
          <w:trHeight w:val="84"/>
        </w:trPr>
        <w:tc>
          <w:tcPr>
            <w:tcW w:w="2000" w:type="dxa"/>
            <w:vAlign w:val="bottom"/>
            <w:tcBorders>
              <w:top w:val="single" w:sz="8" w:color="0077C0"/>
            </w:tcBorders>
            <w:gridSpan w:val="2"/>
          </w:tcPr>
          <w:p>
            <w:pPr>
              <w:spacing w:after="0" w:line="85" w:lineRule="exact"/>
              <w:rPr>
                <w:sz w:val="20"/>
                <w:szCs w:val="20"/>
                <w:color w:val="auto"/>
              </w:rPr>
            </w:pPr>
            <w:r>
              <w:rPr>
                <w:rFonts w:ascii="Arial" w:cs="Arial" w:eastAsia="Arial" w:hAnsi="Arial"/>
                <w:sz w:val="9"/>
                <w:szCs w:val="9"/>
                <w:b w:val="1"/>
                <w:bCs w:val="1"/>
                <w:color w:val="0077C0"/>
              </w:rPr>
              <w:t>At December 31, 2011</w:t>
            </w:r>
          </w:p>
        </w:tc>
        <w:tc>
          <w:tcPr>
            <w:tcW w:w="740" w:type="dxa"/>
            <w:vAlign w:val="bottom"/>
            <w:tcBorders>
              <w:top w:val="single" w:sz="8" w:color="0077C0"/>
            </w:tcBorders>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w:t>
            </w:r>
          </w:p>
        </w:tc>
        <w:tc>
          <w:tcPr>
            <w:tcW w:w="600" w:type="dxa"/>
            <w:vAlign w:val="bottom"/>
            <w:tcBorders>
              <w:top w:val="single" w:sz="8" w:color="0077C0"/>
            </w:tcBorders>
            <w:vMerge w:val="restart"/>
          </w:tcPr>
          <w:p>
            <w:pPr>
              <w:jc w:val="right"/>
              <w:ind w:right="195"/>
              <w:spacing w:after="0"/>
              <w:rPr>
                <w:sz w:val="20"/>
                <w:szCs w:val="20"/>
                <w:color w:val="auto"/>
              </w:rPr>
            </w:pPr>
            <w:r>
              <w:rPr>
                <w:rFonts w:ascii="Arial" w:cs="Arial" w:eastAsia="Arial" w:hAnsi="Arial"/>
                <w:sz w:val="9"/>
                <w:szCs w:val="9"/>
                <w:b w:val="1"/>
                <w:bCs w:val="1"/>
                <w:color w:val="auto"/>
              </w:rPr>
              <w:t>143,633</w:t>
            </w:r>
          </w:p>
        </w:tc>
        <w:tc>
          <w:tcPr>
            <w:tcW w:w="300" w:type="dxa"/>
            <w:vAlign w:val="bottom"/>
            <w:tcBorders>
              <w:top w:val="single" w:sz="8" w:color="0077C0"/>
            </w:tcBorders>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tcBorders>
              <w:top w:val="single" w:sz="8" w:color="0077C0"/>
            </w:tcBorders>
            <w:vMerge w:val="restart"/>
          </w:tcPr>
          <w:p>
            <w:pPr>
              <w:jc w:val="right"/>
              <w:ind w:right="195"/>
              <w:spacing w:after="0"/>
              <w:rPr>
                <w:sz w:val="20"/>
                <w:szCs w:val="20"/>
                <w:color w:val="auto"/>
              </w:rPr>
            </w:pPr>
            <w:r>
              <w:rPr>
                <w:rFonts w:ascii="Arial" w:cs="Arial" w:eastAsia="Arial" w:hAnsi="Arial"/>
                <w:sz w:val="9"/>
                <w:szCs w:val="9"/>
                <w:b w:val="1"/>
                <w:bCs w:val="1"/>
                <w:color w:val="auto"/>
              </w:rPr>
              <w:t>63,579</w:t>
            </w:r>
          </w:p>
        </w:tc>
        <w:tc>
          <w:tcPr>
            <w:tcW w:w="340" w:type="dxa"/>
            <w:vAlign w:val="bottom"/>
            <w:tcBorders>
              <w:top w:val="single" w:sz="8" w:color="0077C0"/>
            </w:tcBorders>
            <w:vMerge w:val="restart"/>
          </w:tcPr>
          <w:p>
            <w:pPr>
              <w:jc w:val="right"/>
              <w:ind w:right="35"/>
              <w:spacing w:after="0"/>
              <w:rPr>
                <w:sz w:val="20"/>
                <w:szCs w:val="20"/>
                <w:color w:val="auto"/>
              </w:rPr>
            </w:pPr>
            <w:r>
              <w:rPr>
                <w:rFonts w:ascii="Arial" w:cs="Arial" w:eastAsia="Arial" w:hAnsi="Arial"/>
                <w:sz w:val="9"/>
                <w:szCs w:val="9"/>
                <w:b w:val="1"/>
                <w:bCs w:val="1"/>
                <w:color w:val="auto"/>
              </w:rPr>
              <w:t>$</w:t>
            </w:r>
          </w:p>
        </w:tc>
        <w:tc>
          <w:tcPr>
            <w:tcW w:w="600" w:type="dxa"/>
            <w:vAlign w:val="bottom"/>
            <w:tcBorders>
              <w:top w:val="single" w:sz="8" w:color="0077C0"/>
            </w:tcBorders>
            <w:vMerge w:val="restart"/>
          </w:tcPr>
          <w:p>
            <w:pPr>
              <w:jc w:val="right"/>
              <w:ind w:right="215"/>
              <w:spacing w:after="0"/>
              <w:rPr>
                <w:sz w:val="20"/>
                <w:szCs w:val="20"/>
                <w:color w:val="auto"/>
              </w:rPr>
            </w:pPr>
            <w:r>
              <w:rPr>
                <w:rFonts w:ascii="Arial" w:cs="Arial" w:eastAsia="Arial" w:hAnsi="Arial"/>
                <w:sz w:val="9"/>
                <w:szCs w:val="9"/>
                <w:b w:val="1"/>
                <w:bCs w:val="1"/>
                <w:color w:val="auto"/>
                <w:w w:val="98"/>
              </w:rPr>
              <w:t>124,077</w:t>
            </w:r>
          </w:p>
        </w:tc>
        <w:tc>
          <w:tcPr>
            <w:tcW w:w="320" w:type="dxa"/>
            <w:vAlign w:val="bottom"/>
            <w:tcBorders>
              <w:top w:val="single" w:sz="8" w:color="0077C0"/>
            </w:tcBorders>
            <w:vMerge w:val="restart"/>
          </w:tcPr>
          <w:p>
            <w:pPr>
              <w:jc w:val="right"/>
              <w:ind w:right="15"/>
              <w:spacing w:after="0"/>
              <w:rPr>
                <w:sz w:val="20"/>
                <w:szCs w:val="20"/>
                <w:color w:val="auto"/>
              </w:rPr>
            </w:pPr>
            <w:r>
              <w:rPr>
                <w:rFonts w:ascii="Arial" w:cs="Arial" w:eastAsia="Arial" w:hAnsi="Arial"/>
                <w:sz w:val="9"/>
                <w:szCs w:val="9"/>
                <w:b w:val="1"/>
                <w:bCs w:val="1"/>
                <w:color w:val="auto"/>
              </w:rPr>
              <w:t>$</w:t>
            </w:r>
          </w:p>
        </w:tc>
        <w:tc>
          <w:tcPr>
            <w:tcW w:w="600" w:type="dxa"/>
            <w:vAlign w:val="bottom"/>
            <w:tcBorders>
              <w:top w:val="single" w:sz="8" w:color="0077C0"/>
            </w:tcBorders>
            <w:vMerge w:val="restart"/>
          </w:tcPr>
          <w:p>
            <w:pPr>
              <w:jc w:val="right"/>
              <w:ind w:right="215"/>
              <w:spacing w:after="0"/>
              <w:rPr>
                <w:sz w:val="20"/>
                <w:szCs w:val="20"/>
                <w:color w:val="auto"/>
              </w:rPr>
            </w:pPr>
            <w:r>
              <w:rPr>
                <w:rFonts w:ascii="Arial" w:cs="Arial" w:eastAsia="Arial" w:hAnsi="Arial"/>
                <w:sz w:val="9"/>
                <w:szCs w:val="9"/>
                <w:b w:val="1"/>
                <w:bCs w:val="1"/>
                <w:color w:val="auto"/>
                <w:w w:val="98"/>
              </w:rPr>
              <w:t>124,972</w:t>
            </w:r>
          </w:p>
        </w:tc>
        <w:tc>
          <w:tcPr>
            <w:tcW w:w="300" w:type="dxa"/>
            <w:vAlign w:val="bottom"/>
            <w:tcBorders>
              <w:top w:val="single" w:sz="8" w:color="0077C0"/>
            </w:tcBorders>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tcBorders>
              <w:top w:val="single" w:sz="8" w:color="0077C0"/>
            </w:tcBorders>
            <w:vMerge w:val="restart"/>
          </w:tcPr>
          <w:p>
            <w:pPr>
              <w:jc w:val="right"/>
              <w:ind w:right="195"/>
              <w:spacing w:after="0"/>
              <w:rPr>
                <w:sz w:val="20"/>
                <w:szCs w:val="20"/>
                <w:color w:val="auto"/>
              </w:rPr>
            </w:pPr>
            <w:r>
              <w:rPr>
                <w:rFonts w:ascii="Arial" w:cs="Arial" w:eastAsia="Arial" w:hAnsi="Arial"/>
                <w:sz w:val="9"/>
                <w:szCs w:val="9"/>
                <w:b w:val="1"/>
                <w:bCs w:val="1"/>
                <w:color w:val="auto"/>
              </w:rPr>
              <w:t>113,773</w:t>
            </w:r>
          </w:p>
        </w:tc>
        <w:tc>
          <w:tcPr>
            <w:tcW w:w="340" w:type="dxa"/>
            <w:vAlign w:val="bottom"/>
            <w:tcBorders>
              <w:top w:val="single" w:sz="8" w:color="0077C0"/>
            </w:tcBorders>
            <w:vMerge w:val="restart"/>
          </w:tcPr>
          <w:p>
            <w:pPr>
              <w:jc w:val="right"/>
              <w:ind w:right="35"/>
              <w:spacing w:after="0"/>
              <w:rPr>
                <w:sz w:val="20"/>
                <w:szCs w:val="20"/>
                <w:color w:val="auto"/>
              </w:rPr>
            </w:pPr>
            <w:r>
              <w:rPr>
                <w:rFonts w:ascii="Arial" w:cs="Arial" w:eastAsia="Arial" w:hAnsi="Arial"/>
                <w:sz w:val="9"/>
                <w:szCs w:val="9"/>
                <w:b w:val="1"/>
                <w:bCs w:val="1"/>
                <w:color w:val="auto"/>
              </w:rPr>
              <w:t>$</w:t>
            </w:r>
          </w:p>
        </w:tc>
        <w:tc>
          <w:tcPr>
            <w:tcW w:w="580" w:type="dxa"/>
            <w:vAlign w:val="bottom"/>
            <w:tcBorders>
              <w:top w:val="single" w:sz="8" w:color="0077C0"/>
            </w:tcBorders>
            <w:vMerge w:val="restart"/>
          </w:tcPr>
          <w:p>
            <w:pPr>
              <w:jc w:val="right"/>
              <w:ind w:right="195"/>
              <w:spacing w:after="0"/>
              <w:rPr>
                <w:sz w:val="20"/>
                <w:szCs w:val="20"/>
                <w:color w:val="auto"/>
              </w:rPr>
            </w:pPr>
            <w:r>
              <w:rPr>
                <w:rFonts w:ascii="Arial" w:cs="Arial" w:eastAsia="Arial" w:hAnsi="Arial"/>
                <w:sz w:val="9"/>
                <w:szCs w:val="9"/>
                <w:b w:val="1"/>
                <w:bCs w:val="1"/>
                <w:color w:val="auto"/>
              </w:rPr>
              <w:t>19,704</w:t>
            </w:r>
          </w:p>
        </w:tc>
        <w:tc>
          <w:tcPr>
            <w:tcW w:w="300" w:type="dxa"/>
            <w:vAlign w:val="bottom"/>
            <w:tcBorders>
              <w:top w:val="single" w:sz="8" w:color="0077C0"/>
            </w:tcBorders>
            <w:vMerge w:val="restart"/>
          </w:tcPr>
          <w:p>
            <w:pPr>
              <w:jc w:val="center"/>
              <w:ind w:left="135"/>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0077C0"/>
            </w:tcBorders>
            <w:gridSpan w:val="2"/>
            <w:vMerge w:val="restart"/>
          </w:tcPr>
          <w:p>
            <w:pPr>
              <w:jc w:val="right"/>
              <w:ind w:right="240"/>
              <w:spacing w:after="0"/>
              <w:rPr>
                <w:sz w:val="20"/>
                <w:szCs w:val="20"/>
                <w:color w:val="auto"/>
              </w:rPr>
            </w:pPr>
            <w:r>
              <w:rPr>
                <w:rFonts w:ascii="Arial" w:cs="Arial" w:eastAsia="Arial" w:hAnsi="Arial"/>
                <w:sz w:val="9"/>
                <w:szCs w:val="9"/>
                <w:b w:val="1"/>
                <w:bCs w:val="1"/>
                <w:color w:val="auto"/>
              </w:rPr>
              <w:t>589,738</w:t>
            </w:r>
          </w:p>
        </w:tc>
        <w:tc>
          <w:tcPr>
            <w:tcW w:w="320" w:type="dxa"/>
            <w:vAlign w:val="bottom"/>
            <w:tcBorders>
              <w:top w:val="single" w:sz="8" w:color="0077C0"/>
            </w:tcBorders>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0077C0"/>
            </w:tcBorders>
            <w:vMerge w:val="restart"/>
          </w:tcPr>
          <w:p>
            <w:pPr>
              <w:jc w:val="right"/>
              <w:ind w:right="35"/>
              <w:spacing w:after="0"/>
              <w:rPr>
                <w:sz w:val="20"/>
                <w:szCs w:val="20"/>
                <w:color w:val="auto"/>
              </w:rPr>
            </w:pPr>
            <w:r>
              <w:rPr>
                <w:rFonts w:ascii="Arial" w:cs="Arial" w:eastAsia="Arial" w:hAnsi="Arial"/>
                <w:sz w:val="9"/>
                <w:szCs w:val="9"/>
                <w:b w:val="1"/>
                <w:bCs w:val="1"/>
                <w:color w:val="auto"/>
                <w:w w:val="98"/>
              </w:rPr>
              <w:t>171,588</w:t>
            </w:r>
          </w:p>
        </w:tc>
        <w:tc>
          <w:tcPr>
            <w:tcW w:w="460" w:type="dxa"/>
            <w:vAlign w:val="bottom"/>
            <w:tcBorders>
              <w:top w:val="single" w:sz="8" w:color="0077C0"/>
            </w:tcBorders>
            <w:vMerge w:val="restart"/>
          </w:tcPr>
          <w:p>
            <w:pPr>
              <w:jc w:val="right"/>
              <w:ind w:right="15"/>
              <w:spacing w:after="0"/>
              <w:rPr>
                <w:sz w:val="20"/>
                <w:szCs w:val="20"/>
                <w:color w:val="auto"/>
              </w:rPr>
            </w:pPr>
            <w:r>
              <w:rPr>
                <w:rFonts w:ascii="Arial" w:cs="Arial" w:eastAsia="Arial" w:hAnsi="Arial"/>
                <w:sz w:val="9"/>
                <w:szCs w:val="9"/>
                <w:b w:val="1"/>
                <w:bCs w:val="1"/>
                <w:color w:val="auto"/>
              </w:rPr>
              <w:t>$</w:t>
            </w:r>
          </w:p>
        </w:tc>
        <w:tc>
          <w:tcPr>
            <w:tcW w:w="580" w:type="dxa"/>
            <w:vAlign w:val="bottom"/>
            <w:tcBorders>
              <w:top w:val="single" w:sz="8" w:color="0077C0"/>
            </w:tcBorders>
            <w:gridSpan w:val="2"/>
            <w:vMerge w:val="restart"/>
          </w:tcPr>
          <w:p>
            <w:pPr>
              <w:jc w:val="right"/>
              <w:ind w:right="240"/>
              <w:spacing w:after="0"/>
              <w:rPr>
                <w:sz w:val="20"/>
                <w:szCs w:val="20"/>
                <w:color w:val="auto"/>
              </w:rPr>
            </w:pPr>
            <w:r>
              <w:rPr>
                <w:rFonts w:ascii="Arial" w:cs="Arial" w:eastAsia="Arial" w:hAnsi="Arial"/>
                <w:sz w:val="9"/>
                <w:szCs w:val="9"/>
                <w:b w:val="1"/>
                <w:bCs w:val="1"/>
                <w:color w:val="auto"/>
              </w:rPr>
              <w:t>42,212</w:t>
            </w:r>
          </w:p>
        </w:tc>
        <w:tc>
          <w:tcPr>
            <w:tcW w:w="280" w:type="dxa"/>
            <w:vAlign w:val="bottom"/>
            <w:tcBorders>
              <w:top w:val="single" w:sz="8" w:color="0077C0"/>
            </w:tcBorders>
            <w:vMerge w:val="restart"/>
          </w:tcPr>
          <w:p>
            <w:pPr>
              <w:ind w:left="200"/>
              <w:spacing w:after="0"/>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0077C0"/>
            </w:tcBorders>
            <w:vMerge w:val="restart"/>
          </w:tcPr>
          <w:p>
            <w:pPr>
              <w:jc w:val="center"/>
              <w:ind w:left="95"/>
              <w:spacing w:after="0"/>
              <w:rPr>
                <w:sz w:val="20"/>
                <w:szCs w:val="20"/>
                <w:color w:val="auto"/>
              </w:rPr>
            </w:pPr>
            <w:r>
              <w:rPr>
                <w:rFonts w:ascii="Arial" w:cs="Arial" w:eastAsia="Arial" w:hAnsi="Arial"/>
                <w:sz w:val="9"/>
                <w:szCs w:val="9"/>
                <w:b w:val="1"/>
                <w:bCs w:val="1"/>
                <w:color w:val="auto"/>
                <w:w w:val="85"/>
              </w:rPr>
              <w:t>803,538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00" w:type="dxa"/>
            <w:vAlign w:val="bottom"/>
            <w:gridSpan w:val="2"/>
          </w:tcPr>
          <w:p>
            <w:pPr>
              <w:spacing w:after="0" w:line="94" w:lineRule="exact"/>
              <w:rPr>
                <w:sz w:val="20"/>
                <w:szCs w:val="20"/>
                <w:color w:val="auto"/>
              </w:rPr>
            </w:pPr>
            <w:r>
              <w:rPr>
                <w:rFonts w:ascii="Arial" w:cs="Arial" w:eastAsia="Arial" w:hAnsi="Arial"/>
                <w:sz w:val="9"/>
                <w:szCs w:val="9"/>
                <w:color w:val="auto"/>
              </w:rPr>
              <w:t>Future cash inflows from production</w:t>
            </w:r>
            <w:r>
              <w:rPr>
                <w:rFonts w:ascii="Arial" w:cs="Arial" w:eastAsia="Arial" w:hAnsi="Arial"/>
                <w:sz w:val="7"/>
                <w:szCs w:val="7"/>
                <w:color w:val="auto"/>
              </w:rPr>
              <w:t>1</w:t>
            </w:r>
          </w:p>
        </w:tc>
        <w:tc>
          <w:tcPr>
            <w:tcW w:w="7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production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b w:val="1"/>
                <w:bCs w:val="1"/>
                <w:color w:val="auto"/>
              </w:rPr>
              <w:t>(39,523)</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b w:val="1"/>
                <w:bCs w:val="1"/>
                <w:color w:val="auto"/>
              </w:rPr>
              <w:t>(22,856)</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(22,703)</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(35,579)</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(15,411)</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(7,467)</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b w:val="1"/>
                <w:bCs w:val="1"/>
                <w:color w:val="auto"/>
                <w:w w:val="98"/>
              </w:rPr>
              <w:t>(143,539)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b w:val="1"/>
                <w:bCs w:val="1"/>
                <w:color w:val="auto"/>
              </w:rPr>
              <w:t>(7,976)</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b w:val="1"/>
                <w:bCs w:val="1"/>
                <w:color w:val="auto"/>
              </w:rPr>
              <w:t>(19,430)</w:t>
            </w:r>
          </w:p>
        </w:tc>
        <w:tc>
          <w:tcPr>
            <w:tcW w:w="280" w:type="dxa"/>
            <w:vAlign w:val="bottom"/>
          </w:tcPr>
          <w:p>
            <w:pPr>
              <w:spacing w:after="0"/>
              <w:rPr>
                <w:sz w:val="8"/>
                <w:szCs w:val="8"/>
                <w:color w:val="auto"/>
              </w:rPr>
            </w:pPr>
          </w:p>
        </w:tc>
        <w:tc>
          <w:tcPr>
            <w:tcW w:w="460" w:type="dxa"/>
            <w:vAlign w:val="bottom"/>
            <w:gridSpan w:val="2"/>
          </w:tcPr>
          <w:p>
            <w:pPr>
              <w:jc w:val="center"/>
              <w:ind w:left="55"/>
              <w:spacing w:after="0" w:line="96" w:lineRule="exact"/>
              <w:rPr>
                <w:sz w:val="20"/>
                <w:szCs w:val="20"/>
                <w:color w:val="auto"/>
              </w:rPr>
            </w:pPr>
            <w:r>
              <w:rPr>
                <w:rFonts w:ascii="Arial" w:cs="Arial" w:eastAsia="Arial" w:hAnsi="Arial"/>
                <w:sz w:val="9"/>
                <w:szCs w:val="9"/>
                <w:b w:val="1"/>
                <w:bCs w:val="1"/>
                <w:color w:val="auto"/>
                <w:w w:val="93"/>
              </w:rPr>
              <w:t>(170,945)</w:t>
            </w: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development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b w:val="1"/>
                <w:bCs w:val="1"/>
                <w:color w:val="auto"/>
              </w:rPr>
              <w:t>(11,272)</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b w:val="1"/>
                <w:bCs w:val="1"/>
                <w:color w:val="auto"/>
              </w:rPr>
              <w:t>(9,345)</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(10,695)</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(15,035)</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(29,489)</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b w:val="1"/>
                <w:bCs w:val="1"/>
                <w:color w:val="auto"/>
              </w:rPr>
              <w:t>(676)</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b w:val="1"/>
                <w:bCs w:val="1"/>
                <w:color w:val="auto"/>
              </w:rPr>
              <w:t>(76,512)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b w:val="1"/>
                <w:bCs w:val="1"/>
                <w:color w:val="auto"/>
              </w:rPr>
              <w:t>(10,778)</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b w:val="1"/>
                <w:bCs w:val="1"/>
                <w:color w:val="auto"/>
              </w:rPr>
              <w:t>(2,836)</w:t>
            </w:r>
          </w:p>
        </w:tc>
        <w:tc>
          <w:tcPr>
            <w:tcW w:w="280" w:type="dxa"/>
            <w:vAlign w:val="bottom"/>
          </w:tcPr>
          <w:p>
            <w:pPr>
              <w:spacing w:after="0"/>
              <w:rPr>
                <w:sz w:val="8"/>
                <w:szCs w:val="8"/>
                <w:color w:val="auto"/>
              </w:rPr>
            </w:pPr>
          </w:p>
        </w:tc>
        <w:tc>
          <w:tcPr>
            <w:tcW w:w="460" w:type="dxa"/>
            <w:vAlign w:val="bottom"/>
            <w:gridSpan w:val="2"/>
          </w:tcPr>
          <w:p>
            <w:pPr>
              <w:jc w:val="center"/>
              <w:ind w:left="95"/>
              <w:spacing w:after="0" w:line="96" w:lineRule="exact"/>
              <w:rPr>
                <w:sz w:val="20"/>
                <w:szCs w:val="20"/>
                <w:color w:val="auto"/>
              </w:rPr>
            </w:pPr>
            <w:r>
              <w:rPr>
                <w:rFonts w:ascii="Arial" w:cs="Arial" w:eastAsia="Arial" w:hAnsi="Arial"/>
                <w:sz w:val="9"/>
                <w:szCs w:val="9"/>
                <w:b w:val="1"/>
                <w:bCs w:val="1"/>
                <w:color w:val="auto"/>
                <w:w w:val="95"/>
              </w:rPr>
              <w:t>(90,126)</w:t>
            </w:r>
          </w:p>
        </w:tc>
        <w:tc>
          <w:tcPr>
            <w:tcW w:w="0" w:type="dxa"/>
            <w:vAlign w:val="bottom"/>
          </w:tcPr>
          <w:p>
            <w:pPr>
              <w:spacing w:after="0"/>
              <w:rPr>
                <w:sz w:val="1"/>
                <w:szCs w:val="1"/>
                <w:color w:val="auto"/>
              </w:rPr>
            </w:pPr>
          </w:p>
        </w:tc>
      </w:tr>
      <w:tr>
        <w:trPr>
          <w:trHeight w:val="109"/>
        </w:trPr>
        <w:tc>
          <w:tcPr>
            <w:tcW w:w="2000" w:type="dxa"/>
            <w:vAlign w:val="bottom"/>
            <w:gridSpan w:val="2"/>
          </w:tcPr>
          <w:p>
            <w:pPr>
              <w:spacing w:after="0"/>
              <w:rPr>
                <w:sz w:val="20"/>
                <w:szCs w:val="20"/>
                <w:color w:val="auto"/>
              </w:rPr>
            </w:pPr>
            <w:r>
              <w:rPr>
                <w:rFonts w:ascii="Arial" w:cs="Arial" w:eastAsia="Arial" w:hAnsi="Arial"/>
                <w:sz w:val="9"/>
                <w:szCs w:val="9"/>
                <w:color w:val="auto"/>
              </w:rPr>
              <w:t>Future income taxes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55"/>
              <w:spacing w:after="0"/>
              <w:rPr>
                <w:sz w:val="20"/>
                <w:szCs w:val="20"/>
                <w:color w:val="auto"/>
              </w:rPr>
            </w:pPr>
            <w:r>
              <w:rPr>
                <w:rFonts w:ascii="Arial" w:cs="Arial" w:eastAsia="Arial" w:hAnsi="Arial"/>
                <w:sz w:val="9"/>
                <w:szCs w:val="9"/>
                <w:b w:val="1"/>
                <w:bCs w:val="1"/>
                <w:color w:val="auto"/>
              </w:rPr>
              <w:t>(34,050)</w:t>
            </w:r>
          </w:p>
        </w:tc>
        <w:tc>
          <w:tcPr>
            <w:tcW w:w="30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Arial" w:cs="Arial" w:eastAsia="Arial" w:hAnsi="Arial"/>
                <w:sz w:val="9"/>
                <w:szCs w:val="9"/>
                <w:b w:val="1"/>
                <w:bCs w:val="1"/>
                <w:color w:val="auto"/>
              </w:rPr>
              <w:t>(9,121)</w:t>
            </w:r>
          </w:p>
        </w:tc>
        <w:tc>
          <w:tcPr>
            <w:tcW w:w="34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b w:val="1"/>
                <w:bCs w:val="1"/>
                <w:color w:val="auto"/>
              </w:rPr>
              <w:t>(53,103)</w:t>
            </w:r>
          </w:p>
        </w:tc>
        <w:tc>
          <w:tcPr>
            <w:tcW w:w="32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b w:val="1"/>
                <w:bCs w:val="1"/>
                <w:color w:val="auto"/>
              </w:rPr>
              <w:t>(33,884)</w:t>
            </w:r>
          </w:p>
        </w:tc>
        <w:tc>
          <w:tcPr>
            <w:tcW w:w="300" w:type="dxa"/>
            <w:vAlign w:val="bottom"/>
          </w:tcPr>
          <w:p>
            <w:pPr>
              <w:spacing w:after="0"/>
              <w:rPr>
                <w:sz w:val="9"/>
                <w:szCs w:val="9"/>
                <w:color w:val="auto"/>
              </w:rPr>
            </w:pPr>
          </w:p>
        </w:tc>
        <w:tc>
          <w:tcPr>
            <w:tcW w:w="620" w:type="dxa"/>
            <w:vAlign w:val="bottom"/>
          </w:tcPr>
          <w:p>
            <w:pPr>
              <w:jc w:val="right"/>
              <w:ind w:right="175"/>
              <w:spacing w:after="0"/>
              <w:rPr>
                <w:sz w:val="20"/>
                <w:szCs w:val="20"/>
                <w:color w:val="auto"/>
              </w:rPr>
            </w:pPr>
            <w:r>
              <w:rPr>
                <w:rFonts w:ascii="Arial" w:cs="Arial" w:eastAsia="Arial" w:hAnsi="Arial"/>
                <w:sz w:val="9"/>
                <w:szCs w:val="9"/>
                <w:b w:val="1"/>
                <w:bCs w:val="1"/>
                <w:color w:val="auto"/>
              </w:rPr>
              <w:t>(20,661)</w:t>
            </w:r>
          </w:p>
        </w:tc>
        <w:tc>
          <w:tcPr>
            <w:tcW w:w="340" w:type="dxa"/>
            <w:vAlign w:val="bottom"/>
          </w:tcPr>
          <w:p>
            <w:pPr>
              <w:spacing w:after="0"/>
              <w:rPr>
                <w:sz w:val="9"/>
                <w:szCs w:val="9"/>
                <w:color w:val="auto"/>
              </w:rPr>
            </w:pPr>
          </w:p>
        </w:tc>
        <w:tc>
          <w:tcPr>
            <w:tcW w:w="580" w:type="dxa"/>
            <w:vAlign w:val="bottom"/>
          </w:tcPr>
          <w:p>
            <w:pPr>
              <w:jc w:val="right"/>
              <w:ind w:right="175"/>
              <w:spacing w:after="0"/>
              <w:rPr>
                <w:sz w:val="20"/>
                <w:szCs w:val="20"/>
                <w:color w:val="auto"/>
              </w:rPr>
            </w:pPr>
            <w:r>
              <w:rPr>
                <w:rFonts w:ascii="Arial" w:cs="Arial" w:eastAsia="Arial" w:hAnsi="Arial"/>
                <w:sz w:val="9"/>
                <w:szCs w:val="9"/>
                <w:b w:val="1"/>
                <w:bCs w:val="1"/>
                <w:color w:val="auto"/>
              </w:rPr>
              <w:t>(7,229)</w:t>
            </w:r>
          </w:p>
        </w:tc>
        <w:tc>
          <w:tcPr>
            <w:tcW w:w="300" w:type="dxa"/>
            <w:vAlign w:val="bottom"/>
          </w:tcPr>
          <w:p>
            <w:pPr>
              <w:spacing w:after="0"/>
              <w:rPr>
                <w:sz w:val="9"/>
                <w:szCs w:val="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8"/>
              </w:rPr>
              <w:t>(158,048)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b w:val="1"/>
                <w:bCs w:val="1"/>
                <w:color w:val="auto"/>
              </w:rPr>
              <w:t>(43,176)</w:t>
            </w:r>
          </w:p>
        </w:tc>
        <w:tc>
          <w:tcPr>
            <w:tcW w:w="46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(10,833)</w:t>
            </w:r>
          </w:p>
        </w:tc>
        <w:tc>
          <w:tcPr>
            <w:tcW w:w="280" w:type="dxa"/>
            <w:vAlign w:val="bottom"/>
          </w:tcPr>
          <w:p>
            <w:pPr>
              <w:spacing w:after="0"/>
              <w:rPr>
                <w:sz w:val="9"/>
                <w:szCs w:val="9"/>
                <w:color w:val="auto"/>
              </w:rPr>
            </w:pPr>
          </w:p>
        </w:tc>
        <w:tc>
          <w:tcPr>
            <w:tcW w:w="460" w:type="dxa"/>
            <w:vAlign w:val="bottom"/>
            <w:gridSpan w:val="2"/>
          </w:tcPr>
          <w:p>
            <w:pPr>
              <w:jc w:val="center"/>
              <w:ind w:left="55"/>
              <w:spacing w:after="0"/>
              <w:rPr>
                <w:sz w:val="20"/>
                <w:szCs w:val="20"/>
                <w:color w:val="auto"/>
              </w:rPr>
            </w:pPr>
            <w:r>
              <w:rPr>
                <w:rFonts w:ascii="Arial" w:cs="Arial" w:eastAsia="Arial" w:hAnsi="Arial"/>
                <w:sz w:val="9"/>
                <w:szCs w:val="9"/>
                <w:b w:val="1"/>
                <w:bCs w:val="1"/>
                <w:color w:val="auto"/>
                <w:w w:val="93"/>
              </w:rPr>
              <w:t>(212,057)</w:t>
            </w:r>
          </w:p>
        </w:tc>
        <w:tc>
          <w:tcPr>
            <w:tcW w:w="0" w:type="dxa"/>
            <w:vAlign w:val="bottom"/>
          </w:tcPr>
          <w:p>
            <w:pPr>
              <w:spacing w:after="0"/>
              <w:rPr>
                <w:sz w:val="1"/>
                <w:szCs w:val="1"/>
                <w:color w:val="auto"/>
              </w:rPr>
            </w:pPr>
          </w:p>
        </w:tc>
      </w:tr>
      <w:tr>
        <w:trPr>
          <w:trHeight w:val="84"/>
        </w:trPr>
        <w:tc>
          <w:tcPr>
            <w:tcW w:w="2000" w:type="dxa"/>
            <w:vAlign w:val="bottom"/>
            <w:tcBorders>
              <w:top w:val="single" w:sz="8" w:color="0077C0"/>
            </w:tcBorders>
            <w:gridSpan w:val="2"/>
          </w:tcPr>
          <w:p>
            <w:pPr>
              <w:spacing w:after="0" w:line="85" w:lineRule="exact"/>
              <w:rPr>
                <w:sz w:val="20"/>
                <w:szCs w:val="20"/>
                <w:color w:val="auto"/>
              </w:rPr>
            </w:pPr>
            <w:r>
              <w:rPr>
                <w:rFonts w:ascii="Arial" w:cs="Arial" w:eastAsia="Arial" w:hAnsi="Arial"/>
                <w:sz w:val="9"/>
                <w:szCs w:val="9"/>
                <w:color w:val="auto"/>
              </w:rPr>
              <w:t>Undiscounted future net cash flows</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b w:val="1"/>
                <w:bCs w:val="1"/>
                <w:color w:val="auto"/>
              </w:rPr>
              <w:t>58,788</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b w:val="1"/>
                <w:bCs w:val="1"/>
                <w:color w:val="auto"/>
              </w:rPr>
              <w:t>22,257</w:t>
            </w: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b w:val="1"/>
                <w:bCs w:val="1"/>
                <w:color w:val="auto"/>
              </w:rPr>
              <w:t>37,576</w:t>
            </w: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b w:val="1"/>
                <w:bCs w:val="1"/>
                <w:color w:val="auto"/>
              </w:rPr>
              <w:t>40,474</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b w:val="1"/>
                <w:bCs w:val="1"/>
                <w:color w:val="auto"/>
              </w:rPr>
              <w:t>48,212</w:t>
            </w: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b w:val="1"/>
                <w:bCs w:val="1"/>
                <w:color w:val="auto"/>
              </w:rPr>
              <w:t>4,332</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gridSpan w:val="2"/>
          </w:tcPr>
          <w:p>
            <w:pPr>
              <w:jc w:val="right"/>
              <w:ind w:right="240"/>
              <w:spacing w:after="0" w:line="85" w:lineRule="exact"/>
              <w:rPr>
                <w:sz w:val="20"/>
                <w:szCs w:val="20"/>
                <w:color w:val="auto"/>
              </w:rPr>
            </w:pPr>
            <w:r>
              <w:rPr>
                <w:rFonts w:ascii="Arial" w:cs="Arial" w:eastAsia="Arial" w:hAnsi="Arial"/>
                <w:sz w:val="9"/>
                <w:szCs w:val="9"/>
                <w:b w:val="1"/>
                <w:bCs w:val="1"/>
                <w:color w:val="auto"/>
              </w:rPr>
              <w:t>211,639</w:t>
            </w: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35"/>
              <w:spacing w:after="0" w:line="85" w:lineRule="exact"/>
              <w:rPr>
                <w:sz w:val="20"/>
                <w:szCs w:val="20"/>
                <w:color w:val="auto"/>
              </w:rPr>
            </w:pPr>
            <w:r>
              <w:rPr>
                <w:rFonts w:ascii="Arial" w:cs="Arial" w:eastAsia="Arial" w:hAnsi="Arial"/>
                <w:sz w:val="9"/>
                <w:szCs w:val="9"/>
                <w:b w:val="1"/>
                <w:bCs w:val="1"/>
                <w:color w:val="auto"/>
                <w:w w:val="98"/>
              </w:rPr>
              <w:t>109,658</w:t>
            </w:r>
          </w:p>
        </w:tc>
        <w:tc>
          <w:tcPr>
            <w:tcW w:w="46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b w:val="1"/>
                <w:bCs w:val="1"/>
                <w:color w:val="auto"/>
              </w:rPr>
              <w:t>9,113</w:t>
            </w:r>
          </w:p>
        </w:tc>
        <w:tc>
          <w:tcPr>
            <w:tcW w:w="2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center"/>
              <w:ind w:left="95"/>
              <w:spacing w:after="0" w:line="85" w:lineRule="exact"/>
              <w:rPr>
                <w:sz w:val="20"/>
                <w:szCs w:val="20"/>
                <w:color w:val="auto"/>
              </w:rPr>
            </w:pPr>
            <w:r>
              <w:rPr>
                <w:rFonts w:ascii="Arial" w:cs="Arial" w:eastAsia="Arial" w:hAnsi="Arial"/>
                <w:sz w:val="9"/>
                <w:szCs w:val="9"/>
                <w:b w:val="1"/>
                <w:bCs w:val="1"/>
                <w:color w:val="auto"/>
                <w:w w:val="85"/>
              </w:rPr>
              <w:t>330,410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10 percent midyear annual discount</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(25,013)</w:t>
            </w:r>
          </w:p>
        </w:tc>
        <w:tc>
          <w:tcPr>
            <w:tcW w:w="300" w:type="dxa"/>
            <w:vAlign w:val="bottom"/>
          </w:tcPr>
          <w:p>
            <w:pPr>
              <w:spacing w:after="0"/>
              <w:rPr>
                <w:sz w:val="8"/>
                <w:szCs w:val="8"/>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(15,082)</w:t>
            </w:r>
          </w:p>
        </w:tc>
        <w:tc>
          <w:tcPr>
            <w:tcW w:w="340" w:type="dxa"/>
            <w:vAlign w:val="bottom"/>
          </w:tcPr>
          <w:p>
            <w:pPr>
              <w:spacing w:after="0"/>
              <w:rPr>
                <w:sz w:val="8"/>
                <w:szCs w:val="8"/>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(13,801)</w:t>
            </w:r>
          </w:p>
        </w:tc>
        <w:tc>
          <w:tcPr>
            <w:tcW w:w="320" w:type="dxa"/>
            <w:vAlign w:val="bottom"/>
          </w:tcPr>
          <w:p>
            <w:pPr>
              <w:spacing w:after="0"/>
              <w:rPr>
                <w:sz w:val="8"/>
                <w:szCs w:val="8"/>
                <w:color w:val="auto"/>
              </w:rPr>
            </w:pPr>
          </w:p>
        </w:tc>
        <w:tc>
          <w:tcPr>
            <w:tcW w:w="60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(14,627)</w:t>
            </w:r>
          </w:p>
        </w:tc>
        <w:tc>
          <w:tcPr>
            <w:tcW w:w="300" w:type="dxa"/>
            <w:vAlign w:val="bottom"/>
          </w:tcPr>
          <w:p>
            <w:pPr>
              <w:spacing w:after="0"/>
              <w:rPr>
                <w:sz w:val="8"/>
                <w:szCs w:val="8"/>
                <w:color w:val="auto"/>
              </w:rPr>
            </w:pPr>
          </w:p>
        </w:tc>
        <w:tc>
          <w:tcPr>
            <w:tcW w:w="62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(35,051)</w:t>
            </w:r>
          </w:p>
        </w:tc>
        <w:tc>
          <w:tcPr>
            <w:tcW w:w="340" w:type="dxa"/>
            <w:vAlign w:val="bottom"/>
          </w:tcPr>
          <w:p>
            <w:pPr>
              <w:spacing w:after="0"/>
              <w:rPr>
                <w:sz w:val="8"/>
                <w:szCs w:val="8"/>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9"/>
                <w:szCs w:val="9"/>
                <w:b w:val="1"/>
                <w:bCs w:val="1"/>
                <w:color w:val="auto"/>
              </w:rPr>
              <w:t>(1,117)</w:t>
            </w:r>
          </w:p>
        </w:tc>
        <w:tc>
          <w:tcPr>
            <w:tcW w:w="300" w:type="dxa"/>
            <w:vAlign w:val="bottom"/>
          </w:tcPr>
          <w:p>
            <w:pPr>
              <w:spacing w:after="0"/>
              <w:rPr>
                <w:sz w:val="8"/>
                <w:szCs w:val="8"/>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9"/>
                <w:szCs w:val="9"/>
                <w:b w:val="1"/>
                <w:bCs w:val="1"/>
                <w:color w:val="auto"/>
                <w:w w:val="98"/>
              </w:rPr>
              <w:t>(104,691)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restart"/>
          </w:tcPr>
          <w:p>
            <w:pPr>
              <w:jc w:val="right"/>
              <w:ind w:right="15"/>
              <w:spacing w:after="0"/>
              <w:rPr>
                <w:sz w:val="20"/>
                <w:szCs w:val="20"/>
                <w:color w:val="auto"/>
              </w:rPr>
            </w:pPr>
            <w:r>
              <w:rPr>
                <w:rFonts w:ascii="Arial" w:cs="Arial" w:eastAsia="Arial" w:hAnsi="Arial"/>
                <w:sz w:val="9"/>
                <w:szCs w:val="9"/>
                <w:b w:val="1"/>
                <w:bCs w:val="1"/>
                <w:color w:val="auto"/>
              </w:rPr>
              <w:t>(61,675)</w:t>
            </w:r>
          </w:p>
        </w:tc>
        <w:tc>
          <w:tcPr>
            <w:tcW w:w="460" w:type="dxa"/>
            <w:vAlign w:val="bottom"/>
          </w:tcPr>
          <w:p>
            <w:pPr>
              <w:spacing w:after="0"/>
              <w:rPr>
                <w:sz w:val="8"/>
                <w:szCs w:val="8"/>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9"/>
                <w:szCs w:val="9"/>
                <w:b w:val="1"/>
                <w:bCs w:val="1"/>
                <w:color w:val="auto"/>
              </w:rPr>
              <w:t>(4,883)</w:t>
            </w:r>
          </w:p>
        </w:tc>
        <w:tc>
          <w:tcPr>
            <w:tcW w:w="280" w:type="dxa"/>
            <w:vAlign w:val="bottom"/>
          </w:tcPr>
          <w:p>
            <w:pPr>
              <w:spacing w:after="0"/>
              <w:rPr>
                <w:sz w:val="8"/>
                <w:szCs w:val="8"/>
                <w:color w:val="auto"/>
              </w:rPr>
            </w:pPr>
          </w:p>
        </w:tc>
        <w:tc>
          <w:tcPr>
            <w:tcW w:w="460" w:type="dxa"/>
            <w:vAlign w:val="bottom"/>
            <w:gridSpan w:val="2"/>
            <w:vMerge w:val="restart"/>
          </w:tcPr>
          <w:p>
            <w:pPr>
              <w:jc w:val="center"/>
              <w:ind w:left="55"/>
              <w:spacing w:after="0"/>
              <w:rPr>
                <w:sz w:val="20"/>
                <w:szCs w:val="20"/>
                <w:color w:val="auto"/>
              </w:rPr>
            </w:pPr>
            <w:r>
              <w:rPr>
                <w:rFonts w:ascii="Arial" w:cs="Arial" w:eastAsia="Arial" w:hAnsi="Arial"/>
                <w:sz w:val="9"/>
                <w:szCs w:val="9"/>
                <w:b w:val="1"/>
                <w:bCs w:val="1"/>
                <w:color w:val="auto"/>
                <w:w w:val="93"/>
              </w:rPr>
              <w:t>(171,249)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tcPr>
          <w:p>
            <w:pPr>
              <w:ind w:left="120"/>
              <w:spacing w:after="0"/>
              <w:rPr>
                <w:sz w:val="20"/>
                <w:szCs w:val="20"/>
                <w:color w:val="auto"/>
              </w:rPr>
            </w:pPr>
            <w:r>
              <w:rPr>
                <w:rFonts w:ascii="Arial" w:cs="Arial" w:eastAsia="Arial" w:hAnsi="Arial"/>
                <w:sz w:val="9"/>
                <w:szCs w:val="9"/>
                <w:color w:val="auto"/>
              </w:rPr>
              <w:t>for timing of estimated cash flows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980" w:type="dxa"/>
            <w:vAlign w:val="bottom"/>
            <w:tcBorders>
              <w:top w:val="single" w:sz="8" w:color="0077C0"/>
            </w:tcBorders>
          </w:tcPr>
          <w:p>
            <w:pPr>
              <w:spacing w:after="0" w:line="82" w:lineRule="exact"/>
              <w:rPr>
                <w:sz w:val="20"/>
                <w:szCs w:val="20"/>
                <w:color w:val="auto"/>
              </w:rPr>
            </w:pPr>
            <w:r>
              <w:rPr>
                <w:rFonts w:ascii="Arial" w:cs="Arial" w:eastAsia="Arial" w:hAnsi="Arial"/>
                <w:sz w:val="9"/>
                <w:szCs w:val="9"/>
                <w:b w:val="1"/>
                <w:bCs w:val="1"/>
                <w:color w:val="0077C0"/>
              </w:rPr>
              <w:t>Standardized Measure</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Borders>
              <w:bottom w:val="single" w:sz="8" w:color="0077C0"/>
            </w:tcBorders>
          </w:tcPr>
          <w:p>
            <w:pPr>
              <w:ind w:left="120"/>
              <w:spacing w:after="0"/>
              <w:rPr>
                <w:sz w:val="20"/>
                <w:szCs w:val="20"/>
                <w:color w:val="auto"/>
              </w:rPr>
            </w:pPr>
            <w:r>
              <w:rPr>
                <w:rFonts w:ascii="Arial" w:cs="Arial" w:eastAsia="Arial" w:hAnsi="Arial"/>
                <w:sz w:val="9"/>
                <w:szCs w:val="9"/>
                <w:b w:val="1"/>
                <w:bCs w:val="1"/>
                <w:color w:val="0077C0"/>
              </w:rPr>
              <w:t>Net Cash Flows</w:t>
            </w:r>
          </w:p>
        </w:tc>
        <w:tc>
          <w:tcPr>
            <w:tcW w:w="74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b w:val="1"/>
                <w:bCs w:val="1"/>
                <w:color w:val="auto"/>
              </w:rPr>
              <w:t>$</w:t>
            </w:r>
          </w:p>
        </w:tc>
        <w:tc>
          <w:tcPr>
            <w:tcW w:w="60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b w:val="1"/>
                <w:bCs w:val="1"/>
                <w:color w:val="auto"/>
              </w:rPr>
              <w:t>33,775</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b w:val="1"/>
                <w:bCs w:val="1"/>
                <w:color w:val="auto"/>
              </w:rPr>
              <w:t>7,175</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b w:val="1"/>
                <w:bCs w:val="1"/>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b w:val="1"/>
                <w:bCs w:val="1"/>
                <w:color w:val="auto"/>
              </w:rPr>
              <w:t>23,775</w:t>
            </w:r>
          </w:p>
        </w:tc>
        <w:tc>
          <w:tcPr>
            <w:tcW w:w="32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b w:val="1"/>
                <w:bCs w:val="1"/>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b w:val="1"/>
                <w:bCs w:val="1"/>
                <w:color w:val="auto"/>
              </w:rPr>
              <w:t>25,847</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b w:val="1"/>
                <w:bCs w:val="1"/>
                <w:color w:val="auto"/>
              </w:rPr>
              <w:t>13,161</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b w:val="1"/>
                <w:bCs w:val="1"/>
                <w:color w:val="auto"/>
              </w:rPr>
              <w:t>$</w:t>
            </w:r>
          </w:p>
        </w:tc>
        <w:tc>
          <w:tcPr>
            <w:tcW w:w="58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b w:val="1"/>
                <w:bCs w:val="1"/>
                <w:color w:val="auto"/>
              </w:rPr>
              <w:t>3,215</w:t>
            </w:r>
          </w:p>
        </w:tc>
        <w:tc>
          <w:tcPr>
            <w:tcW w:w="300" w:type="dxa"/>
            <w:vAlign w:val="bottom"/>
            <w:tcBorders>
              <w:bottom w:val="single" w:sz="8" w:color="0077C0"/>
            </w:tcBorders>
          </w:tcPr>
          <w:p>
            <w:pPr>
              <w:jc w:val="center"/>
              <w:ind w:left="135"/>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0077C0"/>
            </w:tcBorders>
            <w:gridSpan w:val="2"/>
          </w:tcPr>
          <w:p>
            <w:pPr>
              <w:jc w:val="right"/>
              <w:ind w:right="240"/>
              <w:spacing w:after="0"/>
              <w:rPr>
                <w:sz w:val="20"/>
                <w:szCs w:val="20"/>
                <w:color w:val="auto"/>
              </w:rPr>
            </w:pPr>
            <w:r>
              <w:rPr>
                <w:rFonts w:ascii="Arial" w:cs="Arial" w:eastAsia="Arial" w:hAnsi="Arial"/>
                <w:sz w:val="9"/>
                <w:szCs w:val="9"/>
                <w:b w:val="1"/>
                <w:bCs w:val="1"/>
                <w:color w:val="auto"/>
              </w:rPr>
              <w:t>106,948</w:t>
            </w:r>
          </w:p>
        </w:tc>
        <w:tc>
          <w:tcPr>
            <w:tcW w:w="32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b w:val="1"/>
                <w:bCs w:val="1"/>
                <w:color w:val="auto"/>
              </w:rPr>
              <w:t>47,983</w:t>
            </w:r>
          </w:p>
        </w:tc>
        <w:tc>
          <w:tcPr>
            <w:tcW w:w="46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b w:val="1"/>
                <w:bCs w:val="1"/>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b w:val="1"/>
                <w:bCs w:val="1"/>
                <w:color w:val="auto"/>
              </w:rPr>
              <w:t>4,230</w:t>
            </w:r>
          </w:p>
        </w:tc>
        <w:tc>
          <w:tcPr>
            <w:tcW w:w="2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ind w:left="200"/>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0077C0"/>
            </w:tcBorders>
          </w:tcPr>
          <w:p>
            <w:pPr>
              <w:jc w:val="center"/>
              <w:ind w:left="95"/>
              <w:spacing w:after="0"/>
              <w:rPr>
                <w:sz w:val="20"/>
                <w:szCs w:val="20"/>
                <w:color w:val="auto"/>
              </w:rPr>
            </w:pPr>
            <w:r>
              <w:rPr>
                <w:rFonts w:ascii="Arial" w:cs="Arial" w:eastAsia="Arial" w:hAnsi="Arial"/>
                <w:sz w:val="9"/>
                <w:szCs w:val="9"/>
                <w:b w:val="1"/>
                <w:bCs w:val="1"/>
                <w:color w:val="auto"/>
                <w:w w:val="85"/>
              </w:rPr>
              <w:t>159,161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Pr>
          <w:p>
            <w:pPr>
              <w:spacing w:after="0" w:line="95" w:lineRule="exact"/>
              <w:rPr>
                <w:sz w:val="20"/>
                <w:szCs w:val="20"/>
                <w:color w:val="auto"/>
              </w:rPr>
            </w:pPr>
            <w:r>
              <w:rPr>
                <w:rFonts w:ascii="Arial" w:cs="Arial" w:eastAsia="Arial" w:hAnsi="Arial"/>
                <w:sz w:val="9"/>
                <w:szCs w:val="9"/>
                <w:b w:val="1"/>
                <w:bCs w:val="1"/>
                <w:color w:val="0077C0"/>
              </w:rPr>
              <w:t>At December 31, 2010</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cash inflows from production</w:t>
            </w:r>
            <w:r>
              <w:rPr>
                <w:rFonts w:ascii="Arial" w:cs="Arial" w:eastAsia="Arial" w:hAnsi="Arial"/>
                <w:sz w:val="7"/>
                <w:szCs w:val="7"/>
                <w:color w:val="auto"/>
              </w:rPr>
              <w:t>1</w:t>
            </w:r>
          </w:p>
        </w:tc>
        <w:tc>
          <w:tcPr>
            <w:tcW w:w="740" w:type="dxa"/>
            <w:vAlign w:val="bottom"/>
            <w:gridSpan w:val="2"/>
          </w:tcPr>
          <w:p>
            <w:pPr>
              <w:jc w:val="right"/>
              <w:ind w:right="60"/>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95"/>
              <w:spacing w:after="0" w:line="96" w:lineRule="exact"/>
              <w:rPr>
                <w:sz w:val="20"/>
                <w:szCs w:val="20"/>
                <w:color w:val="auto"/>
              </w:rPr>
            </w:pPr>
            <w:r>
              <w:rPr>
                <w:rFonts w:ascii="Arial" w:cs="Arial" w:eastAsia="Arial" w:hAnsi="Arial"/>
                <w:sz w:val="9"/>
                <w:szCs w:val="9"/>
                <w:color w:val="auto"/>
              </w:rPr>
              <w:t>101,281</w:t>
            </w:r>
          </w:p>
        </w:tc>
        <w:tc>
          <w:tcPr>
            <w:tcW w:w="30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96" w:lineRule="exact"/>
              <w:rPr>
                <w:sz w:val="20"/>
                <w:szCs w:val="20"/>
                <w:color w:val="auto"/>
              </w:rPr>
            </w:pPr>
            <w:r>
              <w:rPr>
                <w:rFonts w:ascii="Arial" w:cs="Arial" w:eastAsia="Arial" w:hAnsi="Arial"/>
                <w:sz w:val="9"/>
                <w:szCs w:val="9"/>
                <w:color w:val="auto"/>
              </w:rPr>
              <w:t>48,068</w:t>
            </w:r>
          </w:p>
        </w:tc>
        <w:tc>
          <w:tcPr>
            <w:tcW w:w="340" w:type="dxa"/>
            <w:vAlign w:val="bottom"/>
          </w:tcPr>
          <w:p>
            <w:pPr>
              <w:jc w:val="right"/>
              <w:ind w:right="35"/>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215"/>
              <w:spacing w:after="0" w:line="96" w:lineRule="exact"/>
              <w:rPr>
                <w:sz w:val="20"/>
                <w:szCs w:val="20"/>
                <w:color w:val="auto"/>
              </w:rPr>
            </w:pPr>
            <w:r>
              <w:rPr>
                <w:rFonts w:ascii="Arial" w:cs="Arial" w:eastAsia="Arial" w:hAnsi="Arial"/>
                <w:sz w:val="9"/>
                <w:szCs w:val="9"/>
                <w:color w:val="auto"/>
              </w:rPr>
              <w:t>90,402</w:t>
            </w:r>
          </w:p>
        </w:tc>
        <w:tc>
          <w:tcPr>
            <w:tcW w:w="320" w:type="dxa"/>
            <w:vAlign w:val="bottom"/>
          </w:tcPr>
          <w:p>
            <w:pPr>
              <w:jc w:val="right"/>
              <w:ind w:right="15"/>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215"/>
              <w:spacing w:after="0" w:line="96" w:lineRule="exact"/>
              <w:rPr>
                <w:sz w:val="20"/>
                <w:szCs w:val="20"/>
                <w:color w:val="auto"/>
              </w:rPr>
            </w:pPr>
            <w:r>
              <w:rPr>
                <w:rFonts w:ascii="Arial" w:cs="Arial" w:eastAsia="Arial" w:hAnsi="Arial"/>
                <w:sz w:val="9"/>
                <w:szCs w:val="9"/>
                <w:color w:val="auto"/>
                <w:w w:val="98"/>
              </w:rPr>
              <w:t>101,553</w:t>
            </w:r>
          </w:p>
        </w:tc>
        <w:tc>
          <w:tcPr>
            <w:tcW w:w="30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96" w:lineRule="exact"/>
              <w:rPr>
                <w:sz w:val="20"/>
                <w:szCs w:val="20"/>
                <w:color w:val="auto"/>
              </w:rPr>
            </w:pPr>
            <w:r>
              <w:rPr>
                <w:rFonts w:ascii="Arial" w:cs="Arial" w:eastAsia="Arial" w:hAnsi="Arial"/>
                <w:sz w:val="9"/>
                <w:szCs w:val="9"/>
                <w:color w:val="auto"/>
              </w:rPr>
              <w:t>52,635</w:t>
            </w:r>
          </w:p>
        </w:tc>
        <w:tc>
          <w:tcPr>
            <w:tcW w:w="340" w:type="dxa"/>
            <w:vAlign w:val="bottom"/>
          </w:tcPr>
          <w:p>
            <w:pPr>
              <w:jc w:val="right"/>
              <w:ind w:right="35"/>
              <w:spacing w:after="0" w:line="96"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195"/>
              <w:spacing w:after="0" w:line="96" w:lineRule="exact"/>
              <w:rPr>
                <w:sz w:val="20"/>
                <w:szCs w:val="20"/>
                <w:color w:val="auto"/>
              </w:rPr>
            </w:pPr>
            <w:r>
              <w:rPr>
                <w:rFonts w:ascii="Arial" w:cs="Arial" w:eastAsia="Arial" w:hAnsi="Arial"/>
                <w:sz w:val="9"/>
                <w:szCs w:val="9"/>
                <w:color w:val="auto"/>
              </w:rPr>
              <w:t>13,618</w:t>
            </w:r>
          </w:p>
        </w:tc>
        <w:tc>
          <w:tcPr>
            <w:tcW w:w="300" w:type="dxa"/>
            <w:vAlign w:val="bottom"/>
          </w:tcPr>
          <w:p>
            <w:pPr>
              <w:jc w:val="center"/>
              <w:ind w:left="135"/>
              <w:spacing w:after="0" w:line="96" w:lineRule="exact"/>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40"/>
              <w:spacing w:after="0" w:line="96" w:lineRule="exact"/>
              <w:rPr>
                <w:sz w:val="20"/>
                <w:szCs w:val="20"/>
                <w:color w:val="auto"/>
              </w:rPr>
            </w:pPr>
            <w:r>
              <w:rPr>
                <w:rFonts w:ascii="Arial" w:cs="Arial" w:eastAsia="Arial" w:hAnsi="Arial"/>
                <w:sz w:val="9"/>
                <w:szCs w:val="9"/>
                <w:color w:val="auto"/>
              </w:rPr>
              <w:t>407,557</w:t>
            </w:r>
          </w:p>
        </w:tc>
        <w:tc>
          <w:tcPr>
            <w:tcW w:w="320" w:type="dxa"/>
            <w:vAlign w:val="bottom"/>
            <w:gridSpan w:val="2"/>
          </w:tcPr>
          <w:p>
            <w:pPr>
              <w:jc w:val="right"/>
              <w:ind w:right="60"/>
              <w:spacing w:after="0" w:line="96" w:lineRule="exact"/>
              <w:rPr>
                <w:sz w:val="20"/>
                <w:szCs w:val="20"/>
                <w:color w:val="auto"/>
              </w:rPr>
            </w:pPr>
            <w:r>
              <w:rPr>
                <w:rFonts w:ascii="Arial" w:cs="Arial" w:eastAsia="Arial" w:hAnsi="Arial"/>
                <w:sz w:val="9"/>
                <w:szCs w:val="9"/>
                <w:color w:val="auto"/>
              </w:rPr>
              <w:t>$</w:t>
            </w:r>
          </w:p>
        </w:tc>
        <w:tc>
          <w:tcPr>
            <w:tcW w:w="420" w:type="dxa"/>
            <w:vAlign w:val="bottom"/>
          </w:tcPr>
          <w:p>
            <w:pPr>
              <w:jc w:val="right"/>
              <w:ind w:right="35"/>
              <w:spacing w:after="0" w:line="96" w:lineRule="exact"/>
              <w:rPr>
                <w:sz w:val="20"/>
                <w:szCs w:val="20"/>
                <w:color w:val="auto"/>
              </w:rPr>
            </w:pPr>
            <w:r>
              <w:rPr>
                <w:rFonts w:ascii="Arial" w:cs="Arial" w:eastAsia="Arial" w:hAnsi="Arial"/>
                <w:sz w:val="9"/>
                <w:szCs w:val="9"/>
                <w:color w:val="auto"/>
                <w:w w:val="98"/>
              </w:rPr>
              <w:t>124,970</w:t>
            </w:r>
          </w:p>
        </w:tc>
        <w:tc>
          <w:tcPr>
            <w:tcW w:w="460" w:type="dxa"/>
            <w:vAlign w:val="bottom"/>
          </w:tcPr>
          <w:p>
            <w:pPr>
              <w:jc w:val="right"/>
              <w:ind w:right="15"/>
              <w:spacing w:after="0" w:line="96"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40"/>
              <w:spacing w:after="0" w:line="96" w:lineRule="exact"/>
              <w:rPr>
                <w:sz w:val="20"/>
                <w:szCs w:val="20"/>
                <w:color w:val="auto"/>
              </w:rPr>
            </w:pPr>
            <w:r>
              <w:rPr>
                <w:rFonts w:ascii="Arial" w:cs="Arial" w:eastAsia="Arial" w:hAnsi="Arial"/>
                <w:sz w:val="9"/>
                <w:szCs w:val="9"/>
                <w:color w:val="auto"/>
              </w:rPr>
              <w:t>31,188</w:t>
            </w:r>
          </w:p>
        </w:tc>
        <w:tc>
          <w:tcPr>
            <w:tcW w:w="280" w:type="dxa"/>
            <w:vAlign w:val="bottom"/>
          </w:tcPr>
          <w:p>
            <w:pPr>
              <w:ind w:left="200"/>
              <w:spacing w:after="0" w:line="96" w:lineRule="exact"/>
              <w:rPr>
                <w:sz w:val="20"/>
                <w:szCs w:val="20"/>
                <w:color w:val="auto"/>
              </w:rPr>
            </w:pPr>
            <w:r>
              <w:rPr>
                <w:rFonts w:ascii="Arial" w:cs="Arial" w:eastAsia="Arial" w:hAnsi="Arial"/>
                <w:sz w:val="9"/>
                <w:szCs w:val="9"/>
                <w:color w:val="auto"/>
              </w:rPr>
              <w:t>$</w:t>
            </w:r>
          </w:p>
        </w:tc>
        <w:tc>
          <w:tcPr>
            <w:tcW w:w="420" w:type="dxa"/>
            <w:vAlign w:val="bottom"/>
          </w:tcPr>
          <w:p>
            <w:pPr>
              <w:jc w:val="center"/>
              <w:ind w:left="95"/>
              <w:spacing w:after="0" w:line="96" w:lineRule="exact"/>
              <w:rPr>
                <w:sz w:val="20"/>
                <w:szCs w:val="20"/>
                <w:color w:val="auto"/>
              </w:rPr>
            </w:pPr>
            <w:r>
              <w:rPr>
                <w:rFonts w:ascii="Arial" w:cs="Arial" w:eastAsia="Arial" w:hAnsi="Arial"/>
                <w:sz w:val="9"/>
                <w:szCs w:val="9"/>
                <w:color w:val="auto"/>
                <w:w w:val="85"/>
              </w:rPr>
              <w:t>563,715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production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color w:val="auto"/>
              </w:rPr>
              <w:t>(36,609)</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color w:val="auto"/>
              </w:rPr>
              <w:t>(22,118)</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(19,591)</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(30,793)</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color w:val="auto"/>
              </w:rPr>
              <w:t>(9,191)</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color w:val="auto"/>
              </w:rPr>
              <w:t>(5,842)</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color w:val="auto"/>
                <w:w w:val="98"/>
              </w:rPr>
              <w:t>(124,144)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color w:val="auto"/>
              </w:rPr>
              <w:t>(7,298)</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(4,172)</w:t>
            </w:r>
          </w:p>
        </w:tc>
        <w:tc>
          <w:tcPr>
            <w:tcW w:w="280" w:type="dxa"/>
            <w:vAlign w:val="bottom"/>
          </w:tcPr>
          <w:p>
            <w:pPr>
              <w:spacing w:after="0"/>
              <w:rPr>
                <w:sz w:val="8"/>
                <w:szCs w:val="8"/>
                <w:color w:val="auto"/>
              </w:rPr>
            </w:pPr>
          </w:p>
        </w:tc>
        <w:tc>
          <w:tcPr>
            <w:tcW w:w="460" w:type="dxa"/>
            <w:vAlign w:val="bottom"/>
            <w:gridSpan w:val="2"/>
          </w:tcPr>
          <w:p>
            <w:pPr>
              <w:jc w:val="center"/>
              <w:ind w:left="55"/>
              <w:spacing w:after="0" w:line="96" w:lineRule="exact"/>
              <w:rPr>
                <w:sz w:val="20"/>
                <w:szCs w:val="20"/>
                <w:color w:val="auto"/>
              </w:rPr>
            </w:pPr>
            <w:r>
              <w:rPr>
                <w:rFonts w:ascii="Arial" w:cs="Arial" w:eastAsia="Arial" w:hAnsi="Arial"/>
                <w:sz w:val="9"/>
                <w:szCs w:val="9"/>
                <w:color w:val="auto"/>
                <w:w w:val="93"/>
              </w:rPr>
              <w:t>(135,614)</w:t>
            </w: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development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color w:val="auto"/>
              </w:rPr>
              <w:t>(6,661)</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color w:val="auto"/>
              </w:rPr>
              <w:t>(6,953)</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(12,239)</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(11,690)</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color w:val="auto"/>
              </w:rPr>
              <w:t>(13,160)</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color w:val="auto"/>
              </w:rPr>
              <w:t>(708)</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color w:val="auto"/>
              </w:rPr>
              <w:t>(51,411)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color w:val="auto"/>
              </w:rPr>
              <w:t>(8,777)</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(2,254)</w:t>
            </w:r>
          </w:p>
        </w:tc>
        <w:tc>
          <w:tcPr>
            <w:tcW w:w="280" w:type="dxa"/>
            <w:vAlign w:val="bottom"/>
          </w:tcPr>
          <w:p>
            <w:pPr>
              <w:spacing w:after="0"/>
              <w:rPr>
                <w:sz w:val="8"/>
                <w:szCs w:val="8"/>
                <w:color w:val="auto"/>
              </w:rPr>
            </w:pPr>
          </w:p>
        </w:tc>
        <w:tc>
          <w:tcPr>
            <w:tcW w:w="460" w:type="dxa"/>
            <w:vAlign w:val="bottom"/>
            <w:gridSpan w:val="2"/>
          </w:tcPr>
          <w:p>
            <w:pPr>
              <w:jc w:val="center"/>
              <w:ind w:left="95"/>
              <w:spacing w:after="0" w:line="96" w:lineRule="exact"/>
              <w:rPr>
                <w:sz w:val="20"/>
                <w:szCs w:val="20"/>
                <w:color w:val="auto"/>
              </w:rPr>
            </w:pPr>
            <w:r>
              <w:rPr>
                <w:rFonts w:ascii="Arial" w:cs="Arial" w:eastAsia="Arial" w:hAnsi="Arial"/>
                <w:sz w:val="9"/>
                <w:szCs w:val="9"/>
                <w:color w:val="auto"/>
                <w:w w:val="95"/>
              </w:rPr>
              <w:t>(62,442)</w:t>
            </w:r>
          </w:p>
        </w:tc>
        <w:tc>
          <w:tcPr>
            <w:tcW w:w="0" w:type="dxa"/>
            <w:vAlign w:val="bottom"/>
          </w:tcPr>
          <w:p>
            <w:pPr>
              <w:spacing w:after="0"/>
              <w:rPr>
                <w:sz w:val="1"/>
                <w:szCs w:val="1"/>
                <w:color w:val="auto"/>
              </w:rPr>
            </w:pPr>
          </w:p>
        </w:tc>
      </w:tr>
      <w:tr>
        <w:trPr>
          <w:trHeight w:val="107"/>
        </w:trPr>
        <w:tc>
          <w:tcPr>
            <w:tcW w:w="2000" w:type="dxa"/>
            <w:vAlign w:val="bottom"/>
            <w:gridSpan w:val="2"/>
          </w:tcPr>
          <w:p>
            <w:pPr>
              <w:spacing w:after="0"/>
              <w:rPr>
                <w:sz w:val="20"/>
                <w:szCs w:val="20"/>
                <w:color w:val="auto"/>
              </w:rPr>
            </w:pPr>
            <w:r>
              <w:rPr>
                <w:rFonts w:ascii="Arial" w:cs="Arial" w:eastAsia="Arial" w:hAnsi="Arial"/>
                <w:sz w:val="9"/>
                <w:szCs w:val="9"/>
                <w:color w:val="auto"/>
              </w:rPr>
              <w:t>Future income taxes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55"/>
              <w:spacing w:after="0"/>
              <w:rPr>
                <w:sz w:val="20"/>
                <w:szCs w:val="20"/>
                <w:color w:val="auto"/>
              </w:rPr>
            </w:pPr>
            <w:r>
              <w:rPr>
                <w:rFonts w:ascii="Arial" w:cs="Arial" w:eastAsia="Arial" w:hAnsi="Arial"/>
                <w:sz w:val="9"/>
                <w:szCs w:val="9"/>
                <w:color w:val="auto"/>
              </w:rPr>
              <w:t>(20,307)</w:t>
            </w:r>
          </w:p>
        </w:tc>
        <w:tc>
          <w:tcPr>
            <w:tcW w:w="30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Arial" w:cs="Arial" w:eastAsia="Arial" w:hAnsi="Arial"/>
                <w:sz w:val="9"/>
                <w:szCs w:val="9"/>
                <w:color w:val="auto"/>
              </w:rPr>
              <w:t>(7,337)</w:t>
            </w:r>
          </w:p>
        </w:tc>
        <w:tc>
          <w:tcPr>
            <w:tcW w:w="34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(34,405)</w:t>
            </w:r>
          </w:p>
        </w:tc>
        <w:tc>
          <w:tcPr>
            <w:tcW w:w="32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(26,355)</w:t>
            </w:r>
          </w:p>
        </w:tc>
        <w:tc>
          <w:tcPr>
            <w:tcW w:w="300" w:type="dxa"/>
            <w:vAlign w:val="bottom"/>
          </w:tcPr>
          <w:p>
            <w:pPr>
              <w:spacing w:after="0"/>
              <w:rPr>
                <w:sz w:val="9"/>
                <w:szCs w:val="9"/>
                <w:color w:val="auto"/>
              </w:rPr>
            </w:pPr>
          </w:p>
        </w:tc>
        <w:tc>
          <w:tcPr>
            <w:tcW w:w="620" w:type="dxa"/>
            <w:vAlign w:val="bottom"/>
          </w:tcPr>
          <w:p>
            <w:pPr>
              <w:jc w:val="right"/>
              <w:ind w:right="175"/>
              <w:spacing w:after="0"/>
              <w:rPr>
                <w:sz w:val="20"/>
                <w:szCs w:val="20"/>
                <w:color w:val="auto"/>
              </w:rPr>
            </w:pPr>
            <w:r>
              <w:rPr>
                <w:rFonts w:ascii="Arial" w:cs="Arial" w:eastAsia="Arial" w:hAnsi="Arial"/>
                <w:sz w:val="9"/>
                <w:szCs w:val="9"/>
                <w:color w:val="auto"/>
              </w:rPr>
              <w:t>(9,085)</w:t>
            </w:r>
          </w:p>
        </w:tc>
        <w:tc>
          <w:tcPr>
            <w:tcW w:w="340" w:type="dxa"/>
            <w:vAlign w:val="bottom"/>
          </w:tcPr>
          <w:p>
            <w:pPr>
              <w:spacing w:after="0"/>
              <w:rPr>
                <w:sz w:val="9"/>
                <w:szCs w:val="9"/>
                <w:color w:val="auto"/>
              </w:rPr>
            </w:pPr>
          </w:p>
        </w:tc>
        <w:tc>
          <w:tcPr>
            <w:tcW w:w="580" w:type="dxa"/>
            <w:vAlign w:val="bottom"/>
          </w:tcPr>
          <w:p>
            <w:pPr>
              <w:jc w:val="right"/>
              <w:ind w:right="175"/>
              <w:spacing w:after="0"/>
              <w:rPr>
                <w:sz w:val="20"/>
                <w:szCs w:val="20"/>
                <w:color w:val="auto"/>
              </w:rPr>
            </w:pPr>
            <w:r>
              <w:rPr>
                <w:rFonts w:ascii="Arial" w:cs="Arial" w:eastAsia="Arial" w:hAnsi="Arial"/>
                <w:sz w:val="9"/>
                <w:szCs w:val="9"/>
                <w:color w:val="auto"/>
              </w:rPr>
              <w:t>(4,031)</w:t>
            </w:r>
          </w:p>
        </w:tc>
        <w:tc>
          <w:tcPr>
            <w:tcW w:w="300" w:type="dxa"/>
            <w:vAlign w:val="bottom"/>
          </w:tcPr>
          <w:p>
            <w:pPr>
              <w:spacing w:after="0"/>
              <w:rPr>
                <w:sz w:val="9"/>
                <w:szCs w:val="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w w:val="98"/>
              </w:rPr>
              <w:t>(101,520)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(30,763)</w:t>
            </w:r>
          </w:p>
        </w:tc>
        <w:tc>
          <w:tcPr>
            <w:tcW w:w="46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(12,919)</w:t>
            </w:r>
          </w:p>
        </w:tc>
        <w:tc>
          <w:tcPr>
            <w:tcW w:w="280" w:type="dxa"/>
            <w:vAlign w:val="bottom"/>
          </w:tcPr>
          <w:p>
            <w:pPr>
              <w:spacing w:after="0"/>
              <w:rPr>
                <w:sz w:val="9"/>
                <w:szCs w:val="9"/>
                <w:color w:val="auto"/>
              </w:rPr>
            </w:pPr>
          </w:p>
        </w:tc>
        <w:tc>
          <w:tcPr>
            <w:tcW w:w="460" w:type="dxa"/>
            <w:vAlign w:val="bottom"/>
            <w:gridSpan w:val="2"/>
          </w:tcPr>
          <w:p>
            <w:pPr>
              <w:jc w:val="center"/>
              <w:ind w:left="55"/>
              <w:spacing w:after="0"/>
              <w:rPr>
                <w:sz w:val="20"/>
                <w:szCs w:val="20"/>
                <w:color w:val="auto"/>
              </w:rPr>
            </w:pPr>
            <w:r>
              <w:rPr>
                <w:rFonts w:ascii="Arial" w:cs="Arial" w:eastAsia="Arial" w:hAnsi="Arial"/>
                <w:sz w:val="9"/>
                <w:szCs w:val="9"/>
                <w:color w:val="auto"/>
                <w:w w:val="93"/>
              </w:rPr>
              <w:t>(145,202)</w:t>
            </w:r>
          </w:p>
        </w:tc>
        <w:tc>
          <w:tcPr>
            <w:tcW w:w="0" w:type="dxa"/>
            <w:vAlign w:val="bottom"/>
          </w:tcPr>
          <w:p>
            <w:pPr>
              <w:spacing w:after="0"/>
              <w:rPr>
                <w:sz w:val="1"/>
                <w:szCs w:val="1"/>
                <w:color w:val="auto"/>
              </w:rPr>
            </w:pPr>
          </w:p>
        </w:tc>
      </w:tr>
      <w:tr>
        <w:trPr>
          <w:trHeight w:val="84"/>
        </w:trPr>
        <w:tc>
          <w:tcPr>
            <w:tcW w:w="2000" w:type="dxa"/>
            <w:vAlign w:val="bottom"/>
            <w:tcBorders>
              <w:top w:val="single" w:sz="8" w:color="0077C0"/>
            </w:tcBorders>
            <w:gridSpan w:val="2"/>
          </w:tcPr>
          <w:p>
            <w:pPr>
              <w:spacing w:after="0" w:line="85" w:lineRule="exact"/>
              <w:rPr>
                <w:sz w:val="20"/>
                <w:szCs w:val="20"/>
                <w:color w:val="auto"/>
              </w:rPr>
            </w:pPr>
            <w:r>
              <w:rPr>
                <w:rFonts w:ascii="Arial" w:cs="Arial" w:eastAsia="Arial" w:hAnsi="Arial"/>
                <w:sz w:val="9"/>
                <w:szCs w:val="9"/>
                <w:color w:val="auto"/>
              </w:rPr>
              <w:t>Undiscounted future net cash flows</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37,704</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11,660</w:t>
            </w: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24,167</w:t>
            </w: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32,715</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21,199</w:t>
            </w: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3,037</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gridSpan w:val="2"/>
          </w:tcPr>
          <w:p>
            <w:pPr>
              <w:jc w:val="right"/>
              <w:ind w:right="240"/>
              <w:spacing w:after="0" w:line="85" w:lineRule="exact"/>
              <w:rPr>
                <w:sz w:val="20"/>
                <w:szCs w:val="20"/>
                <w:color w:val="auto"/>
              </w:rPr>
            </w:pPr>
            <w:r>
              <w:rPr>
                <w:rFonts w:ascii="Arial" w:cs="Arial" w:eastAsia="Arial" w:hAnsi="Arial"/>
                <w:sz w:val="9"/>
                <w:szCs w:val="9"/>
                <w:color w:val="auto"/>
              </w:rPr>
              <w:t>130,482</w:t>
            </w: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35"/>
              <w:spacing w:after="0" w:line="85" w:lineRule="exact"/>
              <w:rPr>
                <w:sz w:val="20"/>
                <w:szCs w:val="20"/>
                <w:color w:val="auto"/>
              </w:rPr>
            </w:pPr>
            <w:r>
              <w:rPr>
                <w:rFonts w:ascii="Arial" w:cs="Arial" w:eastAsia="Arial" w:hAnsi="Arial"/>
                <w:sz w:val="9"/>
                <w:szCs w:val="9"/>
                <w:color w:val="auto"/>
              </w:rPr>
              <w:t>78,132</w:t>
            </w:r>
          </w:p>
        </w:tc>
        <w:tc>
          <w:tcPr>
            <w:tcW w:w="46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gridSpan w:val="2"/>
          </w:tcPr>
          <w:p>
            <w:pPr>
              <w:jc w:val="right"/>
              <w:ind w:right="240"/>
              <w:spacing w:after="0" w:line="85" w:lineRule="exact"/>
              <w:rPr>
                <w:sz w:val="20"/>
                <w:szCs w:val="20"/>
                <w:color w:val="auto"/>
              </w:rPr>
            </w:pPr>
            <w:r>
              <w:rPr>
                <w:rFonts w:ascii="Arial" w:cs="Arial" w:eastAsia="Arial" w:hAnsi="Arial"/>
                <w:sz w:val="9"/>
                <w:szCs w:val="9"/>
                <w:color w:val="auto"/>
              </w:rPr>
              <w:t>11,843</w:t>
            </w: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center"/>
              <w:ind w:left="95"/>
              <w:spacing w:after="0" w:line="85" w:lineRule="exact"/>
              <w:rPr>
                <w:sz w:val="20"/>
                <w:szCs w:val="20"/>
                <w:color w:val="auto"/>
              </w:rPr>
            </w:pPr>
            <w:r>
              <w:rPr>
                <w:rFonts w:ascii="Arial" w:cs="Arial" w:eastAsia="Arial" w:hAnsi="Arial"/>
                <w:sz w:val="9"/>
                <w:szCs w:val="9"/>
                <w:color w:val="auto"/>
                <w:w w:val="85"/>
              </w:rPr>
              <w:t>220,457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10 percent midyear annual discount</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tcPr>
          <w:p>
            <w:pPr>
              <w:ind w:left="120"/>
              <w:spacing w:after="0"/>
              <w:rPr>
                <w:sz w:val="20"/>
                <w:szCs w:val="20"/>
                <w:color w:val="auto"/>
              </w:rPr>
            </w:pPr>
            <w:r>
              <w:rPr>
                <w:rFonts w:ascii="Arial" w:cs="Arial" w:eastAsia="Arial" w:hAnsi="Arial"/>
                <w:sz w:val="9"/>
                <w:szCs w:val="9"/>
                <w:color w:val="auto"/>
              </w:rPr>
              <w:t>for timing of estimated cash flows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55"/>
              <w:spacing w:after="0"/>
              <w:rPr>
                <w:sz w:val="20"/>
                <w:szCs w:val="20"/>
                <w:color w:val="auto"/>
              </w:rPr>
            </w:pPr>
            <w:r>
              <w:rPr>
                <w:rFonts w:ascii="Arial" w:cs="Arial" w:eastAsia="Arial" w:hAnsi="Arial"/>
                <w:sz w:val="9"/>
                <w:szCs w:val="9"/>
                <w:color w:val="auto"/>
              </w:rPr>
              <w:t>(13,218)</w:t>
            </w:r>
          </w:p>
        </w:tc>
        <w:tc>
          <w:tcPr>
            <w:tcW w:w="30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Arial" w:cs="Arial" w:eastAsia="Arial" w:hAnsi="Arial"/>
                <w:sz w:val="9"/>
                <w:szCs w:val="9"/>
                <w:color w:val="auto"/>
              </w:rPr>
              <w:t>(6,751)</w:t>
            </w:r>
          </w:p>
        </w:tc>
        <w:tc>
          <w:tcPr>
            <w:tcW w:w="34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(9,221)</w:t>
            </w:r>
          </w:p>
        </w:tc>
        <w:tc>
          <w:tcPr>
            <w:tcW w:w="32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(12,287)</w:t>
            </w:r>
          </w:p>
        </w:tc>
        <w:tc>
          <w:tcPr>
            <w:tcW w:w="300" w:type="dxa"/>
            <w:vAlign w:val="bottom"/>
          </w:tcPr>
          <w:p>
            <w:pPr>
              <w:spacing w:after="0"/>
              <w:rPr>
                <w:sz w:val="9"/>
                <w:szCs w:val="9"/>
                <w:color w:val="auto"/>
              </w:rPr>
            </w:pPr>
          </w:p>
        </w:tc>
        <w:tc>
          <w:tcPr>
            <w:tcW w:w="620" w:type="dxa"/>
            <w:vAlign w:val="bottom"/>
          </w:tcPr>
          <w:p>
            <w:pPr>
              <w:jc w:val="right"/>
              <w:ind w:right="175"/>
              <w:spacing w:after="0"/>
              <w:rPr>
                <w:sz w:val="20"/>
                <w:szCs w:val="20"/>
                <w:color w:val="auto"/>
              </w:rPr>
            </w:pPr>
            <w:r>
              <w:rPr>
                <w:rFonts w:ascii="Arial" w:cs="Arial" w:eastAsia="Arial" w:hAnsi="Arial"/>
                <w:sz w:val="9"/>
                <w:szCs w:val="9"/>
                <w:color w:val="auto"/>
              </w:rPr>
              <w:t>(15,282)</w:t>
            </w:r>
          </w:p>
        </w:tc>
        <w:tc>
          <w:tcPr>
            <w:tcW w:w="340" w:type="dxa"/>
            <w:vAlign w:val="bottom"/>
          </w:tcPr>
          <w:p>
            <w:pPr>
              <w:spacing w:after="0"/>
              <w:rPr>
                <w:sz w:val="9"/>
                <w:szCs w:val="9"/>
                <w:color w:val="auto"/>
              </w:rPr>
            </w:pPr>
          </w:p>
        </w:tc>
        <w:tc>
          <w:tcPr>
            <w:tcW w:w="580" w:type="dxa"/>
            <w:vAlign w:val="bottom"/>
          </w:tcPr>
          <w:p>
            <w:pPr>
              <w:jc w:val="right"/>
              <w:ind w:right="175"/>
              <w:spacing w:after="0"/>
              <w:rPr>
                <w:sz w:val="20"/>
                <w:szCs w:val="20"/>
                <w:color w:val="auto"/>
              </w:rPr>
            </w:pPr>
            <w:r>
              <w:rPr>
                <w:rFonts w:ascii="Arial" w:cs="Arial" w:eastAsia="Arial" w:hAnsi="Arial"/>
                <w:sz w:val="9"/>
                <w:szCs w:val="9"/>
                <w:color w:val="auto"/>
              </w:rPr>
              <w:t>(699)</w:t>
            </w:r>
          </w:p>
        </w:tc>
        <w:tc>
          <w:tcPr>
            <w:tcW w:w="300" w:type="dxa"/>
            <w:vAlign w:val="bottom"/>
          </w:tcPr>
          <w:p>
            <w:pPr>
              <w:spacing w:after="0"/>
              <w:rPr>
                <w:sz w:val="9"/>
                <w:szCs w:val="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(57,458)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(43,973)</w:t>
            </w:r>
          </w:p>
        </w:tc>
        <w:tc>
          <w:tcPr>
            <w:tcW w:w="46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(6,574)</w:t>
            </w:r>
          </w:p>
        </w:tc>
        <w:tc>
          <w:tcPr>
            <w:tcW w:w="280" w:type="dxa"/>
            <w:vAlign w:val="bottom"/>
          </w:tcPr>
          <w:p>
            <w:pPr>
              <w:spacing w:after="0"/>
              <w:rPr>
                <w:sz w:val="9"/>
                <w:szCs w:val="9"/>
                <w:color w:val="auto"/>
              </w:rPr>
            </w:pPr>
          </w:p>
        </w:tc>
        <w:tc>
          <w:tcPr>
            <w:tcW w:w="460" w:type="dxa"/>
            <w:vAlign w:val="bottom"/>
            <w:gridSpan w:val="2"/>
          </w:tcPr>
          <w:p>
            <w:pPr>
              <w:jc w:val="center"/>
              <w:ind w:left="55"/>
              <w:spacing w:after="0"/>
              <w:rPr>
                <w:sz w:val="20"/>
                <w:szCs w:val="20"/>
                <w:color w:val="auto"/>
              </w:rPr>
            </w:pPr>
            <w:r>
              <w:rPr>
                <w:rFonts w:ascii="Arial" w:cs="Arial" w:eastAsia="Arial" w:hAnsi="Arial"/>
                <w:sz w:val="9"/>
                <w:szCs w:val="9"/>
                <w:color w:val="auto"/>
                <w:w w:val="93"/>
              </w:rPr>
              <w:t>(108,005)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980" w:type="dxa"/>
            <w:vAlign w:val="bottom"/>
            <w:tcBorders>
              <w:top w:val="single" w:sz="8" w:color="0077C0"/>
            </w:tcBorders>
          </w:tcPr>
          <w:p>
            <w:pPr>
              <w:spacing w:after="0" w:line="82" w:lineRule="exact"/>
              <w:rPr>
                <w:sz w:val="20"/>
                <w:szCs w:val="20"/>
                <w:color w:val="auto"/>
              </w:rPr>
            </w:pPr>
            <w:r>
              <w:rPr>
                <w:rFonts w:ascii="Arial" w:cs="Arial" w:eastAsia="Arial" w:hAnsi="Arial"/>
                <w:sz w:val="9"/>
                <w:szCs w:val="9"/>
                <w:b w:val="1"/>
                <w:bCs w:val="1"/>
                <w:color w:val="0077C0"/>
              </w:rPr>
              <w:t>Standardized Measure</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Borders>
              <w:bottom w:val="single" w:sz="8" w:color="0077C0"/>
            </w:tcBorders>
          </w:tcPr>
          <w:p>
            <w:pPr>
              <w:ind w:left="120"/>
              <w:spacing w:after="0"/>
              <w:rPr>
                <w:sz w:val="20"/>
                <w:szCs w:val="20"/>
                <w:color w:val="auto"/>
              </w:rPr>
            </w:pPr>
            <w:r>
              <w:rPr>
                <w:rFonts w:ascii="Arial" w:cs="Arial" w:eastAsia="Arial" w:hAnsi="Arial"/>
                <w:sz w:val="9"/>
                <w:szCs w:val="9"/>
                <w:b w:val="1"/>
                <w:bCs w:val="1"/>
                <w:color w:val="0077C0"/>
              </w:rPr>
              <w:t>Net Cash Flows</w:t>
            </w:r>
          </w:p>
        </w:tc>
        <w:tc>
          <w:tcPr>
            <w:tcW w:w="74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24,486</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4,909</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color w:val="auto"/>
              </w:rPr>
              <w:t>14,946</w:t>
            </w:r>
          </w:p>
        </w:tc>
        <w:tc>
          <w:tcPr>
            <w:tcW w:w="32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color w:val="auto"/>
              </w:rPr>
              <w:t>20,428</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5,917</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2,338</w:t>
            </w:r>
          </w:p>
        </w:tc>
        <w:tc>
          <w:tcPr>
            <w:tcW w:w="300" w:type="dxa"/>
            <w:vAlign w:val="bottom"/>
            <w:tcBorders>
              <w:bottom w:val="single" w:sz="8" w:color="0077C0"/>
            </w:tcBorders>
          </w:tcPr>
          <w:p>
            <w:pPr>
              <w:jc w:val="center"/>
              <w:ind w:left="135"/>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0077C0"/>
            </w:tcBorders>
            <w:gridSpan w:val="2"/>
          </w:tcPr>
          <w:p>
            <w:pPr>
              <w:jc w:val="right"/>
              <w:ind w:right="240"/>
              <w:spacing w:after="0"/>
              <w:rPr>
                <w:sz w:val="20"/>
                <w:szCs w:val="20"/>
                <w:color w:val="auto"/>
              </w:rPr>
            </w:pPr>
            <w:r>
              <w:rPr>
                <w:rFonts w:ascii="Arial" w:cs="Arial" w:eastAsia="Arial" w:hAnsi="Arial"/>
                <w:sz w:val="9"/>
                <w:szCs w:val="9"/>
                <w:color w:val="auto"/>
              </w:rPr>
              <w:t>73,024</w:t>
            </w:r>
          </w:p>
        </w:tc>
        <w:tc>
          <w:tcPr>
            <w:tcW w:w="32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34,159</w:t>
            </w:r>
          </w:p>
        </w:tc>
        <w:tc>
          <w:tcPr>
            <w:tcW w:w="46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5,269</w:t>
            </w:r>
          </w:p>
        </w:tc>
        <w:tc>
          <w:tcPr>
            <w:tcW w:w="2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ind w:left="20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0077C0"/>
            </w:tcBorders>
          </w:tcPr>
          <w:p>
            <w:pPr>
              <w:jc w:val="center"/>
              <w:ind w:left="95"/>
              <w:spacing w:after="0"/>
              <w:rPr>
                <w:sz w:val="20"/>
                <w:szCs w:val="20"/>
                <w:color w:val="auto"/>
              </w:rPr>
            </w:pPr>
            <w:r>
              <w:rPr>
                <w:rFonts w:ascii="Arial" w:cs="Arial" w:eastAsia="Arial" w:hAnsi="Arial"/>
                <w:sz w:val="9"/>
                <w:szCs w:val="9"/>
                <w:color w:val="auto"/>
                <w:w w:val="85"/>
              </w:rPr>
              <w:t>112,452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Pr>
          <w:p>
            <w:pPr>
              <w:spacing w:after="0" w:line="95" w:lineRule="exact"/>
              <w:rPr>
                <w:sz w:val="20"/>
                <w:szCs w:val="20"/>
                <w:color w:val="auto"/>
              </w:rPr>
            </w:pPr>
            <w:r>
              <w:rPr>
                <w:rFonts w:ascii="Arial" w:cs="Arial" w:eastAsia="Arial" w:hAnsi="Arial"/>
                <w:sz w:val="9"/>
                <w:szCs w:val="9"/>
                <w:b w:val="1"/>
                <w:bCs w:val="1"/>
                <w:color w:val="0077C0"/>
              </w:rPr>
              <w:t>At December 31, 2009</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cash inflows from production</w:t>
            </w:r>
            <w:r>
              <w:rPr>
                <w:rFonts w:ascii="Arial" w:cs="Arial" w:eastAsia="Arial" w:hAnsi="Arial"/>
                <w:sz w:val="7"/>
                <w:szCs w:val="7"/>
                <w:color w:val="auto"/>
              </w:rPr>
              <w:t>2</w:t>
            </w:r>
          </w:p>
        </w:tc>
        <w:tc>
          <w:tcPr>
            <w:tcW w:w="740" w:type="dxa"/>
            <w:vAlign w:val="bottom"/>
            <w:gridSpan w:val="2"/>
          </w:tcPr>
          <w:p>
            <w:pPr>
              <w:jc w:val="right"/>
              <w:ind w:right="60"/>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95"/>
              <w:spacing w:after="0" w:line="96" w:lineRule="exact"/>
              <w:rPr>
                <w:sz w:val="20"/>
                <w:szCs w:val="20"/>
                <w:color w:val="auto"/>
              </w:rPr>
            </w:pPr>
            <w:r>
              <w:rPr>
                <w:rFonts w:ascii="Arial" w:cs="Arial" w:eastAsia="Arial" w:hAnsi="Arial"/>
                <w:sz w:val="9"/>
                <w:szCs w:val="9"/>
                <w:color w:val="auto"/>
              </w:rPr>
              <w:t>81,332</w:t>
            </w:r>
          </w:p>
        </w:tc>
        <w:tc>
          <w:tcPr>
            <w:tcW w:w="30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96" w:lineRule="exact"/>
              <w:rPr>
                <w:sz w:val="20"/>
                <w:szCs w:val="20"/>
                <w:color w:val="auto"/>
              </w:rPr>
            </w:pPr>
            <w:r>
              <w:rPr>
                <w:rFonts w:ascii="Arial" w:cs="Arial" w:eastAsia="Arial" w:hAnsi="Arial"/>
                <w:sz w:val="9"/>
                <w:szCs w:val="9"/>
                <w:color w:val="auto"/>
              </w:rPr>
              <w:t>39,251</w:t>
            </w:r>
          </w:p>
        </w:tc>
        <w:tc>
          <w:tcPr>
            <w:tcW w:w="340" w:type="dxa"/>
            <w:vAlign w:val="bottom"/>
          </w:tcPr>
          <w:p>
            <w:pPr>
              <w:jc w:val="right"/>
              <w:ind w:right="35"/>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215"/>
              <w:spacing w:after="0" w:line="96" w:lineRule="exact"/>
              <w:rPr>
                <w:sz w:val="20"/>
                <w:szCs w:val="20"/>
                <w:color w:val="auto"/>
              </w:rPr>
            </w:pPr>
            <w:r>
              <w:rPr>
                <w:rFonts w:ascii="Arial" w:cs="Arial" w:eastAsia="Arial" w:hAnsi="Arial"/>
                <w:sz w:val="9"/>
                <w:szCs w:val="9"/>
                <w:color w:val="auto"/>
              </w:rPr>
              <w:t>75,338</w:t>
            </w:r>
          </w:p>
        </w:tc>
        <w:tc>
          <w:tcPr>
            <w:tcW w:w="320" w:type="dxa"/>
            <w:vAlign w:val="bottom"/>
          </w:tcPr>
          <w:p>
            <w:pPr>
              <w:jc w:val="right"/>
              <w:ind w:right="15"/>
              <w:spacing w:after="0" w:line="96"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215"/>
              <w:spacing w:after="0" w:line="96" w:lineRule="exact"/>
              <w:rPr>
                <w:sz w:val="20"/>
                <w:szCs w:val="20"/>
                <w:color w:val="auto"/>
              </w:rPr>
            </w:pPr>
            <w:r>
              <w:rPr>
                <w:rFonts w:ascii="Arial" w:cs="Arial" w:eastAsia="Arial" w:hAnsi="Arial"/>
                <w:sz w:val="9"/>
                <w:szCs w:val="9"/>
                <w:color w:val="auto"/>
              </w:rPr>
              <w:t>91,993</w:t>
            </w:r>
          </w:p>
        </w:tc>
        <w:tc>
          <w:tcPr>
            <w:tcW w:w="30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96" w:lineRule="exact"/>
              <w:rPr>
                <w:sz w:val="20"/>
                <w:szCs w:val="20"/>
                <w:color w:val="auto"/>
              </w:rPr>
            </w:pPr>
            <w:r>
              <w:rPr>
                <w:rFonts w:ascii="Arial" w:cs="Arial" w:eastAsia="Arial" w:hAnsi="Arial"/>
                <w:sz w:val="9"/>
                <w:szCs w:val="9"/>
                <w:color w:val="auto"/>
              </w:rPr>
              <w:t>49,875</w:t>
            </w:r>
          </w:p>
        </w:tc>
        <w:tc>
          <w:tcPr>
            <w:tcW w:w="340" w:type="dxa"/>
            <w:vAlign w:val="bottom"/>
          </w:tcPr>
          <w:p>
            <w:pPr>
              <w:jc w:val="right"/>
              <w:ind w:right="35"/>
              <w:spacing w:after="0" w:line="96" w:lineRule="exact"/>
              <w:rPr>
                <w:sz w:val="20"/>
                <w:szCs w:val="20"/>
                <w:color w:val="auto"/>
              </w:rPr>
            </w:pPr>
            <w:r>
              <w:rPr>
                <w:rFonts w:ascii="Arial" w:cs="Arial" w:eastAsia="Arial" w:hAnsi="Arial"/>
                <w:sz w:val="9"/>
                <w:szCs w:val="9"/>
                <w:color w:val="auto"/>
              </w:rPr>
              <w:t>$</w:t>
            </w:r>
          </w:p>
        </w:tc>
        <w:tc>
          <w:tcPr>
            <w:tcW w:w="580" w:type="dxa"/>
            <w:vAlign w:val="bottom"/>
          </w:tcPr>
          <w:p>
            <w:pPr>
              <w:jc w:val="right"/>
              <w:ind w:right="195"/>
              <w:spacing w:after="0" w:line="96" w:lineRule="exact"/>
              <w:rPr>
                <w:sz w:val="20"/>
                <w:szCs w:val="20"/>
                <w:color w:val="auto"/>
              </w:rPr>
            </w:pPr>
            <w:r>
              <w:rPr>
                <w:rFonts w:ascii="Arial" w:cs="Arial" w:eastAsia="Arial" w:hAnsi="Arial"/>
                <w:sz w:val="9"/>
                <w:szCs w:val="9"/>
                <w:color w:val="auto"/>
              </w:rPr>
              <w:t>11,988</w:t>
            </w:r>
          </w:p>
        </w:tc>
        <w:tc>
          <w:tcPr>
            <w:tcW w:w="300" w:type="dxa"/>
            <w:vAlign w:val="bottom"/>
          </w:tcPr>
          <w:p>
            <w:pPr>
              <w:jc w:val="center"/>
              <w:ind w:left="135"/>
              <w:spacing w:after="0" w:line="96" w:lineRule="exact"/>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40"/>
              <w:spacing w:after="0" w:line="96" w:lineRule="exact"/>
              <w:rPr>
                <w:sz w:val="20"/>
                <w:szCs w:val="20"/>
                <w:color w:val="auto"/>
              </w:rPr>
            </w:pPr>
            <w:r>
              <w:rPr>
                <w:rFonts w:ascii="Arial" w:cs="Arial" w:eastAsia="Arial" w:hAnsi="Arial"/>
                <w:sz w:val="9"/>
                <w:szCs w:val="9"/>
                <w:color w:val="auto"/>
              </w:rPr>
              <w:t>349,777</w:t>
            </w:r>
          </w:p>
        </w:tc>
        <w:tc>
          <w:tcPr>
            <w:tcW w:w="320" w:type="dxa"/>
            <w:vAlign w:val="bottom"/>
            <w:gridSpan w:val="2"/>
          </w:tcPr>
          <w:p>
            <w:pPr>
              <w:jc w:val="right"/>
              <w:ind w:right="60"/>
              <w:spacing w:after="0" w:line="96" w:lineRule="exact"/>
              <w:rPr>
                <w:sz w:val="20"/>
                <w:szCs w:val="20"/>
                <w:color w:val="auto"/>
              </w:rPr>
            </w:pPr>
            <w:r>
              <w:rPr>
                <w:rFonts w:ascii="Arial" w:cs="Arial" w:eastAsia="Arial" w:hAnsi="Arial"/>
                <w:sz w:val="9"/>
                <w:szCs w:val="9"/>
                <w:color w:val="auto"/>
              </w:rPr>
              <w:t>$</w:t>
            </w:r>
          </w:p>
        </w:tc>
        <w:tc>
          <w:tcPr>
            <w:tcW w:w="420" w:type="dxa"/>
            <w:vAlign w:val="bottom"/>
          </w:tcPr>
          <w:p>
            <w:pPr>
              <w:jc w:val="right"/>
              <w:ind w:right="35"/>
              <w:spacing w:after="0" w:line="96" w:lineRule="exact"/>
              <w:rPr>
                <w:sz w:val="20"/>
                <w:szCs w:val="20"/>
                <w:color w:val="auto"/>
              </w:rPr>
            </w:pPr>
            <w:r>
              <w:rPr>
                <w:rFonts w:ascii="Arial" w:cs="Arial" w:eastAsia="Arial" w:hAnsi="Arial"/>
                <w:sz w:val="9"/>
                <w:szCs w:val="9"/>
                <w:color w:val="auto"/>
              </w:rPr>
              <w:t>97,793</w:t>
            </w:r>
          </w:p>
        </w:tc>
        <w:tc>
          <w:tcPr>
            <w:tcW w:w="460" w:type="dxa"/>
            <w:vAlign w:val="bottom"/>
          </w:tcPr>
          <w:p>
            <w:pPr>
              <w:jc w:val="right"/>
              <w:ind w:right="15"/>
              <w:spacing w:after="0" w:line="96" w:lineRule="exact"/>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240"/>
              <w:spacing w:after="0" w:line="96" w:lineRule="exact"/>
              <w:rPr>
                <w:sz w:val="20"/>
                <w:szCs w:val="20"/>
                <w:color w:val="auto"/>
              </w:rPr>
            </w:pPr>
            <w:r>
              <w:rPr>
                <w:rFonts w:ascii="Arial" w:cs="Arial" w:eastAsia="Arial" w:hAnsi="Arial"/>
                <w:sz w:val="9"/>
                <w:szCs w:val="9"/>
                <w:color w:val="auto"/>
              </w:rPr>
              <w:t>23,825</w:t>
            </w:r>
          </w:p>
        </w:tc>
        <w:tc>
          <w:tcPr>
            <w:tcW w:w="280" w:type="dxa"/>
            <w:vAlign w:val="bottom"/>
          </w:tcPr>
          <w:p>
            <w:pPr>
              <w:ind w:left="200"/>
              <w:spacing w:after="0" w:line="96" w:lineRule="exact"/>
              <w:rPr>
                <w:sz w:val="20"/>
                <w:szCs w:val="20"/>
                <w:color w:val="auto"/>
              </w:rPr>
            </w:pPr>
            <w:r>
              <w:rPr>
                <w:rFonts w:ascii="Arial" w:cs="Arial" w:eastAsia="Arial" w:hAnsi="Arial"/>
                <w:sz w:val="9"/>
                <w:szCs w:val="9"/>
                <w:color w:val="auto"/>
              </w:rPr>
              <w:t>$</w:t>
            </w:r>
          </w:p>
        </w:tc>
        <w:tc>
          <w:tcPr>
            <w:tcW w:w="420" w:type="dxa"/>
            <w:vAlign w:val="bottom"/>
          </w:tcPr>
          <w:p>
            <w:pPr>
              <w:jc w:val="center"/>
              <w:ind w:left="95"/>
              <w:spacing w:after="0" w:line="96" w:lineRule="exact"/>
              <w:rPr>
                <w:sz w:val="20"/>
                <w:szCs w:val="20"/>
                <w:color w:val="auto"/>
              </w:rPr>
            </w:pPr>
            <w:r>
              <w:rPr>
                <w:rFonts w:ascii="Arial" w:cs="Arial" w:eastAsia="Arial" w:hAnsi="Arial"/>
                <w:sz w:val="9"/>
                <w:szCs w:val="9"/>
                <w:color w:val="auto"/>
                <w:w w:val="85"/>
              </w:rPr>
              <w:t>471,395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production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color w:val="auto"/>
              </w:rPr>
              <w:t>(35,295)</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color w:val="auto"/>
              </w:rPr>
              <w:t>(27,716)</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(22,459)</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(31,843)</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color w:val="auto"/>
              </w:rPr>
              <w:t>(8,648)</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color w:val="auto"/>
              </w:rPr>
              <w:t>(5,842)</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color w:val="auto"/>
                <w:w w:val="98"/>
              </w:rPr>
              <w:t>(131,803)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color w:val="auto"/>
              </w:rPr>
              <w:t>(6,923)</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(4,765)</w:t>
            </w:r>
          </w:p>
        </w:tc>
        <w:tc>
          <w:tcPr>
            <w:tcW w:w="280" w:type="dxa"/>
            <w:vAlign w:val="bottom"/>
          </w:tcPr>
          <w:p>
            <w:pPr>
              <w:spacing w:after="0"/>
              <w:rPr>
                <w:sz w:val="8"/>
                <w:szCs w:val="8"/>
                <w:color w:val="auto"/>
              </w:rPr>
            </w:pPr>
          </w:p>
        </w:tc>
        <w:tc>
          <w:tcPr>
            <w:tcW w:w="460" w:type="dxa"/>
            <w:vAlign w:val="bottom"/>
            <w:gridSpan w:val="2"/>
          </w:tcPr>
          <w:p>
            <w:pPr>
              <w:jc w:val="center"/>
              <w:ind w:left="55"/>
              <w:spacing w:after="0" w:line="96" w:lineRule="exact"/>
              <w:rPr>
                <w:sz w:val="20"/>
                <w:szCs w:val="20"/>
                <w:color w:val="auto"/>
              </w:rPr>
            </w:pPr>
            <w:r>
              <w:rPr>
                <w:rFonts w:ascii="Arial" w:cs="Arial" w:eastAsia="Arial" w:hAnsi="Arial"/>
                <w:sz w:val="9"/>
                <w:szCs w:val="9"/>
                <w:color w:val="auto"/>
                <w:w w:val="93"/>
              </w:rPr>
              <w:t>(143,491)</w:t>
            </w: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Future development costs</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ind w:right="155"/>
              <w:spacing w:after="0" w:line="96" w:lineRule="exact"/>
              <w:rPr>
                <w:sz w:val="20"/>
                <w:szCs w:val="20"/>
                <w:color w:val="auto"/>
              </w:rPr>
            </w:pPr>
            <w:r>
              <w:rPr>
                <w:rFonts w:ascii="Arial" w:cs="Arial" w:eastAsia="Arial" w:hAnsi="Arial"/>
                <w:sz w:val="9"/>
                <w:szCs w:val="9"/>
                <w:color w:val="auto"/>
              </w:rPr>
              <w:t>(7,027)</w:t>
            </w:r>
          </w:p>
        </w:tc>
        <w:tc>
          <w:tcPr>
            <w:tcW w:w="300" w:type="dxa"/>
            <w:vAlign w:val="bottom"/>
          </w:tcPr>
          <w:p>
            <w:pPr>
              <w:spacing w:after="0"/>
              <w:rPr>
                <w:sz w:val="8"/>
                <w:szCs w:val="8"/>
                <w:color w:val="auto"/>
              </w:rPr>
            </w:pPr>
          </w:p>
        </w:tc>
        <w:tc>
          <w:tcPr>
            <w:tcW w:w="620" w:type="dxa"/>
            <w:vAlign w:val="bottom"/>
          </w:tcPr>
          <w:p>
            <w:pPr>
              <w:jc w:val="right"/>
              <w:ind w:right="155"/>
              <w:spacing w:after="0" w:line="96" w:lineRule="exact"/>
              <w:rPr>
                <w:sz w:val="20"/>
                <w:szCs w:val="20"/>
                <w:color w:val="auto"/>
              </w:rPr>
            </w:pPr>
            <w:r>
              <w:rPr>
                <w:rFonts w:ascii="Arial" w:cs="Arial" w:eastAsia="Arial" w:hAnsi="Arial"/>
                <w:sz w:val="9"/>
                <w:szCs w:val="9"/>
                <w:color w:val="auto"/>
              </w:rPr>
              <w:t>(3,711)</w:t>
            </w:r>
          </w:p>
        </w:tc>
        <w:tc>
          <w:tcPr>
            <w:tcW w:w="34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(14,715)</w:t>
            </w:r>
          </w:p>
        </w:tc>
        <w:tc>
          <w:tcPr>
            <w:tcW w:w="320" w:type="dxa"/>
            <w:vAlign w:val="bottom"/>
          </w:tcPr>
          <w:p>
            <w:pPr>
              <w:spacing w:after="0"/>
              <w:rPr>
                <w:sz w:val="8"/>
                <w:szCs w:val="8"/>
                <w:color w:val="auto"/>
              </w:rPr>
            </w:pPr>
          </w:p>
        </w:tc>
        <w:tc>
          <w:tcPr>
            <w:tcW w:w="600" w:type="dxa"/>
            <w:vAlign w:val="bottom"/>
          </w:tcPr>
          <w:p>
            <w:pPr>
              <w:jc w:val="right"/>
              <w:ind w:right="175"/>
              <w:spacing w:after="0" w:line="96" w:lineRule="exact"/>
              <w:rPr>
                <w:sz w:val="20"/>
                <w:szCs w:val="20"/>
                <w:color w:val="auto"/>
              </w:rPr>
            </w:pPr>
            <w:r>
              <w:rPr>
                <w:rFonts w:ascii="Arial" w:cs="Arial" w:eastAsia="Arial" w:hAnsi="Arial"/>
                <w:sz w:val="9"/>
                <w:szCs w:val="9"/>
                <w:color w:val="auto"/>
              </w:rPr>
              <w:t>(12,884)</w:t>
            </w:r>
          </w:p>
        </w:tc>
        <w:tc>
          <w:tcPr>
            <w:tcW w:w="300" w:type="dxa"/>
            <w:vAlign w:val="bottom"/>
          </w:tcPr>
          <w:p>
            <w:pPr>
              <w:spacing w:after="0"/>
              <w:rPr>
                <w:sz w:val="8"/>
                <w:szCs w:val="8"/>
                <w:color w:val="auto"/>
              </w:rPr>
            </w:pPr>
          </w:p>
        </w:tc>
        <w:tc>
          <w:tcPr>
            <w:tcW w:w="620" w:type="dxa"/>
            <w:vAlign w:val="bottom"/>
          </w:tcPr>
          <w:p>
            <w:pPr>
              <w:jc w:val="right"/>
              <w:ind w:right="175"/>
              <w:spacing w:after="0" w:line="96" w:lineRule="exact"/>
              <w:rPr>
                <w:sz w:val="20"/>
                <w:szCs w:val="20"/>
                <w:color w:val="auto"/>
              </w:rPr>
            </w:pPr>
            <w:r>
              <w:rPr>
                <w:rFonts w:ascii="Arial" w:cs="Arial" w:eastAsia="Arial" w:hAnsi="Arial"/>
                <w:sz w:val="9"/>
                <w:szCs w:val="9"/>
                <w:color w:val="auto"/>
              </w:rPr>
              <w:t>(12,371)</w:t>
            </w:r>
          </w:p>
        </w:tc>
        <w:tc>
          <w:tcPr>
            <w:tcW w:w="340" w:type="dxa"/>
            <w:vAlign w:val="bottom"/>
          </w:tcPr>
          <w:p>
            <w:pPr>
              <w:spacing w:after="0"/>
              <w:rPr>
                <w:sz w:val="8"/>
                <w:szCs w:val="8"/>
                <w:color w:val="auto"/>
              </w:rPr>
            </w:pPr>
          </w:p>
        </w:tc>
        <w:tc>
          <w:tcPr>
            <w:tcW w:w="580" w:type="dxa"/>
            <w:vAlign w:val="bottom"/>
          </w:tcPr>
          <w:p>
            <w:pPr>
              <w:jc w:val="right"/>
              <w:ind w:right="175"/>
              <w:spacing w:after="0" w:line="96" w:lineRule="exact"/>
              <w:rPr>
                <w:sz w:val="20"/>
                <w:szCs w:val="20"/>
                <w:color w:val="auto"/>
              </w:rPr>
            </w:pPr>
            <w:r>
              <w:rPr>
                <w:rFonts w:ascii="Arial" w:cs="Arial" w:eastAsia="Arial" w:hAnsi="Arial"/>
                <w:sz w:val="9"/>
                <w:szCs w:val="9"/>
                <w:color w:val="auto"/>
              </w:rPr>
              <w:t>(561)</w:t>
            </w:r>
          </w:p>
        </w:tc>
        <w:tc>
          <w:tcPr>
            <w:tcW w:w="300" w:type="dxa"/>
            <w:vAlign w:val="bottom"/>
          </w:tcPr>
          <w:p>
            <w:pPr>
              <w:spacing w:after="0"/>
              <w:rPr>
                <w:sz w:val="8"/>
                <w:szCs w:val="8"/>
                <w:color w:val="auto"/>
              </w:rPr>
            </w:pPr>
          </w:p>
        </w:tc>
        <w:tc>
          <w:tcPr>
            <w:tcW w:w="620" w:type="dxa"/>
            <w:vAlign w:val="bottom"/>
            <w:gridSpan w:val="2"/>
          </w:tcPr>
          <w:p>
            <w:pPr>
              <w:jc w:val="right"/>
              <w:ind w:right="220"/>
              <w:spacing w:after="0" w:line="96" w:lineRule="exact"/>
              <w:rPr>
                <w:sz w:val="20"/>
                <w:szCs w:val="20"/>
                <w:color w:val="auto"/>
              </w:rPr>
            </w:pPr>
            <w:r>
              <w:rPr>
                <w:rFonts w:ascii="Arial" w:cs="Arial" w:eastAsia="Arial" w:hAnsi="Arial"/>
                <w:sz w:val="9"/>
                <w:szCs w:val="9"/>
                <w:color w:val="auto"/>
              </w:rPr>
              <w:t>(51,269)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jc w:val="right"/>
              <w:ind w:right="15"/>
              <w:spacing w:after="0" w:line="96" w:lineRule="exact"/>
              <w:rPr>
                <w:sz w:val="20"/>
                <w:szCs w:val="20"/>
                <w:color w:val="auto"/>
              </w:rPr>
            </w:pPr>
            <w:r>
              <w:rPr>
                <w:rFonts w:ascii="Arial" w:cs="Arial" w:eastAsia="Arial" w:hAnsi="Arial"/>
                <w:sz w:val="9"/>
                <w:szCs w:val="9"/>
                <w:color w:val="auto"/>
              </w:rPr>
              <w:t>(8,190)</w:t>
            </w:r>
          </w:p>
        </w:tc>
        <w:tc>
          <w:tcPr>
            <w:tcW w:w="460" w:type="dxa"/>
            <w:vAlign w:val="bottom"/>
          </w:tcPr>
          <w:p>
            <w:pPr>
              <w:spacing w:after="0"/>
              <w:rPr>
                <w:sz w:val="8"/>
                <w:szCs w:val="8"/>
                <w:color w:val="auto"/>
              </w:rPr>
            </w:pPr>
          </w:p>
        </w:tc>
        <w:tc>
          <w:tcPr>
            <w:tcW w:w="58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(3,986)</w:t>
            </w:r>
          </w:p>
        </w:tc>
        <w:tc>
          <w:tcPr>
            <w:tcW w:w="280" w:type="dxa"/>
            <w:vAlign w:val="bottom"/>
          </w:tcPr>
          <w:p>
            <w:pPr>
              <w:spacing w:after="0"/>
              <w:rPr>
                <w:sz w:val="8"/>
                <w:szCs w:val="8"/>
                <w:color w:val="auto"/>
              </w:rPr>
            </w:pPr>
          </w:p>
        </w:tc>
        <w:tc>
          <w:tcPr>
            <w:tcW w:w="460" w:type="dxa"/>
            <w:vAlign w:val="bottom"/>
            <w:gridSpan w:val="2"/>
          </w:tcPr>
          <w:p>
            <w:pPr>
              <w:jc w:val="center"/>
              <w:ind w:left="95"/>
              <w:spacing w:after="0" w:line="96" w:lineRule="exact"/>
              <w:rPr>
                <w:sz w:val="20"/>
                <w:szCs w:val="20"/>
                <w:color w:val="auto"/>
              </w:rPr>
            </w:pPr>
            <w:r>
              <w:rPr>
                <w:rFonts w:ascii="Arial" w:cs="Arial" w:eastAsia="Arial" w:hAnsi="Arial"/>
                <w:sz w:val="9"/>
                <w:szCs w:val="9"/>
                <w:color w:val="auto"/>
                <w:w w:val="95"/>
              </w:rPr>
              <w:t>(63,445)</w:t>
            </w:r>
          </w:p>
        </w:tc>
        <w:tc>
          <w:tcPr>
            <w:tcW w:w="0" w:type="dxa"/>
            <w:vAlign w:val="bottom"/>
          </w:tcPr>
          <w:p>
            <w:pPr>
              <w:spacing w:after="0"/>
              <w:rPr>
                <w:sz w:val="1"/>
                <w:szCs w:val="1"/>
                <w:color w:val="auto"/>
              </w:rPr>
            </w:pPr>
          </w:p>
        </w:tc>
      </w:tr>
      <w:tr>
        <w:trPr>
          <w:trHeight w:val="107"/>
        </w:trPr>
        <w:tc>
          <w:tcPr>
            <w:tcW w:w="2000" w:type="dxa"/>
            <w:vAlign w:val="bottom"/>
            <w:gridSpan w:val="2"/>
          </w:tcPr>
          <w:p>
            <w:pPr>
              <w:spacing w:after="0"/>
              <w:rPr>
                <w:sz w:val="20"/>
                <w:szCs w:val="20"/>
                <w:color w:val="auto"/>
              </w:rPr>
            </w:pPr>
            <w:r>
              <w:rPr>
                <w:rFonts w:ascii="Arial" w:cs="Arial" w:eastAsia="Arial" w:hAnsi="Arial"/>
                <w:sz w:val="9"/>
                <w:szCs w:val="9"/>
                <w:color w:val="auto"/>
              </w:rPr>
              <w:t>Future income taxes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55"/>
              <w:spacing w:after="0"/>
              <w:rPr>
                <w:sz w:val="20"/>
                <w:szCs w:val="20"/>
                <w:color w:val="auto"/>
              </w:rPr>
            </w:pPr>
            <w:r>
              <w:rPr>
                <w:rFonts w:ascii="Arial" w:cs="Arial" w:eastAsia="Arial" w:hAnsi="Arial"/>
                <w:sz w:val="9"/>
                <w:szCs w:val="9"/>
                <w:color w:val="auto"/>
              </w:rPr>
              <w:t>(13,662)</w:t>
            </w:r>
          </w:p>
        </w:tc>
        <w:tc>
          <w:tcPr>
            <w:tcW w:w="30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Arial" w:cs="Arial" w:eastAsia="Arial" w:hAnsi="Arial"/>
                <w:sz w:val="9"/>
                <w:szCs w:val="9"/>
                <w:color w:val="auto"/>
              </w:rPr>
              <w:t>(3,674)</w:t>
            </w:r>
          </w:p>
        </w:tc>
        <w:tc>
          <w:tcPr>
            <w:tcW w:w="34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(22,503)</w:t>
            </w:r>
          </w:p>
        </w:tc>
        <w:tc>
          <w:tcPr>
            <w:tcW w:w="32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(18,905)</w:t>
            </w:r>
          </w:p>
        </w:tc>
        <w:tc>
          <w:tcPr>
            <w:tcW w:w="300" w:type="dxa"/>
            <w:vAlign w:val="bottom"/>
          </w:tcPr>
          <w:p>
            <w:pPr>
              <w:spacing w:after="0"/>
              <w:rPr>
                <w:sz w:val="9"/>
                <w:szCs w:val="9"/>
                <w:color w:val="auto"/>
              </w:rPr>
            </w:pPr>
          </w:p>
        </w:tc>
        <w:tc>
          <w:tcPr>
            <w:tcW w:w="620" w:type="dxa"/>
            <w:vAlign w:val="bottom"/>
          </w:tcPr>
          <w:p>
            <w:pPr>
              <w:jc w:val="right"/>
              <w:ind w:right="175"/>
              <w:spacing w:after="0"/>
              <w:rPr>
                <w:sz w:val="20"/>
                <w:szCs w:val="20"/>
                <w:color w:val="auto"/>
              </w:rPr>
            </w:pPr>
            <w:r>
              <w:rPr>
                <w:rFonts w:ascii="Arial" w:cs="Arial" w:eastAsia="Arial" w:hAnsi="Arial"/>
                <w:sz w:val="9"/>
                <w:szCs w:val="9"/>
                <w:color w:val="auto"/>
              </w:rPr>
              <w:t>(10,484)</w:t>
            </w:r>
          </w:p>
        </w:tc>
        <w:tc>
          <w:tcPr>
            <w:tcW w:w="340" w:type="dxa"/>
            <w:vAlign w:val="bottom"/>
          </w:tcPr>
          <w:p>
            <w:pPr>
              <w:spacing w:after="0"/>
              <w:rPr>
                <w:sz w:val="9"/>
                <w:szCs w:val="9"/>
                <w:color w:val="auto"/>
              </w:rPr>
            </w:pPr>
          </w:p>
        </w:tc>
        <w:tc>
          <w:tcPr>
            <w:tcW w:w="580" w:type="dxa"/>
            <w:vAlign w:val="bottom"/>
          </w:tcPr>
          <w:p>
            <w:pPr>
              <w:jc w:val="right"/>
              <w:ind w:right="175"/>
              <w:spacing w:after="0"/>
              <w:rPr>
                <w:sz w:val="20"/>
                <w:szCs w:val="20"/>
                <w:color w:val="auto"/>
              </w:rPr>
            </w:pPr>
            <w:r>
              <w:rPr>
                <w:rFonts w:ascii="Arial" w:cs="Arial" w:eastAsia="Arial" w:hAnsi="Arial"/>
                <w:sz w:val="9"/>
                <w:szCs w:val="9"/>
                <w:color w:val="auto"/>
              </w:rPr>
              <w:t>(3,269)</w:t>
            </w:r>
          </w:p>
        </w:tc>
        <w:tc>
          <w:tcPr>
            <w:tcW w:w="300" w:type="dxa"/>
            <w:vAlign w:val="bottom"/>
          </w:tcPr>
          <w:p>
            <w:pPr>
              <w:spacing w:after="0"/>
              <w:rPr>
                <w:sz w:val="9"/>
                <w:szCs w:val="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(72,497)</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(23,357)</w:t>
            </w:r>
          </w:p>
        </w:tc>
        <w:tc>
          <w:tcPr>
            <w:tcW w:w="46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(7,774)</w:t>
            </w:r>
          </w:p>
        </w:tc>
        <w:tc>
          <w:tcPr>
            <w:tcW w:w="280" w:type="dxa"/>
            <w:vAlign w:val="bottom"/>
          </w:tcPr>
          <w:p>
            <w:pPr>
              <w:spacing w:after="0"/>
              <w:rPr>
                <w:sz w:val="9"/>
                <w:szCs w:val="9"/>
                <w:color w:val="auto"/>
              </w:rPr>
            </w:pPr>
          </w:p>
        </w:tc>
        <w:tc>
          <w:tcPr>
            <w:tcW w:w="460" w:type="dxa"/>
            <w:vAlign w:val="bottom"/>
            <w:gridSpan w:val="2"/>
          </w:tcPr>
          <w:p>
            <w:pPr>
              <w:jc w:val="center"/>
              <w:ind w:left="55"/>
              <w:spacing w:after="0"/>
              <w:rPr>
                <w:sz w:val="20"/>
                <w:szCs w:val="20"/>
                <w:color w:val="auto"/>
              </w:rPr>
            </w:pPr>
            <w:r>
              <w:rPr>
                <w:rFonts w:ascii="Arial" w:cs="Arial" w:eastAsia="Arial" w:hAnsi="Arial"/>
                <w:sz w:val="9"/>
                <w:szCs w:val="9"/>
                <w:color w:val="auto"/>
                <w:w w:val="93"/>
              </w:rPr>
              <w:t>(103,628)</w:t>
            </w:r>
          </w:p>
        </w:tc>
        <w:tc>
          <w:tcPr>
            <w:tcW w:w="0" w:type="dxa"/>
            <w:vAlign w:val="bottom"/>
          </w:tcPr>
          <w:p>
            <w:pPr>
              <w:spacing w:after="0"/>
              <w:rPr>
                <w:sz w:val="1"/>
                <w:szCs w:val="1"/>
                <w:color w:val="auto"/>
              </w:rPr>
            </w:pPr>
          </w:p>
        </w:tc>
      </w:tr>
      <w:tr>
        <w:trPr>
          <w:trHeight w:val="84"/>
        </w:trPr>
        <w:tc>
          <w:tcPr>
            <w:tcW w:w="2000" w:type="dxa"/>
            <w:vAlign w:val="bottom"/>
            <w:tcBorders>
              <w:top w:val="single" w:sz="8" w:color="0077C0"/>
            </w:tcBorders>
            <w:gridSpan w:val="2"/>
          </w:tcPr>
          <w:p>
            <w:pPr>
              <w:spacing w:after="0" w:line="85" w:lineRule="exact"/>
              <w:rPr>
                <w:sz w:val="20"/>
                <w:szCs w:val="20"/>
                <w:color w:val="auto"/>
              </w:rPr>
            </w:pPr>
            <w:r>
              <w:rPr>
                <w:rFonts w:ascii="Arial" w:cs="Arial" w:eastAsia="Arial" w:hAnsi="Arial"/>
                <w:sz w:val="9"/>
                <w:szCs w:val="9"/>
                <w:color w:val="auto"/>
              </w:rPr>
              <w:t>Undiscounted future net cash flows</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25,348</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4,150</w:t>
            </w: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15,661</w:t>
            </w: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jc w:val="right"/>
              <w:ind w:right="215"/>
              <w:spacing w:after="0" w:line="85" w:lineRule="exact"/>
              <w:rPr>
                <w:sz w:val="20"/>
                <w:szCs w:val="20"/>
                <w:color w:val="auto"/>
              </w:rPr>
            </w:pPr>
            <w:r>
              <w:rPr>
                <w:rFonts w:ascii="Arial" w:cs="Arial" w:eastAsia="Arial" w:hAnsi="Arial"/>
                <w:sz w:val="9"/>
                <w:szCs w:val="9"/>
                <w:color w:val="auto"/>
              </w:rPr>
              <w:t>28,361</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18,372</w:t>
            </w: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jc w:val="right"/>
              <w:ind w:right="195"/>
              <w:spacing w:after="0" w:line="85" w:lineRule="exact"/>
              <w:rPr>
                <w:sz w:val="20"/>
                <w:szCs w:val="20"/>
                <w:color w:val="auto"/>
              </w:rPr>
            </w:pPr>
            <w:r>
              <w:rPr>
                <w:rFonts w:ascii="Arial" w:cs="Arial" w:eastAsia="Arial" w:hAnsi="Arial"/>
                <w:sz w:val="9"/>
                <w:szCs w:val="9"/>
                <w:color w:val="auto"/>
              </w:rPr>
              <w:t>2,316</w:t>
            </w: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gridSpan w:val="2"/>
          </w:tcPr>
          <w:p>
            <w:pPr>
              <w:jc w:val="right"/>
              <w:ind w:right="240"/>
              <w:spacing w:after="0" w:line="85" w:lineRule="exact"/>
              <w:rPr>
                <w:sz w:val="20"/>
                <w:szCs w:val="20"/>
                <w:color w:val="auto"/>
              </w:rPr>
            </w:pPr>
            <w:r>
              <w:rPr>
                <w:rFonts w:ascii="Arial" w:cs="Arial" w:eastAsia="Arial" w:hAnsi="Arial"/>
                <w:sz w:val="9"/>
                <w:szCs w:val="9"/>
                <w:color w:val="auto"/>
              </w:rPr>
              <w:t>94,208</w:t>
            </w: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right"/>
              <w:ind w:right="35"/>
              <w:spacing w:after="0" w:line="85" w:lineRule="exact"/>
              <w:rPr>
                <w:sz w:val="20"/>
                <w:szCs w:val="20"/>
                <w:color w:val="auto"/>
              </w:rPr>
            </w:pPr>
            <w:r>
              <w:rPr>
                <w:rFonts w:ascii="Arial" w:cs="Arial" w:eastAsia="Arial" w:hAnsi="Arial"/>
                <w:sz w:val="9"/>
                <w:szCs w:val="9"/>
                <w:color w:val="auto"/>
              </w:rPr>
              <w:t>59,323</w:t>
            </w:r>
          </w:p>
        </w:tc>
        <w:tc>
          <w:tcPr>
            <w:tcW w:w="46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jc w:val="right"/>
              <w:spacing w:after="0" w:line="85" w:lineRule="exact"/>
              <w:rPr>
                <w:sz w:val="20"/>
                <w:szCs w:val="20"/>
                <w:color w:val="auto"/>
              </w:rPr>
            </w:pPr>
            <w:r>
              <w:rPr>
                <w:rFonts w:ascii="Arial" w:cs="Arial" w:eastAsia="Arial" w:hAnsi="Arial"/>
                <w:sz w:val="9"/>
                <w:szCs w:val="9"/>
                <w:color w:val="auto"/>
              </w:rPr>
              <w:t>7,300</w:t>
            </w:r>
          </w:p>
        </w:tc>
        <w:tc>
          <w:tcPr>
            <w:tcW w:w="2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jc w:val="center"/>
              <w:ind w:left="95"/>
              <w:spacing w:after="0" w:line="85" w:lineRule="exact"/>
              <w:rPr>
                <w:sz w:val="20"/>
                <w:szCs w:val="20"/>
                <w:color w:val="auto"/>
              </w:rPr>
            </w:pPr>
            <w:r>
              <w:rPr>
                <w:rFonts w:ascii="Arial" w:cs="Arial" w:eastAsia="Arial" w:hAnsi="Arial"/>
                <w:sz w:val="9"/>
                <w:szCs w:val="9"/>
                <w:color w:val="auto"/>
                <w:w w:val="85"/>
              </w:rPr>
              <w:t>160,831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00" w:type="dxa"/>
            <w:vAlign w:val="bottom"/>
            <w:gridSpan w:val="2"/>
          </w:tcPr>
          <w:p>
            <w:pPr>
              <w:spacing w:after="0" w:line="96" w:lineRule="exact"/>
              <w:rPr>
                <w:sz w:val="20"/>
                <w:szCs w:val="20"/>
                <w:color w:val="auto"/>
              </w:rPr>
            </w:pPr>
            <w:r>
              <w:rPr>
                <w:rFonts w:ascii="Arial" w:cs="Arial" w:eastAsia="Arial" w:hAnsi="Arial"/>
                <w:sz w:val="9"/>
                <w:szCs w:val="9"/>
                <w:color w:val="auto"/>
              </w:rPr>
              <w:t>10 percent midyear annual discount</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80" w:type="dxa"/>
            <w:vAlign w:val="bottom"/>
          </w:tcPr>
          <w:p>
            <w:pPr>
              <w:ind w:left="120"/>
              <w:spacing w:after="0"/>
              <w:rPr>
                <w:sz w:val="20"/>
                <w:szCs w:val="20"/>
                <w:color w:val="auto"/>
              </w:rPr>
            </w:pPr>
            <w:r>
              <w:rPr>
                <w:rFonts w:ascii="Arial" w:cs="Arial" w:eastAsia="Arial" w:hAnsi="Arial"/>
                <w:sz w:val="9"/>
                <w:szCs w:val="9"/>
                <w:color w:val="auto"/>
              </w:rPr>
              <w:t>for timing of estimated cash flows</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55"/>
              <w:spacing w:after="0"/>
              <w:rPr>
                <w:sz w:val="20"/>
                <w:szCs w:val="20"/>
                <w:color w:val="auto"/>
              </w:rPr>
            </w:pPr>
            <w:r>
              <w:rPr>
                <w:rFonts w:ascii="Arial" w:cs="Arial" w:eastAsia="Arial" w:hAnsi="Arial"/>
                <w:sz w:val="9"/>
                <w:szCs w:val="9"/>
                <w:color w:val="auto"/>
              </w:rPr>
              <w:t>(8,822)</w:t>
            </w:r>
          </w:p>
        </w:tc>
        <w:tc>
          <w:tcPr>
            <w:tcW w:w="300" w:type="dxa"/>
            <w:vAlign w:val="bottom"/>
          </w:tcPr>
          <w:p>
            <w:pPr>
              <w:spacing w:after="0"/>
              <w:rPr>
                <w:sz w:val="9"/>
                <w:szCs w:val="9"/>
                <w:color w:val="auto"/>
              </w:rPr>
            </w:pPr>
          </w:p>
        </w:tc>
        <w:tc>
          <w:tcPr>
            <w:tcW w:w="620" w:type="dxa"/>
            <w:vAlign w:val="bottom"/>
          </w:tcPr>
          <w:p>
            <w:pPr>
              <w:jc w:val="right"/>
              <w:ind w:right="155"/>
              <w:spacing w:after="0"/>
              <w:rPr>
                <w:sz w:val="20"/>
                <w:szCs w:val="20"/>
                <w:color w:val="auto"/>
              </w:rPr>
            </w:pPr>
            <w:r>
              <w:rPr>
                <w:rFonts w:ascii="Arial" w:cs="Arial" w:eastAsia="Arial" w:hAnsi="Arial"/>
                <w:sz w:val="9"/>
                <w:szCs w:val="9"/>
                <w:color w:val="auto"/>
              </w:rPr>
              <w:t>(2,275)</w:t>
            </w:r>
          </w:p>
        </w:tc>
        <w:tc>
          <w:tcPr>
            <w:tcW w:w="34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(5,882)</w:t>
            </w:r>
          </w:p>
        </w:tc>
        <w:tc>
          <w:tcPr>
            <w:tcW w:w="320" w:type="dxa"/>
            <w:vAlign w:val="bottom"/>
          </w:tcPr>
          <w:p>
            <w:pPr>
              <w:spacing w:after="0"/>
              <w:rPr>
                <w:sz w:val="9"/>
                <w:szCs w:val="9"/>
                <w:color w:val="auto"/>
              </w:rPr>
            </w:pPr>
          </w:p>
        </w:tc>
        <w:tc>
          <w:tcPr>
            <w:tcW w:w="600" w:type="dxa"/>
            <w:vAlign w:val="bottom"/>
          </w:tcPr>
          <w:p>
            <w:pPr>
              <w:jc w:val="right"/>
              <w:ind w:right="175"/>
              <w:spacing w:after="0"/>
              <w:rPr>
                <w:sz w:val="20"/>
                <w:szCs w:val="20"/>
                <w:color w:val="auto"/>
              </w:rPr>
            </w:pPr>
            <w:r>
              <w:rPr>
                <w:rFonts w:ascii="Arial" w:cs="Arial" w:eastAsia="Arial" w:hAnsi="Arial"/>
                <w:sz w:val="9"/>
                <w:szCs w:val="9"/>
                <w:color w:val="auto"/>
              </w:rPr>
              <w:t>(11,722)</w:t>
            </w:r>
          </w:p>
        </w:tc>
        <w:tc>
          <w:tcPr>
            <w:tcW w:w="300" w:type="dxa"/>
            <w:vAlign w:val="bottom"/>
          </w:tcPr>
          <w:p>
            <w:pPr>
              <w:spacing w:after="0"/>
              <w:rPr>
                <w:sz w:val="9"/>
                <w:szCs w:val="9"/>
                <w:color w:val="auto"/>
              </w:rPr>
            </w:pPr>
          </w:p>
        </w:tc>
        <w:tc>
          <w:tcPr>
            <w:tcW w:w="620" w:type="dxa"/>
            <w:vAlign w:val="bottom"/>
          </w:tcPr>
          <w:p>
            <w:pPr>
              <w:jc w:val="right"/>
              <w:ind w:right="175"/>
              <w:spacing w:after="0"/>
              <w:rPr>
                <w:sz w:val="20"/>
                <w:szCs w:val="20"/>
                <w:color w:val="auto"/>
              </w:rPr>
            </w:pPr>
            <w:r>
              <w:rPr>
                <w:rFonts w:ascii="Arial" w:cs="Arial" w:eastAsia="Arial" w:hAnsi="Arial"/>
                <w:sz w:val="9"/>
                <w:szCs w:val="9"/>
                <w:color w:val="auto"/>
              </w:rPr>
              <w:t>(14,764)</w:t>
            </w:r>
          </w:p>
        </w:tc>
        <w:tc>
          <w:tcPr>
            <w:tcW w:w="340" w:type="dxa"/>
            <w:vAlign w:val="bottom"/>
          </w:tcPr>
          <w:p>
            <w:pPr>
              <w:spacing w:after="0"/>
              <w:rPr>
                <w:sz w:val="9"/>
                <w:szCs w:val="9"/>
                <w:color w:val="auto"/>
              </w:rPr>
            </w:pPr>
          </w:p>
        </w:tc>
        <w:tc>
          <w:tcPr>
            <w:tcW w:w="580" w:type="dxa"/>
            <w:vAlign w:val="bottom"/>
          </w:tcPr>
          <w:p>
            <w:pPr>
              <w:jc w:val="right"/>
              <w:ind w:right="175"/>
              <w:spacing w:after="0"/>
              <w:rPr>
                <w:sz w:val="20"/>
                <w:szCs w:val="20"/>
                <w:color w:val="auto"/>
              </w:rPr>
            </w:pPr>
            <w:r>
              <w:rPr>
                <w:rFonts w:ascii="Arial" w:cs="Arial" w:eastAsia="Arial" w:hAnsi="Arial"/>
                <w:sz w:val="9"/>
                <w:szCs w:val="9"/>
                <w:color w:val="auto"/>
              </w:rPr>
              <w:t>(467)</w:t>
            </w:r>
          </w:p>
        </w:tc>
        <w:tc>
          <w:tcPr>
            <w:tcW w:w="300" w:type="dxa"/>
            <w:vAlign w:val="bottom"/>
          </w:tcPr>
          <w:p>
            <w:pPr>
              <w:spacing w:after="0"/>
              <w:rPr>
                <w:sz w:val="9"/>
                <w:szCs w:val="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(43,932)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(34,937)</w:t>
            </w:r>
          </w:p>
        </w:tc>
        <w:tc>
          <w:tcPr>
            <w:tcW w:w="460" w:type="dxa"/>
            <w:vAlign w:val="bottom"/>
          </w:tcPr>
          <w:p>
            <w:pPr>
              <w:spacing w:after="0"/>
              <w:rPr>
                <w:sz w:val="9"/>
                <w:szCs w:val="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9"/>
                <w:szCs w:val="9"/>
                <w:color w:val="auto"/>
              </w:rPr>
              <w:t>(4,450)</w:t>
            </w:r>
          </w:p>
        </w:tc>
        <w:tc>
          <w:tcPr>
            <w:tcW w:w="280" w:type="dxa"/>
            <w:vAlign w:val="bottom"/>
          </w:tcPr>
          <w:p>
            <w:pPr>
              <w:spacing w:after="0"/>
              <w:rPr>
                <w:sz w:val="9"/>
                <w:szCs w:val="9"/>
                <w:color w:val="auto"/>
              </w:rPr>
            </w:pPr>
          </w:p>
        </w:tc>
        <w:tc>
          <w:tcPr>
            <w:tcW w:w="460" w:type="dxa"/>
            <w:vAlign w:val="bottom"/>
            <w:gridSpan w:val="2"/>
          </w:tcPr>
          <w:p>
            <w:pPr>
              <w:jc w:val="center"/>
              <w:ind w:left="95"/>
              <w:spacing w:after="0"/>
              <w:rPr>
                <w:sz w:val="20"/>
                <w:szCs w:val="20"/>
                <w:color w:val="auto"/>
              </w:rPr>
            </w:pPr>
            <w:r>
              <w:rPr>
                <w:rFonts w:ascii="Arial" w:cs="Arial" w:eastAsia="Arial" w:hAnsi="Arial"/>
                <w:sz w:val="9"/>
                <w:szCs w:val="9"/>
                <w:color w:val="auto"/>
                <w:w w:val="95"/>
              </w:rPr>
              <w:t>(83,319)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980" w:type="dxa"/>
            <w:vAlign w:val="bottom"/>
            <w:tcBorders>
              <w:top w:val="single" w:sz="8" w:color="0077C0"/>
            </w:tcBorders>
          </w:tcPr>
          <w:p>
            <w:pPr>
              <w:spacing w:after="0" w:line="82" w:lineRule="exact"/>
              <w:rPr>
                <w:sz w:val="20"/>
                <w:szCs w:val="20"/>
                <w:color w:val="auto"/>
              </w:rPr>
            </w:pPr>
            <w:r>
              <w:rPr>
                <w:rFonts w:ascii="Arial" w:cs="Arial" w:eastAsia="Arial" w:hAnsi="Arial"/>
                <w:sz w:val="9"/>
                <w:szCs w:val="9"/>
                <w:b w:val="1"/>
                <w:bCs w:val="1"/>
                <w:color w:val="0077C0"/>
              </w:rPr>
              <w:t>Standardized Measure</w:t>
            </w:r>
          </w:p>
        </w:tc>
        <w:tc>
          <w:tcPr>
            <w:tcW w:w="64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20" w:type="dxa"/>
            <w:vAlign w:val="bottom"/>
            <w:tcBorders>
              <w:top w:val="single" w:sz="8" w:color="0077C0"/>
            </w:tcBorders>
          </w:tcPr>
          <w:p>
            <w:pPr>
              <w:spacing w:after="0"/>
              <w:rPr>
                <w:sz w:val="7"/>
                <w:szCs w:val="7"/>
                <w:color w:val="auto"/>
              </w:rPr>
            </w:pPr>
          </w:p>
        </w:tc>
        <w:tc>
          <w:tcPr>
            <w:tcW w:w="60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62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580" w:type="dxa"/>
            <w:vAlign w:val="bottom"/>
            <w:tcBorders>
              <w:top w:val="single" w:sz="8" w:color="0077C0"/>
            </w:tcBorders>
          </w:tcPr>
          <w:p>
            <w:pPr>
              <w:spacing w:after="0"/>
              <w:rPr>
                <w:sz w:val="7"/>
                <w:szCs w:val="7"/>
                <w:color w:val="auto"/>
              </w:rPr>
            </w:pPr>
          </w:p>
        </w:tc>
        <w:tc>
          <w:tcPr>
            <w:tcW w:w="300" w:type="dxa"/>
            <w:vAlign w:val="bottom"/>
            <w:tcBorders>
              <w:top w:val="single" w:sz="8" w:color="0077C0"/>
            </w:tcBorders>
          </w:tcPr>
          <w:p>
            <w:pPr>
              <w:spacing w:after="0"/>
              <w:rPr>
                <w:sz w:val="7"/>
                <w:szCs w:val="7"/>
                <w:color w:val="auto"/>
              </w:rPr>
            </w:pPr>
          </w:p>
        </w:tc>
        <w:tc>
          <w:tcPr>
            <w:tcW w:w="38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20" w:type="dxa"/>
            <w:vAlign w:val="bottom"/>
            <w:tcBorders>
              <w:top w:val="single" w:sz="8" w:color="0077C0"/>
            </w:tcBorders>
          </w:tcPr>
          <w:p>
            <w:pPr>
              <w:spacing w:after="0"/>
              <w:rPr>
                <w:sz w:val="7"/>
                <w:szCs w:val="7"/>
                <w:color w:val="auto"/>
              </w:rPr>
            </w:pPr>
          </w:p>
        </w:tc>
        <w:tc>
          <w:tcPr>
            <w:tcW w:w="10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60" w:type="dxa"/>
            <w:vAlign w:val="bottom"/>
            <w:tcBorders>
              <w:top w:val="single" w:sz="8" w:color="0077C0"/>
            </w:tcBorders>
          </w:tcPr>
          <w:p>
            <w:pPr>
              <w:spacing w:after="0"/>
              <w:rPr>
                <w:sz w:val="7"/>
                <w:szCs w:val="7"/>
                <w:color w:val="auto"/>
              </w:rPr>
            </w:pPr>
          </w:p>
        </w:tc>
        <w:tc>
          <w:tcPr>
            <w:tcW w:w="340" w:type="dxa"/>
            <w:vAlign w:val="bottom"/>
            <w:tcBorders>
              <w:top w:val="single" w:sz="8" w:color="0077C0"/>
            </w:tcBorders>
          </w:tcPr>
          <w:p>
            <w:pPr>
              <w:spacing w:after="0"/>
              <w:rPr>
                <w:sz w:val="7"/>
                <w:szCs w:val="7"/>
                <w:color w:val="auto"/>
              </w:rPr>
            </w:pPr>
          </w:p>
        </w:tc>
        <w:tc>
          <w:tcPr>
            <w:tcW w:w="240" w:type="dxa"/>
            <w:vAlign w:val="bottom"/>
            <w:tcBorders>
              <w:top w:val="single" w:sz="8" w:color="0077C0"/>
            </w:tcBorders>
          </w:tcPr>
          <w:p>
            <w:pPr>
              <w:spacing w:after="0"/>
              <w:rPr>
                <w:sz w:val="7"/>
                <w:szCs w:val="7"/>
                <w:color w:val="auto"/>
              </w:rPr>
            </w:pPr>
          </w:p>
        </w:tc>
        <w:tc>
          <w:tcPr>
            <w:tcW w:w="280" w:type="dxa"/>
            <w:vAlign w:val="bottom"/>
            <w:tcBorders>
              <w:top w:val="single" w:sz="8" w:color="0077C0"/>
            </w:tcBorders>
          </w:tcPr>
          <w:p>
            <w:pPr>
              <w:spacing w:after="0"/>
              <w:rPr>
                <w:sz w:val="7"/>
                <w:szCs w:val="7"/>
                <w:color w:val="auto"/>
              </w:rPr>
            </w:pPr>
          </w:p>
        </w:tc>
        <w:tc>
          <w:tcPr>
            <w:tcW w:w="420" w:type="dxa"/>
            <w:vAlign w:val="bottom"/>
            <w:tcBorders>
              <w:top w:val="single" w:sz="8" w:color="0077C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Borders>
              <w:bottom w:val="single" w:sz="8" w:color="0077C0"/>
            </w:tcBorders>
          </w:tcPr>
          <w:p>
            <w:pPr>
              <w:ind w:left="120"/>
              <w:spacing w:after="0"/>
              <w:rPr>
                <w:sz w:val="20"/>
                <w:szCs w:val="20"/>
                <w:color w:val="auto"/>
              </w:rPr>
            </w:pPr>
            <w:r>
              <w:rPr>
                <w:rFonts w:ascii="Arial" w:cs="Arial" w:eastAsia="Arial" w:hAnsi="Arial"/>
                <w:sz w:val="9"/>
                <w:szCs w:val="9"/>
                <w:b w:val="1"/>
                <w:bCs w:val="1"/>
                <w:color w:val="0077C0"/>
              </w:rPr>
              <w:t>Net Cash Flows</w:t>
            </w:r>
          </w:p>
        </w:tc>
        <w:tc>
          <w:tcPr>
            <w:tcW w:w="74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16,526</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1,875</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color w:val="auto"/>
              </w:rPr>
              <w:t>9,779</w:t>
            </w:r>
          </w:p>
        </w:tc>
        <w:tc>
          <w:tcPr>
            <w:tcW w:w="32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color w:val="auto"/>
              </w:rPr>
              <w:t>$</w:t>
            </w:r>
          </w:p>
        </w:tc>
        <w:tc>
          <w:tcPr>
            <w:tcW w:w="600" w:type="dxa"/>
            <w:vAlign w:val="bottom"/>
            <w:tcBorders>
              <w:bottom w:val="single" w:sz="8" w:color="0077C0"/>
            </w:tcBorders>
          </w:tcPr>
          <w:p>
            <w:pPr>
              <w:jc w:val="right"/>
              <w:ind w:right="215"/>
              <w:spacing w:after="0"/>
              <w:rPr>
                <w:sz w:val="20"/>
                <w:szCs w:val="20"/>
                <w:color w:val="auto"/>
              </w:rPr>
            </w:pPr>
            <w:r>
              <w:rPr>
                <w:rFonts w:ascii="Arial" w:cs="Arial" w:eastAsia="Arial" w:hAnsi="Arial"/>
                <w:sz w:val="9"/>
                <w:szCs w:val="9"/>
                <w:color w:val="auto"/>
              </w:rPr>
              <w:t>16,639</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3,608</w:t>
            </w:r>
          </w:p>
        </w:tc>
        <w:tc>
          <w:tcPr>
            <w:tcW w:w="34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0077C0"/>
            </w:tcBorders>
          </w:tcPr>
          <w:p>
            <w:pPr>
              <w:jc w:val="right"/>
              <w:ind w:right="195"/>
              <w:spacing w:after="0"/>
              <w:rPr>
                <w:sz w:val="20"/>
                <w:szCs w:val="20"/>
                <w:color w:val="auto"/>
              </w:rPr>
            </w:pPr>
            <w:r>
              <w:rPr>
                <w:rFonts w:ascii="Arial" w:cs="Arial" w:eastAsia="Arial" w:hAnsi="Arial"/>
                <w:sz w:val="9"/>
                <w:szCs w:val="9"/>
                <w:color w:val="auto"/>
              </w:rPr>
              <w:t>1,849</w:t>
            </w:r>
          </w:p>
        </w:tc>
        <w:tc>
          <w:tcPr>
            <w:tcW w:w="300" w:type="dxa"/>
            <w:vAlign w:val="bottom"/>
            <w:tcBorders>
              <w:bottom w:val="single" w:sz="8" w:color="0077C0"/>
            </w:tcBorders>
          </w:tcPr>
          <w:p>
            <w:pPr>
              <w:jc w:val="center"/>
              <w:ind w:left="135"/>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0077C0"/>
            </w:tcBorders>
            <w:gridSpan w:val="2"/>
          </w:tcPr>
          <w:p>
            <w:pPr>
              <w:jc w:val="right"/>
              <w:ind w:right="240"/>
              <w:spacing w:after="0"/>
              <w:rPr>
                <w:sz w:val="20"/>
                <w:szCs w:val="20"/>
                <w:color w:val="auto"/>
              </w:rPr>
            </w:pPr>
            <w:r>
              <w:rPr>
                <w:rFonts w:ascii="Arial" w:cs="Arial" w:eastAsia="Arial" w:hAnsi="Arial"/>
                <w:sz w:val="9"/>
                <w:szCs w:val="9"/>
                <w:color w:val="auto"/>
              </w:rPr>
              <w:t>50,276</w:t>
            </w:r>
          </w:p>
        </w:tc>
        <w:tc>
          <w:tcPr>
            <w:tcW w:w="32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0077C0"/>
            </w:tcBorders>
          </w:tcPr>
          <w:p>
            <w:pPr>
              <w:jc w:val="right"/>
              <w:ind w:right="35"/>
              <w:spacing w:after="0"/>
              <w:rPr>
                <w:sz w:val="20"/>
                <w:szCs w:val="20"/>
                <w:color w:val="auto"/>
              </w:rPr>
            </w:pPr>
            <w:r>
              <w:rPr>
                <w:rFonts w:ascii="Arial" w:cs="Arial" w:eastAsia="Arial" w:hAnsi="Arial"/>
                <w:sz w:val="9"/>
                <w:szCs w:val="9"/>
                <w:color w:val="auto"/>
              </w:rPr>
              <w:t>24,386</w:t>
            </w:r>
          </w:p>
        </w:tc>
        <w:tc>
          <w:tcPr>
            <w:tcW w:w="460" w:type="dxa"/>
            <w:vAlign w:val="bottom"/>
            <w:tcBorders>
              <w:bottom w:val="single" w:sz="8" w:color="0077C0"/>
            </w:tcBorders>
          </w:tcPr>
          <w:p>
            <w:pPr>
              <w:jc w:val="right"/>
              <w:ind w:right="15"/>
              <w:spacing w:after="0"/>
              <w:rPr>
                <w:sz w:val="20"/>
                <w:szCs w:val="20"/>
                <w:color w:val="auto"/>
              </w:rPr>
            </w:pPr>
            <w:r>
              <w:rPr>
                <w:rFonts w:ascii="Arial" w:cs="Arial" w:eastAsia="Arial" w:hAnsi="Arial"/>
                <w:sz w:val="9"/>
                <w:szCs w:val="9"/>
                <w:color w:val="auto"/>
              </w:rPr>
              <w:t>$</w:t>
            </w:r>
          </w:p>
        </w:tc>
        <w:tc>
          <w:tcPr>
            <w:tcW w:w="340" w:type="dxa"/>
            <w:vAlign w:val="bottom"/>
            <w:tcBorders>
              <w:bottom w:val="single" w:sz="8" w:color="0077C0"/>
            </w:tcBorders>
          </w:tcPr>
          <w:p>
            <w:pPr>
              <w:jc w:val="right"/>
              <w:spacing w:after="0"/>
              <w:rPr>
                <w:sz w:val="20"/>
                <w:szCs w:val="20"/>
                <w:color w:val="auto"/>
              </w:rPr>
            </w:pPr>
            <w:r>
              <w:rPr>
                <w:rFonts w:ascii="Arial" w:cs="Arial" w:eastAsia="Arial" w:hAnsi="Arial"/>
                <w:sz w:val="9"/>
                <w:szCs w:val="9"/>
                <w:color w:val="auto"/>
              </w:rPr>
              <w:t>2,850</w:t>
            </w:r>
          </w:p>
        </w:tc>
        <w:tc>
          <w:tcPr>
            <w:tcW w:w="240" w:type="dxa"/>
            <w:vAlign w:val="bottom"/>
            <w:tcBorders>
              <w:bottom w:val="single" w:sz="8" w:color="0077C0"/>
            </w:tcBorders>
          </w:tcPr>
          <w:p>
            <w:pPr>
              <w:spacing w:after="0"/>
              <w:rPr>
                <w:sz w:val="10"/>
                <w:szCs w:val="10"/>
                <w:color w:val="auto"/>
              </w:rPr>
            </w:pPr>
          </w:p>
        </w:tc>
        <w:tc>
          <w:tcPr>
            <w:tcW w:w="280" w:type="dxa"/>
            <w:vAlign w:val="bottom"/>
            <w:tcBorders>
              <w:bottom w:val="single" w:sz="8" w:color="0077C0"/>
            </w:tcBorders>
          </w:tcPr>
          <w:p>
            <w:pPr>
              <w:ind w:left="200"/>
              <w:spacing w:after="0"/>
              <w:rPr>
                <w:sz w:val="20"/>
                <w:szCs w:val="20"/>
                <w:color w:val="auto"/>
              </w:rPr>
            </w:pPr>
            <w:r>
              <w:rPr>
                <w:rFonts w:ascii="Arial" w:cs="Arial" w:eastAsia="Arial" w:hAnsi="Arial"/>
                <w:sz w:val="9"/>
                <w:szCs w:val="9"/>
                <w:color w:val="auto"/>
              </w:rPr>
              <w:t>$</w:t>
            </w:r>
          </w:p>
        </w:tc>
        <w:tc>
          <w:tcPr>
            <w:tcW w:w="420" w:type="dxa"/>
            <w:vAlign w:val="bottom"/>
            <w:tcBorders>
              <w:bottom w:val="single" w:sz="8" w:color="0077C0"/>
            </w:tcBorders>
          </w:tcPr>
          <w:p>
            <w:pPr>
              <w:jc w:val="center"/>
              <w:ind w:left="135"/>
              <w:spacing w:after="0"/>
              <w:rPr>
                <w:sz w:val="20"/>
                <w:szCs w:val="20"/>
                <w:color w:val="auto"/>
              </w:rPr>
            </w:pPr>
            <w:r>
              <w:rPr>
                <w:rFonts w:ascii="Arial" w:cs="Arial" w:eastAsia="Arial" w:hAnsi="Arial"/>
                <w:sz w:val="9"/>
                <w:szCs w:val="9"/>
                <w:color w:val="auto"/>
                <w:w w:val="87"/>
              </w:rPr>
              <w:t>77,512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tabs>
          <w:tab w:leader="none" w:pos="80" w:val="left"/>
        </w:tabs>
        <w:rPr>
          <w:sz w:val="20"/>
          <w:szCs w:val="20"/>
          <w:color w:val="auto"/>
        </w:rPr>
      </w:pPr>
      <w:r>
        <w:rPr>
          <w:rFonts w:ascii="Arial" w:cs="Arial" w:eastAsia="Arial" w:hAnsi="Arial"/>
          <w:sz w:val="8"/>
          <w:szCs w:val="8"/>
          <w:color w:val="auto"/>
        </w:rPr>
        <w:t>1</w:t>
      </w:r>
      <w:r>
        <w:rPr>
          <w:sz w:val="20"/>
          <w:szCs w:val="20"/>
          <w:color w:val="auto"/>
        </w:rPr>
        <w:tab/>
      </w:r>
      <w:r>
        <w:rPr>
          <w:rFonts w:ascii="Arial" w:cs="Arial" w:eastAsia="Arial" w:hAnsi="Arial"/>
          <w:sz w:val="7"/>
          <w:szCs w:val="7"/>
          <w:color w:val="auto"/>
        </w:rPr>
        <w:t>Based on 12-month average price.</w:t>
      </w:r>
    </w:p>
    <w:p>
      <w:pPr>
        <w:spacing w:after="0" w:line="22" w:lineRule="exact"/>
        <w:rPr>
          <w:sz w:val="20"/>
          <w:szCs w:val="20"/>
          <w:color w:val="auto"/>
        </w:rPr>
      </w:pPr>
    </w:p>
    <w:p>
      <w:pPr>
        <w:spacing w:after="0"/>
        <w:tabs>
          <w:tab w:leader="none" w:pos="80" w:val="left"/>
        </w:tabs>
        <w:rPr>
          <w:sz w:val="20"/>
          <w:szCs w:val="20"/>
          <w:color w:val="auto"/>
        </w:rPr>
      </w:pPr>
      <w:r>
        <w:rPr>
          <w:rFonts w:ascii="Arial" w:cs="Arial" w:eastAsia="Arial" w:hAnsi="Arial"/>
          <w:sz w:val="8"/>
          <w:szCs w:val="8"/>
          <w:color w:val="auto"/>
        </w:rPr>
        <w:t>2</w:t>
      </w:r>
      <w:r>
        <w:rPr>
          <w:sz w:val="20"/>
          <w:szCs w:val="20"/>
          <w:color w:val="auto"/>
        </w:rPr>
        <w:tab/>
      </w:r>
      <w:r>
        <w:rPr>
          <w:rFonts w:ascii="Arial" w:cs="Arial" w:eastAsia="Arial" w:hAnsi="Arial"/>
          <w:sz w:val="7"/>
          <w:szCs w:val="7"/>
          <w:color w:val="auto"/>
        </w:rPr>
        <w:t>Based on year-end prices.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9297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1400"/>
          </w:cols>
          <w:pgMar w:left="220" w:top="338" w:right="279" w:bottom="1440" w:gutter="0" w:footer="0" w:header="0"/>
          <w:type w:val="continuous"/>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7285990" cy="549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5990" cy="54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2"/>
          <w:szCs w:val="12"/>
          <w:b w:val="1"/>
          <w:bCs w:val="1"/>
          <w:color w:val="0077C0"/>
        </w:rPr>
        <w:t>Table VII</w:t>
      </w:r>
      <w:r>
        <w:rPr>
          <w:sz w:val="20"/>
          <w:szCs w:val="20"/>
          <w:color w:val="auto"/>
        </w:rPr>
        <w:tab/>
      </w:r>
      <w:r>
        <w:rPr>
          <w:rFonts w:ascii="Arial" w:cs="Arial" w:eastAsia="Arial" w:hAnsi="Arial"/>
          <w:sz w:val="10"/>
          <w:szCs w:val="10"/>
          <w:color w:val="auto"/>
        </w:rPr>
        <w:t>Changes in the Standardized Measure of Discounted</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0"/>
          <w:szCs w:val="10"/>
          <w:color w:val="auto"/>
        </w:rPr>
        <w:t>Future Net Cash Flows From Proved Reserves</w:t>
      </w:r>
    </w:p>
    <w:p>
      <w:pPr>
        <w:sectPr>
          <w:pgSz w:w="11900" w:h="16838" w:orient="portrait"/>
          <w:cols w:equalWidth="0" w:num="1">
            <w:col w:w="11480"/>
          </w:cols>
          <w:pgMar w:left="220" w:top="339" w:right="199" w:bottom="1440" w:gutter="0" w:footer="0" w:header="0"/>
        </w:sectPr>
      </w:pPr>
    </w:p>
    <w:p>
      <w:pPr>
        <w:spacing w:after="0" w:line="286" w:lineRule="exact"/>
        <w:rPr>
          <w:sz w:val="20"/>
          <w:szCs w:val="20"/>
          <w:color w:val="auto"/>
        </w:rPr>
      </w:pPr>
    </w:p>
    <w:p>
      <w:pPr>
        <w:ind w:firstLine="158"/>
        <w:spacing w:after="0" w:line="267" w:lineRule="auto"/>
        <w:rPr>
          <w:sz w:val="20"/>
          <w:szCs w:val="20"/>
          <w:color w:val="auto"/>
        </w:rPr>
      </w:pPr>
      <w:r>
        <w:rPr>
          <w:rFonts w:ascii="Arial" w:cs="Arial" w:eastAsia="Arial" w:hAnsi="Arial"/>
          <w:sz w:val="13"/>
          <w:szCs w:val="13"/>
          <w:color w:val="auto"/>
        </w:rPr>
        <w:t>The changes in present values between years, which can be significant, reflect changes in estimated proved-reserve quantities and prices and assumptions used in forecasting</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420"/>
        <w:spacing w:after="0" w:line="267" w:lineRule="auto"/>
        <w:rPr>
          <w:sz w:val="20"/>
          <w:szCs w:val="20"/>
          <w:color w:val="auto"/>
        </w:rPr>
      </w:pPr>
      <w:r>
        <w:rPr>
          <w:rFonts w:ascii="Arial" w:cs="Arial" w:eastAsia="Arial" w:hAnsi="Arial"/>
          <w:sz w:val="13"/>
          <w:szCs w:val="13"/>
          <w:color w:val="auto"/>
        </w:rPr>
        <w:t>production volumes and costs. Changes in the timing of production are included with “Revisions of previous quantity estimates.”</w:t>
      </w:r>
    </w:p>
    <w:p>
      <w:pPr>
        <w:spacing w:after="0" w:line="200" w:lineRule="exact"/>
        <w:rPr>
          <w:sz w:val="20"/>
          <w:szCs w:val="20"/>
          <w:color w:val="auto"/>
        </w:rPr>
      </w:pPr>
    </w:p>
    <w:p>
      <w:pPr>
        <w:sectPr>
          <w:pgSz w:w="11900" w:h="16838" w:orient="portrait"/>
          <w:cols w:equalWidth="0" w:num="2">
            <w:col w:w="5260" w:space="700"/>
            <w:col w:w="5520"/>
          </w:cols>
          <w:pgMar w:left="220" w:top="339" w:right="19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9"/>
                <w:szCs w:val="9"/>
                <w:color w:val="auto"/>
              </w:rPr>
              <w:t>Total</w:t>
            </w:r>
          </w:p>
        </w:tc>
      </w:tr>
      <w:tr>
        <w:trPr>
          <w:trHeight w:val="96"/>
        </w:trPr>
        <w:tc>
          <w:tcPr>
            <w:tcW w:w="4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3"/>
          </w:tcPr>
          <w:p>
            <w:pPr>
              <w:jc w:val="right"/>
              <w:ind w:right="140"/>
              <w:spacing w:after="0" w:line="96" w:lineRule="exact"/>
              <w:rPr>
                <w:sz w:val="20"/>
                <w:szCs w:val="20"/>
                <w:color w:val="auto"/>
              </w:rPr>
            </w:pPr>
            <w:r>
              <w:rPr>
                <w:rFonts w:ascii="Arial" w:cs="Arial" w:eastAsia="Arial" w:hAnsi="Arial"/>
                <w:sz w:val="9"/>
                <w:szCs w:val="9"/>
                <w:color w:val="auto"/>
              </w:rPr>
              <w:t>Consolidated</w:t>
            </w:r>
          </w:p>
        </w:tc>
      </w:tr>
      <w:tr>
        <w:trPr>
          <w:trHeight w:val="96"/>
        </w:trPr>
        <w:tc>
          <w:tcPr>
            <w:tcW w:w="4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3"/>
          </w:tcPr>
          <w:p>
            <w:pPr>
              <w:jc w:val="right"/>
              <w:ind w:right="140"/>
              <w:spacing w:after="0" w:line="96" w:lineRule="exact"/>
              <w:rPr>
                <w:sz w:val="20"/>
                <w:szCs w:val="20"/>
                <w:color w:val="auto"/>
              </w:rPr>
            </w:pPr>
            <w:r>
              <w:rPr>
                <w:rFonts w:ascii="Arial" w:cs="Arial" w:eastAsia="Arial" w:hAnsi="Arial"/>
                <w:sz w:val="9"/>
                <w:szCs w:val="9"/>
                <w:color w:val="auto"/>
              </w:rPr>
              <w:t>and Affiliated</w:t>
            </w:r>
          </w:p>
        </w:tc>
      </w:tr>
      <w:tr>
        <w:trPr>
          <w:trHeight w:val="107"/>
        </w:trPr>
        <w:tc>
          <w:tcPr>
            <w:tcW w:w="4160" w:type="dxa"/>
            <w:vAlign w:val="bottom"/>
          </w:tcPr>
          <w:p>
            <w:pPr>
              <w:spacing w:after="0"/>
              <w:rPr>
                <w:sz w:val="20"/>
                <w:szCs w:val="20"/>
                <w:color w:val="auto"/>
              </w:rPr>
            </w:pPr>
            <w:r>
              <w:rPr>
                <w:rFonts w:ascii="Arial" w:cs="Arial" w:eastAsia="Arial" w:hAnsi="Arial"/>
                <w:sz w:val="9"/>
                <w:szCs w:val="9"/>
                <w:i w:val="1"/>
                <w:iCs w:val="1"/>
                <w:color w:val="auto"/>
              </w:rPr>
              <w:t>Millions of dollars</w:t>
            </w:r>
          </w:p>
        </w:tc>
        <w:tc>
          <w:tcPr>
            <w:tcW w:w="4880" w:type="dxa"/>
            <w:vAlign w:val="bottom"/>
            <w:gridSpan w:val="3"/>
          </w:tcPr>
          <w:p>
            <w:pPr>
              <w:jc w:val="right"/>
              <w:ind w:right="740"/>
              <w:spacing w:after="0"/>
              <w:rPr>
                <w:sz w:val="20"/>
                <w:szCs w:val="20"/>
                <w:color w:val="auto"/>
              </w:rPr>
            </w:pPr>
            <w:r>
              <w:rPr>
                <w:rFonts w:ascii="Arial" w:cs="Arial" w:eastAsia="Arial" w:hAnsi="Arial"/>
                <w:sz w:val="9"/>
                <w:szCs w:val="9"/>
                <w:color w:val="auto"/>
              </w:rPr>
              <w:t>Consolidated Companies</w:t>
            </w:r>
          </w:p>
        </w:tc>
        <w:tc>
          <w:tcPr>
            <w:tcW w:w="1560" w:type="dxa"/>
            <w:vAlign w:val="bottom"/>
            <w:gridSpan w:val="3"/>
          </w:tcPr>
          <w:p>
            <w:pPr>
              <w:jc w:val="right"/>
              <w:ind w:right="740"/>
              <w:spacing w:after="0"/>
              <w:rPr>
                <w:sz w:val="20"/>
                <w:szCs w:val="20"/>
                <w:color w:val="auto"/>
              </w:rPr>
            </w:pPr>
            <w:r>
              <w:rPr>
                <w:rFonts w:ascii="Arial" w:cs="Arial" w:eastAsia="Arial" w:hAnsi="Arial"/>
                <w:sz w:val="9"/>
                <w:szCs w:val="9"/>
                <w:color w:val="auto"/>
                <w:w w:val="96"/>
              </w:rPr>
              <w:t>Affiliated Companies</w:t>
            </w:r>
          </w:p>
        </w:tc>
        <w:tc>
          <w:tcPr>
            <w:tcW w:w="180" w:type="dxa"/>
            <w:vAlign w:val="bottom"/>
          </w:tcPr>
          <w:p>
            <w:pPr>
              <w:spacing w:after="0"/>
              <w:rPr>
                <w:sz w:val="9"/>
                <w:szCs w:val="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9"/>
                <w:szCs w:val="9"/>
                <w:color w:val="auto"/>
              </w:rPr>
              <w:t>Companies</w:t>
            </w:r>
          </w:p>
        </w:tc>
      </w:tr>
      <w:tr>
        <w:trPr>
          <w:trHeight w:val="92"/>
        </w:trPr>
        <w:tc>
          <w:tcPr>
            <w:tcW w:w="4160" w:type="dxa"/>
            <w:vAlign w:val="bottom"/>
            <w:tcBorders>
              <w:top w:val="single" w:sz="8" w:color="0077C0"/>
            </w:tcBorders>
          </w:tcPr>
          <w:p>
            <w:pPr>
              <w:spacing w:after="0" w:line="92" w:lineRule="exact"/>
              <w:rPr>
                <w:sz w:val="20"/>
                <w:szCs w:val="20"/>
                <w:color w:val="auto"/>
              </w:rPr>
            </w:pPr>
            <w:r>
              <w:rPr>
                <w:rFonts w:ascii="Arial" w:cs="Arial" w:eastAsia="Arial" w:hAnsi="Arial"/>
                <w:sz w:val="10"/>
                <w:szCs w:val="10"/>
                <w:b w:val="1"/>
                <w:bCs w:val="1"/>
                <w:color w:val="0077C0"/>
              </w:rPr>
              <w:t>Present Value at January 1, 2009</w:t>
            </w:r>
          </w:p>
        </w:tc>
        <w:tc>
          <w:tcPr>
            <w:tcW w:w="3660" w:type="dxa"/>
            <w:vAlign w:val="bottom"/>
            <w:tcBorders>
              <w:top w:val="single" w:sz="8" w:color="0077C0"/>
            </w:tcBorders>
          </w:tcPr>
          <w:p>
            <w:pPr>
              <w:jc w:val="right"/>
              <w:ind w:right="110"/>
              <w:spacing w:after="0" w:line="92"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25,661</w:t>
            </w:r>
          </w:p>
        </w:tc>
        <w:tc>
          <w:tcPr>
            <w:tcW w:w="740" w:type="dxa"/>
            <w:vAlign w:val="bottom"/>
          </w:tcPr>
          <w:p>
            <w:pPr>
              <w:spacing w:after="0"/>
              <w:rPr>
                <w:sz w:val="8"/>
                <w:szCs w:val="8"/>
                <w:color w:val="auto"/>
              </w:rPr>
            </w:pPr>
          </w:p>
        </w:tc>
        <w:tc>
          <w:tcPr>
            <w:tcW w:w="400" w:type="dxa"/>
            <w:vAlign w:val="bottom"/>
            <w:tcBorders>
              <w:top w:val="single" w:sz="8" w:color="0077C0"/>
            </w:tcBorders>
          </w:tcPr>
          <w:p>
            <w:pPr>
              <w:jc w:val="right"/>
              <w:ind w:right="90"/>
              <w:spacing w:after="0" w:line="92"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9,741</w:t>
            </w:r>
          </w:p>
        </w:tc>
        <w:tc>
          <w:tcPr>
            <w:tcW w:w="740" w:type="dxa"/>
            <w:vAlign w:val="bottom"/>
          </w:tcPr>
          <w:p>
            <w:pPr>
              <w:spacing w:after="0"/>
              <w:rPr>
                <w:sz w:val="8"/>
                <w:szCs w:val="8"/>
                <w:color w:val="auto"/>
              </w:rPr>
            </w:pPr>
          </w:p>
        </w:tc>
        <w:tc>
          <w:tcPr>
            <w:tcW w:w="180" w:type="dxa"/>
            <w:vAlign w:val="bottom"/>
            <w:tcBorders>
              <w:top w:val="single" w:sz="8" w:color="0077C0"/>
            </w:tcBorders>
          </w:tcPr>
          <w:p>
            <w:pPr>
              <w:jc w:val="right"/>
              <w:ind w:right="9"/>
              <w:spacing w:after="0" w:line="92" w:lineRule="exact"/>
              <w:rPr>
                <w:sz w:val="20"/>
                <w:szCs w:val="20"/>
                <w:color w:val="auto"/>
              </w:rPr>
            </w:pPr>
            <w:r>
              <w:rPr>
                <w:rFonts w:ascii="Arial" w:cs="Arial" w:eastAsia="Arial" w:hAnsi="Arial"/>
                <w:sz w:val="10"/>
                <w:szCs w:val="10"/>
                <w:color w:val="auto"/>
              </w:rPr>
              <w:t>$</w:t>
            </w:r>
          </w:p>
        </w:tc>
        <w:tc>
          <w:tcPr>
            <w:tcW w:w="560" w:type="dxa"/>
            <w:vAlign w:val="bottom"/>
            <w:tcBorders>
              <w:top w:val="single" w:sz="8" w:color="0077C0"/>
            </w:tcBorders>
          </w:tcPr>
          <w:p>
            <w:pPr>
              <w:jc w:val="right"/>
              <w:spacing w:after="0" w:line="92" w:lineRule="exact"/>
              <w:rPr>
                <w:sz w:val="20"/>
                <w:szCs w:val="20"/>
                <w:color w:val="auto"/>
              </w:rPr>
            </w:pPr>
            <w:r>
              <w:rPr>
                <w:rFonts w:ascii="Arial" w:cs="Arial" w:eastAsia="Arial" w:hAnsi="Arial"/>
                <w:sz w:val="10"/>
                <w:szCs w:val="10"/>
                <w:color w:val="auto"/>
              </w:rPr>
              <w:t>35,402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and transfers of oil and gas produced net of production costs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(27,559)</w:t>
            </w:r>
          </w:p>
        </w:tc>
        <w:tc>
          <w:tcPr>
            <w:tcW w:w="400" w:type="dxa"/>
            <w:vAlign w:val="bottom"/>
          </w:tcPr>
          <w:p>
            <w:pPr>
              <w:spacing w:after="0"/>
              <w:rPr>
                <w:sz w:val="9"/>
                <w:szCs w:val="9"/>
                <w:color w:val="auto"/>
              </w:rPr>
            </w:pPr>
          </w:p>
        </w:tc>
        <w:tc>
          <w:tcPr>
            <w:tcW w:w="116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(4,209)</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color w:val="auto"/>
              </w:rPr>
              <w:t>(31,768)</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Development costs incurred</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10,791</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335</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11,126</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Purchases of reserves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00" w:type="dxa"/>
            <w:vAlign w:val="bottom"/>
            <w:gridSpan w:val="3"/>
          </w:tcPr>
          <w:p>
            <w:pPr>
              <w:jc w:val="right"/>
              <w:ind w:right="140"/>
              <w:spacing w:after="0" w:line="106" w:lineRule="exact"/>
              <w:rPr>
                <w:sz w:val="20"/>
                <w:szCs w:val="20"/>
                <w:color w:val="auto"/>
              </w:rPr>
            </w:pPr>
            <w:r>
              <w:rPr>
                <w:rFonts w:ascii="Arial" w:cs="Arial" w:eastAsia="Arial" w:hAnsi="Arial"/>
                <w:sz w:val="10"/>
                <w:szCs w:val="10"/>
                <w:color w:val="auto"/>
              </w:rPr>
              <w:t>–</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of reserves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(285)</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color w:val="auto"/>
              </w:rPr>
              <w:t>(285)</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Extensions, discoveries and improved recovery less related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3,438</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697</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4,135</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Revisions of previous quantity estimates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3,230</w:t>
            </w:r>
          </w:p>
        </w:tc>
        <w:tc>
          <w:tcPr>
            <w:tcW w:w="400" w:type="dxa"/>
            <w:vAlign w:val="bottom"/>
          </w:tcPr>
          <w:p>
            <w:pPr>
              <w:spacing w:after="0"/>
              <w:rPr>
                <w:sz w:val="9"/>
                <w:szCs w:val="9"/>
                <w:color w:val="auto"/>
              </w:rPr>
            </w:pPr>
          </w:p>
        </w:tc>
        <w:tc>
          <w:tcPr>
            <w:tcW w:w="116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(4,343)</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color w:val="auto"/>
              </w:rPr>
              <w:t>(1,113)</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Net changes in prices, development and production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51,528</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30,915</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82,443</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Accretion of discount</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4,282</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1,412</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5,694</w:t>
            </w:r>
          </w:p>
        </w:tc>
        <w:tc>
          <w:tcPr>
            <w:tcW w:w="120" w:type="dxa"/>
            <w:vAlign w:val="bottom"/>
          </w:tcPr>
          <w:p>
            <w:pPr>
              <w:spacing w:after="0"/>
              <w:rPr>
                <w:sz w:val="9"/>
                <w:szCs w:val="9"/>
                <w:color w:val="auto"/>
              </w:rPr>
            </w:pPr>
          </w:p>
        </w:tc>
      </w:tr>
      <w:tr>
        <w:trPr>
          <w:trHeight w:val="118"/>
        </w:trPr>
        <w:tc>
          <w:tcPr>
            <w:tcW w:w="4160" w:type="dxa"/>
            <w:vAlign w:val="bottom"/>
          </w:tcPr>
          <w:p>
            <w:pPr>
              <w:spacing w:after="0"/>
              <w:rPr>
                <w:sz w:val="20"/>
                <w:szCs w:val="20"/>
                <w:color w:val="auto"/>
              </w:rPr>
            </w:pPr>
            <w:r>
              <w:rPr>
                <w:rFonts w:ascii="Arial" w:cs="Arial" w:eastAsia="Arial" w:hAnsi="Arial"/>
                <w:sz w:val="10"/>
                <w:szCs w:val="10"/>
                <w:color w:val="auto"/>
              </w:rPr>
              <w:t>Net change in income tax</w:t>
            </w:r>
          </w:p>
        </w:tc>
        <w:tc>
          <w:tcPr>
            <w:tcW w:w="3660" w:type="dxa"/>
            <w:vAlign w:val="bottom"/>
          </w:tcPr>
          <w:p>
            <w:pPr>
              <w:spacing w:after="0"/>
              <w:rPr>
                <w:sz w:val="10"/>
                <w:szCs w:val="1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0"/>
                <w:szCs w:val="10"/>
                <w:color w:val="auto"/>
              </w:rPr>
              <w:t>(20,810)</w:t>
            </w:r>
          </w:p>
        </w:tc>
        <w:tc>
          <w:tcPr>
            <w:tcW w:w="400" w:type="dxa"/>
            <w:vAlign w:val="bottom"/>
          </w:tcPr>
          <w:p>
            <w:pPr>
              <w:spacing w:after="0"/>
              <w:rPr>
                <w:sz w:val="10"/>
                <w:szCs w:val="1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0"/>
                <w:szCs w:val="10"/>
                <w:color w:val="auto"/>
              </w:rPr>
              <w:t>(7,312)</w:t>
            </w:r>
          </w:p>
        </w:tc>
        <w:tc>
          <w:tcPr>
            <w:tcW w:w="180" w:type="dxa"/>
            <w:vAlign w:val="bottom"/>
          </w:tcPr>
          <w:p>
            <w:pPr>
              <w:spacing w:after="0"/>
              <w:rPr>
                <w:sz w:val="10"/>
                <w:szCs w:val="1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(28,122)</w:t>
            </w:r>
          </w:p>
        </w:tc>
      </w:tr>
      <w:tr>
        <w:trPr>
          <w:trHeight w:val="105"/>
        </w:trPr>
        <w:tc>
          <w:tcPr>
            <w:tcW w:w="41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change for 2009</w:t>
            </w:r>
          </w:p>
        </w:tc>
        <w:tc>
          <w:tcPr>
            <w:tcW w:w="3660" w:type="dxa"/>
            <w:vAlign w:val="bottom"/>
            <w:tcBorders>
              <w:top w:val="single" w:sz="8" w:color="0077C0"/>
              <w:bottom w:val="single" w:sz="8" w:color="0077C0"/>
            </w:tcBorders>
          </w:tcPr>
          <w:p>
            <w:pPr>
              <w:spacing w:after="0"/>
              <w:rPr>
                <w:sz w:val="9"/>
                <w:szCs w:val="9"/>
                <w:color w:val="auto"/>
              </w:rPr>
            </w:pPr>
          </w:p>
        </w:tc>
        <w:tc>
          <w:tcPr>
            <w:tcW w:w="122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color w:val="auto"/>
              </w:rPr>
              <w:t>24,615</w:t>
            </w:r>
          </w:p>
        </w:tc>
        <w:tc>
          <w:tcPr>
            <w:tcW w:w="400" w:type="dxa"/>
            <w:vAlign w:val="bottom"/>
            <w:tcBorders>
              <w:top w:val="single" w:sz="8" w:color="0077C0"/>
              <w:bottom w:val="single" w:sz="8" w:color="0077C0"/>
            </w:tcBorders>
          </w:tcPr>
          <w:p>
            <w:pPr>
              <w:spacing w:after="0"/>
              <w:rPr>
                <w:sz w:val="9"/>
                <w:szCs w:val="9"/>
                <w:color w:val="auto"/>
              </w:rPr>
            </w:pPr>
          </w:p>
        </w:tc>
        <w:tc>
          <w:tcPr>
            <w:tcW w:w="116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color w:val="auto"/>
              </w:rPr>
              <w:t>17,495</w:t>
            </w:r>
          </w:p>
        </w:tc>
        <w:tc>
          <w:tcPr>
            <w:tcW w:w="18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42,110</w:t>
            </w:r>
          </w:p>
        </w:tc>
        <w:tc>
          <w:tcPr>
            <w:tcW w:w="120" w:type="dxa"/>
            <w:vAlign w:val="bottom"/>
          </w:tcPr>
          <w:p>
            <w:pPr>
              <w:spacing w:after="0"/>
              <w:rPr>
                <w:sz w:val="9"/>
                <w:szCs w:val="9"/>
                <w:color w:val="auto"/>
              </w:rPr>
            </w:pPr>
          </w:p>
        </w:tc>
      </w:tr>
      <w:tr>
        <w:trPr>
          <w:trHeight w:val="92"/>
        </w:trPr>
        <w:tc>
          <w:tcPr>
            <w:tcW w:w="4160" w:type="dxa"/>
            <w:vAlign w:val="bottom"/>
          </w:tcPr>
          <w:p>
            <w:pPr>
              <w:spacing w:after="0" w:line="92" w:lineRule="exact"/>
              <w:rPr>
                <w:sz w:val="20"/>
                <w:szCs w:val="20"/>
                <w:color w:val="auto"/>
              </w:rPr>
            </w:pPr>
            <w:r>
              <w:rPr>
                <w:rFonts w:ascii="Arial" w:cs="Arial" w:eastAsia="Arial" w:hAnsi="Arial"/>
                <w:sz w:val="10"/>
                <w:szCs w:val="10"/>
                <w:b w:val="1"/>
                <w:bCs w:val="1"/>
                <w:color w:val="0077C0"/>
              </w:rPr>
              <w:t>Present Value at December 31, 2009</w:t>
            </w:r>
          </w:p>
        </w:tc>
        <w:tc>
          <w:tcPr>
            <w:tcW w:w="3660" w:type="dxa"/>
            <w:vAlign w:val="bottom"/>
          </w:tcPr>
          <w:p>
            <w:pPr>
              <w:jc w:val="right"/>
              <w:ind w:right="110"/>
              <w:spacing w:after="0" w:line="92"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740"/>
              <w:spacing w:after="0" w:line="92" w:lineRule="exact"/>
              <w:rPr>
                <w:sz w:val="20"/>
                <w:szCs w:val="20"/>
                <w:color w:val="auto"/>
              </w:rPr>
            </w:pPr>
            <w:r>
              <w:rPr>
                <w:rFonts w:ascii="Arial" w:cs="Arial" w:eastAsia="Arial" w:hAnsi="Arial"/>
                <w:sz w:val="10"/>
                <w:szCs w:val="10"/>
                <w:color w:val="auto"/>
              </w:rPr>
              <w:t>50,276</w:t>
            </w:r>
          </w:p>
        </w:tc>
        <w:tc>
          <w:tcPr>
            <w:tcW w:w="400" w:type="dxa"/>
            <w:vAlign w:val="bottom"/>
          </w:tcPr>
          <w:p>
            <w:pPr>
              <w:jc w:val="right"/>
              <w:ind w:right="90"/>
              <w:spacing w:after="0" w:line="92"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740"/>
              <w:spacing w:after="0" w:line="92" w:lineRule="exact"/>
              <w:rPr>
                <w:sz w:val="20"/>
                <w:szCs w:val="20"/>
                <w:color w:val="auto"/>
              </w:rPr>
            </w:pPr>
            <w:r>
              <w:rPr>
                <w:rFonts w:ascii="Arial" w:cs="Arial" w:eastAsia="Arial" w:hAnsi="Arial"/>
                <w:sz w:val="10"/>
                <w:szCs w:val="10"/>
                <w:color w:val="auto"/>
              </w:rPr>
              <w:t>27,236</w:t>
            </w:r>
          </w:p>
        </w:tc>
        <w:tc>
          <w:tcPr>
            <w:tcW w:w="180" w:type="dxa"/>
            <w:vAlign w:val="bottom"/>
          </w:tcPr>
          <w:p>
            <w:pPr>
              <w:jc w:val="right"/>
              <w:ind w:right="9"/>
              <w:spacing w:after="0" w:line="92"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92" w:lineRule="exact"/>
              <w:rPr>
                <w:sz w:val="20"/>
                <w:szCs w:val="20"/>
                <w:color w:val="auto"/>
              </w:rPr>
            </w:pPr>
            <w:r>
              <w:rPr>
                <w:rFonts w:ascii="Arial" w:cs="Arial" w:eastAsia="Arial" w:hAnsi="Arial"/>
                <w:sz w:val="10"/>
                <w:szCs w:val="10"/>
                <w:color w:val="auto"/>
              </w:rPr>
              <w:t>77,512</w:t>
            </w:r>
          </w:p>
        </w:tc>
        <w:tc>
          <w:tcPr>
            <w:tcW w:w="120" w:type="dxa"/>
            <w:vAlign w:val="bottom"/>
          </w:tcPr>
          <w:p>
            <w:pPr>
              <w:spacing w:after="0"/>
              <w:rPr>
                <w:sz w:val="8"/>
                <w:szCs w:val="8"/>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and transfers of oil and gas produced net of production costs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(39,499)</w:t>
            </w:r>
          </w:p>
        </w:tc>
        <w:tc>
          <w:tcPr>
            <w:tcW w:w="400" w:type="dxa"/>
            <w:vAlign w:val="bottom"/>
          </w:tcPr>
          <w:p>
            <w:pPr>
              <w:spacing w:after="0"/>
              <w:rPr>
                <w:sz w:val="9"/>
                <w:szCs w:val="9"/>
                <w:color w:val="auto"/>
              </w:rPr>
            </w:pPr>
          </w:p>
        </w:tc>
        <w:tc>
          <w:tcPr>
            <w:tcW w:w="116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(6,377)</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color w:val="auto"/>
              </w:rPr>
              <w:t>(45,876)</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Development costs incurred</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12,042</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572</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12,614</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Purchases of reserves</w:t>
            </w:r>
          </w:p>
        </w:tc>
        <w:tc>
          <w:tcPr>
            <w:tcW w:w="366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513</w:t>
            </w: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513</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of reserves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color w:val="auto"/>
              </w:rPr>
              <w:t>(47)</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color w:val="auto"/>
              </w:rPr>
              <w:t>(47)</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Extensions, discoveries and improved recovery less related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5,194</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63</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5,257</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Revisions of previous quantity estimates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10,156</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color w:val="auto"/>
              </w:rPr>
              <w:t>974</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11,130</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Net changes in prices, development and production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43,887</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19,878</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63,765</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Accretion of discount</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8,391</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color w:val="auto"/>
              </w:rPr>
              <w:t>3,797</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12,188</w:t>
            </w:r>
          </w:p>
        </w:tc>
        <w:tc>
          <w:tcPr>
            <w:tcW w:w="120" w:type="dxa"/>
            <w:vAlign w:val="bottom"/>
          </w:tcPr>
          <w:p>
            <w:pPr>
              <w:spacing w:after="0"/>
              <w:rPr>
                <w:sz w:val="9"/>
                <w:szCs w:val="9"/>
                <w:color w:val="auto"/>
              </w:rPr>
            </w:pPr>
          </w:p>
        </w:tc>
      </w:tr>
      <w:tr>
        <w:trPr>
          <w:trHeight w:val="118"/>
        </w:trPr>
        <w:tc>
          <w:tcPr>
            <w:tcW w:w="4160" w:type="dxa"/>
            <w:vAlign w:val="bottom"/>
          </w:tcPr>
          <w:p>
            <w:pPr>
              <w:spacing w:after="0"/>
              <w:rPr>
                <w:sz w:val="20"/>
                <w:szCs w:val="20"/>
                <w:color w:val="auto"/>
              </w:rPr>
            </w:pPr>
            <w:r>
              <w:rPr>
                <w:rFonts w:ascii="Arial" w:cs="Arial" w:eastAsia="Arial" w:hAnsi="Arial"/>
                <w:sz w:val="10"/>
                <w:szCs w:val="10"/>
                <w:color w:val="auto"/>
              </w:rPr>
              <w:t>Net change in income tax</w:t>
            </w:r>
          </w:p>
        </w:tc>
        <w:tc>
          <w:tcPr>
            <w:tcW w:w="3660" w:type="dxa"/>
            <w:vAlign w:val="bottom"/>
          </w:tcPr>
          <w:p>
            <w:pPr>
              <w:spacing w:after="0"/>
              <w:rPr>
                <w:sz w:val="10"/>
                <w:szCs w:val="1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0"/>
                <w:szCs w:val="10"/>
                <w:color w:val="auto"/>
              </w:rPr>
              <w:t>(17,889)</w:t>
            </w:r>
          </w:p>
        </w:tc>
        <w:tc>
          <w:tcPr>
            <w:tcW w:w="400" w:type="dxa"/>
            <w:vAlign w:val="bottom"/>
          </w:tcPr>
          <w:p>
            <w:pPr>
              <w:spacing w:after="0"/>
              <w:rPr>
                <w:sz w:val="10"/>
                <w:szCs w:val="1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0"/>
                <w:szCs w:val="10"/>
                <w:color w:val="auto"/>
              </w:rPr>
              <w:t>(6,715)</w:t>
            </w:r>
          </w:p>
        </w:tc>
        <w:tc>
          <w:tcPr>
            <w:tcW w:w="180" w:type="dxa"/>
            <w:vAlign w:val="bottom"/>
          </w:tcPr>
          <w:p>
            <w:pPr>
              <w:spacing w:after="0"/>
              <w:rPr>
                <w:sz w:val="10"/>
                <w:szCs w:val="1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color w:val="auto"/>
              </w:rPr>
              <w:t>(24,604)</w:t>
            </w:r>
          </w:p>
        </w:tc>
      </w:tr>
      <w:tr>
        <w:trPr>
          <w:trHeight w:val="105"/>
        </w:trPr>
        <w:tc>
          <w:tcPr>
            <w:tcW w:w="41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change for 2010</w:t>
            </w:r>
          </w:p>
        </w:tc>
        <w:tc>
          <w:tcPr>
            <w:tcW w:w="3660" w:type="dxa"/>
            <w:vAlign w:val="bottom"/>
            <w:tcBorders>
              <w:top w:val="single" w:sz="8" w:color="0077C0"/>
              <w:bottom w:val="single" w:sz="8" w:color="0077C0"/>
            </w:tcBorders>
          </w:tcPr>
          <w:p>
            <w:pPr>
              <w:spacing w:after="0"/>
              <w:rPr>
                <w:sz w:val="9"/>
                <w:szCs w:val="9"/>
                <w:color w:val="auto"/>
              </w:rPr>
            </w:pPr>
          </w:p>
        </w:tc>
        <w:tc>
          <w:tcPr>
            <w:tcW w:w="122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color w:val="auto"/>
              </w:rPr>
              <w:t>22,748</w:t>
            </w:r>
          </w:p>
        </w:tc>
        <w:tc>
          <w:tcPr>
            <w:tcW w:w="400" w:type="dxa"/>
            <w:vAlign w:val="bottom"/>
            <w:tcBorders>
              <w:top w:val="single" w:sz="8" w:color="0077C0"/>
              <w:bottom w:val="single" w:sz="8" w:color="0077C0"/>
            </w:tcBorders>
          </w:tcPr>
          <w:p>
            <w:pPr>
              <w:spacing w:after="0"/>
              <w:rPr>
                <w:sz w:val="9"/>
                <w:szCs w:val="9"/>
                <w:color w:val="auto"/>
              </w:rPr>
            </w:pPr>
          </w:p>
        </w:tc>
        <w:tc>
          <w:tcPr>
            <w:tcW w:w="116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color w:val="auto"/>
              </w:rPr>
              <w:t>12,192</w:t>
            </w:r>
          </w:p>
        </w:tc>
        <w:tc>
          <w:tcPr>
            <w:tcW w:w="18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color w:val="auto"/>
              </w:rPr>
              <w:t>34,940</w:t>
            </w:r>
          </w:p>
        </w:tc>
        <w:tc>
          <w:tcPr>
            <w:tcW w:w="120" w:type="dxa"/>
            <w:vAlign w:val="bottom"/>
          </w:tcPr>
          <w:p>
            <w:pPr>
              <w:spacing w:after="0"/>
              <w:rPr>
                <w:sz w:val="9"/>
                <w:szCs w:val="9"/>
                <w:color w:val="auto"/>
              </w:rPr>
            </w:pPr>
          </w:p>
        </w:tc>
      </w:tr>
      <w:tr>
        <w:trPr>
          <w:trHeight w:val="90"/>
        </w:trPr>
        <w:tc>
          <w:tcPr>
            <w:tcW w:w="4160" w:type="dxa"/>
            <w:vAlign w:val="bottom"/>
          </w:tcPr>
          <w:p>
            <w:pPr>
              <w:spacing w:after="0" w:line="91" w:lineRule="exact"/>
              <w:rPr>
                <w:sz w:val="20"/>
                <w:szCs w:val="20"/>
                <w:color w:val="auto"/>
              </w:rPr>
            </w:pPr>
            <w:r>
              <w:rPr>
                <w:rFonts w:ascii="Arial" w:cs="Arial" w:eastAsia="Arial" w:hAnsi="Arial"/>
                <w:sz w:val="10"/>
                <w:szCs w:val="10"/>
                <w:b w:val="1"/>
                <w:bCs w:val="1"/>
                <w:color w:val="0077C0"/>
              </w:rPr>
              <w:t>Present Value at December 31, 2010</w:t>
            </w:r>
          </w:p>
        </w:tc>
        <w:tc>
          <w:tcPr>
            <w:tcW w:w="3660" w:type="dxa"/>
            <w:vAlign w:val="bottom"/>
          </w:tcPr>
          <w:p>
            <w:pPr>
              <w:jc w:val="right"/>
              <w:ind w:right="110"/>
              <w:spacing w:after="0" w:line="91" w:lineRule="exact"/>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740"/>
              <w:spacing w:after="0" w:line="91" w:lineRule="exact"/>
              <w:rPr>
                <w:sz w:val="20"/>
                <w:szCs w:val="20"/>
                <w:color w:val="auto"/>
              </w:rPr>
            </w:pPr>
            <w:r>
              <w:rPr>
                <w:rFonts w:ascii="Arial" w:cs="Arial" w:eastAsia="Arial" w:hAnsi="Arial"/>
                <w:sz w:val="10"/>
                <w:szCs w:val="10"/>
                <w:color w:val="auto"/>
              </w:rPr>
              <w:t>73,024</w:t>
            </w:r>
          </w:p>
        </w:tc>
        <w:tc>
          <w:tcPr>
            <w:tcW w:w="400" w:type="dxa"/>
            <w:vAlign w:val="bottom"/>
          </w:tcPr>
          <w:p>
            <w:pPr>
              <w:jc w:val="right"/>
              <w:ind w:right="90"/>
              <w:spacing w:after="0" w:line="91" w:lineRule="exact"/>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740"/>
              <w:spacing w:after="0" w:line="91" w:lineRule="exact"/>
              <w:rPr>
                <w:sz w:val="20"/>
                <w:szCs w:val="20"/>
                <w:color w:val="auto"/>
              </w:rPr>
            </w:pPr>
            <w:r>
              <w:rPr>
                <w:rFonts w:ascii="Arial" w:cs="Arial" w:eastAsia="Arial" w:hAnsi="Arial"/>
                <w:sz w:val="10"/>
                <w:szCs w:val="10"/>
                <w:color w:val="auto"/>
              </w:rPr>
              <w:t>39,428</w:t>
            </w:r>
          </w:p>
        </w:tc>
        <w:tc>
          <w:tcPr>
            <w:tcW w:w="180" w:type="dxa"/>
            <w:vAlign w:val="bottom"/>
          </w:tcPr>
          <w:p>
            <w:pPr>
              <w:jc w:val="right"/>
              <w:ind w:right="9"/>
              <w:spacing w:after="0" w:line="91"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
              <w:spacing w:after="0" w:line="91" w:lineRule="exact"/>
              <w:rPr>
                <w:sz w:val="20"/>
                <w:szCs w:val="20"/>
                <w:color w:val="auto"/>
              </w:rPr>
            </w:pPr>
            <w:r>
              <w:rPr>
                <w:rFonts w:ascii="Arial" w:cs="Arial" w:eastAsia="Arial" w:hAnsi="Arial"/>
                <w:sz w:val="10"/>
                <w:szCs w:val="10"/>
                <w:color w:val="auto"/>
              </w:rPr>
              <w:t>112,452</w:t>
            </w:r>
          </w:p>
        </w:tc>
        <w:tc>
          <w:tcPr>
            <w:tcW w:w="120" w:type="dxa"/>
            <w:vAlign w:val="bottom"/>
          </w:tcPr>
          <w:p>
            <w:pPr>
              <w:spacing w:after="0"/>
              <w:rPr>
                <w:sz w:val="7"/>
                <w:szCs w:val="7"/>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and transfers of oil and gas produced net of production costs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b w:val="1"/>
                <w:bCs w:val="1"/>
                <w:color w:val="auto"/>
              </w:rPr>
              <w:t>(53,063)</w:t>
            </w:r>
          </w:p>
        </w:tc>
        <w:tc>
          <w:tcPr>
            <w:tcW w:w="400" w:type="dxa"/>
            <w:vAlign w:val="bottom"/>
          </w:tcPr>
          <w:p>
            <w:pPr>
              <w:spacing w:after="0"/>
              <w:rPr>
                <w:sz w:val="9"/>
                <w:szCs w:val="9"/>
                <w:color w:val="auto"/>
              </w:rPr>
            </w:pPr>
          </w:p>
        </w:tc>
        <w:tc>
          <w:tcPr>
            <w:tcW w:w="1160" w:type="dxa"/>
            <w:vAlign w:val="bottom"/>
            <w:gridSpan w:val="2"/>
          </w:tcPr>
          <w:p>
            <w:pPr>
              <w:jc w:val="right"/>
              <w:ind w:right="700"/>
              <w:spacing w:after="0" w:line="106" w:lineRule="exact"/>
              <w:rPr>
                <w:sz w:val="20"/>
                <w:szCs w:val="20"/>
                <w:color w:val="auto"/>
              </w:rPr>
            </w:pPr>
            <w:r>
              <w:rPr>
                <w:rFonts w:ascii="Arial" w:cs="Arial" w:eastAsia="Arial" w:hAnsi="Arial"/>
                <w:sz w:val="10"/>
                <w:szCs w:val="10"/>
                <w:b w:val="1"/>
                <w:bCs w:val="1"/>
                <w:color w:val="auto"/>
              </w:rPr>
              <w:t>(8,679)</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b w:val="1"/>
                <w:bCs w:val="1"/>
                <w:color w:val="auto"/>
              </w:rPr>
              <w:t>(61,742)</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Development costs incurred</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13,869</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729</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14,598</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Purchases of reserves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1,212</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1,212</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Sales of reserves</w:t>
            </w:r>
          </w:p>
        </w:tc>
        <w:tc>
          <w:tcPr>
            <w:tcW w:w="3660" w:type="dxa"/>
            <w:vAlign w:val="bottom"/>
          </w:tcPr>
          <w:p>
            <w:pPr>
              <w:spacing w:after="0"/>
              <w:rPr>
                <w:sz w:val="9"/>
                <w:szCs w:val="9"/>
                <w:color w:val="auto"/>
              </w:rPr>
            </w:pPr>
          </w:p>
        </w:tc>
        <w:tc>
          <w:tcPr>
            <w:tcW w:w="1220" w:type="dxa"/>
            <w:vAlign w:val="bottom"/>
            <w:gridSpan w:val="2"/>
          </w:tcPr>
          <w:p>
            <w:pPr>
              <w:jc w:val="right"/>
              <w:ind w:right="700"/>
              <w:spacing w:after="0" w:line="106" w:lineRule="exact"/>
              <w:rPr>
                <w:sz w:val="20"/>
                <w:szCs w:val="20"/>
                <w:color w:val="auto"/>
              </w:rPr>
            </w:pPr>
            <w:r>
              <w:rPr>
                <w:rFonts w:ascii="Arial" w:cs="Arial" w:eastAsia="Arial" w:hAnsi="Arial"/>
                <w:sz w:val="10"/>
                <w:szCs w:val="10"/>
                <w:b w:val="1"/>
                <w:bCs w:val="1"/>
                <w:color w:val="auto"/>
              </w:rPr>
              <w:t>(803)</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700" w:type="dxa"/>
            <w:vAlign w:val="bottom"/>
            <w:gridSpan w:val="3"/>
          </w:tcPr>
          <w:p>
            <w:pPr>
              <w:jc w:val="right"/>
              <w:ind w:right="100"/>
              <w:spacing w:after="0" w:line="106" w:lineRule="exact"/>
              <w:rPr>
                <w:sz w:val="20"/>
                <w:szCs w:val="20"/>
                <w:color w:val="auto"/>
              </w:rPr>
            </w:pPr>
            <w:r>
              <w:rPr>
                <w:rFonts w:ascii="Arial" w:cs="Arial" w:eastAsia="Arial" w:hAnsi="Arial"/>
                <w:sz w:val="10"/>
                <w:szCs w:val="10"/>
                <w:b w:val="1"/>
                <w:bCs w:val="1"/>
                <w:color w:val="auto"/>
              </w:rPr>
              <w:t>(803)</w:t>
            </w: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Extensions, discoveries and improved recovery less related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12,288</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12,288</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Revisions of previous quantity estimates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16,750</w:t>
            </w:r>
          </w:p>
        </w:tc>
        <w:tc>
          <w:tcPr>
            <w:tcW w:w="40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791</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17,541</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Net changes in prices, development and production costs</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61,428</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19,097</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80,525</w:t>
            </w:r>
          </w:p>
        </w:tc>
        <w:tc>
          <w:tcPr>
            <w:tcW w:w="120" w:type="dxa"/>
            <w:vAlign w:val="bottom"/>
          </w:tcPr>
          <w:p>
            <w:pPr>
              <w:spacing w:after="0"/>
              <w:rPr>
                <w:sz w:val="9"/>
                <w:szCs w:val="9"/>
                <w:color w:val="auto"/>
              </w:rPr>
            </w:pPr>
          </w:p>
        </w:tc>
      </w:tr>
      <w:tr>
        <w:trPr>
          <w:trHeight w:val="106"/>
        </w:trPr>
        <w:tc>
          <w:tcPr>
            <w:tcW w:w="4160" w:type="dxa"/>
            <w:vAlign w:val="bottom"/>
          </w:tcPr>
          <w:p>
            <w:pPr>
              <w:spacing w:after="0" w:line="106" w:lineRule="exact"/>
              <w:rPr>
                <w:sz w:val="20"/>
                <w:szCs w:val="20"/>
                <w:color w:val="auto"/>
              </w:rPr>
            </w:pPr>
            <w:r>
              <w:rPr>
                <w:rFonts w:ascii="Arial" w:cs="Arial" w:eastAsia="Arial" w:hAnsi="Arial"/>
                <w:sz w:val="10"/>
                <w:szCs w:val="10"/>
                <w:color w:val="auto"/>
              </w:rPr>
              <w:t>Accretion of discount</w:t>
            </w:r>
          </w:p>
        </w:tc>
        <w:tc>
          <w:tcPr>
            <w:tcW w:w="3660" w:type="dxa"/>
            <w:vAlign w:val="bottom"/>
          </w:tcPr>
          <w:p>
            <w:pPr>
              <w:spacing w:after="0"/>
              <w:rPr>
                <w:sz w:val="9"/>
                <w:szCs w:val="9"/>
                <w:color w:val="auto"/>
              </w:rPr>
            </w:pPr>
          </w:p>
        </w:tc>
        <w:tc>
          <w:tcPr>
            <w:tcW w:w="122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11,943</w:t>
            </w:r>
          </w:p>
        </w:tc>
        <w:tc>
          <w:tcPr>
            <w:tcW w:w="400" w:type="dxa"/>
            <w:vAlign w:val="bottom"/>
          </w:tcPr>
          <w:p>
            <w:pPr>
              <w:spacing w:after="0"/>
              <w:rPr>
                <w:sz w:val="9"/>
                <w:szCs w:val="9"/>
                <w:color w:val="auto"/>
              </w:rPr>
            </w:pPr>
          </w:p>
        </w:tc>
        <w:tc>
          <w:tcPr>
            <w:tcW w:w="1160" w:type="dxa"/>
            <w:vAlign w:val="bottom"/>
            <w:gridSpan w:val="2"/>
          </w:tcPr>
          <w:p>
            <w:pPr>
              <w:jc w:val="right"/>
              <w:ind w:right="740"/>
              <w:spacing w:after="0" w:line="106" w:lineRule="exact"/>
              <w:rPr>
                <w:sz w:val="20"/>
                <w:szCs w:val="20"/>
                <w:color w:val="auto"/>
              </w:rPr>
            </w:pPr>
            <w:r>
              <w:rPr>
                <w:rFonts w:ascii="Arial" w:cs="Arial" w:eastAsia="Arial" w:hAnsi="Arial"/>
                <w:sz w:val="10"/>
                <w:szCs w:val="10"/>
                <w:b w:val="1"/>
                <w:bCs w:val="1"/>
                <w:color w:val="auto"/>
              </w:rPr>
              <w:t>5,563</w:t>
            </w:r>
          </w:p>
        </w:tc>
        <w:tc>
          <w:tcPr>
            <w:tcW w:w="180" w:type="dxa"/>
            <w:vAlign w:val="bottom"/>
          </w:tcPr>
          <w:p>
            <w:pPr>
              <w:spacing w:after="0"/>
              <w:rPr>
                <w:sz w:val="9"/>
                <w:szCs w:val="9"/>
                <w:color w:val="auto"/>
              </w:rPr>
            </w:pPr>
          </w:p>
        </w:tc>
        <w:tc>
          <w:tcPr>
            <w:tcW w:w="580" w:type="dxa"/>
            <w:vAlign w:val="bottom"/>
            <w:gridSpan w:val="2"/>
          </w:tcPr>
          <w:p>
            <w:pPr>
              <w:jc w:val="right"/>
              <w:ind w:right="20"/>
              <w:spacing w:after="0" w:line="106" w:lineRule="exact"/>
              <w:rPr>
                <w:sz w:val="20"/>
                <w:szCs w:val="20"/>
                <w:color w:val="auto"/>
              </w:rPr>
            </w:pPr>
            <w:r>
              <w:rPr>
                <w:rFonts w:ascii="Arial" w:cs="Arial" w:eastAsia="Arial" w:hAnsi="Arial"/>
                <w:sz w:val="10"/>
                <w:szCs w:val="10"/>
                <w:b w:val="1"/>
                <w:bCs w:val="1"/>
                <w:color w:val="auto"/>
              </w:rPr>
              <w:t>17,506</w:t>
            </w:r>
          </w:p>
        </w:tc>
        <w:tc>
          <w:tcPr>
            <w:tcW w:w="120" w:type="dxa"/>
            <w:vAlign w:val="bottom"/>
          </w:tcPr>
          <w:p>
            <w:pPr>
              <w:spacing w:after="0"/>
              <w:rPr>
                <w:sz w:val="9"/>
                <w:szCs w:val="9"/>
                <w:color w:val="auto"/>
              </w:rPr>
            </w:pPr>
          </w:p>
        </w:tc>
      </w:tr>
      <w:tr>
        <w:trPr>
          <w:trHeight w:val="120"/>
        </w:trPr>
        <w:tc>
          <w:tcPr>
            <w:tcW w:w="4160" w:type="dxa"/>
            <w:vAlign w:val="bottom"/>
          </w:tcPr>
          <w:p>
            <w:pPr>
              <w:spacing w:after="0"/>
              <w:rPr>
                <w:sz w:val="20"/>
                <w:szCs w:val="20"/>
                <w:color w:val="auto"/>
              </w:rPr>
            </w:pPr>
            <w:r>
              <w:rPr>
                <w:rFonts w:ascii="Arial" w:cs="Arial" w:eastAsia="Arial" w:hAnsi="Arial"/>
                <w:sz w:val="10"/>
                <w:szCs w:val="10"/>
                <w:color w:val="auto"/>
              </w:rPr>
              <w:t>Net change in income tax</w:t>
            </w:r>
          </w:p>
        </w:tc>
        <w:tc>
          <w:tcPr>
            <w:tcW w:w="3660" w:type="dxa"/>
            <w:vAlign w:val="bottom"/>
          </w:tcPr>
          <w:p>
            <w:pPr>
              <w:spacing w:after="0"/>
              <w:rPr>
                <w:sz w:val="10"/>
                <w:szCs w:val="1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(29,700)</w:t>
            </w:r>
          </w:p>
        </w:tc>
        <w:tc>
          <w:tcPr>
            <w:tcW w:w="400" w:type="dxa"/>
            <w:vAlign w:val="bottom"/>
          </w:tcPr>
          <w:p>
            <w:pPr>
              <w:spacing w:after="0"/>
              <w:rPr>
                <w:sz w:val="10"/>
                <w:szCs w:val="1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(4,716)</w:t>
            </w:r>
          </w:p>
        </w:tc>
        <w:tc>
          <w:tcPr>
            <w:tcW w:w="180" w:type="dxa"/>
            <w:vAlign w:val="bottom"/>
          </w:tcPr>
          <w:p>
            <w:pPr>
              <w:spacing w:after="0"/>
              <w:rPr>
                <w:sz w:val="10"/>
                <w:szCs w:val="1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(34,416)</w:t>
            </w:r>
          </w:p>
        </w:tc>
      </w:tr>
      <w:tr>
        <w:trPr>
          <w:trHeight w:val="105"/>
        </w:trPr>
        <w:tc>
          <w:tcPr>
            <w:tcW w:w="4160" w:type="dxa"/>
            <w:vAlign w:val="bottom"/>
            <w:tcBorders>
              <w:top w:val="single" w:sz="8" w:color="0077C0"/>
              <w:bottom w:val="single" w:sz="8" w:color="0077C0"/>
            </w:tcBorders>
          </w:tcPr>
          <w:p>
            <w:pPr>
              <w:spacing w:after="0" w:line="105" w:lineRule="exact"/>
              <w:rPr>
                <w:sz w:val="20"/>
                <w:szCs w:val="20"/>
                <w:color w:val="auto"/>
              </w:rPr>
            </w:pPr>
            <w:r>
              <w:rPr>
                <w:rFonts w:ascii="Arial" w:cs="Arial" w:eastAsia="Arial" w:hAnsi="Arial"/>
                <w:sz w:val="10"/>
                <w:szCs w:val="10"/>
                <w:color w:val="auto"/>
              </w:rPr>
              <w:t>Net change for 2011</w:t>
            </w:r>
          </w:p>
        </w:tc>
        <w:tc>
          <w:tcPr>
            <w:tcW w:w="3660" w:type="dxa"/>
            <w:vAlign w:val="bottom"/>
            <w:tcBorders>
              <w:top w:val="single" w:sz="8" w:color="0077C0"/>
              <w:bottom w:val="single" w:sz="8" w:color="0077C0"/>
            </w:tcBorders>
          </w:tcPr>
          <w:p>
            <w:pPr>
              <w:spacing w:after="0"/>
              <w:rPr>
                <w:sz w:val="9"/>
                <w:szCs w:val="9"/>
                <w:color w:val="auto"/>
              </w:rPr>
            </w:pPr>
          </w:p>
        </w:tc>
        <w:tc>
          <w:tcPr>
            <w:tcW w:w="122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b w:val="1"/>
                <w:bCs w:val="1"/>
                <w:color w:val="auto"/>
              </w:rPr>
              <w:t>33,924</w:t>
            </w:r>
          </w:p>
        </w:tc>
        <w:tc>
          <w:tcPr>
            <w:tcW w:w="400" w:type="dxa"/>
            <w:vAlign w:val="bottom"/>
            <w:tcBorders>
              <w:top w:val="single" w:sz="8" w:color="0077C0"/>
              <w:bottom w:val="single" w:sz="8" w:color="0077C0"/>
            </w:tcBorders>
          </w:tcPr>
          <w:p>
            <w:pPr>
              <w:spacing w:after="0"/>
              <w:rPr>
                <w:sz w:val="9"/>
                <w:szCs w:val="9"/>
                <w:color w:val="auto"/>
              </w:rPr>
            </w:pPr>
          </w:p>
        </w:tc>
        <w:tc>
          <w:tcPr>
            <w:tcW w:w="1160" w:type="dxa"/>
            <w:vAlign w:val="bottom"/>
            <w:tcBorders>
              <w:top w:val="single" w:sz="8" w:color="0077C0"/>
              <w:bottom w:val="single" w:sz="8" w:color="0077C0"/>
            </w:tcBorders>
            <w:gridSpan w:val="2"/>
          </w:tcPr>
          <w:p>
            <w:pPr>
              <w:jc w:val="right"/>
              <w:ind w:right="740"/>
              <w:spacing w:after="0" w:line="105" w:lineRule="exact"/>
              <w:rPr>
                <w:sz w:val="20"/>
                <w:szCs w:val="20"/>
                <w:color w:val="auto"/>
              </w:rPr>
            </w:pPr>
            <w:r>
              <w:rPr>
                <w:rFonts w:ascii="Arial" w:cs="Arial" w:eastAsia="Arial" w:hAnsi="Arial"/>
                <w:sz w:val="10"/>
                <w:szCs w:val="10"/>
                <w:b w:val="1"/>
                <w:bCs w:val="1"/>
                <w:color w:val="auto"/>
              </w:rPr>
              <w:t>12,785</w:t>
            </w:r>
          </w:p>
        </w:tc>
        <w:tc>
          <w:tcPr>
            <w:tcW w:w="180" w:type="dxa"/>
            <w:vAlign w:val="bottom"/>
            <w:tcBorders>
              <w:top w:val="single" w:sz="8" w:color="0077C0"/>
              <w:bottom w:val="single" w:sz="8" w:color="0077C0"/>
            </w:tcBorders>
          </w:tcPr>
          <w:p>
            <w:pPr>
              <w:spacing w:after="0"/>
              <w:rPr>
                <w:sz w:val="9"/>
                <w:szCs w:val="9"/>
                <w:color w:val="auto"/>
              </w:rPr>
            </w:pPr>
          </w:p>
        </w:tc>
        <w:tc>
          <w:tcPr>
            <w:tcW w:w="580" w:type="dxa"/>
            <w:vAlign w:val="bottom"/>
            <w:tcBorders>
              <w:top w:val="single" w:sz="8" w:color="0077C0"/>
              <w:bottom w:val="single" w:sz="8" w:color="0077C0"/>
            </w:tcBorders>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46,709</w:t>
            </w:r>
          </w:p>
        </w:tc>
        <w:tc>
          <w:tcPr>
            <w:tcW w:w="120" w:type="dxa"/>
            <w:vAlign w:val="bottom"/>
          </w:tcPr>
          <w:p>
            <w:pPr>
              <w:spacing w:after="0"/>
              <w:rPr>
                <w:sz w:val="9"/>
                <w:szCs w:val="9"/>
                <w:color w:val="auto"/>
              </w:rPr>
            </w:pPr>
          </w:p>
        </w:tc>
      </w:tr>
      <w:tr>
        <w:trPr>
          <w:trHeight w:val="114"/>
        </w:trPr>
        <w:tc>
          <w:tcPr>
            <w:tcW w:w="4160" w:type="dxa"/>
            <w:vAlign w:val="bottom"/>
          </w:tcPr>
          <w:p>
            <w:pPr>
              <w:spacing w:after="0" w:line="105" w:lineRule="exact"/>
              <w:rPr>
                <w:sz w:val="20"/>
                <w:szCs w:val="20"/>
                <w:color w:val="auto"/>
              </w:rPr>
            </w:pPr>
            <w:r>
              <w:rPr>
                <w:rFonts w:ascii="Arial" w:cs="Arial" w:eastAsia="Arial" w:hAnsi="Arial"/>
                <w:sz w:val="10"/>
                <w:szCs w:val="10"/>
                <w:b w:val="1"/>
                <w:bCs w:val="1"/>
                <w:color w:val="0077C0"/>
              </w:rPr>
              <w:t>Present Value at December 31, 2011</w:t>
            </w:r>
          </w:p>
        </w:tc>
        <w:tc>
          <w:tcPr>
            <w:tcW w:w="3660" w:type="dxa"/>
            <w:vAlign w:val="bottom"/>
          </w:tcPr>
          <w:p>
            <w:pPr>
              <w:jc w:val="right"/>
              <w:ind w:right="110"/>
              <w:spacing w:after="0" w:line="105" w:lineRule="exact"/>
              <w:rPr>
                <w:sz w:val="20"/>
                <w:szCs w:val="20"/>
                <w:color w:val="auto"/>
              </w:rPr>
            </w:pPr>
            <w:r>
              <w:rPr>
                <w:rFonts w:ascii="Arial" w:cs="Arial" w:eastAsia="Arial" w:hAnsi="Arial"/>
                <w:sz w:val="10"/>
                <w:szCs w:val="10"/>
                <w:b w:val="1"/>
                <w:bCs w:val="1"/>
                <w:color w:val="auto"/>
              </w:rPr>
              <w:t>$</w:t>
            </w:r>
          </w:p>
        </w:tc>
        <w:tc>
          <w:tcPr>
            <w:tcW w:w="1220" w:type="dxa"/>
            <w:vAlign w:val="bottom"/>
            <w:gridSpan w:val="2"/>
          </w:tcPr>
          <w:p>
            <w:pPr>
              <w:jc w:val="right"/>
              <w:ind w:right="740"/>
              <w:spacing w:after="0" w:line="105" w:lineRule="exact"/>
              <w:rPr>
                <w:sz w:val="20"/>
                <w:szCs w:val="20"/>
                <w:color w:val="auto"/>
              </w:rPr>
            </w:pPr>
            <w:r>
              <w:rPr>
                <w:rFonts w:ascii="Arial" w:cs="Arial" w:eastAsia="Arial" w:hAnsi="Arial"/>
                <w:sz w:val="10"/>
                <w:szCs w:val="10"/>
                <w:b w:val="1"/>
                <w:bCs w:val="1"/>
                <w:color w:val="auto"/>
              </w:rPr>
              <w:t>106,948</w:t>
            </w:r>
          </w:p>
        </w:tc>
        <w:tc>
          <w:tcPr>
            <w:tcW w:w="400" w:type="dxa"/>
            <w:vAlign w:val="bottom"/>
          </w:tcPr>
          <w:p>
            <w:pPr>
              <w:jc w:val="right"/>
              <w:ind w:right="90"/>
              <w:spacing w:after="0" w:line="105" w:lineRule="exact"/>
              <w:rPr>
                <w:sz w:val="20"/>
                <w:szCs w:val="20"/>
                <w:color w:val="auto"/>
              </w:rPr>
            </w:pPr>
            <w:r>
              <w:rPr>
                <w:rFonts w:ascii="Arial" w:cs="Arial" w:eastAsia="Arial" w:hAnsi="Arial"/>
                <w:sz w:val="10"/>
                <w:szCs w:val="10"/>
                <w:b w:val="1"/>
                <w:bCs w:val="1"/>
                <w:color w:val="auto"/>
              </w:rPr>
              <w:t>$</w:t>
            </w:r>
          </w:p>
        </w:tc>
        <w:tc>
          <w:tcPr>
            <w:tcW w:w="1160" w:type="dxa"/>
            <w:vAlign w:val="bottom"/>
            <w:gridSpan w:val="2"/>
          </w:tcPr>
          <w:p>
            <w:pPr>
              <w:jc w:val="right"/>
              <w:ind w:right="740"/>
              <w:spacing w:after="0" w:line="105" w:lineRule="exact"/>
              <w:rPr>
                <w:sz w:val="20"/>
                <w:szCs w:val="20"/>
                <w:color w:val="auto"/>
              </w:rPr>
            </w:pPr>
            <w:r>
              <w:rPr>
                <w:rFonts w:ascii="Arial" w:cs="Arial" w:eastAsia="Arial" w:hAnsi="Arial"/>
                <w:sz w:val="10"/>
                <w:szCs w:val="10"/>
                <w:b w:val="1"/>
                <w:bCs w:val="1"/>
                <w:color w:val="auto"/>
              </w:rPr>
              <w:t>52,213</w:t>
            </w:r>
          </w:p>
        </w:tc>
        <w:tc>
          <w:tcPr>
            <w:tcW w:w="18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w:t>
            </w:r>
          </w:p>
        </w:tc>
        <w:tc>
          <w:tcPr>
            <w:tcW w:w="580" w:type="dxa"/>
            <w:vAlign w:val="bottom"/>
            <w:gridSpan w:val="2"/>
          </w:tcPr>
          <w:p>
            <w:pPr>
              <w:jc w:val="right"/>
              <w:ind w:right="20"/>
              <w:spacing w:after="0" w:line="105" w:lineRule="exact"/>
              <w:rPr>
                <w:sz w:val="20"/>
                <w:szCs w:val="20"/>
                <w:color w:val="auto"/>
              </w:rPr>
            </w:pPr>
            <w:r>
              <w:rPr>
                <w:rFonts w:ascii="Arial" w:cs="Arial" w:eastAsia="Arial" w:hAnsi="Arial"/>
                <w:sz w:val="10"/>
                <w:szCs w:val="10"/>
                <w:b w:val="1"/>
                <w:bCs w:val="1"/>
                <w:color w:val="auto"/>
              </w:rPr>
              <w:t>159,161</w:t>
            </w:r>
          </w:p>
        </w:tc>
        <w:tc>
          <w:tcPr>
            <w:tcW w:w="120" w:type="dxa"/>
            <w:vAlign w:val="bottom"/>
          </w:tcPr>
          <w:p>
            <w:pPr>
              <w:spacing w:after="0"/>
              <w:rPr>
                <w:sz w:val="9"/>
                <w:szCs w:val="9"/>
                <w:color w:val="auto"/>
              </w:rPr>
            </w:pPr>
          </w:p>
        </w:tc>
      </w:tr>
      <w:tr>
        <w:trPr>
          <w:trHeight w:val="241"/>
        </w:trPr>
        <w:tc>
          <w:tcPr>
            <w:tcW w:w="4160" w:type="dxa"/>
            <w:vAlign w:val="bottom"/>
            <w:tcBorders>
              <w:top w:val="single" w:sz="8" w:color="0077C0"/>
            </w:tcBorders>
          </w:tcPr>
          <w:p>
            <w:pPr>
              <w:spacing w:after="0"/>
              <w:rPr>
                <w:sz w:val="20"/>
                <w:szCs w:val="20"/>
                <w:color w:val="auto"/>
              </w:rPr>
            </w:pPr>
          </w:p>
        </w:tc>
        <w:tc>
          <w:tcPr>
            <w:tcW w:w="3660" w:type="dxa"/>
            <w:vAlign w:val="bottom"/>
            <w:tcBorders>
              <w:top w:val="single" w:sz="8" w:color="0077C0"/>
            </w:tcBorders>
          </w:tcPr>
          <w:p>
            <w:pPr>
              <w:jc w:val="right"/>
              <w:ind w:right="1890"/>
              <w:spacing w:after="0"/>
              <w:rPr>
                <w:sz w:val="20"/>
                <w:szCs w:val="20"/>
                <w:color w:val="auto"/>
              </w:rPr>
            </w:pPr>
            <w:r>
              <w:rPr>
                <w:rFonts w:ascii="Arial" w:cs="Arial" w:eastAsia="Arial" w:hAnsi="Arial"/>
                <w:sz w:val="10"/>
                <w:szCs w:val="10"/>
                <w:color w:val="auto"/>
              </w:rPr>
              <w:t>FS-76</w:t>
            </w:r>
          </w:p>
        </w:tc>
        <w:tc>
          <w:tcPr>
            <w:tcW w:w="480" w:type="dxa"/>
            <w:vAlign w:val="bottom"/>
            <w:tcBorders>
              <w:top w:val="single" w:sz="8" w:color="0077C0"/>
            </w:tcBorders>
          </w:tcPr>
          <w:p>
            <w:pPr>
              <w:spacing w:after="0"/>
              <w:rPr>
                <w:sz w:val="20"/>
                <w:szCs w:val="20"/>
                <w:color w:val="auto"/>
              </w:rPr>
            </w:pPr>
          </w:p>
        </w:tc>
        <w:tc>
          <w:tcPr>
            <w:tcW w:w="740" w:type="dxa"/>
            <w:vAlign w:val="bottom"/>
            <w:tcBorders>
              <w:top w:val="single" w:sz="8" w:color="0077C0"/>
            </w:tcBorders>
          </w:tcPr>
          <w:p>
            <w:pPr>
              <w:spacing w:after="0"/>
              <w:rPr>
                <w:sz w:val="20"/>
                <w:szCs w:val="20"/>
                <w:color w:val="auto"/>
              </w:rPr>
            </w:pPr>
          </w:p>
        </w:tc>
        <w:tc>
          <w:tcPr>
            <w:tcW w:w="400" w:type="dxa"/>
            <w:vAlign w:val="bottom"/>
            <w:tcBorders>
              <w:top w:val="single" w:sz="8" w:color="0077C0"/>
            </w:tcBorders>
          </w:tcPr>
          <w:p>
            <w:pPr>
              <w:spacing w:after="0"/>
              <w:rPr>
                <w:sz w:val="20"/>
                <w:szCs w:val="20"/>
                <w:color w:val="auto"/>
              </w:rPr>
            </w:pPr>
          </w:p>
        </w:tc>
        <w:tc>
          <w:tcPr>
            <w:tcW w:w="420" w:type="dxa"/>
            <w:vAlign w:val="bottom"/>
            <w:tcBorders>
              <w:top w:val="single" w:sz="8" w:color="0077C0"/>
            </w:tcBorders>
          </w:tcPr>
          <w:p>
            <w:pPr>
              <w:spacing w:after="0"/>
              <w:rPr>
                <w:sz w:val="20"/>
                <w:szCs w:val="20"/>
                <w:color w:val="auto"/>
              </w:rPr>
            </w:pPr>
          </w:p>
        </w:tc>
        <w:tc>
          <w:tcPr>
            <w:tcW w:w="740" w:type="dxa"/>
            <w:vAlign w:val="bottom"/>
            <w:tcBorders>
              <w:top w:val="single" w:sz="8" w:color="0077C0"/>
            </w:tcBorders>
          </w:tcPr>
          <w:p>
            <w:pPr>
              <w:spacing w:after="0"/>
              <w:rPr>
                <w:sz w:val="20"/>
                <w:szCs w:val="20"/>
                <w:color w:val="auto"/>
              </w:rPr>
            </w:pPr>
          </w:p>
        </w:tc>
        <w:tc>
          <w:tcPr>
            <w:tcW w:w="180" w:type="dxa"/>
            <w:vAlign w:val="bottom"/>
            <w:tcBorders>
              <w:top w:val="single" w:sz="8" w:color="0077C0"/>
            </w:tcBorders>
          </w:tcPr>
          <w:p>
            <w:pPr>
              <w:spacing w:after="0"/>
              <w:rPr>
                <w:sz w:val="20"/>
                <w:szCs w:val="20"/>
                <w:color w:val="auto"/>
              </w:rPr>
            </w:pPr>
          </w:p>
        </w:tc>
        <w:tc>
          <w:tcPr>
            <w:tcW w:w="560" w:type="dxa"/>
            <w:vAlign w:val="bottom"/>
            <w:tcBorders>
              <w:top w:val="single" w:sz="8" w:color="0077C0"/>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7"/>
        </w:trPr>
        <w:tc>
          <w:tcPr>
            <w:tcW w:w="4160" w:type="dxa"/>
            <w:vAlign w:val="bottom"/>
            <w:tcBorders>
              <w:bottom w:val="single" w:sz="8" w:color="808080"/>
            </w:tcBorders>
          </w:tcPr>
          <w:p>
            <w:pPr>
              <w:spacing w:after="0"/>
              <w:rPr>
                <w:sz w:val="12"/>
                <w:szCs w:val="12"/>
                <w:color w:val="auto"/>
              </w:rPr>
            </w:pPr>
          </w:p>
        </w:tc>
        <w:tc>
          <w:tcPr>
            <w:tcW w:w="36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type w:val="continuous"/>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980" w:type="dxa"/>
            <w:vAlign w:val="bottom"/>
          </w:tcPr>
          <w:p>
            <w:pPr>
              <w:ind w:left="3480"/>
              <w:spacing w:after="0"/>
              <w:rPr>
                <w:sz w:val="20"/>
                <w:szCs w:val="20"/>
                <w:color w:val="auto"/>
              </w:rPr>
            </w:pPr>
            <w:r>
              <w:rPr>
                <w:rFonts w:ascii="Arial" w:cs="Arial" w:eastAsia="Arial" w:hAnsi="Arial"/>
                <w:sz w:val="13"/>
                <w:szCs w:val="13"/>
                <w:b w:val="1"/>
                <w:bCs w:val="1"/>
                <w:color w:val="auto"/>
              </w:rPr>
              <w:t>EXHIBIT INDEX</w:t>
            </w:r>
          </w:p>
        </w:tc>
        <w:tc>
          <w:tcPr>
            <w:tcW w:w="580" w:type="dxa"/>
            <w:vAlign w:val="bottom"/>
          </w:tcPr>
          <w:p>
            <w:pPr>
              <w:spacing w:after="0"/>
              <w:rPr>
                <w:sz w:val="14"/>
                <w:szCs w:val="14"/>
                <w:color w:val="auto"/>
              </w:rPr>
            </w:pPr>
          </w:p>
        </w:tc>
      </w:tr>
      <w:tr>
        <w:trPr>
          <w:trHeight w:val="202"/>
        </w:trPr>
        <w:tc>
          <w:tcPr>
            <w:tcW w:w="460" w:type="dxa"/>
            <w:vAlign w:val="bottom"/>
          </w:tcPr>
          <w:p>
            <w:pPr>
              <w:spacing w:after="0"/>
              <w:rPr>
                <w:sz w:val="17"/>
                <w:szCs w:val="17"/>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7"/>
                <w:szCs w:val="17"/>
                <w:color w:val="auto"/>
              </w:rPr>
            </w:pPr>
          </w:p>
        </w:tc>
        <w:tc>
          <w:tcPr>
            <w:tcW w:w="8980" w:type="dxa"/>
            <w:vAlign w:val="bottom"/>
            <w:tcBorders>
              <w:bottom w:val="single" w:sz="8" w:color="auto"/>
            </w:tcBorders>
          </w:tcPr>
          <w:p>
            <w:pPr>
              <w:ind w:left="4240"/>
              <w:spacing w:after="0"/>
              <w:rPr>
                <w:sz w:val="20"/>
                <w:szCs w:val="20"/>
                <w:color w:val="auto"/>
              </w:rPr>
            </w:pPr>
            <w:r>
              <w:rPr>
                <w:rFonts w:ascii="Arial" w:cs="Arial" w:eastAsia="Arial" w:hAnsi="Arial"/>
                <w:sz w:val="10"/>
                <w:szCs w:val="10"/>
                <w:b w:val="1"/>
                <w:bCs w:val="1"/>
                <w:color w:val="auto"/>
              </w:rPr>
              <w:t>Description</w:t>
            </w:r>
          </w:p>
        </w:tc>
        <w:tc>
          <w:tcPr>
            <w:tcW w:w="580" w:type="dxa"/>
            <w:vAlign w:val="bottom"/>
          </w:tcPr>
          <w:p>
            <w:pPr>
              <w:spacing w:after="0"/>
              <w:rPr>
                <w:sz w:val="17"/>
                <w:szCs w:val="17"/>
                <w:color w:val="auto"/>
              </w:rPr>
            </w:pPr>
          </w:p>
        </w:tc>
      </w:tr>
      <w:tr>
        <w:trPr>
          <w:trHeight w:val="173"/>
        </w:trPr>
        <w:tc>
          <w:tcPr>
            <w:tcW w:w="4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200" w:type="dxa"/>
            <w:vAlign w:val="bottom"/>
          </w:tcPr>
          <w:p>
            <w:pPr>
              <w:spacing w:after="0"/>
              <w:rPr>
                <w:sz w:val="15"/>
                <w:szCs w:val="15"/>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3"/>
              </w:rPr>
              <w:t>Restated Certificate of Incorporation of Chevron Corporation, dated May 30, 2008, filed as Exhibit 3.1 to Chevron Corporation’s Quarterly Report on Form 10-Q for the</w:t>
            </w:r>
          </w:p>
        </w:tc>
        <w:tc>
          <w:tcPr>
            <w:tcW w:w="580" w:type="dxa"/>
            <w:vAlign w:val="bottom"/>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quarterly period ended June 30, 2008,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0"/>
              </w:rPr>
              <w:t>By-Laws of Chevron Corporation, as amended September 29, 2010, filed as Exhibit 3.1 to Chevron Corporation’s Current Report on Form 8-K filed September 30, 2010, 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0"/>
              </w:rPr>
              <w:t>Pursuant to the Instructions to Exhibits, certain instruments defining the rights of holders of long-term debt securities of the company and its consolidated subsidiaries are not</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0"/>
              </w:rPr>
              <w:t>filed because the total amount of securities authorized under any such instrument does not exceed 10 percent of the total assets of the corporation and its subsidiaries on 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consolidated basis. A copy of such instrument will be furnished to the Securities and Exchange Commission upon request.</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4.2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Confidential Stockholder Voting Policy of Chevron Corporation, filed as Exhibit 4.2 to Chevron Corporation’s Annual Report on Form 10-K for the year ended December 31,</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2008,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Chevron Corporation Non-Employee Directors’ Equity Compensation and Deferral Plan, filed as Exhibit 10.1 to Chevron Corporation’s Annual Report on Form 10-K for the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year ended December 31, 2008,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3"/>
              </w:rPr>
              <w:t>Chevron Incentive Plan, filed as Exhibit 10.2 to Chevron Corporation’s Annual Report on Form 10-K for the year ended December 31, 2008, and incorporated herein by</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10.3</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Long-Term Incentive Plan of Chevron Corporation, filed as Exhibit 10.3 to Chevron Corporation’s Annual Report on Form 10-K for the year ended December 31, 2008, 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7"/>
              </w:rPr>
              <w:t>Chevron Corporation Deferred Compensation Plan for Management Employees, filed as Exhibit 10.5 to Chevron Corporation’s Current Report on Form 8-K filed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December 13, 2005,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10.5</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Chevron Corporation Deferred Compensation Plan for Management Employees II, filed as Exhibit 10.5 to Chevron Corporation’s Annual Report on Form 10-K for the year</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ended December 31, 2008,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10.6</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Chevron Corporation Retirement Restoration Plan, filed as Exhibit 10.6 to Chevron Corporation’s Annual Report on Form 10-K for the year ended December 31, 2008, 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10.7</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4"/>
              </w:rPr>
              <w:t>Chevron Corporation ESIP Restoration Plan, filed as Exhibit 10.7 to Chevron Corporation’s Annual Report on Form 10-K for the year ended December 31, 2008, 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10.8</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1"/>
              </w:rPr>
              <w:t>Texaco Inc. Director and Employee Deferral Plan, filed as Exhibit 10.16 to Chevron Corporation’s Annual Report on Form 10-K for the year ended December 31, 2001, 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10.9*</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Summary of Chevron Incentive Plan Award Criteria.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10.10</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3"/>
              </w:rPr>
              <w:t>Chevron Corporation Change in Control Surplus Employee Severance Program for Salary Grades 41 through 43, filed as Exhibit 10.1 to Chevron Corporation’s Current</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Report on Form 8-K filed December 12, 2006,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5"/>
              </w:rPr>
              <w:t>10.11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2"/>
              </w:rPr>
              <w:t>Chevron Corporation Benefit Protection Program, filed as Exhibit 10.2 to Chevron Corporation’s Current Report on Form 8-K filed December 12, 2006, and incorporated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10.12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2"/>
              </w:rPr>
              <w:t>Form of Terms and Conditions for Awards under the Long-Term Incentive Plan of Chevron Corporation, filed as Exhibit 10.1 to Chevron Corporation’s Current Report on</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Form 8-K filed February 1, 2011,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10.13*</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Form of Restricted Stock Unit Grant Agreement under the Long-Term Incentive Plan of Chevron Corporation.</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10.14</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4"/>
              </w:rPr>
              <w:t>Form of Retainer Stock Option Agreement under the Chevron Corporation Non-Employee Directors’ Equity Compensation and Deferral Plan, filed as Exhibit 10.17 to</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Chevron Corporation’s Annual Report on Form 10-K for the year ended December 31, 2009,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10.15</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5"/>
              </w:rPr>
              <w:t>Form of Stock Units Agreement under the Chevron Corporation Non-Employee Directors’ Equity Compensation and Deferral Plan, filed as Exhibit 10.19 to Chevron</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Corporation’s Annual Report on Form 10-K for the year ended December 31, 2008, and incorporated herein by reference.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10.16*</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Agreement between Chevron Corporation and R. Hewitt Pate.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12.1*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Computation of Ratio of Earnings to Fixed Charges (page E-6).</w:t>
            </w:r>
          </w:p>
        </w:tc>
        <w:tc>
          <w:tcPr>
            <w:tcW w:w="580" w:type="dxa"/>
            <w:vAlign w:val="bottom"/>
          </w:tcPr>
          <w:p>
            <w:pPr>
              <w:spacing w:after="0"/>
              <w:rPr>
                <w:sz w:val="13"/>
                <w:szCs w:val="13"/>
                <w:color w:val="auto"/>
              </w:rPr>
            </w:pPr>
          </w:p>
        </w:tc>
      </w:tr>
      <w:tr>
        <w:trPr>
          <w:trHeight w:val="162"/>
        </w:trPr>
        <w:tc>
          <w:tcPr>
            <w:tcW w:w="4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21.1*</w:t>
            </w:r>
          </w:p>
        </w:tc>
        <w:tc>
          <w:tcPr>
            <w:tcW w:w="20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Subsidiaries of Chevron Corporation (pages E-7 through E-8).</w:t>
            </w:r>
          </w:p>
        </w:tc>
        <w:tc>
          <w:tcPr>
            <w:tcW w:w="580" w:type="dxa"/>
            <w:vAlign w:val="bottom"/>
          </w:tcPr>
          <w:p>
            <w:pPr>
              <w:spacing w:after="0"/>
              <w:rPr>
                <w:sz w:val="14"/>
                <w:szCs w:val="14"/>
                <w:color w:val="auto"/>
              </w:rPr>
            </w:pPr>
          </w:p>
        </w:tc>
      </w:tr>
      <w:tr>
        <w:trPr>
          <w:trHeight w:val="442"/>
        </w:trPr>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tcPr>
          <w:p>
            <w:pPr>
              <w:ind w:left="3660"/>
              <w:spacing w:after="0"/>
              <w:rPr>
                <w:sz w:val="20"/>
                <w:szCs w:val="20"/>
                <w:color w:val="auto"/>
              </w:rPr>
            </w:pPr>
            <w:r>
              <w:rPr>
                <w:rFonts w:ascii="Arial" w:cs="Arial" w:eastAsia="Arial" w:hAnsi="Arial"/>
                <w:sz w:val="13"/>
                <w:szCs w:val="13"/>
                <w:color w:val="auto"/>
              </w:rPr>
              <w:t>E-1</w:t>
            </w:r>
          </w:p>
        </w:tc>
        <w:tc>
          <w:tcPr>
            <w:tcW w:w="580" w:type="dxa"/>
            <w:vAlign w:val="bottom"/>
          </w:tcPr>
          <w:p>
            <w:pPr>
              <w:spacing w:after="0"/>
              <w:rPr>
                <w:sz w:val="24"/>
                <w:szCs w:val="24"/>
                <w:color w:val="auto"/>
              </w:rPr>
            </w:pPr>
          </w:p>
        </w:tc>
      </w:tr>
      <w:tr>
        <w:trPr>
          <w:trHeight w:val="159"/>
        </w:trPr>
        <w:tc>
          <w:tcPr>
            <w:tcW w:w="46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9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Exhibit No.</w:t>
            </w:r>
          </w:p>
        </w:tc>
        <w:tc>
          <w:tcPr>
            <w:tcW w:w="200" w:type="dxa"/>
            <w:vAlign w:val="bottom"/>
          </w:tcPr>
          <w:p>
            <w:pPr>
              <w:spacing w:after="0"/>
              <w:rPr>
                <w:sz w:val="10"/>
                <w:szCs w:val="10"/>
                <w:color w:val="auto"/>
              </w:rPr>
            </w:pPr>
          </w:p>
        </w:tc>
        <w:tc>
          <w:tcPr>
            <w:tcW w:w="8980" w:type="dxa"/>
            <w:vAlign w:val="bottom"/>
            <w:tcBorders>
              <w:bottom w:val="single" w:sz="8" w:color="auto"/>
            </w:tcBorders>
          </w:tcPr>
          <w:p>
            <w:pPr>
              <w:ind w:left="4240"/>
              <w:spacing w:after="0"/>
              <w:rPr>
                <w:sz w:val="20"/>
                <w:szCs w:val="20"/>
                <w:color w:val="auto"/>
              </w:rPr>
            </w:pPr>
            <w:r>
              <w:rPr>
                <w:rFonts w:ascii="Arial" w:cs="Arial" w:eastAsia="Arial" w:hAnsi="Arial"/>
                <w:sz w:val="10"/>
                <w:szCs w:val="10"/>
                <w:b w:val="1"/>
                <w:bCs w:val="1"/>
                <w:color w:val="auto"/>
              </w:rPr>
              <w:t>Description</w:t>
            </w:r>
          </w:p>
        </w:tc>
      </w:tr>
      <w:tr>
        <w:trPr>
          <w:trHeight w:val="173"/>
        </w:trPr>
        <w:tc>
          <w:tcPr>
            <w:tcW w:w="1260" w:type="dxa"/>
            <w:vAlign w:val="bottom"/>
          </w:tcPr>
          <w:p>
            <w:pPr>
              <w:jc w:val="center"/>
              <w:spacing w:after="0"/>
              <w:rPr>
                <w:sz w:val="20"/>
                <w:szCs w:val="20"/>
                <w:color w:val="auto"/>
              </w:rPr>
            </w:pPr>
            <w:r>
              <w:rPr>
                <w:rFonts w:ascii="Arial" w:cs="Arial" w:eastAsia="Arial" w:hAnsi="Arial"/>
                <w:sz w:val="13"/>
                <w:szCs w:val="13"/>
                <w:color w:val="auto"/>
                <w:w w:val="98"/>
              </w:rPr>
              <w:t>23.1*</w:t>
            </w:r>
          </w:p>
        </w:tc>
        <w:tc>
          <w:tcPr>
            <w:tcW w:w="200" w:type="dxa"/>
            <w:vAlign w:val="bottom"/>
          </w:tcPr>
          <w:p>
            <w:pPr>
              <w:spacing w:after="0"/>
              <w:rPr>
                <w:sz w:val="15"/>
                <w:szCs w:val="15"/>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Consent of PricewaterhouseCoopers LLP (page E-9).</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1"/>
              </w:rPr>
              <w:t>24.1 to 24.11*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Powers of Attorney for directors and certain officers of Chevron Corporation, authorizing the signing of the Annual Report on Form 10-K on their behalf.</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31.1*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Rule 13a-14(a)/15d-14(a) Certification of the company’s Chief Executive Officer (page E-21).</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31.2*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Rule 13a-14(a)/15d-14(a) Certification of the company’s Chief Financial Officer (page E-22).</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32.1*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Section 1350 Certification of the company’s Chief Executive Officer (page E-23).</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32.2*</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Section 1350 Certification of the company’s Chief Financial Officer (page E-24).</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1"/>
              </w:rPr>
              <w:t>95*</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Mine Safety Disclosure.</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99.1*</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Definitions of Selected Energy and Financial Terms (pages E-26 through E-28).</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6"/>
              </w:rPr>
              <w:t>101.INS*</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Instance Document.</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3"/>
              </w:rPr>
              <w:t>101.SCH*</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Schema Document.</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6"/>
              </w:rPr>
              <w:t>101.CAL*</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Calculation Linkbase Document.</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8"/>
              </w:rPr>
              <w:t>101.LAB*</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Label Linkbase Document.</w:t>
            </w:r>
          </w:p>
        </w:tc>
      </w:tr>
      <w:tr>
        <w:trPr>
          <w:trHeight w:val="154"/>
        </w:trPr>
        <w:tc>
          <w:tcPr>
            <w:tcW w:w="1260" w:type="dxa"/>
            <w:vAlign w:val="bottom"/>
          </w:tcPr>
          <w:p>
            <w:pPr>
              <w:jc w:val="center"/>
              <w:spacing w:after="0"/>
              <w:rPr>
                <w:sz w:val="20"/>
                <w:szCs w:val="20"/>
                <w:color w:val="auto"/>
              </w:rPr>
            </w:pPr>
            <w:r>
              <w:rPr>
                <w:rFonts w:ascii="Arial" w:cs="Arial" w:eastAsia="Arial" w:hAnsi="Arial"/>
                <w:sz w:val="13"/>
                <w:szCs w:val="13"/>
                <w:color w:val="auto"/>
                <w:w w:val="91"/>
              </w:rPr>
              <w:t>101.PRE*</w:t>
            </w:r>
          </w:p>
        </w:tc>
        <w:tc>
          <w:tcPr>
            <w:tcW w:w="200" w:type="dxa"/>
            <w:vAlign w:val="bottom"/>
          </w:tcPr>
          <w:p>
            <w:pPr>
              <w:spacing w:after="0"/>
              <w:rPr>
                <w:sz w:val="13"/>
                <w:szCs w:val="13"/>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Presentation Linkbase Document.</w:t>
            </w:r>
          </w:p>
        </w:tc>
      </w:tr>
      <w:tr>
        <w:trPr>
          <w:trHeight w:val="162"/>
        </w:trPr>
        <w:tc>
          <w:tcPr>
            <w:tcW w:w="1260" w:type="dxa"/>
            <w:vAlign w:val="bottom"/>
          </w:tcPr>
          <w:p>
            <w:pPr>
              <w:jc w:val="center"/>
              <w:spacing w:after="0"/>
              <w:rPr>
                <w:sz w:val="20"/>
                <w:szCs w:val="20"/>
                <w:color w:val="auto"/>
              </w:rPr>
            </w:pPr>
            <w:r>
              <w:rPr>
                <w:rFonts w:ascii="Arial" w:cs="Arial" w:eastAsia="Arial" w:hAnsi="Arial"/>
                <w:sz w:val="13"/>
                <w:szCs w:val="13"/>
                <w:color w:val="auto"/>
                <w:w w:val="95"/>
              </w:rPr>
              <w:t>101.DEF*</w:t>
            </w:r>
          </w:p>
        </w:tc>
        <w:tc>
          <w:tcPr>
            <w:tcW w:w="20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XBRL Definition Linkbase Document.</w:t>
            </w:r>
          </w:p>
        </w:tc>
      </w:tr>
    </w:tbl>
    <w:p>
      <w:pPr>
        <w:spacing w:after="0" w:line="78" w:lineRule="exact"/>
        <w:rPr>
          <w:sz w:val="20"/>
          <w:szCs w:val="20"/>
          <w:color w:val="auto"/>
        </w:rPr>
      </w:pPr>
    </w:p>
    <w:p>
      <w:pPr>
        <w:ind w:left="460" w:right="140"/>
        <w:spacing w:after="0" w:line="267" w:lineRule="auto"/>
        <w:rPr>
          <w:sz w:val="20"/>
          <w:szCs w:val="20"/>
          <w:color w:val="auto"/>
        </w:rPr>
      </w:pPr>
      <w:r>
        <w:rPr>
          <w:rFonts w:ascii="Arial" w:cs="Arial" w:eastAsia="Arial" w:hAnsi="Arial"/>
          <w:sz w:val="13"/>
          <w:szCs w:val="13"/>
          <w:color w:val="auto"/>
        </w:rPr>
        <w:t>Attached as Exhibit 101 to this report are documents formatted in XBRL (Extensible Business Reporting Language). The financial information contained in the XBRL-related documents is “unaudited” or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50800</wp:posOffset>
            </wp:positionV>
            <wp:extent cx="79311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93115" cy="6350"/>
                    </a:xfrm>
                    <a:prstGeom prst="rect">
                      <a:avLst/>
                    </a:prstGeom>
                    <a:noFill/>
                  </pic:spPr>
                </pic:pic>
              </a:graphicData>
            </a:graphic>
          </wp:anchor>
        </w:drawing>
      </w:r>
    </w:p>
    <w:p>
      <w:pPr>
        <w:spacing w:after="0" w:line="109" w:lineRule="exact"/>
        <w:rPr>
          <w:sz w:val="20"/>
          <w:szCs w:val="20"/>
          <w:color w:val="auto"/>
        </w:rPr>
      </w:pPr>
    </w:p>
    <w:p>
      <w:pPr>
        <w:ind w:left="660" w:hanging="204"/>
        <w:spacing w:after="0"/>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91" w:lineRule="exact"/>
        <w:rPr>
          <w:sz w:val="20"/>
          <w:szCs w:val="20"/>
          <w:color w:val="auto"/>
        </w:rPr>
      </w:pPr>
    </w:p>
    <w:p>
      <w:pPr>
        <w:ind w:left="460" w:right="80"/>
        <w:spacing w:after="0" w:line="267" w:lineRule="auto"/>
        <w:rPr>
          <w:sz w:val="20"/>
          <w:szCs w:val="20"/>
          <w:color w:val="auto"/>
        </w:rPr>
      </w:pPr>
      <w:r>
        <w:rPr>
          <w:rFonts w:ascii="Arial" w:cs="Arial" w:eastAsia="Arial" w:hAnsi="Arial"/>
          <w:sz w:val="13"/>
          <w:szCs w:val="13"/>
          <w:color w:val="auto"/>
        </w:rPr>
        <w:t>Copies of above the exhibits not contained herein are available to any security holder upon written request to the Corporate Governance Department, Chevron Corporation, 6001 Bollinger Canyon Road, San Ramon, California 94583-2324.</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E-2</w:t>
      </w:r>
    </w:p>
    <w:p>
      <w:pPr>
        <w:sectPr>
          <w:pgSz w:w="11900" w:h="16838" w:orient="portrait"/>
          <w:cols w:equalWidth="0" w:num="1">
            <w:col w:w="10900"/>
          </w:cols>
          <w:pgMar w:left="220" w:top="338" w:right="7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10.9</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SUMMARY OF CHEVRON INCENTIVE PLAN AWARD CRITERIA</w:t>
      </w:r>
    </w:p>
    <w:p>
      <w:pPr>
        <w:spacing w:after="0" w:line="95" w:lineRule="exact"/>
        <w:rPr>
          <w:sz w:val="20"/>
          <w:szCs w:val="20"/>
          <w:color w:val="auto"/>
        </w:rPr>
      </w:pPr>
    </w:p>
    <w:p>
      <w:pPr>
        <w:ind w:right="20"/>
        <w:spacing w:after="0" w:line="359" w:lineRule="auto"/>
        <w:rPr>
          <w:sz w:val="20"/>
          <w:szCs w:val="20"/>
          <w:color w:val="auto"/>
        </w:rPr>
      </w:pPr>
      <w:r>
        <w:rPr>
          <w:rFonts w:ascii="Arial" w:cs="Arial" w:eastAsia="Arial" w:hAnsi="Arial"/>
          <w:sz w:val="11"/>
          <w:szCs w:val="11"/>
          <w:color w:val="auto"/>
        </w:rPr>
        <w:t>The Chevron Incentive Plan (CIP) (formerly the Management Incentive Plan of Chevron Corporation) is an annual cash incentive plan that links awards to performance results of the prior year. Chevron’s named executive officers (NEOs) are eligible to receive awards under the CIP. CIP awards are designed to reward plan participants, including the NEOs, for business and individual performance.</w:t>
      </w:r>
    </w:p>
    <w:p>
      <w:pPr>
        <w:spacing w:after="0" w:line="16"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Prior to each performance year (i.e. fiscal year), the Board’s Management Compensation Committee establishes a CIP Award Target (explained under “CIP Award Target” below) for each NEO, which is based on a percentage of the NEO’s base salary. After the end of the performance year, the Committee assesses Chevron’s overall performance and sets a Corporate Performance Rating (explained under “Chevron’s Corporate Performance” below), which is the same for each NEO. The Committee then determines the cash amount for each NEO’s CIP award by multiplying the NEO’s CIP Award Target by the Corporate Performance Rating, and then adjusting the number to take into account the NEO’s individual performance, including the performance of any strategic business units reporting to the NEO. The Corporate Performance Rating and the NEO’s individual performance are not determined by a formula or on the basis of predetermined financial targets or award ranges. Rather, the Committee exercises its discretion based upon a number of factors discussed below. With respect to each NEO other than the CEO, the CEO makes a recommendation to the Committee.</w:t>
      </w:r>
    </w:p>
    <w:p>
      <w:pPr>
        <w:spacing w:after="0" w:line="45" w:lineRule="exact"/>
        <w:rPr>
          <w:sz w:val="20"/>
          <w:szCs w:val="20"/>
          <w:color w:val="auto"/>
        </w:rPr>
      </w:pPr>
    </w:p>
    <w:p>
      <w:pPr>
        <w:ind w:right="80"/>
        <w:spacing w:after="0" w:line="325" w:lineRule="auto"/>
        <w:rPr>
          <w:sz w:val="20"/>
          <w:szCs w:val="20"/>
          <w:color w:val="auto"/>
        </w:rPr>
      </w:pPr>
      <w:r>
        <w:rPr>
          <w:rFonts w:ascii="Arial" w:cs="Arial" w:eastAsia="Arial" w:hAnsi="Arial"/>
          <w:sz w:val="11"/>
          <w:szCs w:val="11"/>
          <w:u w:val="single" w:color="auto"/>
          <w:color w:val="auto"/>
        </w:rPr>
        <w:t>CIP Award Target</w:t>
      </w:r>
      <w:r>
        <w:rPr>
          <w:rFonts w:ascii="Arial" w:cs="Arial" w:eastAsia="Arial" w:hAnsi="Arial"/>
          <w:sz w:val="11"/>
          <w:szCs w:val="11"/>
          <w:color w:val="auto"/>
        </w:rPr>
        <w:t>. The CIP Award Target is a percentage of the NEO’s base salary and is set prior to the beginning of the performance year as an appropriate starting point for determining the actual size of the NEO’s CIP award. The Committee sets the percentage of base salary for each salary grade to be competitive with similar awards to persons in similar positions at companies in Chevron’s Oil Industry Peer Group (viz. Anadarko Petroleum, Hess, BP, ConocoPhillips, Devon Energy, Exxon Mobil, Marathon Oil, Occidental Petroleum, Royal Dutch Shell, Sunoco, Tesoro and Valero Energy).</w:t>
      </w:r>
    </w:p>
    <w:p>
      <w:pPr>
        <w:spacing w:after="0" w:line="34" w:lineRule="exact"/>
        <w:rPr>
          <w:sz w:val="20"/>
          <w:szCs w:val="20"/>
          <w:color w:val="auto"/>
        </w:rPr>
      </w:pPr>
    </w:p>
    <w:p>
      <w:pPr>
        <w:ind w:right="40"/>
        <w:spacing w:after="0" w:line="301" w:lineRule="auto"/>
        <w:rPr>
          <w:sz w:val="20"/>
          <w:szCs w:val="20"/>
          <w:color w:val="auto"/>
        </w:rPr>
      </w:pPr>
      <w:r>
        <w:rPr>
          <w:rFonts w:ascii="Arial" w:cs="Arial" w:eastAsia="Arial" w:hAnsi="Arial"/>
          <w:sz w:val="11"/>
          <w:szCs w:val="11"/>
          <w:u w:val="single" w:color="auto"/>
          <w:color w:val="auto"/>
        </w:rPr>
        <w:t>Chevron’s Corporate Performance</w:t>
      </w:r>
      <w:r>
        <w:rPr>
          <w:rFonts w:ascii="Arial" w:cs="Arial" w:eastAsia="Arial" w:hAnsi="Arial"/>
          <w:sz w:val="11"/>
          <w:szCs w:val="11"/>
          <w:color w:val="auto"/>
        </w:rPr>
        <w:t>. After the end of the performance year, the Committee sets the Corporate Performance Rating based on its assessment of how Chevron performed. The Committee considers numerous metrics in setting the Corporate Performance Rating, including earnings, relative indexed earnings per share, return on capital employed, and Chevron’s total stockholder return ranking and Chevron’s return on capital employed ranking. The Committee does not have a set formula for evaluation of these metrics, but rather exercises its discretion, taking into account how Chevron performed in light of its business plan objectives. Also, given the long-term nature of the business, in which investments today yield returns for decades to come, the Committee also considers decisions and progress on strategic investments. The Committee also focuses on nonfinancial items, such as safety, operational excellence, cost management, oil and gas production, reliability of facilities and operations, and progress on strategic projects and investments for the future of the business. The Committee considers Chevron’s performance in these areas on both an absolute and relative basis, comparing our performance against the performance of our top competitors in the Oil Industry Peer Group (viz. BP, ConocoPhillips, Exxon Mobil and Royal Dutch Shell) and considering these in light of matters beyond management’s control, such as commodity price effects, industry mergers and acquisitions, and foreign exchange. The Corporate Performance Rating is the same for each NEO.</w:t>
      </w:r>
    </w:p>
    <w:p>
      <w:pPr>
        <w:spacing w:after="0" w:line="48" w:lineRule="exact"/>
        <w:rPr>
          <w:sz w:val="20"/>
          <w:szCs w:val="20"/>
          <w:color w:val="auto"/>
        </w:rPr>
      </w:pPr>
    </w:p>
    <w:p>
      <w:pPr>
        <w:ind w:right="140"/>
        <w:spacing w:after="0" w:line="314" w:lineRule="auto"/>
        <w:rPr>
          <w:sz w:val="20"/>
          <w:szCs w:val="20"/>
          <w:color w:val="auto"/>
        </w:rPr>
      </w:pPr>
      <w:r>
        <w:rPr>
          <w:rFonts w:ascii="Arial" w:cs="Arial" w:eastAsia="Arial" w:hAnsi="Arial"/>
          <w:sz w:val="11"/>
          <w:szCs w:val="11"/>
          <w:u w:val="single" w:color="auto"/>
          <w:color w:val="auto"/>
        </w:rPr>
        <w:t>Individual Performance</w:t>
      </w:r>
      <w:r>
        <w:rPr>
          <w:rFonts w:ascii="Arial" w:cs="Arial" w:eastAsia="Arial" w:hAnsi="Arial"/>
          <w:sz w:val="11"/>
          <w:szCs w:val="11"/>
          <w:color w:val="auto"/>
        </w:rPr>
        <w:t>. After the Committee has applied the Corporate Performance Rating to the CIP Award Target for each NEO, the Committee exercises its discretion in further adjusting the final CIP award to take into account individual performance, which includes consideration of business performance in the areas of responsibility reporting to the NEO. The Committee also considers internal pay equity to ensure that NEOs in the same base salary grade are positioned properly. The Committee does not use a predetermined set of metrics, targets or formula in considering individual performance. Instead, the Committee uses its judgment in analyzing the individual performance of each NEO, including how any business units reporting to the NEO performed.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Chevron reports annual CIP awards to each of its NEOs in its Annual Report on Form 10-K or its annual Proxy Statement.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E-3</w:t>
      </w:r>
    </w:p>
    <w:p>
      <w:pPr>
        <w:sectPr>
          <w:pgSz w:w="11900" w:h="16838" w:orient="portrait"/>
          <w:cols w:equalWidth="0" w:num="1">
            <w:col w:w="10440"/>
          </w:cols>
          <w:pgMar w:left="680" w:top="136" w:right="7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Exhibit 10.13</w:t>
      </w:r>
    </w:p>
    <w:p>
      <w:pPr>
        <w:spacing w:after="0" w:line="129" w:lineRule="exact"/>
        <w:rPr>
          <w:sz w:val="20"/>
          <w:szCs w:val="20"/>
          <w:color w:val="auto"/>
        </w:rPr>
      </w:pPr>
    </w:p>
    <w:p>
      <w:pPr>
        <w:ind w:left="2180"/>
        <w:spacing w:after="0"/>
        <w:rPr>
          <w:sz w:val="20"/>
          <w:szCs w:val="20"/>
          <w:color w:val="auto"/>
        </w:rPr>
      </w:pPr>
      <w:r>
        <w:rPr>
          <w:rFonts w:ascii="Arial" w:cs="Arial" w:eastAsia="Arial" w:hAnsi="Arial"/>
          <w:sz w:val="13"/>
          <w:szCs w:val="13"/>
          <w:b w:val="1"/>
          <w:bCs w:val="1"/>
          <w:color w:val="auto"/>
        </w:rPr>
        <w:t>Form of Restricted Stock Unit Grant Agreement under the Long-Term Incentive Plan of Chevron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 Grant Agreement dated &lt;DATE&gt;, between CHEVRON CORPORATION (“Corporation”), and &lt;NAME&gt;.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662686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26860" cy="6350"/>
                    </a:xfrm>
                    <a:prstGeom prst="rect">
                      <a:avLst/>
                    </a:prstGeom>
                    <a:noFill/>
                  </pic:spPr>
                </pic:pic>
              </a:graphicData>
            </a:graphic>
          </wp:anchor>
        </w:drawing>
      </w:r>
    </w:p>
    <w:p>
      <w:pPr>
        <w:spacing w:after="0" w:line="84"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The Management Compensation Committee (the “Committee”) has selected you to receive a special Restricted Stock Unit award under the Chevron Corporation Long-Term Incentive Plan</w:t>
      </w:r>
      <w:r>
        <w:rPr>
          <w:rFonts w:ascii="Arial" w:cs="Arial" w:eastAsia="Arial" w:hAnsi="Arial"/>
          <w:sz w:val="13"/>
          <w:szCs w:val="13"/>
          <w:b w:val="1"/>
          <w:bCs w:val="1"/>
          <w:i w:val="1"/>
          <w:iCs w:val="1"/>
          <w:color w:val="auto"/>
        </w:rPr>
        <w:t>. Capitalized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terms not defined in this Agreement shall have the same meaning as the defined terms in the Chevron Corporation Long-Term Incentive Plan, as amended from time to time </w:t>
      </w:r>
      <w:r>
        <w:rPr>
          <w:rFonts w:ascii="Arial" w:cs="Arial" w:eastAsia="Arial" w:hAnsi="Arial"/>
          <w:sz w:val="13"/>
          <w:szCs w:val="13"/>
          <w:color w:val="auto"/>
        </w:rPr>
        <w:t>(the “Plan”). This award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 governed by the Plan and is subject to the following special terms:</w:t>
      </w:r>
    </w:p>
    <w:p>
      <w:pPr>
        <w:spacing w:after="0" w:line="65" w:lineRule="exact"/>
        <w:rPr>
          <w:sz w:val="20"/>
          <w:szCs w:val="20"/>
          <w:color w:val="auto"/>
        </w:rPr>
      </w:pPr>
    </w:p>
    <w:p>
      <w:pPr>
        <w:ind w:left="940" w:hanging="126"/>
        <w:spacing w:after="0"/>
        <w:tabs>
          <w:tab w:leader="none" w:pos="9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You have been awarded </w:t>
      </w:r>
      <w:r>
        <w:rPr>
          <w:rFonts w:ascii="Arial" w:cs="Arial" w:eastAsia="Arial" w:hAnsi="Arial"/>
          <w:sz w:val="13"/>
          <w:szCs w:val="13"/>
          <w:b w:val="1"/>
          <w:bCs w:val="1"/>
          <w:color w:val="auto"/>
        </w:rPr>
        <w:t>&lt;</w:t>
      </w:r>
      <w:r>
        <w:rPr>
          <w:rFonts w:ascii="Arial" w:cs="Arial" w:eastAsia="Arial" w:hAnsi="Arial"/>
          <w:sz w:val="13"/>
          <w:szCs w:val="13"/>
          <w:color w:val="auto"/>
        </w:rPr>
        <w:t>X,XXX</w:t>
      </w:r>
      <w:r>
        <w:rPr>
          <w:rFonts w:ascii="Arial" w:cs="Arial" w:eastAsia="Arial" w:hAnsi="Arial"/>
          <w:sz w:val="13"/>
          <w:szCs w:val="13"/>
          <w:b w:val="1"/>
          <w:bCs w:val="1"/>
          <w:color w:val="auto"/>
        </w:rPr>
        <w:t>&gt;</w:t>
      </w:r>
      <w:r>
        <w:rPr>
          <w:rFonts w:ascii="Arial" w:cs="Arial" w:eastAsia="Arial" w:hAnsi="Arial"/>
          <w:sz w:val="13"/>
          <w:szCs w:val="13"/>
          <w:color w:val="auto"/>
        </w:rPr>
        <w:t xml:space="preserve"> Restricted Stock Units on </w:t>
      </w:r>
      <w:r>
        <w:rPr>
          <w:rFonts w:ascii="Arial" w:cs="Arial" w:eastAsia="Arial" w:hAnsi="Arial"/>
          <w:sz w:val="13"/>
          <w:szCs w:val="13"/>
          <w:b w:val="1"/>
          <w:bCs w:val="1"/>
          <w:color w:val="auto"/>
        </w:rPr>
        <w:t>&lt;</w:t>
      </w:r>
      <w:r>
        <w:rPr>
          <w:rFonts w:ascii="Arial" w:cs="Arial" w:eastAsia="Arial" w:hAnsi="Arial"/>
          <w:sz w:val="13"/>
          <w:szCs w:val="13"/>
          <w:color w:val="auto"/>
        </w:rPr>
        <w:t>DATE</w:t>
      </w:r>
      <w:r>
        <w:rPr>
          <w:rFonts w:ascii="Arial" w:cs="Arial" w:eastAsia="Arial" w:hAnsi="Arial"/>
          <w:sz w:val="13"/>
          <w:szCs w:val="13"/>
          <w:b w:val="1"/>
          <w:bCs w:val="1"/>
          <w:color w:val="auto"/>
        </w:rPr>
        <w:t>&gt;</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420" w:right="80" w:firstLine="394"/>
        <w:spacing w:after="0" w:line="273" w:lineRule="auto"/>
        <w:tabs>
          <w:tab w:leader="none" w:pos="947"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The restrictions on the Restricted Stock Units shall lapse and you shall be vested as follows: </w:t>
      </w:r>
      <w:r>
        <w:rPr>
          <w:rFonts w:ascii="Arial" w:cs="Arial" w:eastAsia="Arial" w:hAnsi="Arial"/>
          <w:sz w:val="13"/>
          <w:szCs w:val="13"/>
          <w:b w:val="1"/>
          <w:bCs w:val="1"/>
          <w:color w:val="auto"/>
        </w:rPr>
        <w:t>&lt;VEST TERMS&gt;</w:t>
      </w:r>
      <w:r>
        <w:rPr>
          <w:rFonts w:ascii="Arial" w:cs="Arial" w:eastAsia="Arial" w:hAnsi="Arial"/>
          <w:sz w:val="13"/>
          <w:szCs w:val="13"/>
          <w:color w:val="auto"/>
        </w:rPr>
        <w:t>, provided that your employment with the Corporation is not Terminated prior to the respective vesting dates.</w:t>
      </w:r>
    </w:p>
    <w:p>
      <w:pPr>
        <w:spacing w:after="0" w:line="57" w:lineRule="exact"/>
        <w:rPr>
          <w:rFonts w:ascii="Arial" w:cs="Arial" w:eastAsia="Arial" w:hAnsi="Arial"/>
          <w:sz w:val="13"/>
          <w:szCs w:val="13"/>
          <w:color w:val="auto"/>
        </w:rPr>
      </w:pPr>
    </w:p>
    <w:p>
      <w:pPr>
        <w:ind w:left="940" w:hanging="126"/>
        <w:spacing w:after="0"/>
        <w:tabs>
          <w:tab w:leader="none" w:pos="9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Vested Restricted Stock Units will be paid in cash, valued based on the closing price of a share of stock of the Corporation on the vesting date.</w:t>
      </w:r>
    </w:p>
    <w:p>
      <w:pPr>
        <w:spacing w:after="0" w:line="90" w:lineRule="exact"/>
        <w:rPr>
          <w:rFonts w:ascii="Arial" w:cs="Arial" w:eastAsia="Arial" w:hAnsi="Arial"/>
          <w:sz w:val="13"/>
          <w:szCs w:val="13"/>
          <w:color w:val="auto"/>
        </w:rPr>
      </w:pPr>
    </w:p>
    <w:p>
      <w:pPr>
        <w:ind w:left="940" w:hanging="126"/>
        <w:spacing w:after="0"/>
        <w:tabs>
          <w:tab w:leader="none" w:pos="9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Vested amounts are taxable as ordinary income and cash payment will be net of any required tax withholding.</w:t>
      </w:r>
    </w:p>
    <w:p>
      <w:pPr>
        <w:spacing w:after="0" w:line="90" w:lineRule="exact"/>
        <w:rPr>
          <w:rFonts w:ascii="Arial" w:cs="Arial" w:eastAsia="Arial" w:hAnsi="Arial"/>
          <w:sz w:val="13"/>
          <w:szCs w:val="13"/>
          <w:color w:val="auto"/>
        </w:rPr>
      </w:pPr>
    </w:p>
    <w:p>
      <w:pPr>
        <w:ind w:left="420" w:right="20" w:firstLine="394"/>
        <w:spacing w:after="0" w:line="267" w:lineRule="auto"/>
        <w:tabs>
          <w:tab w:leader="none" w:pos="944" w:val="left"/>
        </w:tabs>
        <w:numPr>
          <w:ilvl w:val="1"/>
          <w:numId w:val="56"/>
        </w:numPr>
        <w:rPr>
          <w:rFonts w:ascii="Arial" w:cs="Arial" w:eastAsia="Arial" w:hAnsi="Arial"/>
          <w:sz w:val="13"/>
          <w:szCs w:val="13"/>
          <w:color w:val="auto"/>
        </w:rPr>
      </w:pPr>
      <w:r>
        <w:rPr>
          <w:rFonts w:ascii="Arial" w:cs="Arial" w:eastAsia="Arial" w:hAnsi="Arial"/>
          <w:sz w:val="13"/>
          <w:szCs w:val="13"/>
          <w:color w:val="auto"/>
        </w:rPr>
        <w:t>Your Restricted Stock Units shall be paid within 30 days after the respective vesting date. In no event will payment be made more than two and one-half months following the end of the calendar year in which the Restricted Stock Unit award vests.</w:t>
      </w:r>
    </w:p>
    <w:p>
      <w:pPr>
        <w:spacing w:after="0" w:line="61" w:lineRule="exact"/>
        <w:rPr>
          <w:rFonts w:ascii="Arial" w:cs="Arial" w:eastAsia="Arial" w:hAnsi="Arial"/>
          <w:sz w:val="13"/>
          <w:szCs w:val="13"/>
          <w:color w:val="auto"/>
        </w:rPr>
      </w:pPr>
    </w:p>
    <w:p>
      <w:pPr>
        <w:ind w:left="940" w:hanging="126"/>
        <w:spacing w:after="0"/>
        <w:tabs>
          <w:tab w:leader="none" w:pos="9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No deferral of the payment date shall be permitted under this Agreement.</w:t>
      </w:r>
    </w:p>
    <w:p>
      <w:pPr>
        <w:spacing w:after="0" w:line="90" w:lineRule="exact"/>
        <w:rPr>
          <w:rFonts w:ascii="Arial" w:cs="Arial" w:eastAsia="Arial" w:hAnsi="Arial"/>
          <w:sz w:val="13"/>
          <w:szCs w:val="13"/>
          <w:color w:val="auto"/>
        </w:rPr>
      </w:pPr>
    </w:p>
    <w:p>
      <w:pPr>
        <w:ind w:left="940" w:hanging="126"/>
        <w:spacing w:after="0"/>
        <w:tabs>
          <w:tab w:leader="none" w:pos="9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Restricted Stock Units representing this award shall be subject to adjustment for Recapitalization in the manner provided in the Plan, as it may be amended from time-to-time.</w:t>
      </w:r>
    </w:p>
    <w:p>
      <w:pPr>
        <w:spacing w:after="0" w:line="102" w:lineRule="exact"/>
        <w:rPr>
          <w:rFonts w:ascii="Arial" w:cs="Arial" w:eastAsia="Arial" w:hAnsi="Arial"/>
          <w:sz w:val="12"/>
          <w:szCs w:val="12"/>
          <w:color w:val="auto"/>
        </w:rPr>
      </w:pPr>
    </w:p>
    <w:p>
      <w:pPr>
        <w:ind w:left="940" w:hanging="126"/>
        <w:spacing w:after="0"/>
        <w:tabs>
          <w:tab w:leader="none" w:pos="9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Your Restricted Stock Units will earn Dividend Equivalents when Chevron pays a dividend on its common shares, in the form of additional Restricted Stock Units.</w:t>
      </w:r>
    </w:p>
    <w:p>
      <w:pPr>
        <w:spacing w:after="0" w:line="90" w:lineRule="exact"/>
        <w:rPr>
          <w:rFonts w:ascii="Arial" w:cs="Arial" w:eastAsia="Arial" w:hAnsi="Arial"/>
          <w:sz w:val="13"/>
          <w:szCs w:val="13"/>
          <w:color w:val="auto"/>
        </w:rPr>
      </w:pPr>
    </w:p>
    <w:p>
      <w:pPr>
        <w:ind w:left="420" w:right="240" w:firstLine="394"/>
        <w:spacing w:after="0" w:line="267" w:lineRule="auto"/>
        <w:tabs>
          <w:tab w:leader="none" w:pos="949"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No certificate for shares of stock shall be issued at the time the grant is made and you shall have no right to or interest in shares of stock of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xml:space="preserve"> as the result of this grant agreement.</w:t>
      </w:r>
    </w:p>
    <w:p>
      <w:pPr>
        <w:spacing w:after="0" w:line="61" w:lineRule="exact"/>
        <w:rPr>
          <w:rFonts w:ascii="Arial" w:cs="Arial" w:eastAsia="Arial" w:hAnsi="Arial"/>
          <w:sz w:val="13"/>
          <w:szCs w:val="13"/>
          <w:color w:val="auto"/>
        </w:rPr>
      </w:pPr>
    </w:p>
    <w:p>
      <w:pPr>
        <w:ind w:left="420" w:right="80" w:firstLine="394"/>
        <w:spacing w:after="0" w:line="256" w:lineRule="auto"/>
        <w:tabs>
          <w:tab w:leader="none" w:pos="1013"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Prior to distribution of your Restricted Stock Units, if you are terminated by the Corporation for “Misconduct” as defined in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the award shall be canceled unless the Committee, in its sole discretion, elects not to cancel such award. In addition, with respect to any restricted stock units that became vested and paid after the date of your Misconduct: (i) any such payment may be forfeited and (ii) the Corporation may demand that you pay over to the Corporation any such payment you received.</w:t>
      </w:r>
    </w:p>
    <w:p>
      <w:pPr>
        <w:spacing w:after="0" w:line="69" w:lineRule="exact"/>
        <w:rPr>
          <w:rFonts w:ascii="Arial" w:cs="Arial" w:eastAsia="Arial" w:hAnsi="Arial"/>
          <w:sz w:val="13"/>
          <w:szCs w:val="13"/>
          <w:color w:val="auto"/>
        </w:rPr>
      </w:pPr>
    </w:p>
    <w:p>
      <w:pPr>
        <w:ind w:left="420" w:right="320" w:firstLine="394"/>
        <w:spacing w:after="0" w:line="267" w:lineRule="auto"/>
        <w:tabs>
          <w:tab w:leader="none" w:pos="1006"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This award under this Agreement may not be transferred by you during your lifetime and may not be assigned, pledged or otherwise transferred except by the laws of descent and distribution.</w:t>
      </w:r>
    </w:p>
    <w:p>
      <w:pPr>
        <w:spacing w:after="0" w:line="61" w:lineRule="exact"/>
        <w:rPr>
          <w:rFonts w:ascii="Arial" w:cs="Arial" w:eastAsia="Arial" w:hAnsi="Arial"/>
          <w:sz w:val="13"/>
          <w:szCs w:val="13"/>
          <w:color w:val="auto"/>
        </w:rPr>
      </w:pPr>
    </w:p>
    <w:p>
      <w:pPr>
        <w:ind w:left="420" w:right="120" w:firstLine="394"/>
        <w:spacing w:after="0" w:line="267" w:lineRule="auto"/>
        <w:tabs>
          <w:tab w:leader="none" w:pos="1011"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This Agreement shall not confer on you the right to continued employment by the Corporation, nor shall this award interfere in any way with the right of the Corporation to terminate your employment at any time.</w:t>
      </w:r>
    </w:p>
    <w:p>
      <w:pPr>
        <w:spacing w:after="0" w:line="61" w:lineRule="exact"/>
        <w:rPr>
          <w:rFonts w:ascii="Arial" w:cs="Arial" w:eastAsia="Arial" w:hAnsi="Arial"/>
          <w:sz w:val="13"/>
          <w:szCs w:val="13"/>
          <w:color w:val="auto"/>
        </w:rPr>
      </w:pPr>
    </w:p>
    <w:p>
      <w:pPr>
        <w:ind w:left="1000" w:hanging="186"/>
        <w:spacing w:after="0"/>
        <w:tabs>
          <w:tab w:leader="none" w:pos="10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This Agreement is not subject to any provisions of the Employee Retirement Income Security Act (ERISA) of 1974.</w:t>
      </w:r>
    </w:p>
    <w:p>
      <w:pPr>
        <w:spacing w:after="0" w:line="90" w:lineRule="exact"/>
        <w:rPr>
          <w:rFonts w:ascii="Arial" w:cs="Arial" w:eastAsia="Arial" w:hAnsi="Arial"/>
          <w:sz w:val="13"/>
          <w:szCs w:val="13"/>
          <w:color w:val="auto"/>
        </w:rPr>
      </w:pPr>
    </w:p>
    <w:p>
      <w:pPr>
        <w:jc w:val="both"/>
        <w:ind w:left="420" w:right="120" w:firstLine="394"/>
        <w:spacing w:after="0" w:line="299" w:lineRule="auto"/>
        <w:tabs>
          <w:tab w:leader="none" w:pos="1011" w:val="left"/>
        </w:tabs>
        <w:numPr>
          <w:ilvl w:val="1"/>
          <w:numId w:val="56"/>
        </w:numPr>
        <w:rPr>
          <w:rFonts w:ascii="Arial" w:cs="Arial" w:eastAsia="Arial" w:hAnsi="Arial"/>
          <w:sz w:val="11"/>
          <w:szCs w:val="11"/>
          <w:color w:val="auto"/>
        </w:rPr>
      </w:pPr>
      <w:r>
        <w:rPr>
          <w:rFonts w:ascii="Arial" w:cs="Arial" w:eastAsia="Arial" w:hAnsi="Arial"/>
          <w:sz w:val="11"/>
          <w:szCs w:val="11"/>
          <w:color w:val="auto"/>
        </w:rPr>
        <w:t>This award is subject to your signing the enclosed copy of this agreement and returning it in the envelope provided. By accepting this award, you agree to keep this agreement and all of its provisions confidential and not to disclose any parts thereof to third parties, except that information relating to this agreement may be divulged (i) to the extent required by any court order,</w:t>
      </w:r>
    </w:p>
    <w:p>
      <w:pPr>
        <w:ind w:left="420" w:right="500" w:hanging="7"/>
        <w:spacing w:after="0" w:line="253" w:lineRule="auto"/>
        <w:tabs>
          <w:tab w:leader="none" w:pos="608"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to any public authority such as the IRS, (iii) in connection with any tax filing or (iv) to any financial advisors or tax consultants. Please retain the original of this </w:t>
      </w:r>
      <w:r>
        <w:rPr>
          <w:rFonts w:ascii="Arial" w:cs="Arial" w:eastAsia="Arial" w:hAnsi="Arial"/>
          <w:sz w:val="13"/>
          <w:szCs w:val="13"/>
          <w:b w:val="1"/>
          <w:bCs w:val="1"/>
          <w:i w:val="1"/>
          <w:iCs w:val="1"/>
          <w:color w:val="auto"/>
        </w:rPr>
        <w:t>A</w:t>
      </w:r>
      <w:r>
        <w:rPr>
          <w:rFonts w:ascii="Arial" w:cs="Arial" w:eastAsia="Arial" w:hAnsi="Arial"/>
          <w:sz w:val="13"/>
          <w:szCs w:val="13"/>
          <w:color w:val="auto"/>
        </w:rPr>
        <w:t>greement with your important papers.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59258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92580"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E-4</w:t>
      </w:r>
    </w:p>
    <w:p>
      <w:pPr>
        <w:sectPr>
          <w:pgSz w:w="11900" w:h="16838" w:orient="portrait"/>
          <w:cols w:equalWidth="0" w:num="1">
            <w:col w:w="10440"/>
          </w:cols>
          <w:pgMar w:left="680" w:top="136" w:right="7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auto"/>
        </w:rPr>
        <w:t>Exhibit 10.16</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 between Chevron Corporation and R. Hewitt Pate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February 21, 2012</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Mr. R. Hewitt Pate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and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Chevron Corporation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6001 Bollinger Canyon Road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San Ramon, CA 94583</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Dear Hew,</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This letter agreement (“Agreement”) sets forth the agreement between you and Chevron Corporation (the “Company”) and shall be effective on February 21, 2012.</w:t>
      </w:r>
    </w:p>
    <w:p>
      <w:pPr>
        <w:spacing w:after="0" w:line="91" w:lineRule="exact"/>
        <w:rPr>
          <w:sz w:val="20"/>
          <w:szCs w:val="20"/>
          <w:color w:val="auto"/>
        </w:rPr>
      </w:pPr>
    </w:p>
    <w:p>
      <w:pPr>
        <w:ind w:right="20"/>
        <w:spacing w:after="0" w:line="309" w:lineRule="auto"/>
        <w:rPr>
          <w:sz w:val="20"/>
          <w:szCs w:val="20"/>
          <w:color w:val="auto"/>
        </w:rPr>
      </w:pPr>
      <w:r>
        <w:rPr>
          <w:rFonts w:ascii="Arial" w:cs="Arial" w:eastAsia="Arial" w:hAnsi="Arial"/>
          <w:sz w:val="12"/>
          <w:szCs w:val="12"/>
          <w:color w:val="auto"/>
        </w:rPr>
        <w:t>If your employment with the Company is terminated for any reason, including retirement, on or after August 1, 2019, you shall be subject to the termination provisions of the Long-Term Incentive Plan of Chevron Corporation (“LTIP”) as if you had 75 points (the sum of your age and years of service) or equivalent termination provisions if current LTIP provisions are modified.</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In the event that your employment with the Company is terminated by reason of death or disability, this Agreement shall inure to the benefit of your heirs, personal representatives, successors and assigns. Notwithstanding this Agreement, you will continue to be an at-will employee governed by the terms and conditions applicable to similarly situated employees of the Company. This Agreement shall be governed by the law of the State of California. This Agreement is the entire agreement between you and the Company and supersedes any prior agreements between you and the Company, whether written or oral, with respect to the subject matter of this Agreement.</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By executing this Agreement in the space provided below you agree to the terms and conditions specified herein.</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Sincerely yours,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/s/JOE W. LAYMON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Joe W. Laymon</w:t>
      </w:r>
    </w:p>
    <w:p>
      <w:pPr>
        <w:spacing w:after="0" w:line="313"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R. HEWITT PATE</w:t>
      </w:r>
    </w:p>
    <w:p>
      <w:pPr>
        <w:spacing w:after="0" w:line="321"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R. HEWITT 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80"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Date: February 21, 2012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E-5</w:t>
      </w:r>
    </w:p>
    <w:p>
      <w:pPr>
        <w:sectPr>
          <w:pgSz w:w="11900" w:h="16838" w:orient="portrait"/>
          <w:cols w:equalWidth="0" w:num="1">
            <w:col w:w="10440"/>
          </w:cols>
          <w:pgMar w:left="680" w:top="136" w:right="7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b w:val="1"/>
                <w:bCs w:val="1"/>
                <w:color w:val="auto"/>
              </w:rPr>
              <w:t>Exhibit 12.1</w:t>
            </w:r>
          </w:p>
        </w:tc>
      </w:tr>
      <w:tr>
        <w:trPr>
          <w:trHeight w:val="382"/>
        </w:trPr>
        <w:tc>
          <w:tcPr>
            <w:tcW w:w="3620" w:type="dxa"/>
            <w:vAlign w:val="bottom"/>
          </w:tcPr>
          <w:p>
            <w:pPr>
              <w:spacing w:after="0"/>
              <w:rPr>
                <w:sz w:val="24"/>
                <w:szCs w:val="24"/>
                <w:color w:val="auto"/>
              </w:rPr>
            </w:pPr>
          </w:p>
        </w:tc>
        <w:tc>
          <w:tcPr>
            <w:tcW w:w="34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Chevron Corporation — Total Enterprise Basis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620" w:type="dxa"/>
            <w:vAlign w:val="bottom"/>
          </w:tcPr>
          <w:p>
            <w:pPr>
              <w:spacing w:after="0"/>
              <w:rPr>
                <w:sz w:val="13"/>
                <w:szCs w:val="13"/>
                <w:color w:val="auto"/>
              </w:rPr>
            </w:pPr>
          </w:p>
        </w:tc>
        <w:tc>
          <w:tcPr>
            <w:tcW w:w="34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Computation of Ratio of Earnings to Fixed Charges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620" w:type="dxa"/>
            <w:vAlign w:val="bottom"/>
          </w:tcPr>
          <w:p>
            <w:pPr>
              <w:spacing w:after="0"/>
              <w:rPr>
                <w:sz w:val="14"/>
                <w:szCs w:val="14"/>
                <w:color w:val="auto"/>
              </w:rPr>
            </w:pPr>
          </w:p>
        </w:tc>
        <w:tc>
          <w:tcPr>
            <w:tcW w:w="2560" w:type="dxa"/>
            <w:vAlign w:val="bottom"/>
            <w:gridSpan w:val="2"/>
          </w:tcPr>
          <w:p>
            <w:pPr>
              <w:jc w:val="center"/>
              <w:ind w:left="576"/>
              <w:spacing w:after="0"/>
              <w:rPr>
                <w:sz w:val="20"/>
                <w:szCs w:val="20"/>
                <w:color w:val="auto"/>
              </w:rPr>
            </w:pPr>
            <w:r>
              <w:rPr>
                <w:rFonts w:ascii="Arial" w:cs="Arial" w:eastAsia="Arial" w:hAnsi="Arial"/>
                <w:sz w:val="13"/>
                <w:szCs w:val="13"/>
                <w:color w:val="auto"/>
                <w:w w:val="95"/>
              </w:rPr>
              <w:t>(Millions of dollars)</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3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5"/>
        </w:trPr>
        <w:tc>
          <w:tcPr>
            <w:tcW w:w="3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5" w:lineRule="exact"/>
              <w:rPr>
                <w:sz w:val="20"/>
                <w:szCs w:val="20"/>
                <w:color w:val="auto"/>
              </w:rPr>
            </w:pPr>
            <w:r>
              <w:rPr>
                <w:rFonts w:ascii="Arial" w:cs="Arial" w:eastAsia="Arial" w:hAnsi="Arial"/>
                <w:sz w:val="10"/>
                <w:szCs w:val="10"/>
                <w:b w:val="1"/>
                <w:bCs w:val="1"/>
                <w:color w:val="auto"/>
                <w:w w:val="98"/>
              </w:rPr>
              <w:t>2011</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5"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5"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5" w:lineRule="exact"/>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5"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8"/>
        </w:trPr>
        <w:tc>
          <w:tcPr>
            <w:tcW w:w="3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Chevron Corporation</w:t>
            </w:r>
          </w:p>
        </w:tc>
        <w:tc>
          <w:tcPr>
            <w:tcW w:w="25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26,895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19,024</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10,483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23,931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18,688</w:t>
            </w:r>
          </w:p>
        </w:tc>
      </w:tr>
      <w:tr>
        <w:trPr>
          <w:trHeight w:val="154"/>
        </w:trPr>
        <w:tc>
          <w:tcPr>
            <w:tcW w:w="3620" w:type="dxa"/>
            <w:vAlign w:val="bottom"/>
          </w:tcPr>
          <w:p>
            <w:pPr>
              <w:spacing w:after="0"/>
              <w:rPr>
                <w:sz w:val="20"/>
                <w:szCs w:val="20"/>
                <w:color w:val="auto"/>
              </w:rPr>
            </w:pPr>
            <w:r>
              <w:rPr>
                <w:rFonts w:ascii="Arial" w:cs="Arial" w:eastAsia="Arial" w:hAnsi="Arial"/>
                <w:sz w:val="13"/>
                <w:szCs w:val="13"/>
                <w:color w:val="auto"/>
              </w:rPr>
              <w:t>Income Tax Expense</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20,626</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12,919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7,965</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19,026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13,479</w:t>
            </w:r>
          </w:p>
        </w:tc>
      </w:tr>
      <w:tr>
        <w:trPr>
          <w:trHeight w:val="15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Distributions Less Than Equity in Earnings of Affiliates</w:t>
            </w:r>
          </w:p>
        </w:tc>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(1,439)</w:t>
            </w:r>
          </w:p>
        </w:tc>
      </w:tr>
      <w:tr>
        <w:trPr>
          <w:trHeight w:val="154"/>
        </w:trPr>
        <w:tc>
          <w:tcPr>
            <w:tcW w:w="362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112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r>
      <w:tr>
        <w:trPr>
          <w:trHeight w:val="15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w w:val="94"/>
              </w:rPr>
              <w:t>Previously Capitalized Interest Charged to Earnings During Period</w:t>
            </w:r>
          </w:p>
        </w:tc>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r>
      <w:tr>
        <w:trPr>
          <w:trHeight w:val="154"/>
        </w:trPr>
        <w:tc>
          <w:tcPr>
            <w:tcW w:w="3620" w:type="dxa"/>
            <w:vAlign w:val="bottom"/>
          </w:tcPr>
          <w:p>
            <w:pPr>
              <w:spacing w:after="0"/>
              <w:rPr>
                <w:sz w:val="20"/>
                <w:szCs w:val="20"/>
                <w:color w:val="auto"/>
              </w:rPr>
            </w:pPr>
            <w:r>
              <w:rPr>
                <w:rFonts w:ascii="Arial" w:cs="Arial" w:eastAsia="Arial" w:hAnsi="Arial"/>
                <w:sz w:val="13"/>
                <w:szCs w:val="13"/>
                <w:color w:val="auto"/>
              </w:rPr>
              <w:t>Interest and Debt Expense</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r>
      <w:tr>
        <w:trPr>
          <w:trHeight w:val="15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Interest Portion of Rentals</w:t>
            </w:r>
            <w:r>
              <w:rPr>
                <w:rFonts w:ascii="Arial" w:cs="Arial" w:eastAsia="Arial" w:hAnsi="Arial"/>
                <w:sz w:val="10"/>
                <w:szCs w:val="10"/>
                <w:color w:val="auto"/>
              </w:rPr>
              <w:t>(1)(2)</w:t>
            </w:r>
          </w:p>
        </w:tc>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w:t>
            </w:r>
          </w:p>
        </w:tc>
      </w:tr>
      <w:tr>
        <w:trPr>
          <w:trHeight w:val="167"/>
        </w:trPr>
        <w:tc>
          <w:tcPr>
            <w:tcW w:w="3620" w:type="dxa"/>
            <w:vAlign w:val="bottom"/>
          </w:tcPr>
          <w:p>
            <w:pPr>
              <w:spacing w:after="0"/>
              <w:rPr>
                <w:sz w:val="20"/>
                <w:szCs w:val="20"/>
                <w:color w:val="auto"/>
              </w:rPr>
            </w:pPr>
            <w:r>
              <w:rPr>
                <w:rFonts w:ascii="Arial" w:cs="Arial" w:eastAsia="Arial" w:hAnsi="Arial"/>
                <w:sz w:val="13"/>
                <w:szCs w:val="13"/>
                <w:b w:val="1"/>
                <w:bCs w:val="1"/>
                <w:color w:val="auto"/>
              </w:rPr>
              <w:t>Earnings Before Provision for Taxes and Fixed Charges</w:t>
            </w:r>
          </w:p>
        </w:tc>
        <w:tc>
          <w:tcPr>
            <w:tcW w:w="24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47,469</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32,144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19,013</w:t>
            </w:r>
          </w:p>
        </w:tc>
        <w:tc>
          <w:tcPr>
            <w:tcW w:w="4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42,982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31,356</w:t>
            </w:r>
          </w:p>
        </w:tc>
        <w:tc>
          <w:tcPr>
            <w:tcW w:w="100" w:type="dxa"/>
            <w:vAlign w:val="bottom"/>
          </w:tcPr>
          <w:p>
            <w:pPr>
              <w:spacing w:after="0"/>
              <w:rPr>
                <w:sz w:val="14"/>
                <w:szCs w:val="14"/>
                <w:color w:val="auto"/>
              </w:rPr>
            </w:pPr>
          </w:p>
        </w:tc>
      </w:tr>
      <w:tr>
        <w:trPr>
          <w:trHeight w:val="15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Interest and Debt Expense</w:t>
            </w:r>
          </w:p>
        </w:tc>
        <w:tc>
          <w:tcPr>
            <w:tcW w:w="25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w:t>
            </w:r>
          </w:p>
        </w:tc>
      </w:tr>
      <w:tr>
        <w:trPr>
          <w:trHeight w:val="154"/>
        </w:trPr>
        <w:tc>
          <w:tcPr>
            <w:tcW w:w="3620" w:type="dxa"/>
            <w:vAlign w:val="bottom"/>
          </w:tcPr>
          <w:p>
            <w:pPr>
              <w:spacing w:after="0"/>
              <w:rPr>
                <w:sz w:val="20"/>
                <w:szCs w:val="20"/>
                <w:color w:val="auto"/>
              </w:rPr>
            </w:pPr>
            <w:r>
              <w:rPr>
                <w:rFonts w:ascii="Arial" w:cs="Arial" w:eastAsia="Arial" w:hAnsi="Arial"/>
                <w:sz w:val="13"/>
                <w:szCs w:val="13"/>
                <w:color w:val="auto"/>
              </w:rPr>
              <w:t>Interest Portion of Rentals</w:t>
            </w:r>
            <w:r>
              <w:rPr>
                <w:rFonts w:ascii="Arial" w:cs="Arial" w:eastAsia="Arial" w:hAnsi="Arial"/>
                <w:sz w:val="10"/>
                <w:szCs w:val="10"/>
                <w:color w:val="auto"/>
              </w:rPr>
              <w:t>(1)(2)</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274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293</w:t>
            </w:r>
          </w:p>
        </w:tc>
      </w:tr>
      <w:tr>
        <w:trPr>
          <w:trHeight w:val="15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Dividends of Subsidiaries</w:t>
            </w:r>
          </w:p>
        </w:tc>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4"/>
        </w:trPr>
        <w:tc>
          <w:tcPr>
            <w:tcW w:w="3620" w:type="dxa"/>
            <w:vAlign w:val="bottom"/>
          </w:tcPr>
          <w:p>
            <w:pPr>
              <w:spacing w:after="0"/>
              <w:rPr>
                <w:sz w:val="20"/>
                <w:szCs w:val="20"/>
                <w:color w:val="auto"/>
              </w:rPr>
            </w:pPr>
            <w:r>
              <w:rPr>
                <w:rFonts w:ascii="Arial" w:cs="Arial" w:eastAsia="Arial" w:hAnsi="Arial"/>
                <w:sz w:val="13"/>
                <w:szCs w:val="13"/>
                <w:color w:val="auto"/>
              </w:rPr>
              <w:t>Capitalized Interest</w:t>
            </w: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267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r>
      <w:tr>
        <w:trPr>
          <w:trHeight w:val="20"/>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3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Fixed Charges</w:t>
            </w:r>
          </w:p>
        </w:tc>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576</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617</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530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762</w:t>
            </w:r>
          </w:p>
        </w:tc>
      </w:tr>
      <w:tr>
        <w:trPr>
          <w:trHeight w:val="166"/>
        </w:trPr>
        <w:tc>
          <w:tcPr>
            <w:tcW w:w="3620" w:type="dxa"/>
            <w:vAlign w:val="bottom"/>
          </w:tcPr>
          <w:p>
            <w:pPr>
              <w:spacing w:after="0"/>
              <w:rPr>
                <w:sz w:val="20"/>
                <w:szCs w:val="20"/>
                <w:color w:val="auto"/>
              </w:rPr>
            </w:pPr>
            <w:r>
              <w:rPr>
                <w:rFonts w:ascii="Arial" w:cs="Arial" w:eastAsia="Arial" w:hAnsi="Arial"/>
                <w:sz w:val="13"/>
                <w:szCs w:val="13"/>
                <w:b w:val="1"/>
                <w:bCs w:val="1"/>
                <w:color w:val="auto"/>
              </w:rPr>
              <w:t>Ratio of Earnings to Fixed Charges</w:t>
            </w:r>
          </w:p>
        </w:tc>
        <w:tc>
          <w:tcPr>
            <w:tcW w:w="24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82.41</w:t>
            </w: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52.10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31.69</w:t>
            </w: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81.10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41.15</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106172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65" w:lineRule="exact"/>
        <w:rPr>
          <w:sz w:val="20"/>
          <w:szCs w:val="20"/>
          <w:color w:val="auto"/>
        </w:rPr>
      </w:pPr>
    </w:p>
    <w:p>
      <w:pPr>
        <w:ind w:left="320" w:hanging="262"/>
        <w:spacing w:after="0"/>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Prior years have been adjusted to exclude the cost of certain charters from rental expense.</w:t>
      </w:r>
    </w:p>
    <w:p>
      <w:pPr>
        <w:spacing w:after="0" w:line="42" w:lineRule="exact"/>
        <w:rPr>
          <w:rFonts w:ascii="Arial" w:cs="Arial" w:eastAsia="Arial" w:hAnsi="Arial"/>
          <w:sz w:val="13"/>
          <w:szCs w:val="13"/>
          <w:color w:val="auto"/>
        </w:rPr>
      </w:pPr>
    </w:p>
    <w:p>
      <w:pPr>
        <w:ind w:left="320" w:hanging="262"/>
        <w:spacing w:after="0"/>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Calculated as one-third of rentals. Considered a reasonable approximation of interest factor.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E-6</w:t>
      </w:r>
    </w:p>
    <w:p>
      <w:pPr>
        <w:sectPr>
          <w:pgSz w:w="11900" w:h="16838" w:orient="portrait"/>
          <w:cols w:equalWidth="0" w:num="1">
            <w:col w:w="10440"/>
          </w:cols>
          <w:pgMar w:left="680" w:top="127" w:right="779" w:bottom="1440" w:gutter="0" w:footer="0" w:header="0"/>
        </w:sectPr>
      </w:pPr>
    </w:p>
    <w:bookmarkStart w:id="123" w:name="page124"/>
    <w:bookmarkEnd w:id="123"/>
    <w:p>
      <w:pPr>
        <w:ind w:left="10240"/>
        <w:spacing w:after="0"/>
        <w:rPr>
          <w:sz w:val="20"/>
          <w:szCs w:val="20"/>
          <w:color w:val="auto"/>
        </w:rPr>
      </w:pPr>
      <w:r>
        <w:rPr>
          <w:rFonts w:ascii="Arial" w:cs="Arial" w:eastAsia="Arial" w:hAnsi="Arial"/>
          <w:sz w:val="13"/>
          <w:szCs w:val="13"/>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940" w:type="dxa"/>
            <w:vAlign w:val="bottom"/>
            <w:gridSpan w:val="3"/>
          </w:tcPr>
          <w:p>
            <w:pPr>
              <w:jc w:val="center"/>
              <w:ind w:right="3436"/>
              <w:spacing w:after="0"/>
              <w:rPr>
                <w:sz w:val="20"/>
                <w:szCs w:val="20"/>
                <w:color w:val="auto"/>
              </w:rPr>
            </w:pPr>
            <w:r>
              <w:rPr>
                <w:rFonts w:ascii="Arial" w:cs="Arial" w:eastAsia="Arial" w:hAnsi="Arial"/>
                <w:sz w:val="13"/>
                <w:szCs w:val="13"/>
                <w:b w:val="1"/>
                <w:bCs w:val="1"/>
                <w:color w:val="auto"/>
                <w:w w:val="98"/>
              </w:rPr>
              <w:t>SUBSIDIARIES OF CHEVRON CORPORATION</w:t>
            </w:r>
            <w:r>
              <w:rPr>
                <w:rFonts w:ascii="Arial" w:cs="Arial" w:eastAsia="Arial" w:hAnsi="Arial"/>
                <w:sz w:val="10"/>
                <w:szCs w:val="10"/>
                <w:b w:val="1"/>
                <w:bCs w:val="1"/>
                <w:color w:val="auto"/>
                <w:w w:val="98"/>
              </w:rPr>
              <w:t>1</w:t>
            </w:r>
          </w:p>
        </w:tc>
        <w:tc>
          <w:tcPr>
            <w:tcW w:w="580" w:type="dxa"/>
            <w:vAlign w:val="bottom"/>
          </w:tcPr>
          <w:p>
            <w:pPr>
              <w:spacing w:after="0"/>
              <w:rPr>
                <w:sz w:val="13"/>
                <w:szCs w:val="13"/>
                <w:color w:val="auto"/>
              </w:rPr>
            </w:pPr>
          </w:p>
        </w:tc>
      </w:tr>
      <w:tr>
        <w:trPr>
          <w:trHeight w:val="166"/>
        </w:trPr>
        <w:tc>
          <w:tcPr>
            <w:tcW w:w="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940" w:type="dxa"/>
            <w:vAlign w:val="bottom"/>
            <w:gridSpan w:val="3"/>
          </w:tcPr>
          <w:p>
            <w:pPr>
              <w:jc w:val="center"/>
              <w:ind w:right="3436"/>
              <w:spacing w:after="0"/>
              <w:rPr>
                <w:sz w:val="20"/>
                <w:szCs w:val="20"/>
                <w:color w:val="auto"/>
              </w:rPr>
            </w:pPr>
            <w:r>
              <w:rPr>
                <w:rFonts w:ascii="Arial" w:cs="Arial" w:eastAsia="Arial" w:hAnsi="Arial"/>
                <w:sz w:val="13"/>
                <w:szCs w:val="13"/>
                <w:b w:val="1"/>
                <w:bCs w:val="1"/>
                <w:color w:val="auto"/>
                <w:w w:val="89"/>
              </w:rPr>
              <w:t>At December 31, 2011</w:t>
            </w:r>
          </w:p>
        </w:tc>
        <w:tc>
          <w:tcPr>
            <w:tcW w:w="580" w:type="dxa"/>
            <w:vAlign w:val="bottom"/>
          </w:tcPr>
          <w:p>
            <w:pPr>
              <w:spacing w:after="0"/>
              <w:rPr>
                <w:sz w:val="14"/>
                <w:szCs w:val="14"/>
                <w:color w:val="auto"/>
              </w:rPr>
            </w:pPr>
          </w:p>
        </w:tc>
      </w:tr>
      <w:tr>
        <w:trPr>
          <w:trHeight w:val="327"/>
        </w:trPr>
        <w:tc>
          <w:tcPr>
            <w:tcW w:w="46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Subsidiary</w:t>
            </w:r>
          </w:p>
        </w:tc>
        <w:tc>
          <w:tcPr>
            <w:tcW w:w="22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State, Province or Country in Which Organized</w:t>
            </w:r>
          </w:p>
        </w:tc>
        <w:tc>
          <w:tcPr>
            <w:tcW w:w="580" w:type="dxa"/>
            <w:vAlign w:val="bottom"/>
          </w:tcPr>
          <w:p>
            <w:pPr>
              <w:spacing w:after="0"/>
              <w:rPr>
                <w:sz w:val="24"/>
                <w:szCs w:val="24"/>
                <w:color w:val="auto"/>
              </w:rPr>
            </w:pPr>
          </w:p>
        </w:tc>
      </w:tr>
      <w:tr>
        <w:trPr>
          <w:trHeight w:val="173"/>
        </w:trPr>
        <w:tc>
          <w:tcPr>
            <w:tcW w:w="46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Beta Offshore Nigeria Deepwater Limited</w:t>
            </w:r>
          </w:p>
        </w:tc>
        <w:tc>
          <w:tcPr>
            <w:tcW w:w="2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Nigeria</w:t>
            </w:r>
          </w:p>
        </w:tc>
        <w:tc>
          <w:tcPr>
            <w:tcW w:w="580" w:type="dxa"/>
            <w:vAlign w:val="bottom"/>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Cabinda Gulf Oil Company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7"/>
              </w:rPr>
              <w:t>Chevron and Gulf UK Pension Plan Trustee Company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England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Argentina S.R.L.</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Argentina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Australia Pty Ltd.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Australia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Australia Transport Pty Ltd.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Australia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(Bermuda) Investments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Brasil Petróleo Limitada</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Brazil</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Canada Finance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Canada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Canada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Canada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Capital Corporation</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Caspian Pipeline Consortium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Environmental Management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California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Geothermal Indonesia, Ltd.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Global Energy Inc.</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Global Power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Pennsylvania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Global Technology Services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International (Congo)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International Petroleum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Investment Management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Investments (Netherlands), Inc.</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LNG Shipping Company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Marine Products LLC</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Mining Inc.</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Missouri</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New Zealand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New Zealand</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Nigeria Deepwater B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Nigeria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Nigeria Deepwater D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Nigeria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Nigeria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Nigeria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Oil Congo (D.R.C.)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Oronite Company LLC</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Oronite Pte. Ltd.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Singapore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Oronite S.A.S.</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France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Overseas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Overseas (Congo)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Overseas Petroleum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Bahamas</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Overseas Pipeline (Cameroon)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Bahamas</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Overseas Pipeline (Chad)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Bahamas</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Pakistan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Bahamas</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Petroleum Chad Company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Petroleum Company</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New Jersey</w:t>
            </w:r>
          </w:p>
        </w:tc>
        <w:tc>
          <w:tcPr>
            <w:tcW w:w="580" w:type="dxa"/>
            <w:vAlign w:val="bottom"/>
          </w:tcPr>
          <w:p>
            <w:pPr>
              <w:spacing w:after="0"/>
              <w:rPr>
                <w:sz w:val="13"/>
                <w:szCs w:val="13"/>
                <w:color w:val="auto"/>
              </w:rPr>
            </w:pPr>
          </w:p>
        </w:tc>
      </w:tr>
      <w:tr>
        <w:trPr>
          <w:trHeight w:val="154"/>
        </w:trPr>
        <w:tc>
          <w:tcPr>
            <w:tcW w:w="46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Petroleum Limited</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c>
          <w:tcPr>
            <w:tcW w:w="580" w:type="dxa"/>
            <w:vAlign w:val="bottom"/>
          </w:tcPr>
          <w:p>
            <w:pPr>
              <w:spacing w:after="0"/>
              <w:rPr>
                <w:sz w:val="13"/>
                <w:szCs w:val="13"/>
                <w:color w:val="auto"/>
              </w:rPr>
            </w:pPr>
          </w:p>
        </w:tc>
      </w:tr>
      <w:tr>
        <w:trPr>
          <w:trHeight w:val="162"/>
        </w:trPr>
        <w:tc>
          <w:tcPr>
            <w:tcW w:w="46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Chevron Philippines Inc.</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Philippines</w:t>
            </w:r>
          </w:p>
        </w:tc>
        <w:tc>
          <w:tcPr>
            <w:tcW w:w="580" w:type="dxa"/>
            <w:vAlign w:val="bottom"/>
          </w:tcPr>
          <w:p>
            <w:pPr>
              <w:spacing w:after="0"/>
              <w:rPr>
                <w:sz w:val="14"/>
                <w:szCs w:val="14"/>
                <w:color w:val="auto"/>
              </w:rPr>
            </w:pPr>
          </w:p>
        </w:tc>
      </w:tr>
      <w:tr>
        <w:trPr>
          <w:trHeight w:val="432"/>
        </w:trPr>
        <w:tc>
          <w:tcPr>
            <w:tcW w:w="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40" w:type="dxa"/>
            <w:vAlign w:val="bottom"/>
            <w:gridSpan w:val="3"/>
          </w:tcPr>
          <w:p>
            <w:pPr>
              <w:jc w:val="center"/>
              <w:ind w:right="3456"/>
              <w:spacing w:after="0"/>
              <w:rPr>
                <w:sz w:val="20"/>
                <w:szCs w:val="20"/>
                <w:color w:val="auto"/>
              </w:rPr>
            </w:pPr>
            <w:r>
              <w:rPr>
                <w:rFonts w:ascii="Arial" w:cs="Arial" w:eastAsia="Arial" w:hAnsi="Arial"/>
                <w:sz w:val="13"/>
                <w:szCs w:val="13"/>
                <w:color w:val="auto"/>
                <w:w w:val="88"/>
              </w:rPr>
              <w:t>E-7</w:t>
            </w:r>
          </w:p>
        </w:tc>
        <w:tc>
          <w:tcPr>
            <w:tcW w:w="580" w:type="dxa"/>
            <w:vAlign w:val="bottom"/>
          </w:tcPr>
          <w:p>
            <w:pPr>
              <w:spacing w:after="0"/>
              <w:rPr>
                <w:sz w:val="24"/>
                <w:szCs w:val="24"/>
                <w:color w:val="auto"/>
              </w:rPr>
            </w:pPr>
          </w:p>
        </w:tc>
      </w:tr>
      <w:tr>
        <w:trPr>
          <w:trHeight w:val="159"/>
        </w:trPr>
        <w:tc>
          <w:tcPr>
            <w:tcW w:w="460" w:type="dxa"/>
            <w:vAlign w:val="bottom"/>
            <w:tcBorders>
              <w:bottom w:val="single" w:sz="8" w:color="808080"/>
            </w:tcBorders>
          </w:tcPr>
          <w:p>
            <w:pPr>
              <w:spacing w:after="0"/>
              <w:rPr>
                <w:sz w:val="13"/>
                <w:szCs w:val="13"/>
                <w:color w:val="auto"/>
              </w:rPr>
            </w:pPr>
          </w:p>
        </w:tc>
        <w:tc>
          <w:tcPr>
            <w:tcW w:w="3500" w:type="dxa"/>
            <w:vAlign w:val="bottom"/>
            <w:tcBorders>
              <w:bottom w:val="single" w:sz="8" w:color="808080"/>
            </w:tcBorders>
          </w:tcPr>
          <w:p>
            <w:pPr>
              <w:spacing w:after="0"/>
              <w:rPr>
                <w:sz w:val="13"/>
                <w:szCs w:val="13"/>
                <w:color w:val="auto"/>
              </w:rPr>
            </w:pPr>
          </w:p>
        </w:tc>
        <w:tc>
          <w:tcPr>
            <w:tcW w:w="22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2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6"/>
        </w:trPr>
        <w:tc>
          <w:tcPr>
            <w:tcW w:w="5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Subsidiary</w:t>
            </w:r>
          </w:p>
        </w:tc>
        <w:tc>
          <w:tcPr>
            <w:tcW w:w="420" w:type="dxa"/>
            <w:vAlign w:val="bottom"/>
          </w:tcPr>
          <w:p>
            <w:pPr>
              <w:spacing w:after="0"/>
              <w:rPr>
                <w:sz w:val="14"/>
                <w:szCs w:val="1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State, Province or Country in Which Organized</w:t>
            </w:r>
          </w:p>
        </w:tc>
      </w:tr>
      <w:tr>
        <w:trPr>
          <w:trHeight w:val="173"/>
        </w:trPr>
        <w:tc>
          <w:tcPr>
            <w:tcW w:w="5740" w:type="dxa"/>
            <w:vAlign w:val="bottom"/>
          </w:tcPr>
          <w:p>
            <w:pPr>
              <w:spacing w:after="0"/>
              <w:rPr>
                <w:sz w:val="20"/>
                <w:szCs w:val="20"/>
                <w:color w:val="auto"/>
              </w:rPr>
            </w:pPr>
            <w:r>
              <w:rPr>
                <w:rFonts w:ascii="Arial" w:cs="Arial" w:eastAsia="Arial" w:hAnsi="Arial"/>
                <w:sz w:val="13"/>
                <w:szCs w:val="13"/>
                <w:color w:val="auto"/>
              </w:rPr>
              <w:t>Chevron Pipe Line Company</w:t>
            </w: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South Natuna B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Liberia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Synfuels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Thailand Exploration and Production, Ltd.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(Thailand)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Bahamas</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Thailand LLC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Transport Corporation Ltd.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United Kingdom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England and Wales</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U.S.A. Holdings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U.S.A.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Pennsylvania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Chevron Upstream and Gas</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Pennsylvania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Four Star Oil &amp; Gas Company</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Heddington Insurance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Insco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Iron Horse Insurance Co.</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Vermont</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Oilfield Concession Operators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Nigeria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PT Chevron Pacific Indonesia</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Indonesia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Saudi Arabian Chevron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Britain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England and Wales</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Capital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Captain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Overseas Holdings Inc.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Texaco Venezuela Holdings(I) Company</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Traders Insurance Limited</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Bermuda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TRMI-H LLC</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Union Oil Company of California</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California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Unocal Corporation</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Delaware</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Unocal International Corporation</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Nevada</w:t>
            </w:r>
          </w:p>
        </w:tc>
      </w:tr>
      <w:tr>
        <w:trPr>
          <w:trHeight w:val="154"/>
        </w:trPr>
        <w:tc>
          <w:tcPr>
            <w:tcW w:w="5740" w:type="dxa"/>
            <w:vAlign w:val="bottom"/>
          </w:tcPr>
          <w:p>
            <w:pPr>
              <w:spacing w:after="0"/>
              <w:rPr>
                <w:sz w:val="20"/>
                <w:szCs w:val="20"/>
                <w:color w:val="auto"/>
              </w:rPr>
            </w:pPr>
            <w:r>
              <w:rPr>
                <w:rFonts w:ascii="Arial" w:cs="Arial" w:eastAsia="Arial" w:hAnsi="Arial"/>
                <w:sz w:val="13"/>
                <w:szCs w:val="13"/>
                <w:color w:val="auto"/>
              </w:rPr>
              <w:t>Unocal Pipeline Company</w:t>
            </w:r>
          </w:p>
        </w:tc>
        <w:tc>
          <w:tcPr>
            <w:tcW w:w="4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California</w:t>
            </w:r>
          </w:p>
        </w:tc>
      </w:tr>
      <w:tr>
        <w:trPr>
          <w:trHeight w:val="162"/>
        </w:trPr>
        <w:tc>
          <w:tcPr>
            <w:tcW w:w="5740" w:type="dxa"/>
            <w:vAlign w:val="bottom"/>
          </w:tcPr>
          <w:p>
            <w:pPr>
              <w:spacing w:after="0"/>
              <w:rPr>
                <w:sz w:val="20"/>
                <w:szCs w:val="20"/>
                <w:color w:val="auto"/>
              </w:rPr>
            </w:pPr>
            <w:r>
              <w:rPr>
                <w:rFonts w:ascii="Arial" w:cs="Arial" w:eastAsia="Arial" w:hAnsi="Arial"/>
                <w:sz w:val="13"/>
                <w:szCs w:val="13"/>
                <w:color w:val="auto"/>
              </w:rPr>
              <w:t>West Australian Petroleum Pty Limited</w:t>
            </w:r>
          </w:p>
        </w:tc>
        <w:tc>
          <w:tcPr>
            <w:tcW w:w="4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61595</wp:posOffset>
            </wp:positionV>
            <wp:extent cx="79311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93115" cy="6350"/>
                    </a:xfrm>
                    <a:prstGeom prst="rect">
                      <a:avLst/>
                    </a:prstGeom>
                    <a:noFill/>
                  </pic:spPr>
                </pic:pic>
              </a:graphicData>
            </a:graphic>
          </wp:anchor>
        </w:drawing>
      </w:r>
    </w:p>
    <w:p>
      <w:pPr>
        <w:spacing w:after="0" w:line="125" w:lineRule="exact"/>
        <w:rPr>
          <w:sz w:val="20"/>
          <w:szCs w:val="20"/>
          <w:color w:val="auto"/>
        </w:rPr>
      </w:pPr>
    </w:p>
    <w:p>
      <w:pPr>
        <w:ind w:left="420" w:right="240" w:hanging="161"/>
        <w:spacing w:after="0" w:line="267" w:lineRule="auto"/>
        <w:tabs>
          <w:tab w:leader="none" w:pos="420" w:val="left"/>
        </w:tabs>
        <w:numPr>
          <w:ilvl w:val="0"/>
          <w:numId w:val="59"/>
        </w:numPr>
        <w:rPr>
          <w:rFonts w:ascii="Arial" w:cs="Arial" w:eastAsia="Arial" w:hAnsi="Arial"/>
          <w:sz w:val="11"/>
          <w:szCs w:val="11"/>
          <w:color w:val="auto"/>
        </w:rPr>
      </w:pPr>
      <w:r>
        <w:rPr>
          <w:rFonts w:ascii="Arial" w:cs="Arial" w:eastAsia="Arial" w:hAnsi="Arial"/>
          <w:sz w:val="13"/>
          <w:szCs w:val="13"/>
          <w:color w:val="auto"/>
        </w:rPr>
        <w:t>All of the subsidiaries in the above list are wholly owned, either directly or indirectly, by Chevron Corporation. Certain subsidiaries are not listed since, considered in the aggregate as a single subsidiary, they would not constitute a significant subsidiary at December 31, 2011.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E-8</w:t>
      </w:r>
    </w:p>
    <w:p>
      <w:pPr>
        <w:sectPr>
          <w:pgSz w:w="11900" w:h="16838" w:orient="portrait"/>
          <w:cols w:equalWidth="0" w:num="1">
            <w:col w:w="10440"/>
          </w:cols>
          <w:pgMar w:left="680" w:top="713" w:right="7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5" w:lineRule="exact"/>
        <w:rPr>
          <w:sz w:val="20"/>
          <w:szCs w:val="20"/>
          <w:color w:val="auto"/>
        </w:rPr>
      </w:pPr>
    </w:p>
    <w:p>
      <w:pPr>
        <w:jc w:val="both"/>
        <w:ind w:right="60"/>
        <w:spacing w:after="0" w:line="297" w:lineRule="auto"/>
        <w:rPr>
          <w:sz w:val="20"/>
          <w:szCs w:val="20"/>
          <w:color w:val="auto"/>
        </w:rPr>
      </w:pPr>
      <w:r>
        <w:rPr>
          <w:rFonts w:ascii="Arial" w:cs="Arial" w:eastAsia="Arial" w:hAnsi="Arial"/>
          <w:sz w:val="11"/>
          <w:szCs w:val="11"/>
          <w:color w:val="auto"/>
        </w:rPr>
        <w:t>We hereby consent to the incorporation by reference in the Registration Statement on Form S-3 of Chevron Corporation and its subsidiaries (No. 333-165122), and to the incorporation by reference in the Registration Statements on Form S-8 of Chevron Corporation and its subsidiaries (Nos. 333-172428, 333-171066, 333-26731, 333-162660, 333-152846, 333-102269, 333-72672, 333-21805, 333-21807, 333-21809, 333-46261, 333-105136, 333-122121, 333-02011, 333-127558, 333-127559, 333-127560, 333-127561, 333-127563, 333-127564, 333-127565, 333-127566, 333-127568, 333-128733,</w:t>
      </w:r>
    </w:p>
    <w:p>
      <w:pPr>
        <w:jc w:val="both"/>
        <w:ind w:right="60"/>
        <w:spacing w:after="0" w:line="253" w:lineRule="auto"/>
        <w:rPr>
          <w:sz w:val="20"/>
          <w:szCs w:val="20"/>
          <w:color w:val="auto"/>
        </w:rPr>
      </w:pPr>
      <w:r>
        <w:rPr>
          <w:rFonts w:ascii="Arial" w:cs="Arial" w:eastAsia="Arial" w:hAnsi="Arial"/>
          <w:sz w:val="13"/>
          <w:szCs w:val="13"/>
          <w:color w:val="auto"/>
        </w:rPr>
        <w:t>333-128734, 333-127567, 333-127569, 333-127570), of our report dated February 23, 2012, relating to the consolidated financial statements, financial statement schedule and the effectiveness of internal control over financial reporting, which appears in this Form 10-K.</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California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February 23, 2012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E-9</w:t>
      </w:r>
    </w:p>
    <w:p>
      <w:pPr>
        <w:sectPr>
          <w:pgSz w:w="11900" w:h="16838" w:orient="portrait"/>
          <w:cols w:equalWidth="0" w:num="1">
            <w:col w:w="10440"/>
          </w:cols>
          <w:pgMar w:left="680" w:top="127" w:right="7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24.1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E-10</w:t>
      </w:r>
    </w:p>
    <w:p>
      <w:pPr>
        <w:sectPr>
          <w:pgSz w:w="11900" w:h="16838" w:orient="portrait"/>
          <w:cols w:equalWidth="0" w:num="1">
            <w:col w:w="10440"/>
          </w:cols>
          <w:pgMar w:left="680" w:top="127" w:right="7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24.2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Robert E. Denham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E-11</w:t>
      </w:r>
    </w:p>
    <w:p>
      <w:pPr>
        <w:sectPr>
          <w:pgSz w:w="11900" w:h="16838" w:orient="portrait"/>
          <w:cols w:equalWidth="0" w:num="1">
            <w:col w:w="10440"/>
          </w:cols>
          <w:pgMar w:left="680" w:top="127" w:right="7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24.3</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Robert J.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E-12</w:t>
      </w:r>
    </w:p>
    <w:p>
      <w:pPr>
        <w:sectPr>
          <w:pgSz w:w="11900" w:h="16838" w:orient="portrait"/>
          <w:cols w:equalWidth="0" w:num="1">
            <w:col w:w="10440"/>
          </w:cols>
          <w:pgMar w:left="680" w:top="127" w:right="7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b w:val="1"/>
          <w:bCs w:val="1"/>
          <w:color w:val="auto"/>
        </w:rPr>
        <w:t>Exhibit 24.4</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Charles T. Hagel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E-13</w:t>
      </w:r>
    </w:p>
    <w:p>
      <w:pPr>
        <w:sectPr>
          <w:pgSz w:w="11900" w:h="16838" w:orient="portrait"/>
          <w:cols w:equalWidth="0" w:num="1">
            <w:col w:w="10440"/>
          </w:cols>
          <w:pgMar w:left="680" w:top="127" w:right="77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24.5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E-14</w:t>
      </w:r>
    </w:p>
    <w:p>
      <w:pPr>
        <w:sectPr>
          <w:pgSz w:w="11900" w:h="16838" w:orient="portrait"/>
          <w:cols w:equalWidth="0" w:num="1">
            <w:col w:w="10440"/>
          </w:cols>
          <w:pgMar w:left="680" w:top="126" w:right="7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b w:val="1"/>
          <w:bCs w:val="1"/>
          <w:color w:val="auto"/>
        </w:rPr>
        <w:t>Exhibit 24.6</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Donald B.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E-15</w:t>
      </w:r>
    </w:p>
    <w:p>
      <w:pPr>
        <w:sectPr>
          <w:pgSz w:w="11900" w:h="16838" w:orient="portrait"/>
          <w:cols w:equalWidth="0" w:num="1">
            <w:col w:w="10440"/>
          </w:cols>
          <w:pgMar w:left="680" w:top="127" w:right="7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auto"/>
        </w:rPr>
        <w:t>Exhibit 24.7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Kevin W. Sharer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E-16</w:t>
      </w:r>
    </w:p>
    <w:p>
      <w:pPr>
        <w:sectPr>
          <w:pgSz w:w="11900" w:h="16838" w:orient="portrait"/>
          <w:cols w:equalWidth="0" w:num="1">
            <w:col w:w="10440"/>
          </w:cols>
          <w:pgMar w:left="680" w:top="127" w:right="7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b w:val="1"/>
          <w:bCs w:val="1"/>
          <w:color w:val="auto"/>
        </w:rPr>
        <w:t>Exhibit 24.8</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Charles R. Shoemate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E-17</w:t>
      </w:r>
    </w:p>
    <w:p>
      <w:pPr>
        <w:sectPr>
          <w:pgSz w:w="11900" w:h="16838" w:orient="portrait"/>
          <w:cols w:equalWidth="0" w:num="1">
            <w:col w:w="10440"/>
          </w:cols>
          <w:pgMar w:left="680" w:top="127" w:right="7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24.9</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John G. Stumpf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E-18</w:t>
      </w:r>
    </w:p>
    <w:p>
      <w:pPr>
        <w:sectPr>
          <w:pgSz w:w="11900" w:h="16838" w:orient="portrait"/>
          <w:cols w:equalWidth="0" w:num="1">
            <w:col w:w="10440"/>
          </w:cols>
          <w:pgMar w:left="680" w:top="127" w:right="7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24.10</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24</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E-19</w:t>
      </w:r>
    </w:p>
    <w:p>
      <w:pPr>
        <w:sectPr>
          <w:pgSz w:w="11900" w:h="16838" w:orient="portrait"/>
          <w:cols w:equalWidth="0" w:num="1">
            <w:col w:w="10440"/>
          </w:cols>
          <w:pgMar w:left="680" w:top="126" w:right="7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24.11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POWER OF ATTORNEY</w:t>
      </w:r>
    </w:p>
    <w:p>
      <w:pPr>
        <w:spacing w:after="0" w:line="91" w:lineRule="exact"/>
        <w:rPr>
          <w:sz w:val="20"/>
          <w:szCs w:val="20"/>
          <w:color w:val="auto"/>
        </w:rPr>
      </w:pPr>
    </w:p>
    <w:p>
      <w:pPr>
        <w:ind w:right="120" w:firstLine="418"/>
        <w:spacing w:after="0" w:line="31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Chevron Corporation, a Delaware corporation (the “Corporation”), contemplates filing with the Securities and Exchange Commission in Washington, D.C., under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Exchange Act of 1934, as amended, and the regulations promulgated thereunder, an Annual Report on Form 10-K for the year ended December 31, 2011;</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undersigned is an officer or director, or both, of the Corporation;</w:t>
      </w:r>
    </w:p>
    <w:p>
      <w:pPr>
        <w:spacing w:after="0" w:line="91" w:lineRule="exact"/>
        <w:rPr>
          <w:sz w:val="20"/>
          <w:szCs w:val="20"/>
          <w:color w:val="auto"/>
        </w:rPr>
      </w:pPr>
    </w:p>
    <w:p>
      <w:pPr>
        <w:ind w:right="60" w:firstLine="418"/>
        <w:spacing w:after="0" w:line="310"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the undersigned hereby constitutes and appoints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LYDIA I. BEEBE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CHRISTOPHER A. BUTNER</w:t>
      </w:r>
      <w:r>
        <w:rPr>
          <w:rFonts w:ascii="Arial" w:cs="Arial" w:eastAsia="Arial" w:hAnsi="Arial"/>
          <w:sz w:val="11"/>
          <w:szCs w:val="11"/>
          <w:color w:val="auto"/>
        </w:rPr>
        <w:t>, and</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KARI H. ENDRIES</w:t>
      </w:r>
      <w:r>
        <w:rPr>
          <w:rFonts w:ascii="Arial" w:cs="Arial" w:eastAsia="Arial" w:hAnsi="Arial"/>
          <w:sz w:val="11"/>
          <w:szCs w:val="11"/>
          <w:color w:val="auto"/>
        </w:rPr>
        <w:t>, or any of them, his or her attorneys-in-fact</w:t>
      </w:r>
      <w:r>
        <w:rPr>
          <w:rFonts w:ascii="Arial" w:cs="Arial" w:eastAsia="Arial" w:hAnsi="Arial"/>
          <w:sz w:val="11"/>
          <w:szCs w:val="11"/>
          <w:b w:val="1"/>
          <w:bCs w:val="1"/>
          <w:color w:val="auto"/>
        </w:rPr>
        <w:t xml:space="preserve"> </w:t>
      </w:r>
      <w:r>
        <w:rPr>
          <w:rFonts w:ascii="Arial" w:cs="Arial" w:eastAsia="Arial" w:hAnsi="Arial"/>
          <w:sz w:val="11"/>
          <w:szCs w:val="11"/>
          <w:color w:val="auto"/>
        </w:rPr>
        <w:t>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has hereunto set his or her hand this 25</w:t>
      </w:r>
      <w:r>
        <w:rPr>
          <w:rFonts w:ascii="Arial" w:cs="Arial" w:eastAsia="Arial" w:hAnsi="Arial"/>
          <w:sz w:val="10"/>
          <w:szCs w:val="10"/>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January, 2012.</w:t>
      </w:r>
    </w:p>
    <w:p>
      <w:pPr>
        <w:spacing w:after="0" w:line="32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/s/ Carl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E-20</w:t>
      </w:r>
    </w:p>
    <w:p>
      <w:pPr>
        <w:sectPr>
          <w:pgSz w:w="11900" w:h="16838" w:orient="portrait"/>
          <w:cols w:equalWidth="0" w:num="1">
            <w:col w:w="10440"/>
          </w:cols>
          <w:pgMar w:left="680" w:top="127" w:right="7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31.1</w:t>
      </w: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RULE 13a-14(a)/15d-14(a) CERTIFICATION PURSUANT TO</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3"/>
          <w:szCs w:val="13"/>
          <w:color w:val="auto"/>
        </w:rPr>
        <w:t>I, John S. Watson, certify that:</w:t>
      </w:r>
    </w:p>
    <w:p>
      <w:pPr>
        <w:spacing w:after="0" w:line="91" w:lineRule="exact"/>
        <w:rPr>
          <w:sz w:val="20"/>
          <w:szCs w:val="20"/>
          <w:color w:val="auto"/>
        </w:rPr>
      </w:pPr>
    </w:p>
    <w:p>
      <w:pPr>
        <w:ind w:left="124" w:hanging="124"/>
        <w:spacing w:after="0"/>
        <w:tabs>
          <w:tab w:leader="none" w:pos="124" w:val="left"/>
        </w:tabs>
        <w:numPr>
          <w:ilvl w:val="0"/>
          <w:numId w:val="6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Chevron Corporation;</w:t>
      </w:r>
    </w:p>
    <w:p>
      <w:pPr>
        <w:spacing w:after="0" w:line="90" w:lineRule="exact"/>
        <w:rPr>
          <w:rFonts w:ascii="Arial" w:cs="Arial" w:eastAsia="Arial" w:hAnsi="Arial"/>
          <w:sz w:val="13"/>
          <w:szCs w:val="13"/>
          <w:color w:val="auto"/>
        </w:rPr>
      </w:pPr>
    </w:p>
    <w:p>
      <w:pPr>
        <w:ind w:left="4" w:right="140" w:hanging="4"/>
        <w:spacing w:after="0" w:line="267" w:lineRule="auto"/>
        <w:tabs>
          <w:tab w:leader="none" w:pos="132" w:val="left"/>
        </w:tabs>
        <w:numPr>
          <w:ilvl w:val="0"/>
          <w:numId w:val="6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ind w:left="4" w:right="260" w:hanging="4"/>
        <w:spacing w:after="0" w:line="267" w:lineRule="auto"/>
        <w:tabs>
          <w:tab w:leader="none" w:pos="132" w:val="left"/>
        </w:tabs>
        <w:numPr>
          <w:ilvl w:val="0"/>
          <w:numId w:val="6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ind w:left="4" w:right="380" w:hanging="4"/>
        <w:spacing w:after="0" w:line="267" w:lineRule="auto"/>
        <w:tabs>
          <w:tab w:leader="none" w:pos="13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ind w:left="424" w:right="20" w:firstLine="394"/>
        <w:spacing w:after="0" w:line="309" w:lineRule="auto"/>
        <w:tabs>
          <w:tab w:leader="none" w:pos="957"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2"/>
          <w:szCs w:val="12"/>
          <w:color w:val="auto"/>
        </w:rPr>
      </w:pPr>
    </w:p>
    <w:p>
      <w:pPr>
        <w:ind w:left="424" w:right="220" w:firstLine="394"/>
        <w:spacing w:after="0" w:line="309" w:lineRule="auto"/>
        <w:tabs>
          <w:tab w:leader="none" w:pos="964"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2"/>
          <w:szCs w:val="12"/>
          <w:color w:val="auto"/>
        </w:rPr>
      </w:pPr>
    </w:p>
    <w:p>
      <w:pPr>
        <w:ind w:left="424" w:right="380" w:firstLine="394"/>
        <w:spacing w:after="0" w:line="267" w:lineRule="auto"/>
        <w:tabs>
          <w:tab w:leader="none" w:pos="957" w:val="left"/>
        </w:tabs>
        <w:numPr>
          <w:ilvl w:val="1"/>
          <w:numId w:val="6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ind w:left="424" w:right="60" w:firstLine="394"/>
        <w:spacing w:after="0" w:line="309" w:lineRule="auto"/>
        <w:tabs>
          <w:tab w:leader="none" w:pos="964" w:val="left"/>
        </w:tabs>
        <w:numPr>
          <w:ilvl w:val="1"/>
          <w:numId w:val="6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2"/>
          <w:szCs w:val="12"/>
          <w:color w:val="auto"/>
        </w:rPr>
      </w:pPr>
    </w:p>
    <w:p>
      <w:pPr>
        <w:ind w:left="4" w:right="140" w:hanging="4"/>
        <w:spacing w:after="0" w:line="267" w:lineRule="auto"/>
        <w:tabs>
          <w:tab w:leader="none" w:pos="13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3"/>
          <w:szCs w:val="13"/>
          <w:color w:val="auto"/>
        </w:rPr>
      </w:pPr>
    </w:p>
    <w:p>
      <w:pPr>
        <w:ind w:left="424" w:right="100" w:firstLine="394"/>
        <w:spacing w:after="0" w:line="267" w:lineRule="auto"/>
        <w:tabs>
          <w:tab w:leader="none" w:pos="957" w:val="left"/>
        </w:tabs>
        <w:numPr>
          <w:ilvl w:val="1"/>
          <w:numId w:val="6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964" w:hanging="146"/>
        <w:spacing w:after="0"/>
        <w:tabs>
          <w:tab w:leader="none" w:pos="964" w:val="left"/>
        </w:tabs>
        <w:numPr>
          <w:ilvl w:val="1"/>
          <w:numId w:val="6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284"/>
        <w:spacing w:after="0"/>
        <w:rPr>
          <w:sz w:val="20"/>
          <w:szCs w:val="20"/>
          <w:color w:val="auto"/>
        </w:rPr>
      </w:pPr>
      <w:r>
        <w:rPr>
          <w:rFonts w:ascii="Arial" w:cs="Arial" w:eastAsia="Arial" w:hAnsi="Arial"/>
          <w:sz w:val="13"/>
          <w:szCs w:val="13"/>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8255</wp:posOffset>
            </wp:positionV>
            <wp:extent cx="379031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ind w:left="7384"/>
        <w:spacing w:after="0"/>
        <w:rPr>
          <w:sz w:val="20"/>
          <w:szCs w:val="20"/>
          <w:color w:val="auto"/>
        </w:rPr>
      </w:pPr>
      <w:r>
        <w:rPr>
          <w:rFonts w:ascii="Arial" w:cs="Arial" w:eastAsia="Arial" w:hAnsi="Arial"/>
          <w:sz w:val="13"/>
          <w:szCs w:val="13"/>
          <w:color w:val="auto"/>
        </w:rPr>
        <w:t>John S. Watson</w:t>
      </w:r>
    </w:p>
    <w:p>
      <w:pPr>
        <w:spacing w:after="0" w:line="13"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Chairman of the Board and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Chief Executive Officer</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color w:val="auto"/>
        </w:rPr>
        <w:t>Dated: February 23, 2012</w:t>
      </w:r>
    </w:p>
    <w:p>
      <w:pPr>
        <w:spacing w:after="0" w:line="29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E-21</w:t>
      </w:r>
    </w:p>
    <w:p>
      <w:pPr>
        <w:sectPr>
          <w:pgSz w:w="11900" w:h="16838" w:orient="portrait"/>
          <w:cols w:equalWidth="0" w:num="1">
            <w:col w:w="10444"/>
          </w:cols>
          <w:pgMar w:left="676" w:top="127" w:right="7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31.2</w:t>
      </w:r>
    </w:p>
    <w:p>
      <w:pPr>
        <w:spacing w:after="0" w:line="245"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RULE 13a-14(a)/15d-14(a) CERTIFICATION PURSUANT TO</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3"/>
          <w:szCs w:val="13"/>
          <w:color w:val="auto"/>
        </w:rPr>
        <w:t>I, Patricia E. Yarrington, certify that:</w:t>
      </w:r>
    </w:p>
    <w:p>
      <w:pPr>
        <w:spacing w:after="0" w:line="91" w:lineRule="exact"/>
        <w:rPr>
          <w:sz w:val="20"/>
          <w:szCs w:val="20"/>
          <w:color w:val="auto"/>
        </w:rPr>
      </w:pPr>
    </w:p>
    <w:p>
      <w:pPr>
        <w:ind w:left="124" w:hanging="124"/>
        <w:spacing w:after="0"/>
        <w:tabs>
          <w:tab w:leader="none" w:pos="124" w:val="left"/>
        </w:tabs>
        <w:numPr>
          <w:ilvl w:val="0"/>
          <w:numId w:val="6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Chevron Corporation;</w:t>
      </w:r>
    </w:p>
    <w:p>
      <w:pPr>
        <w:spacing w:after="0" w:line="90" w:lineRule="exact"/>
        <w:rPr>
          <w:rFonts w:ascii="Arial" w:cs="Arial" w:eastAsia="Arial" w:hAnsi="Arial"/>
          <w:sz w:val="13"/>
          <w:szCs w:val="13"/>
          <w:color w:val="auto"/>
        </w:rPr>
      </w:pPr>
    </w:p>
    <w:p>
      <w:pPr>
        <w:ind w:left="4" w:right="140" w:hanging="4"/>
        <w:spacing w:after="0" w:line="267" w:lineRule="auto"/>
        <w:tabs>
          <w:tab w:leader="none" w:pos="132"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3"/>
          <w:szCs w:val="13"/>
          <w:color w:val="auto"/>
        </w:rPr>
      </w:pPr>
    </w:p>
    <w:p>
      <w:pPr>
        <w:ind w:left="4" w:right="260" w:hanging="4"/>
        <w:spacing w:after="0" w:line="267" w:lineRule="auto"/>
        <w:tabs>
          <w:tab w:leader="none" w:pos="132"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3"/>
          <w:szCs w:val="13"/>
          <w:color w:val="auto"/>
        </w:rPr>
      </w:pPr>
    </w:p>
    <w:p>
      <w:pPr>
        <w:ind w:left="4" w:right="380" w:hanging="4"/>
        <w:spacing w:after="0" w:line="267" w:lineRule="auto"/>
        <w:tabs>
          <w:tab w:leader="none" w:pos="13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3"/>
          <w:szCs w:val="13"/>
          <w:color w:val="auto"/>
        </w:rPr>
      </w:pPr>
    </w:p>
    <w:p>
      <w:pPr>
        <w:ind w:left="424" w:right="20" w:firstLine="394"/>
        <w:spacing w:after="0" w:line="309" w:lineRule="auto"/>
        <w:tabs>
          <w:tab w:leader="none" w:pos="957"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2"/>
          <w:szCs w:val="12"/>
          <w:color w:val="auto"/>
        </w:rPr>
      </w:pPr>
    </w:p>
    <w:p>
      <w:pPr>
        <w:ind w:left="424" w:right="220" w:firstLine="394"/>
        <w:spacing w:after="0" w:line="309" w:lineRule="auto"/>
        <w:tabs>
          <w:tab w:leader="none" w:pos="964"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2"/>
          <w:szCs w:val="12"/>
          <w:color w:val="auto"/>
        </w:rPr>
      </w:pPr>
    </w:p>
    <w:p>
      <w:pPr>
        <w:ind w:left="424" w:right="380" w:firstLine="394"/>
        <w:spacing w:after="0" w:line="267" w:lineRule="auto"/>
        <w:tabs>
          <w:tab w:leader="none" w:pos="957" w:val="left"/>
        </w:tabs>
        <w:numPr>
          <w:ilvl w:val="1"/>
          <w:numId w:val="6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3"/>
          <w:szCs w:val="13"/>
          <w:color w:val="auto"/>
        </w:rPr>
      </w:pPr>
    </w:p>
    <w:p>
      <w:pPr>
        <w:ind w:left="424" w:right="60" w:firstLine="394"/>
        <w:spacing w:after="0" w:line="309" w:lineRule="auto"/>
        <w:tabs>
          <w:tab w:leader="none" w:pos="964" w:val="left"/>
        </w:tabs>
        <w:numPr>
          <w:ilvl w:val="1"/>
          <w:numId w:val="6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2"/>
          <w:szCs w:val="12"/>
          <w:color w:val="auto"/>
        </w:rPr>
      </w:pPr>
    </w:p>
    <w:p>
      <w:pPr>
        <w:ind w:left="4" w:right="140" w:hanging="4"/>
        <w:spacing w:after="0" w:line="267" w:lineRule="auto"/>
        <w:tabs>
          <w:tab w:leader="none" w:pos="13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3"/>
          <w:szCs w:val="13"/>
          <w:color w:val="auto"/>
        </w:rPr>
      </w:pPr>
    </w:p>
    <w:p>
      <w:pPr>
        <w:ind w:left="424" w:right="100" w:firstLine="394"/>
        <w:spacing w:after="0" w:line="267" w:lineRule="auto"/>
        <w:tabs>
          <w:tab w:leader="none" w:pos="957" w:val="left"/>
        </w:tabs>
        <w:numPr>
          <w:ilvl w:val="1"/>
          <w:numId w:val="6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3"/>
          <w:szCs w:val="13"/>
          <w:color w:val="auto"/>
        </w:rPr>
      </w:pPr>
    </w:p>
    <w:p>
      <w:pPr>
        <w:ind w:left="964" w:hanging="146"/>
        <w:spacing w:after="0"/>
        <w:tabs>
          <w:tab w:leader="none" w:pos="964" w:val="left"/>
        </w:tabs>
        <w:numPr>
          <w:ilvl w:val="1"/>
          <w:numId w:val="6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4"/>
        <w:spacing w:after="0"/>
        <w:rPr>
          <w:sz w:val="20"/>
          <w:szCs w:val="20"/>
          <w:color w:val="auto"/>
        </w:rPr>
      </w:pPr>
      <w:r>
        <w:rPr>
          <w:rFonts w:ascii="Arial" w:cs="Arial" w:eastAsia="Arial" w:hAnsi="Arial"/>
          <w:sz w:val="13"/>
          <w:szCs w:val="13"/>
          <w:color w:val="auto"/>
        </w:rPr>
        <w:t>/s/ Patricia E. Yarrington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8255</wp:posOffset>
            </wp:positionV>
            <wp:extent cx="379031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ind w:left="7224"/>
        <w:spacing w:after="0"/>
        <w:rPr>
          <w:sz w:val="20"/>
          <w:szCs w:val="20"/>
          <w:color w:val="auto"/>
        </w:rPr>
      </w:pPr>
      <w:r>
        <w:rPr>
          <w:rFonts w:ascii="Arial" w:cs="Arial" w:eastAsia="Arial" w:hAnsi="Arial"/>
          <w:sz w:val="13"/>
          <w:szCs w:val="13"/>
          <w:color w:val="auto"/>
        </w:rPr>
        <w:t>Patricia E. Yarrington</w:t>
      </w:r>
    </w:p>
    <w:p>
      <w:pPr>
        <w:spacing w:after="0" w:line="13"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Vice President and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Chief Financial Officer</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color w:val="auto"/>
        </w:rPr>
        <w:t>Dated: February 23, 2012</w:t>
      </w:r>
    </w:p>
    <w:p>
      <w:pPr>
        <w:spacing w:after="0" w:line="29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E-22</w:t>
      </w:r>
    </w:p>
    <w:p>
      <w:pPr>
        <w:sectPr>
          <w:pgSz w:w="11900" w:h="16838" w:orient="portrait"/>
          <w:cols w:equalWidth="0" w:num="1">
            <w:col w:w="10444"/>
          </w:cols>
          <w:pgMar w:left="676" w:top="126" w:right="7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 (18 U.S.C. SECTION 1350)</w:t>
      </w:r>
    </w:p>
    <w:p>
      <w:pPr>
        <w:spacing w:after="0" w:line="82" w:lineRule="exact"/>
        <w:rPr>
          <w:sz w:val="20"/>
          <w:szCs w:val="20"/>
          <w:color w:val="auto"/>
        </w:rPr>
      </w:pPr>
    </w:p>
    <w:p>
      <w:pPr>
        <w:jc w:val="both"/>
        <w:ind w:right="80" w:firstLine="418"/>
        <w:spacing w:after="0" w:line="256" w:lineRule="auto"/>
        <w:rPr>
          <w:sz w:val="20"/>
          <w:szCs w:val="20"/>
          <w:color w:val="auto"/>
        </w:rPr>
      </w:pPr>
      <w:r>
        <w:rPr>
          <w:rFonts w:ascii="Arial" w:cs="Arial" w:eastAsia="Arial" w:hAnsi="Arial"/>
          <w:sz w:val="13"/>
          <w:szCs w:val="13"/>
          <w:color w:val="auto"/>
        </w:rPr>
        <w:t>In connection with the Annual Report of Chevron Corporation (the “Company”) on Form 10-K for the year ended December 31, 2011, as filed with the Securities and Exchange Commission on the date hereof (the “Report”), I, John S. Watson, Chairman and Chief Executive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1000" w:hanging="186"/>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0" w:lineRule="exact"/>
        <w:rPr>
          <w:rFonts w:ascii="Arial" w:cs="Arial" w:eastAsia="Arial" w:hAnsi="Arial"/>
          <w:sz w:val="13"/>
          <w:szCs w:val="13"/>
          <w:color w:val="auto"/>
        </w:rPr>
      </w:pPr>
    </w:p>
    <w:p>
      <w:pPr>
        <w:ind w:left="1000" w:hanging="186"/>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p>
      <w:pPr>
        <w:ind w:left="7280"/>
        <w:spacing w:after="0"/>
        <w:rPr>
          <w:sz w:val="20"/>
          <w:szCs w:val="20"/>
          <w:color w:val="auto"/>
        </w:rPr>
      </w:pPr>
      <w:r>
        <w:rPr>
          <w:rFonts w:ascii="Arial" w:cs="Arial" w:eastAsia="Arial" w:hAnsi="Arial"/>
          <w:sz w:val="13"/>
          <w:szCs w:val="13"/>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3"/>
          <w:szCs w:val="13"/>
          <w:color w:val="auto"/>
        </w:rPr>
        <w:t>John S. Watson</w:t>
      </w:r>
    </w:p>
    <w:p>
      <w:pPr>
        <w:spacing w:after="0" w:line="13"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Chairman of the Board and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23, 2012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E-23</w:t>
      </w:r>
    </w:p>
    <w:p>
      <w:pPr>
        <w:sectPr>
          <w:pgSz w:w="11900" w:h="16838" w:orient="portrait"/>
          <w:cols w:equalWidth="0" w:num="1">
            <w:col w:w="10440"/>
          </w:cols>
          <w:pgMar w:left="680" w:top="127" w:right="7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 (18 U.S.C. SECTION 1350)</w:t>
      </w:r>
    </w:p>
    <w:p>
      <w:pPr>
        <w:spacing w:after="0" w:line="82" w:lineRule="exact"/>
        <w:rPr>
          <w:sz w:val="20"/>
          <w:szCs w:val="20"/>
          <w:color w:val="auto"/>
        </w:rPr>
      </w:pPr>
    </w:p>
    <w:p>
      <w:pPr>
        <w:jc w:val="both"/>
        <w:ind w:right="80" w:firstLine="418"/>
        <w:spacing w:after="0" w:line="256" w:lineRule="auto"/>
        <w:rPr>
          <w:sz w:val="20"/>
          <w:szCs w:val="20"/>
          <w:color w:val="auto"/>
        </w:rPr>
      </w:pPr>
      <w:r>
        <w:rPr>
          <w:rFonts w:ascii="Arial" w:cs="Arial" w:eastAsia="Arial" w:hAnsi="Arial"/>
          <w:sz w:val="13"/>
          <w:szCs w:val="13"/>
          <w:color w:val="auto"/>
        </w:rPr>
        <w:t>In connection with the Annual Report of Chevron Corporation (the “Company”) on Form 10-K for the year ended December 31, 2011, as filed with the Securities and Exchange Commission on the date hereof (the “Report”), I, Patricia E. Yarrington, Vice President and Chief Financial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1000" w:hanging="186"/>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0" w:lineRule="exact"/>
        <w:rPr>
          <w:rFonts w:ascii="Arial" w:cs="Arial" w:eastAsia="Arial" w:hAnsi="Arial"/>
          <w:sz w:val="13"/>
          <w:szCs w:val="13"/>
          <w:color w:val="auto"/>
        </w:rPr>
      </w:pPr>
    </w:p>
    <w:p>
      <w:pPr>
        <w:ind w:left="1000" w:hanging="186"/>
        <w:spacing w:after="0"/>
        <w:tabs>
          <w:tab w:leader="none" w:pos="10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/s/ Patricia E. Yarrington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8255</wp:posOffset>
            </wp:positionV>
            <wp:extent cx="379031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90315" cy="6350"/>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3"/>
          <w:szCs w:val="13"/>
          <w:color w:val="auto"/>
        </w:rPr>
        <w:t>Patricia E. Yarrington</w:t>
      </w:r>
    </w:p>
    <w:p>
      <w:pPr>
        <w:spacing w:after="0" w:line="13"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Vice President and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3"/>
          <w:szCs w:val="13"/>
          <w:i w:val="1"/>
          <w:iCs w:val="1"/>
          <w:color w:val="auto"/>
        </w:rPr>
        <w:t>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23, 2012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E-24</w:t>
      </w:r>
    </w:p>
    <w:p>
      <w:pPr>
        <w:sectPr>
          <w:pgSz w:w="11900" w:h="16838" w:orient="portrait"/>
          <w:cols w:equalWidth="0" w:num="1">
            <w:col w:w="10440"/>
          </w:cols>
          <w:pgMar w:left="680" w:top="127" w:right="7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95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Mine Safety Disclosure</w:t>
      </w:r>
    </w:p>
    <w:p>
      <w:pPr>
        <w:spacing w:after="0" w:line="95"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Chevron is an operator of the following coal and molybdenum mines for which reporting requirements apply under Section 1503 of the Dodd-Frank Wall Street Reform and Consumer Protection Act as a result of citations and orders received from the Mine Safety and Health Administration (MSHA) during the year ending December 31, 2011. In evaluating this information, consideration should be given to factors such as: (i) the number of citations and orders will vary depending on the size of the mine, (ii) the number of citations issued will vary from inspector to inspector and mine to mine, and (iii) citations and orders can be contested and appealed, and in that process, are often reduced in severity and amount, and are sometimes dismissed.</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The items in the table below refer to the applicable sections of the Federal Mine Safety and Health Administration Act of 1977 under which reporting is required for the year ending December 31, 2011.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5"/>
              </w:rPr>
              <w:t>Received</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7"/>
              </w:rPr>
              <w:t>Notice of</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5"/>
              </w:rPr>
              <w:t>Received</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8"/>
              </w:rPr>
              <w:t>Potential</w:t>
            </w:r>
          </w:p>
        </w:tc>
        <w:tc>
          <w:tcPr>
            <w:tcW w:w="50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5"/>
              </w:rPr>
              <w:t>Legal</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3"/>
              </w:rPr>
              <w:t>Total</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7"/>
              </w:rPr>
              <w:t>Notice of</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9"/>
              </w:rPr>
              <w:t>to Have</w:t>
            </w:r>
          </w:p>
        </w:tc>
        <w:tc>
          <w:tcPr>
            <w:tcW w:w="50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1"/>
              </w:rPr>
              <w:t>Actions</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2"/>
              </w:rPr>
              <w:t>Section</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tcPr>
          <w:p>
            <w:pPr>
              <w:jc w:val="center"/>
              <w:ind w:right="240"/>
              <w:spacing w:after="0" w:line="87" w:lineRule="exact"/>
              <w:rPr>
                <w:sz w:val="20"/>
                <w:szCs w:val="20"/>
                <w:color w:val="auto"/>
              </w:rPr>
            </w:pPr>
            <w:r>
              <w:rPr>
                <w:rFonts w:ascii="Arial" w:cs="Arial" w:eastAsia="Arial" w:hAnsi="Arial"/>
                <w:sz w:val="8"/>
                <w:szCs w:val="8"/>
                <w:b w:val="1"/>
                <w:bCs w:val="1"/>
                <w:color w:val="auto"/>
                <w:w w:val="90"/>
              </w:rPr>
              <w:t>Total Dollar</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2"/>
              </w:rPr>
              <w:t>Number</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90"/>
              </w:rPr>
              <w:t>Pattern of</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90"/>
              </w:rPr>
              <w:t>Pattern of</w:t>
            </w:r>
          </w:p>
        </w:tc>
        <w:tc>
          <w:tcPr>
            <w:tcW w:w="50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2"/>
              </w:rPr>
              <w:t>Pending</w:t>
            </w:r>
          </w:p>
        </w:tc>
        <w:tc>
          <w:tcPr>
            <w:tcW w:w="48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5"/>
              </w:rPr>
              <w:t>Legal</w:t>
            </w:r>
          </w:p>
        </w:tc>
        <w:tc>
          <w:tcPr>
            <w:tcW w:w="400" w:type="dxa"/>
            <w:vAlign w:val="bottom"/>
            <w:gridSpan w:val="2"/>
          </w:tcPr>
          <w:p>
            <w:pPr>
              <w:jc w:val="center"/>
              <w:ind w:right="100"/>
              <w:spacing w:after="0" w:line="87" w:lineRule="exact"/>
              <w:rPr>
                <w:sz w:val="20"/>
                <w:szCs w:val="20"/>
                <w:color w:val="auto"/>
              </w:rPr>
            </w:pPr>
            <w:r>
              <w:rPr>
                <w:rFonts w:ascii="Arial" w:cs="Arial" w:eastAsia="Arial" w:hAnsi="Arial"/>
                <w:sz w:val="8"/>
                <w:szCs w:val="8"/>
                <w:b w:val="1"/>
                <w:bCs w:val="1"/>
                <w:color w:val="auto"/>
                <w:w w:val="85"/>
              </w:rPr>
              <w:t>Legal</w:t>
            </w: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2"/>
              </w:rPr>
              <w:t>Section</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4"/>
              </w:rPr>
              <w:t>104(d)</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tcPr>
          <w:p>
            <w:pPr>
              <w:jc w:val="center"/>
              <w:ind w:right="260"/>
              <w:spacing w:after="0" w:line="87" w:lineRule="exact"/>
              <w:rPr>
                <w:sz w:val="20"/>
                <w:szCs w:val="20"/>
                <w:color w:val="auto"/>
              </w:rPr>
            </w:pPr>
            <w:r>
              <w:rPr>
                <w:rFonts w:ascii="Arial" w:cs="Arial" w:eastAsia="Arial" w:hAnsi="Arial"/>
                <w:sz w:val="8"/>
                <w:szCs w:val="8"/>
                <w:b w:val="1"/>
                <w:bCs w:val="1"/>
                <w:color w:val="auto"/>
                <w:w w:val="83"/>
              </w:rPr>
              <w:t>Value of</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rPr>
              <w:t>of</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8"/>
              </w:rPr>
              <w:t>Violation</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8"/>
              </w:rPr>
              <w:t>Violation</w:t>
            </w:r>
          </w:p>
        </w:tc>
        <w:tc>
          <w:tcPr>
            <w:tcW w:w="50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5"/>
              </w:rPr>
              <w:t>as of</w:t>
            </w:r>
          </w:p>
        </w:tc>
        <w:tc>
          <w:tcPr>
            <w:tcW w:w="48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1"/>
              </w:rPr>
              <w:t>Actions</w:t>
            </w:r>
          </w:p>
        </w:tc>
        <w:tc>
          <w:tcPr>
            <w:tcW w:w="400" w:type="dxa"/>
            <w:vAlign w:val="bottom"/>
            <w:gridSpan w:val="2"/>
          </w:tcPr>
          <w:p>
            <w:pPr>
              <w:jc w:val="center"/>
              <w:ind w:right="100"/>
              <w:spacing w:after="0" w:line="87" w:lineRule="exact"/>
              <w:rPr>
                <w:sz w:val="20"/>
                <w:szCs w:val="20"/>
                <w:color w:val="auto"/>
              </w:rPr>
            </w:pPr>
            <w:r>
              <w:rPr>
                <w:rFonts w:ascii="Arial" w:cs="Arial" w:eastAsia="Arial" w:hAnsi="Arial"/>
                <w:sz w:val="8"/>
                <w:szCs w:val="8"/>
                <w:b w:val="1"/>
                <w:bCs w:val="1"/>
                <w:color w:val="auto"/>
                <w:w w:val="88"/>
              </w:rPr>
              <w:t>Actions</w:t>
            </w:r>
          </w:p>
        </w:tc>
      </w:tr>
      <w:tr>
        <w:trPr>
          <w:trHeight w:val="86"/>
        </w:trPr>
        <w:tc>
          <w:tcPr>
            <w:tcW w:w="3340" w:type="dxa"/>
            <w:vAlign w:val="bottom"/>
          </w:tcPr>
          <w:p>
            <w:pPr>
              <w:spacing w:after="0"/>
              <w:rPr>
                <w:sz w:val="7"/>
                <w:szCs w:val="7"/>
                <w:color w:val="auto"/>
              </w:rPr>
            </w:pPr>
          </w:p>
        </w:tc>
        <w:tc>
          <w:tcPr>
            <w:tcW w:w="540" w:type="dxa"/>
            <w:vAlign w:val="bottom"/>
            <w:gridSpan w:val="2"/>
          </w:tcPr>
          <w:p>
            <w:pPr>
              <w:jc w:val="right"/>
              <w:ind w:right="122"/>
              <w:spacing w:after="0" w:line="87" w:lineRule="exact"/>
              <w:rPr>
                <w:sz w:val="20"/>
                <w:szCs w:val="20"/>
                <w:color w:val="auto"/>
              </w:rPr>
            </w:pPr>
            <w:r>
              <w:rPr>
                <w:rFonts w:ascii="Arial" w:cs="Arial" w:eastAsia="Arial" w:hAnsi="Arial"/>
                <w:sz w:val="8"/>
                <w:szCs w:val="8"/>
                <w:b w:val="1"/>
                <w:bCs w:val="1"/>
                <w:color w:val="auto"/>
              </w:rPr>
              <w:t>104</w:t>
            </w:r>
          </w:p>
        </w:tc>
        <w:tc>
          <w:tcPr>
            <w:tcW w:w="200" w:type="dxa"/>
            <w:vAlign w:val="bottom"/>
          </w:tcPr>
          <w:p>
            <w:pPr>
              <w:spacing w:after="0"/>
              <w:rPr>
                <w:sz w:val="7"/>
                <w:szCs w:val="7"/>
                <w:color w:val="auto"/>
              </w:rPr>
            </w:pPr>
          </w:p>
        </w:tc>
        <w:tc>
          <w:tcPr>
            <w:tcW w:w="540" w:type="dxa"/>
            <w:vAlign w:val="bottom"/>
            <w:gridSpan w:val="2"/>
          </w:tcPr>
          <w:p>
            <w:pPr>
              <w:ind w:left="40"/>
              <w:spacing w:after="0" w:line="87" w:lineRule="exact"/>
              <w:rPr>
                <w:sz w:val="20"/>
                <w:szCs w:val="20"/>
                <w:color w:val="auto"/>
              </w:rPr>
            </w:pPr>
            <w:r>
              <w:rPr>
                <w:rFonts w:ascii="Arial" w:cs="Arial" w:eastAsia="Arial" w:hAnsi="Arial"/>
                <w:sz w:val="8"/>
                <w:szCs w:val="8"/>
                <w:b w:val="1"/>
                <w:bCs w:val="1"/>
                <w:color w:val="auto"/>
              </w:rPr>
              <w:t>Section</w:t>
            </w:r>
          </w:p>
        </w:tc>
        <w:tc>
          <w:tcPr>
            <w:tcW w:w="62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7"/>
              </w:rPr>
              <w:t>Citations</w:t>
            </w:r>
          </w:p>
        </w:tc>
        <w:tc>
          <w:tcPr>
            <w:tcW w:w="640" w:type="dxa"/>
            <w:vAlign w:val="bottom"/>
            <w:gridSpan w:val="2"/>
          </w:tcPr>
          <w:p>
            <w:pPr>
              <w:ind w:left="100"/>
              <w:spacing w:after="0" w:line="87" w:lineRule="exact"/>
              <w:rPr>
                <w:sz w:val="20"/>
                <w:szCs w:val="20"/>
                <w:color w:val="auto"/>
              </w:rPr>
            </w:pPr>
            <w:r>
              <w:rPr>
                <w:rFonts w:ascii="Arial" w:cs="Arial" w:eastAsia="Arial" w:hAnsi="Arial"/>
                <w:sz w:val="8"/>
                <w:szCs w:val="8"/>
                <w:b w:val="1"/>
                <w:bCs w:val="1"/>
                <w:color w:val="auto"/>
              </w:rPr>
              <w:t>Section</w:t>
            </w:r>
          </w:p>
        </w:tc>
        <w:tc>
          <w:tcPr>
            <w:tcW w:w="520" w:type="dxa"/>
            <w:vAlign w:val="bottom"/>
            <w:gridSpan w:val="2"/>
          </w:tcPr>
          <w:p>
            <w:pPr>
              <w:ind w:left="40"/>
              <w:spacing w:after="0" w:line="87" w:lineRule="exact"/>
              <w:rPr>
                <w:sz w:val="20"/>
                <w:szCs w:val="20"/>
                <w:color w:val="auto"/>
              </w:rPr>
            </w:pPr>
            <w:r>
              <w:rPr>
                <w:rFonts w:ascii="Arial" w:cs="Arial" w:eastAsia="Arial" w:hAnsi="Arial"/>
                <w:sz w:val="8"/>
                <w:szCs w:val="8"/>
                <w:b w:val="1"/>
                <w:bCs w:val="1"/>
                <w:color w:val="auto"/>
              </w:rPr>
              <w:t>Section</w:t>
            </w:r>
          </w:p>
        </w:tc>
        <w:tc>
          <w:tcPr>
            <w:tcW w:w="60" w:type="dxa"/>
            <w:vAlign w:val="bottom"/>
          </w:tcPr>
          <w:p>
            <w:pPr>
              <w:spacing w:after="0"/>
              <w:rPr>
                <w:sz w:val="7"/>
                <w:szCs w:val="7"/>
                <w:color w:val="auto"/>
              </w:rPr>
            </w:pPr>
          </w:p>
        </w:tc>
        <w:tc>
          <w:tcPr>
            <w:tcW w:w="680" w:type="dxa"/>
            <w:vAlign w:val="bottom"/>
            <w:gridSpan w:val="2"/>
          </w:tcPr>
          <w:p>
            <w:pPr>
              <w:jc w:val="center"/>
              <w:ind w:right="260"/>
              <w:spacing w:after="0" w:line="87" w:lineRule="exact"/>
              <w:rPr>
                <w:sz w:val="20"/>
                <w:szCs w:val="20"/>
                <w:color w:val="auto"/>
              </w:rPr>
            </w:pPr>
            <w:r>
              <w:rPr>
                <w:rFonts w:ascii="Arial" w:cs="Arial" w:eastAsia="Arial" w:hAnsi="Arial"/>
                <w:sz w:val="8"/>
                <w:szCs w:val="8"/>
                <w:b w:val="1"/>
                <w:bCs w:val="1"/>
                <w:color w:val="auto"/>
                <w:w w:val="93"/>
              </w:rPr>
              <w:t>MSHA</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2"/>
              </w:rPr>
              <w:t>Mining</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94"/>
              </w:rPr>
              <w:t>Under</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94"/>
              </w:rPr>
              <w:t>Under</w:t>
            </w:r>
          </w:p>
        </w:tc>
        <w:tc>
          <w:tcPr>
            <w:tcW w:w="50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4"/>
              </w:rPr>
              <w:t>Last</w:t>
            </w:r>
          </w:p>
        </w:tc>
        <w:tc>
          <w:tcPr>
            <w:tcW w:w="48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1"/>
              </w:rPr>
              <w:t>Initiated</w:t>
            </w:r>
          </w:p>
        </w:tc>
        <w:tc>
          <w:tcPr>
            <w:tcW w:w="400" w:type="dxa"/>
            <w:vAlign w:val="bottom"/>
            <w:gridSpan w:val="2"/>
          </w:tcPr>
          <w:p>
            <w:pPr>
              <w:jc w:val="center"/>
              <w:ind w:right="100"/>
              <w:spacing w:after="0" w:line="87" w:lineRule="exact"/>
              <w:rPr>
                <w:sz w:val="20"/>
                <w:szCs w:val="20"/>
                <w:color w:val="auto"/>
              </w:rPr>
            </w:pPr>
            <w:r>
              <w:rPr>
                <w:rFonts w:ascii="Arial" w:cs="Arial" w:eastAsia="Arial" w:hAnsi="Arial"/>
                <w:sz w:val="8"/>
                <w:szCs w:val="8"/>
                <w:b w:val="1"/>
                <w:bCs w:val="1"/>
                <w:color w:val="auto"/>
                <w:w w:val="84"/>
              </w:rPr>
              <w:t>Resolved</w:t>
            </w: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6"/>
              </w:rPr>
              <w:t>S&amp;S</w:t>
            </w:r>
          </w:p>
        </w:tc>
        <w:tc>
          <w:tcPr>
            <w:tcW w:w="5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4"/>
              </w:rPr>
              <w:t>104(b)</w:t>
            </w:r>
          </w:p>
        </w:tc>
        <w:tc>
          <w:tcPr>
            <w:tcW w:w="62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9"/>
              </w:rPr>
              <w:t>And</w:t>
            </w:r>
          </w:p>
        </w:tc>
        <w:tc>
          <w:tcPr>
            <w:tcW w:w="64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89"/>
              </w:rPr>
              <w:t>110(b)(2)</w:t>
            </w:r>
          </w:p>
        </w:tc>
        <w:tc>
          <w:tcPr>
            <w:tcW w:w="52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6"/>
              </w:rPr>
              <w:t>107(a)</w:t>
            </w:r>
          </w:p>
        </w:tc>
        <w:tc>
          <w:tcPr>
            <w:tcW w:w="60" w:type="dxa"/>
            <w:vAlign w:val="bottom"/>
          </w:tcPr>
          <w:p>
            <w:pPr>
              <w:spacing w:after="0"/>
              <w:rPr>
                <w:sz w:val="7"/>
                <w:szCs w:val="7"/>
                <w:color w:val="auto"/>
              </w:rPr>
            </w:pPr>
          </w:p>
        </w:tc>
        <w:tc>
          <w:tcPr>
            <w:tcW w:w="680" w:type="dxa"/>
            <w:vAlign w:val="bottom"/>
            <w:gridSpan w:val="2"/>
          </w:tcPr>
          <w:p>
            <w:pPr>
              <w:jc w:val="center"/>
              <w:ind w:right="260"/>
              <w:spacing w:after="0" w:line="87" w:lineRule="exact"/>
              <w:rPr>
                <w:sz w:val="20"/>
                <w:szCs w:val="20"/>
                <w:color w:val="auto"/>
              </w:rPr>
            </w:pPr>
            <w:r>
              <w:rPr>
                <w:rFonts w:ascii="Arial" w:cs="Arial" w:eastAsia="Arial" w:hAnsi="Arial"/>
                <w:sz w:val="8"/>
                <w:szCs w:val="8"/>
                <w:b w:val="1"/>
                <w:bCs w:val="1"/>
                <w:color w:val="auto"/>
                <w:w w:val="81"/>
              </w:rPr>
              <w:t>Assessments</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2"/>
              </w:rPr>
              <w:t>Related</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2"/>
              </w:rPr>
              <w:t>Section</w:t>
            </w:r>
          </w:p>
        </w:tc>
        <w:tc>
          <w:tcPr>
            <w:tcW w:w="640" w:type="dxa"/>
            <w:vAlign w:val="bottom"/>
            <w:gridSpan w:val="2"/>
          </w:tcPr>
          <w:p>
            <w:pPr>
              <w:jc w:val="center"/>
              <w:ind w:right="240"/>
              <w:spacing w:after="0" w:line="87" w:lineRule="exact"/>
              <w:rPr>
                <w:sz w:val="20"/>
                <w:szCs w:val="20"/>
                <w:color w:val="auto"/>
              </w:rPr>
            </w:pPr>
            <w:r>
              <w:rPr>
                <w:rFonts w:ascii="Arial" w:cs="Arial" w:eastAsia="Arial" w:hAnsi="Arial"/>
                <w:sz w:val="8"/>
                <w:szCs w:val="8"/>
                <w:b w:val="1"/>
                <w:bCs w:val="1"/>
                <w:color w:val="auto"/>
                <w:w w:val="82"/>
              </w:rPr>
              <w:t>Section</w:t>
            </w:r>
          </w:p>
        </w:tc>
        <w:tc>
          <w:tcPr>
            <w:tcW w:w="50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9"/>
              </w:rPr>
              <w:t>Day of</w:t>
            </w:r>
          </w:p>
        </w:tc>
        <w:tc>
          <w:tcPr>
            <w:tcW w:w="48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2"/>
              </w:rPr>
              <w:t>During</w:t>
            </w:r>
          </w:p>
        </w:tc>
        <w:tc>
          <w:tcPr>
            <w:tcW w:w="400" w:type="dxa"/>
            <w:vAlign w:val="bottom"/>
            <w:gridSpan w:val="2"/>
          </w:tcPr>
          <w:p>
            <w:pPr>
              <w:jc w:val="center"/>
              <w:ind w:right="100"/>
              <w:spacing w:after="0" w:line="87" w:lineRule="exact"/>
              <w:rPr>
                <w:sz w:val="20"/>
                <w:szCs w:val="20"/>
                <w:color w:val="auto"/>
              </w:rPr>
            </w:pPr>
            <w:r>
              <w:rPr>
                <w:rFonts w:ascii="Arial" w:cs="Arial" w:eastAsia="Arial" w:hAnsi="Arial"/>
                <w:sz w:val="8"/>
                <w:szCs w:val="8"/>
                <w:b w:val="1"/>
                <w:bCs w:val="1"/>
                <w:color w:val="auto"/>
                <w:w w:val="85"/>
              </w:rPr>
              <w:t>During</w:t>
            </w:r>
          </w:p>
        </w:tc>
      </w:tr>
      <w:tr>
        <w:trPr>
          <w:trHeight w:val="86"/>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1"/>
              </w:rPr>
              <w:t>Citations</w:t>
            </w:r>
          </w:p>
        </w:tc>
        <w:tc>
          <w:tcPr>
            <w:tcW w:w="540" w:type="dxa"/>
            <w:vAlign w:val="bottom"/>
            <w:gridSpan w:val="2"/>
          </w:tcPr>
          <w:p>
            <w:pPr>
              <w:ind w:left="40"/>
              <w:spacing w:after="0" w:line="87" w:lineRule="exact"/>
              <w:rPr>
                <w:sz w:val="20"/>
                <w:szCs w:val="20"/>
                <w:color w:val="auto"/>
              </w:rPr>
            </w:pPr>
            <w:r>
              <w:rPr>
                <w:rFonts w:ascii="Arial" w:cs="Arial" w:eastAsia="Arial" w:hAnsi="Arial"/>
                <w:sz w:val="8"/>
                <w:szCs w:val="8"/>
                <w:b w:val="1"/>
                <w:bCs w:val="1"/>
                <w:color w:val="auto"/>
              </w:rPr>
              <w:t>Orders</w:t>
            </w:r>
          </w:p>
        </w:tc>
        <w:tc>
          <w:tcPr>
            <w:tcW w:w="620" w:type="dxa"/>
            <w:vAlign w:val="bottom"/>
            <w:gridSpan w:val="2"/>
          </w:tcPr>
          <w:p>
            <w:pPr>
              <w:jc w:val="center"/>
              <w:ind w:right="220"/>
              <w:spacing w:after="0" w:line="87" w:lineRule="exact"/>
              <w:rPr>
                <w:sz w:val="20"/>
                <w:szCs w:val="20"/>
                <w:color w:val="auto"/>
              </w:rPr>
            </w:pPr>
            <w:r>
              <w:rPr>
                <w:rFonts w:ascii="Arial" w:cs="Arial" w:eastAsia="Arial" w:hAnsi="Arial"/>
                <w:sz w:val="8"/>
                <w:szCs w:val="8"/>
                <w:b w:val="1"/>
                <w:bCs w:val="1"/>
                <w:color w:val="auto"/>
                <w:w w:val="91"/>
              </w:rPr>
              <w:t>Orders</w:t>
            </w:r>
          </w:p>
        </w:tc>
        <w:tc>
          <w:tcPr>
            <w:tcW w:w="640" w:type="dxa"/>
            <w:vAlign w:val="bottom"/>
            <w:gridSpan w:val="2"/>
          </w:tcPr>
          <w:p>
            <w:pPr>
              <w:ind w:left="60"/>
              <w:spacing w:after="0" w:line="87" w:lineRule="exact"/>
              <w:rPr>
                <w:sz w:val="20"/>
                <w:szCs w:val="20"/>
                <w:color w:val="auto"/>
              </w:rPr>
            </w:pPr>
            <w:r>
              <w:rPr>
                <w:rFonts w:ascii="Arial" w:cs="Arial" w:eastAsia="Arial" w:hAnsi="Arial"/>
                <w:sz w:val="8"/>
                <w:szCs w:val="8"/>
                <w:b w:val="1"/>
                <w:bCs w:val="1"/>
                <w:color w:val="auto"/>
              </w:rPr>
              <w:t>Violations</w:t>
            </w:r>
          </w:p>
        </w:tc>
        <w:tc>
          <w:tcPr>
            <w:tcW w:w="520" w:type="dxa"/>
            <w:vAlign w:val="bottom"/>
            <w:gridSpan w:val="2"/>
          </w:tcPr>
          <w:p>
            <w:pPr>
              <w:ind w:left="40"/>
              <w:spacing w:after="0" w:line="87" w:lineRule="exact"/>
              <w:rPr>
                <w:sz w:val="20"/>
                <w:szCs w:val="20"/>
                <w:color w:val="auto"/>
              </w:rPr>
            </w:pPr>
            <w:r>
              <w:rPr>
                <w:rFonts w:ascii="Arial" w:cs="Arial" w:eastAsia="Arial" w:hAnsi="Arial"/>
                <w:sz w:val="8"/>
                <w:szCs w:val="8"/>
                <w:b w:val="1"/>
                <w:bCs w:val="1"/>
                <w:color w:val="auto"/>
              </w:rPr>
              <w:t>Orders</w:t>
            </w:r>
          </w:p>
        </w:tc>
        <w:tc>
          <w:tcPr>
            <w:tcW w:w="60" w:type="dxa"/>
            <w:vAlign w:val="bottom"/>
          </w:tcPr>
          <w:p>
            <w:pPr>
              <w:spacing w:after="0"/>
              <w:rPr>
                <w:sz w:val="7"/>
                <w:szCs w:val="7"/>
                <w:color w:val="auto"/>
              </w:rPr>
            </w:pPr>
          </w:p>
        </w:tc>
        <w:tc>
          <w:tcPr>
            <w:tcW w:w="680" w:type="dxa"/>
            <w:vAlign w:val="bottom"/>
            <w:gridSpan w:val="2"/>
          </w:tcPr>
          <w:p>
            <w:pPr>
              <w:jc w:val="center"/>
              <w:ind w:right="260"/>
              <w:spacing w:after="0" w:line="87" w:lineRule="exact"/>
              <w:rPr>
                <w:sz w:val="20"/>
                <w:szCs w:val="20"/>
                <w:color w:val="auto"/>
              </w:rPr>
            </w:pPr>
            <w:r>
              <w:rPr>
                <w:rFonts w:ascii="Arial" w:cs="Arial" w:eastAsia="Arial" w:hAnsi="Arial"/>
                <w:sz w:val="8"/>
                <w:szCs w:val="8"/>
                <w:b w:val="1"/>
                <w:bCs w:val="1"/>
                <w:color w:val="auto"/>
                <w:w w:val="81"/>
              </w:rPr>
              <w:t>Proposed</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92"/>
              </w:rPr>
              <w:t>Fatalities</w:t>
            </w:r>
          </w:p>
        </w:tc>
        <w:tc>
          <w:tcPr>
            <w:tcW w:w="64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6"/>
              </w:rPr>
              <w:t>104(e)</w:t>
            </w:r>
          </w:p>
        </w:tc>
        <w:tc>
          <w:tcPr>
            <w:tcW w:w="640" w:type="dxa"/>
            <w:vAlign w:val="bottom"/>
            <w:gridSpan w:val="2"/>
          </w:tcPr>
          <w:p>
            <w:pPr>
              <w:jc w:val="center"/>
              <w:ind w:right="240"/>
              <w:spacing w:after="0" w:line="87" w:lineRule="exact"/>
              <w:rPr>
                <w:sz w:val="20"/>
                <w:szCs w:val="20"/>
                <w:color w:val="auto"/>
              </w:rPr>
            </w:pPr>
            <w:r>
              <w:rPr>
                <w:rFonts w:ascii="Arial" w:cs="Arial" w:eastAsia="Arial" w:hAnsi="Arial"/>
                <w:sz w:val="8"/>
                <w:szCs w:val="8"/>
                <w:b w:val="1"/>
                <w:bCs w:val="1"/>
                <w:color w:val="auto"/>
                <w:w w:val="86"/>
              </w:rPr>
              <w:t>104(e)</w:t>
            </w:r>
          </w:p>
        </w:tc>
        <w:tc>
          <w:tcPr>
            <w:tcW w:w="50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8"/>
              </w:rPr>
              <w:t>Period</w:t>
            </w:r>
          </w:p>
        </w:tc>
        <w:tc>
          <w:tcPr>
            <w:tcW w:w="480" w:type="dxa"/>
            <w:vAlign w:val="bottom"/>
            <w:gridSpan w:val="2"/>
          </w:tcPr>
          <w:p>
            <w:pPr>
              <w:jc w:val="center"/>
              <w:ind w:right="200"/>
              <w:spacing w:after="0" w:line="87" w:lineRule="exact"/>
              <w:rPr>
                <w:sz w:val="20"/>
                <w:szCs w:val="20"/>
                <w:color w:val="auto"/>
              </w:rPr>
            </w:pPr>
            <w:r>
              <w:rPr>
                <w:rFonts w:ascii="Arial" w:cs="Arial" w:eastAsia="Arial" w:hAnsi="Arial"/>
                <w:sz w:val="8"/>
                <w:szCs w:val="8"/>
                <w:b w:val="1"/>
                <w:bCs w:val="1"/>
                <w:color w:val="auto"/>
                <w:w w:val="80"/>
              </w:rPr>
              <w:t>Period</w:t>
            </w:r>
          </w:p>
        </w:tc>
        <w:tc>
          <w:tcPr>
            <w:tcW w:w="400" w:type="dxa"/>
            <w:vAlign w:val="bottom"/>
            <w:gridSpan w:val="2"/>
          </w:tcPr>
          <w:p>
            <w:pPr>
              <w:jc w:val="center"/>
              <w:ind w:right="100"/>
              <w:spacing w:after="0" w:line="87" w:lineRule="exact"/>
              <w:rPr>
                <w:sz w:val="20"/>
                <w:szCs w:val="20"/>
                <w:color w:val="auto"/>
              </w:rPr>
            </w:pPr>
            <w:r>
              <w:rPr>
                <w:rFonts w:ascii="Arial" w:cs="Arial" w:eastAsia="Arial" w:hAnsi="Arial"/>
                <w:sz w:val="8"/>
                <w:szCs w:val="8"/>
                <w:b w:val="1"/>
                <w:bCs w:val="1"/>
                <w:color w:val="auto"/>
                <w:w w:val="88"/>
              </w:rPr>
              <w:t>Period</w:t>
            </w:r>
          </w:p>
        </w:tc>
      </w:tr>
      <w:tr>
        <w:trPr>
          <w:trHeight w:val="96"/>
        </w:trPr>
        <w:tc>
          <w:tcPr>
            <w:tcW w:w="3340" w:type="dxa"/>
            <w:vAlign w:val="bottom"/>
          </w:tcPr>
          <w:p>
            <w:pPr>
              <w:spacing w:after="0"/>
              <w:rPr>
                <w:sz w:val="20"/>
                <w:szCs w:val="20"/>
                <w:color w:val="auto"/>
              </w:rPr>
            </w:pPr>
            <w:r>
              <w:rPr>
                <w:rFonts w:ascii="Arial" w:cs="Arial" w:eastAsia="Arial" w:hAnsi="Arial"/>
                <w:sz w:val="8"/>
                <w:szCs w:val="8"/>
                <w:b w:val="1"/>
                <w:bCs w:val="1"/>
                <w:color w:val="auto"/>
              </w:rPr>
              <w:t>Mine</w:t>
            </w:r>
          </w:p>
        </w:tc>
        <w:tc>
          <w:tcPr>
            <w:tcW w:w="540" w:type="dxa"/>
            <w:vAlign w:val="bottom"/>
            <w:gridSpan w:val="2"/>
          </w:tcPr>
          <w:p>
            <w:pPr>
              <w:jc w:val="right"/>
              <w:ind w:right="142"/>
              <w:spacing w:after="0"/>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8"/>
                <w:szCs w:val="8"/>
                <w:color w:val="auto"/>
              </w:rPr>
            </w:pPr>
          </w:p>
        </w:tc>
        <w:tc>
          <w:tcPr>
            <w:tcW w:w="320" w:type="dxa"/>
            <w:vAlign w:val="bottom"/>
          </w:tcPr>
          <w:p>
            <w:pPr>
              <w:jc w:val="right"/>
              <w:ind w:right="72"/>
              <w:spacing w:after="0"/>
              <w:rPr>
                <w:sz w:val="20"/>
                <w:szCs w:val="20"/>
                <w:color w:val="auto"/>
              </w:rPr>
            </w:pPr>
            <w:r>
              <w:rPr>
                <w:rFonts w:ascii="Arial" w:cs="Arial" w:eastAsia="Arial" w:hAnsi="Arial"/>
                <w:sz w:val="8"/>
                <w:szCs w:val="8"/>
                <w:b w:val="1"/>
                <w:bCs w:val="1"/>
                <w:color w:val="auto"/>
              </w:rPr>
              <w:t>(#)</w:t>
            </w:r>
          </w:p>
        </w:tc>
        <w:tc>
          <w:tcPr>
            <w:tcW w:w="220" w:type="dxa"/>
            <w:vAlign w:val="bottom"/>
          </w:tcPr>
          <w:p>
            <w:pPr>
              <w:spacing w:after="0"/>
              <w:rPr>
                <w:sz w:val="8"/>
                <w:szCs w:val="8"/>
                <w:color w:val="auto"/>
              </w:rPr>
            </w:pPr>
          </w:p>
        </w:tc>
        <w:tc>
          <w:tcPr>
            <w:tcW w:w="420" w:type="dxa"/>
            <w:vAlign w:val="bottom"/>
          </w:tcPr>
          <w:p>
            <w:pPr>
              <w:jc w:val="right"/>
              <w:ind w:right="134"/>
              <w:spacing w:after="0"/>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8"/>
                <w:szCs w:val="8"/>
                <w:color w:val="auto"/>
              </w:rPr>
            </w:pPr>
          </w:p>
        </w:tc>
        <w:tc>
          <w:tcPr>
            <w:tcW w:w="420" w:type="dxa"/>
            <w:vAlign w:val="bottom"/>
          </w:tcPr>
          <w:p>
            <w:pPr>
              <w:jc w:val="right"/>
              <w:ind w:right="112"/>
              <w:spacing w:after="0"/>
              <w:rPr>
                <w:sz w:val="20"/>
                <w:szCs w:val="20"/>
                <w:color w:val="auto"/>
              </w:rPr>
            </w:pPr>
            <w:r>
              <w:rPr>
                <w:rFonts w:ascii="Arial" w:cs="Arial" w:eastAsia="Arial" w:hAnsi="Arial"/>
                <w:sz w:val="8"/>
                <w:szCs w:val="8"/>
                <w:b w:val="1"/>
                <w:bCs w:val="1"/>
                <w:color w:val="auto"/>
              </w:rPr>
              <w:t>(#)</w:t>
            </w:r>
          </w:p>
        </w:tc>
        <w:tc>
          <w:tcPr>
            <w:tcW w:w="220" w:type="dxa"/>
            <w:vAlign w:val="bottom"/>
          </w:tcPr>
          <w:p>
            <w:pPr>
              <w:spacing w:after="0"/>
              <w:rPr>
                <w:sz w:val="8"/>
                <w:szCs w:val="8"/>
                <w:color w:val="auto"/>
              </w:rPr>
            </w:pPr>
          </w:p>
        </w:tc>
        <w:tc>
          <w:tcPr>
            <w:tcW w:w="320" w:type="dxa"/>
            <w:vAlign w:val="bottom"/>
          </w:tcPr>
          <w:p>
            <w:pPr>
              <w:jc w:val="right"/>
              <w:ind w:right="72"/>
              <w:spacing w:after="0"/>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center"/>
              <w:ind w:right="14"/>
              <w:spacing w:after="0"/>
              <w:rPr>
                <w:sz w:val="20"/>
                <w:szCs w:val="20"/>
                <w:color w:val="auto"/>
              </w:rPr>
            </w:pPr>
            <w:r>
              <w:rPr>
                <w:rFonts w:ascii="Arial" w:cs="Arial" w:eastAsia="Arial" w:hAnsi="Arial"/>
                <w:sz w:val="8"/>
                <w:szCs w:val="8"/>
                <w:b w:val="1"/>
                <w:bCs w:val="1"/>
                <w:color w:val="auto"/>
                <w:w w:val="87"/>
              </w:rPr>
              <w:t>($1,000)</w:t>
            </w:r>
          </w:p>
        </w:tc>
        <w:tc>
          <w:tcPr>
            <w:tcW w:w="20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8"/>
                <w:szCs w:val="8"/>
                <w:b w:val="1"/>
                <w:bCs w:val="1"/>
                <w:color w:val="auto"/>
                <w:w w:val="81"/>
              </w:rPr>
              <w:t>(#)</w:t>
            </w:r>
          </w:p>
        </w:tc>
        <w:tc>
          <w:tcPr>
            <w:tcW w:w="20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4"/>
              </w:rPr>
              <w:t>(yes/no)</w:t>
            </w:r>
          </w:p>
        </w:tc>
        <w:tc>
          <w:tcPr>
            <w:tcW w:w="6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84"/>
              </w:rPr>
              <w:t>(yes/no)</w:t>
            </w:r>
          </w:p>
        </w:tc>
        <w:tc>
          <w:tcPr>
            <w:tcW w:w="300" w:type="dxa"/>
            <w:vAlign w:val="bottom"/>
          </w:tcPr>
          <w:p>
            <w:pPr>
              <w:jc w:val="center"/>
              <w:spacing w:after="0"/>
              <w:rPr>
                <w:sz w:val="20"/>
                <w:szCs w:val="20"/>
                <w:color w:val="auto"/>
              </w:rPr>
            </w:pPr>
            <w:r>
              <w:rPr>
                <w:rFonts w:ascii="Arial" w:cs="Arial" w:eastAsia="Arial" w:hAnsi="Arial"/>
                <w:sz w:val="8"/>
                <w:szCs w:val="8"/>
                <w:b w:val="1"/>
                <w:bCs w:val="1"/>
                <w:color w:val="auto"/>
                <w:w w:val="81"/>
              </w:rPr>
              <w:t>(#)</w:t>
            </w:r>
          </w:p>
        </w:tc>
        <w:tc>
          <w:tcPr>
            <w:tcW w:w="200" w:type="dxa"/>
            <w:vAlign w:val="bottom"/>
          </w:tcPr>
          <w:p>
            <w:pPr>
              <w:spacing w:after="0"/>
              <w:rPr>
                <w:sz w:val="8"/>
                <w:szCs w:val="8"/>
                <w:color w:val="auto"/>
              </w:rPr>
            </w:pPr>
          </w:p>
        </w:tc>
        <w:tc>
          <w:tcPr>
            <w:tcW w:w="280" w:type="dxa"/>
            <w:vAlign w:val="bottom"/>
          </w:tcPr>
          <w:p>
            <w:pPr>
              <w:jc w:val="center"/>
              <w:spacing w:after="0"/>
              <w:rPr>
                <w:sz w:val="20"/>
                <w:szCs w:val="20"/>
                <w:color w:val="auto"/>
              </w:rPr>
            </w:pPr>
            <w:r>
              <w:rPr>
                <w:rFonts w:ascii="Arial" w:cs="Arial" w:eastAsia="Arial" w:hAnsi="Arial"/>
                <w:sz w:val="8"/>
                <w:szCs w:val="8"/>
                <w:b w:val="1"/>
                <w:bCs w:val="1"/>
                <w:color w:val="auto"/>
                <w:w w:val="81"/>
              </w:rPr>
              <w:t>(#)</w:t>
            </w:r>
          </w:p>
        </w:tc>
        <w:tc>
          <w:tcPr>
            <w:tcW w:w="200" w:type="dxa"/>
            <w:vAlign w:val="bottom"/>
          </w:tcPr>
          <w:p>
            <w:pPr>
              <w:spacing w:after="0"/>
              <w:rPr>
                <w:sz w:val="8"/>
                <w:szCs w:val="8"/>
                <w:color w:val="auto"/>
              </w:rPr>
            </w:pPr>
          </w:p>
        </w:tc>
        <w:tc>
          <w:tcPr>
            <w:tcW w:w="300" w:type="dxa"/>
            <w:vAlign w:val="bottom"/>
          </w:tcPr>
          <w:p>
            <w:pPr>
              <w:jc w:val="center"/>
              <w:spacing w:after="0"/>
              <w:rPr>
                <w:sz w:val="20"/>
                <w:szCs w:val="20"/>
                <w:color w:val="auto"/>
              </w:rPr>
            </w:pPr>
            <w:r>
              <w:rPr>
                <w:rFonts w:ascii="Arial" w:cs="Arial" w:eastAsia="Arial" w:hAnsi="Arial"/>
                <w:sz w:val="8"/>
                <w:szCs w:val="8"/>
                <w:b w:val="1"/>
                <w:bCs w:val="1"/>
                <w:color w:val="auto"/>
              </w:rPr>
              <w:t>(#)</w:t>
            </w:r>
          </w:p>
        </w:tc>
        <w:tc>
          <w:tcPr>
            <w:tcW w:w="100" w:type="dxa"/>
            <w:vAlign w:val="bottom"/>
          </w:tcPr>
          <w:p>
            <w:pPr>
              <w:spacing w:after="0"/>
              <w:rPr>
                <w:sz w:val="8"/>
                <w:szCs w:val="8"/>
                <w:color w:val="auto"/>
              </w:rPr>
            </w:pPr>
          </w:p>
        </w:tc>
      </w:tr>
      <w:tr>
        <w:trPr>
          <w:trHeight w:val="28"/>
        </w:trPr>
        <w:tc>
          <w:tcPr>
            <w:tcW w:w="3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4"/>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Kemmerer Mine</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292</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no</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no</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r>
      <w:tr>
        <w:trPr>
          <w:trHeight w:val="144"/>
        </w:trPr>
        <w:tc>
          <w:tcPr>
            <w:tcW w:w="3340" w:type="dxa"/>
            <w:vAlign w:val="bottom"/>
          </w:tcPr>
          <w:p>
            <w:pPr>
              <w:spacing w:after="0"/>
              <w:rPr>
                <w:sz w:val="20"/>
                <w:szCs w:val="20"/>
                <w:color w:val="auto"/>
              </w:rPr>
            </w:pPr>
            <w:r>
              <w:rPr>
                <w:rFonts w:ascii="Arial" w:cs="Arial" w:eastAsia="Arial" w:hAnsi="Arial"/>
                <w:sz w:val="12"/>
                <w:szCs w:val="12"/>
                <w:color w:val="auto"/>
              </w:rPr>
              <w:t>McKinley Mine</w:t>
            </w: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17</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130</w:t>
            </w: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no</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no</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r>
      <w:tr>
        <w:trPr>
          <w:trHeight w:val="144"/>
        </w:trPr>
        <w:tc>
          <w:tcPr>
            <w:tcW w:w="3340" w:type="dxa"/>
            <w:vAlign w:val="bottom"/>
            <w:shd w:val="clear" w:color="auto" w:fill="CCEEFF"/>
          </w:tcPr>
          <w:p>
            <w:pPr>
              <w:spacing w:after="0" w:line="145" w:lineRule="exact"/>
              <w:rPr>
                <w:sz w:val="20"/>
                <w:szCs w:val="20"/>
                <w:color w:val="auto"/>
              </w:rPr>
            </w:pPr>
            <w:r>
              <w:rPr>
                <w:rFonts w:ascii="Arial" w:cs="Arial" w:eastAsia="Arial" w:hAnsi="Arial"/>
                <w:sz w:val="10"/>
                <w:szCs w:val="10"/>
                <w:color w:val="auto"/>
              </w:rPr>
              <w:t>North River Mine</w:t>
            </w:r>
            <w:r>
              <w:rPr>
                <w:rFonts w:ascii="Arial" w:cs="Arial" w:eastAsia="Arial" w:hAnsi="Arial"/>
                <w:sz w:val="16"/>
                <w:szCs w:val="16"/>
                <w:color w:val="auto"/>
                <w:vertAlign w:val="superscript"/>
              </w:rPr>
              <w:t>(1)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no</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no</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r>
      <w:tr>
        <w:trPr>
          <w:trHeight w:val="147"/>
        </w:trPr>
        <w:tc>
          <w:tcPr>
            <w:tcW w:w="3340" w:type="dxa"/>
            <w:vAlign w:val="bottom"/>
          </w:tcPr>
          <w:p>
            <w:pPr>
              <w:spacing w:after="0"/>
              <w:rPr>
                <w:sz w:val="20"/>
                <w:szCs w:val="20"/>
                <w:color w:val="auto"/>
              </w:rPr>
            </w:pPr>
            <w:r>
              <w:rPr>
                <w:rFonts w:ascii="Arial" w:cs="Arial" w:eastAsia="Arial" w:hAnsi="Arial"/>
                <w:sz w:val="12"/>
                <w:szCs w:val="12"/>
                <w:color w:val="auto"/>
              </w:rPr>
              <w:t>Questa Mine</w:t>
            </w: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11</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no</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no</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106172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65"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The North River Mine was sold May 6, 2011.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E-25</w:t>
      </w:r>
    </w:p>
    <w:p>
      <w:pPr>
        <w:sectPr>
          <w:pgSz w:w="11900" w:h="16838" w:orient="portrait"/>
          <w:cols w:equalWidth="0" w:num="1">
            <w:col w:w="10440"/>
          </w:cols>
          <w:pgMar w:left="680" w:top="127" w:right="7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 OF SELECTED ENERGY TERMS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Barrels of oil-equivalent (BOE)</w:t>
      </w:r>
    </w:p>
    <w:p>
      <w:pPr>
        <w:spacing w:after="0" w:line="17" w:lineRule="exact"/>
        <w:rPr>
          <w:sz w:val="20"/>
          <w:szCs w:val="20"/>
          <w:color w:val="auto"/>
        </w:rPr>
      </w:pPr>
    </w:p>
    <w:p>
      <w:pPr>
        <w:ind w:right="180"/>
        <w:spacing w:after="0" w:line="253" w:lineRule="auto"/>
        <w:rPr>
          <w:sz w:val="20"/>
          <w:szCs w:val="20"/>
          <w:color w:val="auto"/>
        </w:rPr>
      </w:pPr>
      <w:r>
        <w:rPr>
          <w:rFonts w:ascii="Arial" w:cs="Arial" w:eastAsia="Arial" w:hAnsi="Arial"/>
          <w:sz w:val="13"/>
          <w:szCs w:val="13"/>
          <w:color w:val="auto"/>
        </w:rPr>
        <w:t xml:space="preserve">A unit of measure to quantify crude oil, natural gas liquids and natural gas amounts using the same basis. Natural gas volumes are converted to barrels on the basis of energy content. See </w:t>
      </w:r>
      <w:r>
        <w:rPr>
          <w:rFonts w:ascii="Arial" w:cs="Arial" w:eastAsia="Arial" w:hAnsi="Arial"/>
          <w:sz w:val="13"/>
          <w:szCs w:val="13"/>
          <w:i w:val="1"/>
          <w:iCs w:val="1"/>
          <w:color w:val="auto"/>
        </w:rPr>
        <w:t>oil-equivalent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gas </w:t>
      </w:r>
      <w:r>
        <w:rPr>
          <w:rFonts w:ascii="Arial" w:cs="Arial" w:eastAsia="Arial" w:hAnsi="Arial"/>
          <w:sz w:val="13"/>
          <w:szCs w:val="13"/>
          <w:color w:val="auto"/>
        </w:rPr>
        <w:t>and</w:t>
      </w:r>
      <w:r>
        <w:rPr>
          <w:rFonts w:ascii="Arial" w:cs="Arial" w:eastAsia="Arial" w:hAnsi="Arial"/>
          <w:sz w:val="13"/>
          <w:szCs w:val="13"/>
          <w:i w:val="1"/>
          <w:iCs w:val="1"/>
          <w:color w:val="auto"/>
        </w:rPr>
        <w:t xml:space="preserve"> production</w:t>
      </w:r>
      <w:r>
        <w:rPr>
          <w:rFonts w:ascii="Arial" w:cs="Arial" w:eastAsia="Arial" w:hAnsi="Arial"/>
          <w:sz w:val="13"/>
          <w:szCs w:val="13"/>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Development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Drilling, construction and related activities following discovery that are necessary to begin production and transportation of crude oil and natural gas.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Searching for crude oil and/or natural gas by utilizing geologic and topographical studies, geophysical and seismic surveys, and drilling of wells.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Gas-to-liquids (GTL)</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 process that converts natural gas into high-quality transportation fuels and other products.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Liquefied natural gas (LNG)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Natural gas that is liquefied under extremely cold temperatures to facilitate storage or transportation in specially designed vessels.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Liquefied petroleum gas (LPG)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Light gases, such as butane and propane, that can be maintained as liquids while under pressure.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Oil-equivalent gas (OEG)</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The volume of natural gas needed to generate the equivalent amount of heat as a barrel of crude oil. Approximately 6,000 cubic feet of natural gas is equivalent to one barrel of crude oil.</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Oil sands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Naturally occurring mixture of bitumen — a heavy, viscous form of crude oil — water, sand and clay. Using hydroprocessing technology, bitumen can be refined to yield </w:t>
      </w:r>
      <w:r>
        <w:rPr>
          <w:rFonts w:ascii="Arial" w:cs="Arial" w:eastAsia="Arial" w:hAnsi="Arial"/>
          <w:sz w:val="13"/>
          <w:szCs w:val="13"/>
          <w:i w:val="1"/>
          <w:iCs w:val="1"/>
          <w:color w:val="auto"/>
        </w:rPr>
        <w:t>synthetic oil.</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Price Effects on Entitlement Volumes</w:t>
      </w:r>
    </w:p>
    <w:p>
      <w:pPr>
        <w:spacing w:after="0" w:line="17"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The impact on Chevron’s share of net production and net proved reserves due to changes in crude oil and natural gas prices between periods. Under production-sharing and variable-royalty provisions of certain agreements, price variability can increase or decrease royalty burdens and/or volumes attributable to the company. For example, at higher prices, fewer volumes are required for Chevron to recover its costs under certain production-sharing contracts.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w:t>
      </w:r>
    </w:p>
    <w:p>
      <w:pPr>
        <w:spacing w:after="0" w:line="17" w:lineRule="exact"/>
        <w:rPr>
          <w:sz w:val="20"/>
          <w:szCs w:val="20"/>
          <w:color w:val="auto"/>
        </w:rPr>
      </w:pPr>
    </w:p>
    <w:p>
      <w:pPr>
        <w:ind w:right="380"/>
        <w:spacing w:after="0" w:line="250" w:lineRule="auto"/>
        <w:rPr>
          <w:sz w:val="20"/>
          <w:szCs w:val="20"/>
          <w:color w:val="auto"/>
        </w:rPr>
      </w:pPr>
      <w:r>
        <w:rPr>
          <w:rFonts w:ascii="Arial" w:cs="Arial" w:eastAsia="Arial" w:hAnsi="Arial"/>
          <w:sz w:val="13"/>
          <w:szCs w:val="13"/>
          <w:i w:val="1"/>
          <w:iCs w:val="1"/>
          <w:color w:val="auto"/>
        </w:rPr>
        <w:t xml:space="preserve">Total production </w:t>
      </w:r>
      <w:r>
        <w:rPr>
          <w:rFonts w:ascii="Arial" w:cs="Arial" w:eastAsia="Arial" w:hAnsi="Arial"/>
          <w:sz w:val="13"/>
          <w:szCs w:val="13"/>
          <w:color w:val="auto"/>
        </w:rPr>
        <w:t>refers to all the crude oil (including synthetic oil), natural gas liquids and natural gas produced from a property.</w:t>
      </w:r>
      <w:r>
        <w:rPr>
          <w:rFonts w:ascii="Arial" w:cs="Arial" w:eastAsia="Arial" w:hAnsi="Arial"/>
          <w:sz w:val="13"/>
          <w:szCs w:val="13"/>
          <w:i w:val="1"/>
          <w:iCs w:val="1"/>
          <w:color w:val="auto"/>
        </w:rPr>
        <w:t xml:space="preserve"> Net production </w:t>
      </w:r>
      <w:r>
        <w:rPr>
          <w:rFonts w:ascii="Arial" w:cs="Arial" w:eastAsia="Arial" w:hAnsi="Arial"/>
          <w:sz w:val="13"/>
          <w:szCs w:val="13"/>
          <w:color w:val="auto"/>
        </w:rPr>
        <w:t>is gross production minus both royalties paid to</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landowners and a government’s agreed-upon share of production under a </w:t>
      </w:r>
      <w:r>
        <w:rPr>
          <w:rFonts w:ascii="Arial" w:cs="Arial" w:eastAsia="Arial" w:hAnsi="Arial"/>
          <w:sz w:val="13"/>
          <w:szCs w:val="13"/>
          <w:i w:val="1"/>
          <w:iCs w:val="1"/>
          <w:color w:val="auto"/>
        </w:rPr>
        <w:t>production-sharing contract. Oil-equivalent production</w:t>
      </w:r>
      <w:r>
        <w:rPr>
          <w:rFonts w:ascii="Arial" w:cs="Arial" w:eastAsia="Arial" w:hAnsi="Arial"/>
          <w:sz w:val="13"/>
          <w:szCs w:val="13"/>
          <w:color w:val="auto"/>
        </w:rPr>
        <w:t xml:space="preserve"> is the sum of the barrels of liquids and the oil-equivalent barrels of natural gas produced. See </w:t>
      </w:r>
      <w:r>
        <w:rPr>
          <w:rFonts w:ascii="Arial" w:cs="Arial" w:eastAsia="Arial" w:hAnsi="Arial"/>
          <w:sz w:val="13"/>
          <w:szCs w:val="13"/>
          <w:i w:val="1"/>
          <w:iCs w:val="1"/>
          <w:color w:val="auto"/>
        </w:rPr>
        <w:t>barrels of oil-equivalent</w:t>
      </w:r>
      <w:r>
        <w:rPr>
          <w:rFonts w:ascii="Arial" w:cs="Arial" w:eastAsia="Arial" w:hAnsi="Arial"/>
          <w:sz w:val="13"/>
          <w:szCs w:val="13"/>
          <w:color w:val="auto"/>
        </w:rPr>
        <w:t xml:space="preserve"> and </w:t>
      </w:r>
      <w:r>
        <w:rPr>
          <w:rFonts w:ascii="Arial" w:cs="Arial" w:eastAsia="Arial" w:hAnsi="Arial"/>
          <w:sz w:val="13"/>
          <w:szCs w:val="13"/>
          <w:i w:val="1"/>
          <w:iCs w:val="1"/>
          <w:color w:val="auto"/>
        </w:rPr>
        <w:t>oil-equivalent gas.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Production-sharing contract (PSC)</w:t>
      </w:r>
    </w:p>
    <w:p>
      <w:pPr>
        <w:spacing w:after="0" w:line="17"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An agreement between a government and a contractor (generally an oil and gas company) whereby production is shared between the parties in a prearranged manner. The contractor typically incurs all exploration, development and production costs, which are subsequently recoverable out of an agreed-upon share of any future PSC production, referred to as cost recovery oil and/or gas. Any remaining production, referred to as profit oil and/or gas, is shared between the parties on an agreed-upon basis as stipulated in the PSC. The government may also retain a share of PSC production as a royalty payment, and the contractor may owe income taxes on its portion of the profit oil or gas. The contractor’s share of PSC oil and/or gas production and reserves varies over time, as it is dependent on prices, costs and specific PSC terms.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729297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440"/>
          </w:cols>
          <w:pgMar w:left="680" w:top="127" w:right="77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color w:val="auto"/>
        </w:rPr>
        <w:t>Reserves</w:t>
      </w:r>
    </w:p>
    <w:p>
      <w:pPr>
        <w:spacing w:after="0" w:line="17"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 xml:space="preserve">Crude oil or natural gas contained in underground rock formations called reservoirs and saleable hydrocarbons extracted from oil sands, shale, coalbeds or other nonrenewable natural resources that are intended to be upgraded into synthetic oil or gas. </w:t>
      </w:r>
      <w:r>
        <w:rPr>
          <w:rFonts w:ascii="Arial" w:cs="Arial" w:eastAsia="Arial" w:hAnsi="Arial"/>
          <w:sz w:val="12"/>
          <w:szCs w:val="12"/>
          <w:i w:val="1"/>
          <w:iCs w:val="1"/>
          <w:color w:val="auto"/>
        </w:rPr>
        <w:t>Net proved reserves</w:t>
      </w:r>
      <w:r>
        <w:rPr>
          <w:rFonts w:ascii="Arial" w:cs="Arial" w:eastAsia="Arial" w:hAnsi="Arial"/>
          <w:sz w:val="12"/>
          <w:szCs w:val="12"/>
          <w:color w:val="auto"/>
        </w:rPr>
        <w:t xml:space="preserve"> are the estimated quantities that geoscience and engineering data demonstrate with reasonable certainty to be economically producible in the future from known reservoirs under existing economic conditions, operating methods and government regulations, and exclude royalties and interests owned by others. Estimates change as additional information becomes available. </w:t>
      </w:r>
      <w:r>
        <w:rPr>
          <w:rFonts w:ascii="Arial" w:cs="Arial" w:eastAsia="Arial" w:hAnsi="Arial"/>
          <w:sz w:val="12"/>
          <w:szCs w:val="12"/>
          <w:i w:val="1"/>
          <w:iCs w:val="1"/>
          <w:color w:val="auto"/>
        </w:rPr>
        <w:t>Oil-equivalent reserves</w:t>
      </w:r>
      <w:r>
        <w:rPr>
          <w:rFonts w:ascii="Arial" w:cs="Arial" w:eastAsia="Arial" w:hAnsi="Arial"/>
          <w:sz w:val="12"/>
          <w:szCs w:val="12"/>
          <w:color w:val="auto"/>
        </w:rPr>
        <w:t xml:space="preserve"> are the sum of the liquids reserves and the oil-equivalent gas reserves. See </w:t>
      </w:r>
      <w:r>
        <w:rPr>
          <w:rFonts w:ascii="Arial" w:cs="Arial" w:eastAsia="Arial" w:hAnsi="Arial"/>
          <w:sz w:val="12"/>
          <w:szCs w:val="12"/>
          <w:i w:val="1"/>
          <w:iCs w:val="1"/>
          <w:color w:val="auto"/>
        </w:rPr>
        <w:t>barrels of oil-equivalent</w:t>
      </w:r>
      <w:r>
        <w:rPr>
          <w:rFonts w:ascii="Arial" w:cs="Arial" w:eastAsia="Arial" w:hAnsi="Arial"/>
          <w:sz w:val="12"/>
          <w:szCs w:val="12"/>
          <w:color w:val="auto"/>
        </w:rPr>
        <w:t xml:space="preserve"> and </w:t>
      </w:r>
      <w:r>
        <w:rPr>
          <w:rFonts w:ascii="Arial" w:cs="Arial" w:eastAsia="Arial" w:hAnsi="Arial"/>
          <w:sz w:val="12"/>
          <w:szCs w:val="12"/>
          <w:i w:val="1"/>
          <w:iCs w:val="1"/>
          <w:color w:val="auto"/>
        </w:rPr>
        <w:t>oil-equivalent gas.</w:t>
      </w:r>
      <w:r>
        <w:rPr>
          <w:rFonts w:ascii="Arial" w:cs="Arial" w:eastAsia="Arial" w:hAnsi="Arial"/>
          <w:sz w:val="12"/>
          <w:szCs w:val="12"/>
          <w:color w:val="auto"/>
        </w:rPr>
        <w:t xml:space="preserve"> The company discloses only net proved reserves in its filings with the U.S.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Shale gas</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Natural gas produced from shale (clay-rich, very fine grained) formations where the gas was sourced from within the shale itself and is trapped in rocks with low porosity and extremely low permeability.</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Production of shale gas requires the use of hydraulic fracturing (pumping a fluid-sand mixture into the formation under high pressure) to help produce the gas.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Synthetic oil</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marketable and transportable hydrocarbon liquid, resembling crude oil, that is produced by upgrading highly viscous or solid hydrocarbons, such as extra-heavy crude oil or </w:t>
      </w:r>
      <w:r>
        <w:rPr>
          <w:rFonts w:ascii="Arial" w:cs="Arial" w:eastAsia="Arial" w:hAnsi="Arial"/>
          <w:sz w:val="12"/>
          <w:szCs w:val="12"/>
          <w:i w:val="1"/>
          <w:iCs w:val="1"/>
          <w:color w:val="auto"/>
        </w:rPr>
        <w:t>oil sands</w:t>
      </w:r>
      <w:r>
        <w:rPr>
          <w:rFonts w:ascii="Arial" w:cs="Arial" w:eastAsia="Arial" w:hAnsi="Arial"/>
          <w:sz w:val="12"/>
          <w:szCs w:val="12"/>
          <w:color w:val="auto"/>
        </w:rPr>
        <w: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729297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19050"/>
                    </a:xfrm>
                    <a:prstGeom prst="rect">
                      <a:avLst/>
                    </a:prstGeom>
                    <a:noFill/>
                  </pic:spPr>
                </pic:pic>
              </a:graphicData>
            </a:graphic>
          </wp:anchor>
        </w:drawing>
      </w:r>
    </w:p>
    <w:p>
      <w:pPr>
        <w:sectPr>
          <w:pgSz w:w="11900" w:h="16838" w:orient="portrait"/>
          <w:cols w:equalWidth="0" w:num="1">
            <w:col w:w="10400"/>
          </w:cols>
          <w:pgMar w:left="680" w:top="703" w:right="81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3"/>
          <w:szCs w:val="13"/>
          <w:b w:val="1"/>
          <w:bCs w:val="1"/>
          <w:color w:val="auto"/>
        </w:rPr>
        <w:t>DEFINITIONS OF SELECTED FINANCIAL TERMS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term </w:t>
      </w:r>
      <w:r>
        <w:rPr>
          <w:rFonts w:ascii="Arial" w:cs="Arial" w:eastAsia="Arial" w:hAnsi="Arial"/>
          <w:sz w:val="13"/>
          <w:szCs w:val="13"/>
          <w:i w:val="1"/>
          <w:iCs w:val="1"/>
          <w:color w:val="auto"/>
        </w:rPr>
        <w:t>earnings</w:t>
      </w:r>
      <w:r>
        <w:rPr>
          <w:rFonts w:ascii="Arial" w:cs="Arial" w:eastAsia="Arial" w:hAnsi="Arial"/>
          <w:sz w:val="13"/>
          <w:szCs w:val="13"/>
          <w:color w:val="auto"/>
        </w:rPr>
        <w:t xml:space="preserve"> is net income attributable to Chevron Corporation as presented on the Consolidated Statement of Income.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Goodwill is an asset representing the future economic benefits arising from other assets acquired in a business combination that are not individually identified and separately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Return on capital employed (ROCE)</w:t>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 xml:space="preserve">ROCE is calculated by dividing </w:t>
      </w:r>
      <w:r>
        <w:rPr>
          <w:rFonts w:ascii="Arial" w:cs="Arial" w:eastAsia="Arial" w:hAnsi="Arial"/>
          <w:sz w:val="13"/>
          <w:szCs w:val="13"/>
          <w:i w:val="1"/>
          <w:iCs w:val="1"/>
          <w:color w:val="auto"/>
        </w:rPr>
        <w:t>earnings</w:t>
      </w:r>
      <w:r>
        <w:rPr>
          <w:rFonts w:ascii="Arial" w:cs="Arial" w:eastAsia="Arial" w:hAnsi="Arial"/>
          <w:sz w:val="13"/>
          <w:szCs w:val="13"/>
          <w:color w:val="auto"/>
        </w:rPr>
        <w:t xml:space="preserve"> (adjusted for after-tax interest expense and noncontrolling interests) by the average of total debt, noncontrolling interests and Chevron Corporation stockholders’ equity for the year.</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Return on stockholders’ equity</w:t>
      </w:r>
    </w:p>
    <w:p>
      <w:pPr>
        <w:spacing w:after="0" w:line="17" w:lineRule="exact"/>
        <w:rPr>
          <w:sz w:val="20"/>
          <w:szCs w:val="20"/>
          <w:color w:val="auto"/>
        </w:rPr>
      </w:pPr>
    </w:p>
    <w:p>
      <w:pPr>
        <w:ind w:right="200"/>
        <w:spacing w:after="0" w:line="253" w:lineRule="auto"/>
        <w:rPr>
          <w:sz w:val="20"/>
          <w:szCs w:val="20"/>
          <w:color w:val="auto"/>
        </w:rPr>
      </w:pPr>
      <w:r>
        <w:rPr>
          <w:rFonts w:ascii="Arial" w:cs="Arial" w:eastAsia="Arial" w:hAnsi="Arial"/>
          <w:sz w:val="13"/>
          <w:szCs w:val="13"/>
          <w:color w:val="auto"/>
        </w:rPr>
        <w:t xml:space="preserve">Return on stockholders’ equity is </w:t>
      </w:r>
      <w:r>
        <w:rPr>
          <w:rFonts w:ascii="Arial" w:cs="Arial" w:eastAsia="Arial" w:hAnsi="Arial"/>
          <w:sz w:val="13"/>
          <w:szCs w:val="13"/>
          <w:i w:val="1"/>
          <w:iCs w:val="1"/>
          <w:color w:val="auto"/>
        </w:rPr>
        <w:t>earnings</w:t>
      </w:r>
      <w:r>
        <w:rPr>
          <w:rFonts w:ascii="Arial" w:cs="Arial" w:eastAsia="Arial" w:hAnsi="Arial"/>
          <w:sz w:val="13"/>
          <w:szCs w:val="13"/>
          <w:color w:val="auto"/>
        </w:rPr>
        <w:t xml:space="preserve"> divided by average Chevron Corporation stockholders’ equity. Average Chevron Corporation stockholders’ equity is computed by averaging the sum of the beginning-of-year and end-of-year balances.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E-28</w:t>
      </w:r>
    </w:p>
    <w:sectPr>
      <w:pgSz w:w="11900" w:h="16838" w:orient="portrait"/>
      <w:cols w:equalWidth="0" w:num="1">
        <w:col w:w="10380"/>
      </w:cols>
      <w:pgMar w:left="680" w:top="70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Letter"/>
      <w:start w:val="2"/>
    </w:lvl>
  </w:abstractNum>
  <w:abstractNum w:abstractNumId="5">
    <w:nsid w:val="419AC241"/>
    <w:multiLevelType w:val="hybridMultilevel"/>
    <w:lvl w:ilvl="0">
      <w:lvlJc w:val="left"/>
      <w:lvlText w:val="3"/>
      <w:numFmt w:val="bullet"/>
      <w:start w:val="1"/>
    </w:lvl>
  </w:abstractNum>
  <w:abstractNum w:abstractNumId="6">
    <w:nsid w:val="5577F8E1"/>
    <w:multiLevelType w:val="hybridMultilevel"/>
    <w:lvl w:ilvl="0">
      <w:lvlJc w:val="left"/>
      <w:lvlText w:val="4"/>
      <w:numFmt w:val="bullet"/>
      <w:start w:val="1"/>
    </w:lvl>
  </w:abstractNum>
  <w:abstractNum w:abstractNumId="7">
    <w:nsid w:val="440BADFC"/>
    <w:multiLevelType w:val="hybridMultilevel"/>
    <w:lvl w:ilvl="0">
      <w:lvlJc w:val="left"/>
      <w:lvlText w:val="%1)"/>
      <w:numFmt w:val="lowerLetter"/>
      <w:start w:val="1"/>
    </w:lvl>
  </w:abstractNum>
  <w:abstractNum w:abstractNumId="8">
    <w:nsid w:val="5072367"/>
    <w:multiLevelType w:val="hybridMultilevel"/>
    <w:lvl w:ilvl="0">
      <w:lvlJc w:val="left"/>
      <w:lvlText w:val="%1)"/>
      <w:numFmt w:val="lowerLetter"/>
      <w:start w:val="2"/>
    </w:lvl>
  </w:abstractNum>
  <w:abstractNum w:abstractNumId="9">
    <w:nsid w:val="3804823E"/>
    <w:multiLevelType w:val="hybridMultilevel"/>
    <w:lvl w:ilvl="0">
      <w:lvlJc w:val="left"/>
      <w:lvlText w:val="%1)"/>
      <w:numFmt w:val="lowerLetter"/>
      <w:start w:val="3"/>
    </w:lvl>
  </w:abstractNum>
  <w:abstractNum w:abstractNumId="10">
    <w:nsid w:val="77465F01"/>
    <w:multiLevelType w:val="hybridMultilevel"/>
    <w:lvl w:ilvl="0">
      <w:lvlJc w:val="left"/>
      <w:lvlText w:val="%1)"/>
      <w:numFmt w:val="lowerLetter"/>
      <w:start w:val="4"/>
    </w:lvl>
  </w:abstractNum>
  <w:abstractNum w:abstractNumId="11">
    <w:nsid w:val="7724C67E"/>
    <w:multiLevelType w:val="hybridMultilevel"/>
    <w:lvl w:ilvl="0">
      <w:lvlJc w:val="left"/>
      <w:lvlText w:val="%1)"/>
      <w:numFmt w:val="lowerLetter"/>
      <w:start w:val="5"/>
    </w:lvl>
  </w:abstractNum>
  <w:abstractNum w:abstractNumId="12">
    <w:nsid w:val="5C482A97"/>
    <w:multiLevelType w:val="hybridMultilevel"/>
    <w:lvl w:ilvl="0">
      <w:lvlJc w:val="left"/>
      <w:lvlText w:val="%1)"/>
      <w:numFmt w:val="lowerLetter"/>
      <w:start w:val="6"/>
    </w:lvl>
  </w:abstractNum>
  <w:abstractNum w:abstractNumId="13">
    <w:nsid w:val="2463B9EA"/>
    <w:multiLevelType w:val="hybridMultilevel"/>
    <w:lvl w:ilvl="0">
      <w:lvlJc w:val="left"/>
      <w:lvlText w:val="1"/>
      <w:numFmt w:val="bullet"/>
      <w:start w:val="1"/>
    </w:lvl>
  </w:abstractNum>
  <w:abstractNum w:abstractNumId="14">
    <w:nsid w:val="5E884ADC"/>
    <w:multiLevelType w:val="hybridMultilevel"/>
    <w:lvl w:ilvl="0">
      <w:lvlJc w:val="left"/>
      <w:lvlText w:val="1"/>
      <w:numFmt w:val="bullet"/>
      <w:start w:val="1"/>
    </w:lvl>
  </w:abstractNum>
  <w:abstractNum w:abstractNumId="15">
    <w:nsid w:val="51EAD36B"/>
    <w:multiLevelType w:val="hybridMultilevel"/>
    <w:lvl w:ilvl="0">
      <w:lvlJc w:val="left"/>
      <w:lvlText w:val="1"/>
      <w:numFmt w:val="bullet"/>
      <w:start w:val="1"/>
    </w:lvl>
  </w:abstractNum>
  <w:abstractNum w:abstractNumId="16">
    <w:nsid w:val="2D517796"/>
    <w:multiLevelType w:val="hybridMultilevel"/>
    <w:lvl w:ilvl="0">
      <w:lvlJc w:val="left"/>
      <w:lvlText w:val="2"/>
      <w:numFmt w:val="bullet"/>
      <w:start w:val="1"/>
    </w:lvl>
  </w:abstractNum>
  <w:abstractNum w:abstractNumId="17">
    <w:nsid w:val="580BD78F"/>
    <w:multiLevelType w:val="hybridMultilevel"/>
    <w:lvl w:ilvl="0">
      <w:lvlJc w:val="left"/>
      <w:lvlText w:val="1"/>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2"/>
    </w:lvl>
  </w:abstractNum>
  <w:abstractNum w:abstractNumId="21">
    <w:nsid w:val="6A2342EC"/>
    <w:multiLevelType w:val="hybridMultilevel"/>
    <w:lvl w:ilvl="0">
      <w:lvlJc w:val="left"/>
      <w:lvlText w:val="(%1)"/>
      <w:numFmt w:val="lowerLetter"/>
      <w:start w:val="3"/>
    </w:lvl>
  </w:abstractNum>
  <w:abstractNum w:abstractNumId="22">
    <w:nsid w:val="2A487CB0"/>
    <w:multiLevelType w:val="hybridMultilevel"/>
    <w:lvl w:ilvl="0">
      <w:lvlJc w:val="left"/>
      <w:lvlText w:val="(%1)"/>
      <w:numFmt w:val="lowerLetter"/>
      <w:start w:val="1"/>
    </w:lvl>
    <w:lvl w:ilvl="1">
      <w:lvlJc w:val="left"/>
      <w:lvlText w:val="(%2)"/>
      <w:numFmt w:val="decimal"/>
      <w:start w:val="1"/>
    </w:lvl>
  </w:abstractNum>
  <w:abstractNum w:abstractNumId="23">
    <w:nsid w:val="1D4ED43B"/>
    <w:multiLevelType w:val="hybridMultilevel"/>
    <w:lvl w:ilvl="0">
      <w:lvlJc w:val="left"/>
      <w:lvlText w:val="3"/>
      <w:numFmt w:val="bullet"/>
      <w:start w:val="1"/>
    </w:lvl>
  </w:abstractNum>
  <w:abstractNum w:abstractNumId="24">
    <w:nsid w:val="725A06FB"/>
    <w:multiLevelType w:val="hybridMultilevel"/>
    <w:lvl w:ilvl="0">
      <w:lvlJc w:val="left"/>
      <w:lvlText w:val="%1"/>
      <w:numFmt w:val="upperLetter"/>
      <w:start w:val="35"/>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2"/>
      <w:numFmt w:val="bullet"/>
      <w:start w:val="1"/>
    </w:lvl>
  </w:abstractNum>
  <w:abstractNum w:abstractNumId="27">
    <w:nsid w:val="7A6D8D3C"/>
    <w:multiLevelType w:val="hybridMultilevel"/>
    <w:lvl w:ilvl="0">
      <w:lvlJc w:val="left"/>
      <w:lvlText w:val="3"/>
      <w:numFmt w:val="bullet"/>
      <w:start w:val="1"/>
    </w:lvl>
  </w:abstractNum>
  <w:abstractNum w:abstractNumId="28">
    <w:nsid w:val="4B588F54"/>
    <w:multiLevelType w:val="hybridMultilevel"/>
    <w:lvl w:ilvl="0">
      <w:lvlJc w:val="left"/>
      <w:lvlText w:val="1"/>
      <w:numFmt w:val="bullet"/>
      <w:start w:val="1"/>
    </w:lvl>
  </w:abstractNum>
  <w:abstractNum w:abstractNumId="29">
    <w:nsid w:val="542289EC"/>
    <w:multiLevelType w:val="hybridMultilevel"/>
    <w:lvl w:ilvl="0">
      <w:lvlJc w:val="left"/>
      <w:lvlText w:val="1"/>
      <w:numFmt w:val="bullet"/>
      <w:start w:val="1"/>
    </w:lvl>
  </w:abstractNum>
  <w:abstractNum w:abstractNumId="30">
    <w:nsid w:val="6DE91B18"/>
    <w:multiLevelType w:val="hybridMultilevel"/>
    <w:lvl w:ilvl="0">
      <w:lvlJc w:val="left"/>
      <w:lvlText w:val="2"/>
      <w:numFmt w:val="bullet"/>
      <w:start w:val="1"/>
    </w:lvl>
  </w:abstractNum>
  <w:abstractNum w:abstractNumId="31">
    <w:nsid w:val="38437FDB"/>
    <w:multiLevelType w:val="hybridMultilevel"/>
    <w:lvl w:ilvl="0">
      <w:lvlJc w:val="left"/>
      <w:lvlText w:val="3"/>
      <w:numFmt w:val="bullet"/>
      <w:start w:val="1"/>
    </w:lvl>
  </w:abstractNum>
  <w:abstractNum w:abstractNumId="32">
    <w:nsid w:val="7644A45C"/>
    <w:multiLevelType w:val="hybridMultilevel"/>
    <w:lvl w:ilvl="0">
      <w:lvlJc w:val="left"/>
      <w:lvlText w:val="4"/>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bullet"/>
      <w:start w:val="1"/>
    </w:lvl>
  </w:abstractNum>
  <w:abstractNum w:abstractNumId="39">
    <w:nsid w:val="79A1DEAA"/>
    <w:multiLevelType w:val="hybridMultilevel"/>
    <w:lvl w:ilvl="0">
      <w:lvlJc w:val="left"/>
      <w:lvlText w:val="2"/>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bullet"/>
      <w:start w:val="1"/>
    </w:lvl>
  </w:abstractNum>
  <w:abstractNum w:abstractNumId="42">
    <w:nsid w:val="70C6A529"/>
    <w:multiLevelType w:val="hybridMultilevel"/>
    <w:lvl w:ilvl="0">
      <w:lvlJc w:val="left"/>
      <w:lvlText w:val="2"/>
      <w:numFmt w:val="bullet"/>
      <w:start w:val="1"/>
    </w:lvl>
  </w:abstractNum>
  <w:abstractNum w:abstractNumId="43">
    <w:nsid w:val="520EEDD1"/>
    <w:multiLevelType w:val="hybridMultilevel"/>
    <w:lvl w:ilvl="0">
      <w:lvlJc w:val="left"/>
      <w:lvlText w:val="1"/>
      <w:numFmt w:val="bullet"/>
      <w:start w:val="1"/>
    </w:lvl>
  </w:abstractNum>
  <w:abstractNum w:abstractNumId="44">
    <w:nsid w:val="374A3FE6"/>
    <w:multiLevelType w:val="hybridMultilevel"/>
    <w:lvl w:ilvl="0">
      <w:lvlJc w:val="left"/>
      <w:lvlText w:val="2"/>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bullet"/>
      <w:start w:val="1"/>
    </w:lvl>
  </w:abstractNum>
  <w:abstractNum w:abstractNumId="47">
    <w:nsid w:val="649BB77C"/>
    <w:multiLevelType w:val="hybridMultilevel"/>
    <w:lvl w:ilvl="0">
      <w:lvlJc w:val="left"/>
      <w:lvlText w:val="2"/>
      <w:numFmt w:val="bullet"/>
      <w:start w:val="1"/>
    </w:lvl>
  </w:abstractNum>
  <w:abstractNum w:abstractNumId="48">
    <w:nsid w:val="275AC794"/>
    <w:multiLevelType w:val="hybridMultilevel"/>
    <w:lvl w:ilvl="0">
      <w:lvlJc w:val="left"/>
      <w:lvlText w:val="3"/>
      <w:numFmt w:val="bullet"/>
      <w:start w:val="1"/>
    </w:lvl>
  </w:abstractNum>
  <w:abstractNum w:abstractNumId="49">
    <w:nsid w:val="39386575"/>
    <w:multiLevelType w:val="hybridMultilevel"/>
    <w:lvl w:ilvl="0">
      <w:lvlJc w:val="left"/>
      <w:lvlText w:val="1"/>
      <w:numFmt w:val="bullet"/>
      <w:start w:val="1"/>
    </w:lvl>
  </w:abstractNum>
  <w:abstractNum w:abstractNumId="50">
    <w:nsid w:val="1CF10FD8"/>
    <w:multiLevelType w:val="hybridMultilevel"/>
    <w:lvl w:ilvl="0">
      <w:lvlJc w:val="left"/>
      <w:lvlText w:val="1"/>
      <w:numFmt w:val="bullet"/>
      <w:start w:val="1"/>
    </w:lvl>
  </w:abstractNum>
  <w:abstractNum w:abstractNumId="51">
    <w:nsid w:val="180115BE"/>
    <w:multiLevelType w:val="hybridMultilevel"/>
    <w:lvl w:ilvl="0">
      <w:lvlJc w:val="left"/>
      <w:lvlText w:val="1"/>
      <w:numFmt w:val="bullet"/>
      <w:start w:val="1"/>
    </w:lvl>
  </w:abstractNum>
  <w:abstractNum w:abstractNumId="52">
    <w:nsid w:val="235BA861"/>
    <w:multiLevelType w:val="hybridMultilevel"/>
    <w:lvl w:ilvl="0">
      <w:lvlJc w:val="left"/>
      <w:lvlText w:val="1"/>
      <w:numFmt w:val="bullet"/>
      <w:start w:val="1"/>
    </w:lvl>
  </w:abstractNum>
  <w:abstractNum w:abstractNumId="53">
    <w:nsid w:val="47398C89"/>
    <w:multiLevelType w:val="hybridMultilevel"/>
    <w:lvl w:ilvl="0">
      <w:lvlJc w:val="left"/>
      <w:lvlText w:val="1"/>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Roman"/>
      <w:start w:val="1"/>
    </w:lvl>
    <w:lvl w:ilvl="1">
      <w:lvlJc w:val="left"/>
      <w:lvlText w:val="%2."/>
      <w:numFmt w:val="decimal"/>
      <w:start w:val="1"/>
    </w:lvl>
  </w:abstractNum>
  <w:abstractNum w:abstractNumId="56">
    <w:nsid w:val="741226BB"/>
    <w:multiLevelType w:val="hybridMultilevel"/>
    <w:lvl w:ilvl="0">
      <w:lvlJc w:val="left"/>
      <w:lvlText w:val="(%1)"/>
      <w:numFmt w:val="lowerRoman"/>
      <w:start w:val="2"/>
    </w:lvl>
    <w:lvl w:ilvl="1">
      <w:lvlJc w:val="left"/>
      <w:lvlText w:val="%2"/>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2019-12-09T09:00:38Z</dcterms:created>
  <dcterms:modified xsi:type="dcterms:W3CDTF">2019-12-09T09:00:38Z</dcterms:modified>
</cp:coreProperties>
</file>