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3"/>
                <w:szCs w:val="23"/>
                <w:color w:val="auto"/>
              </w:rPr>
            </w:pPr>
          </w:p>
        </w:tc>
        <w:tc>
          <w:tcPr>
            <w:tcW w:w="9080" w:type="dxa"/>
            <w:vAlign w:val="bottom"/>
            <w:gridSpan w:val="8"/>
          </w:tcPr>
          <w:p>
            <w:pPr>
              <w:jc w:val="center"/>
              <w:ind w:right="2232"/>
              <w:spacing w:after="0"/>
              <w:rPr>
                <w:sz w:val="20"/>
                <w:szCs w:val="20"/>
                <w:color w:val="auto"/>
              </w:rPr>
            </w:pPr>
            <w:r>
              <w:rPr>
                <w:rFonts w:ascii="Arial" w:cs="Arial" w:eastAsia="Arial" w:hAnsi="Arial"/>
                <w:sz w:val="22"/>
                <w:szCs w:val="22"/>
                <w:color w:val="auto"/>
                <w:w w:val="94"/>
              </w:rPr>
              <w:t>UNITED STATES SECURITIES AND EXCHANGE COMMISSION</w:t>
            </w:r>
          </w:p>
        </w:tc>
      </w:tr>
      <w:tr>
        <w:trPr>
          <w:trHeight w:val="394"/>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2"/>
          </w:tcPr>
          <w:p>
            <w:pPr>
              <w:jc w:val="center"/>
              <w:ind w:left="785"/>
              <w:spacing w:after="0"/>
              <w:rPr>
                <w:sz w:val="20"/>
                <w:szCs w:val="20"/>
                <w:color w:val="auto"/>
              </w:rPr>
            </w:pPr>
            <w:r>
              <w:rPr>
                <w:rFonts w:ascii="Arial" w:cs="Arial" w:eastAsia="Arial" w:hAnsi="Arial"/>
                <w:sz w:val="18"/>
                <w:szCs w:val="18"/>
                <w:color w:val="auto"/>
                <w:w w:val="88"/>
              </w:rPr>
              <w:t>Washington, D.C. 20549</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17"/>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2"/>
          </w:tcPr>
          <w:p>
            <w:pPr>
              <w:jc w:val="center"/>
              <w:ind w:left="805"/>
              <w:spacing w:after="0"/>
              <w:rPr>
                <w:sz w:val="20"/>
                <w:szCs w:val="20"/>
                <w:color w:val="auto"/>
              </w:rPr>
            </w:pPr>
            <w:r>
              <w:rPr>
                <w:rFonts w:ascii="Arial" w:cs="Arial" w:eastAsia="Arial" w:hAnsi="Arial"/>
                <w:sz w:val="24"/>
                <w:szCs w:val="24"/>
                <w:b w:val="1"/>
                <w:bCs w:val="1"/>
                <w:color w:val="auto"/>
                <w:w w:val="97"/>
              </w:rPr>
              <w:t>Form 10-K</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02"/>
        </w:trPr>
        <w:tc>
          <w:tcPr>
            <w:tcW w:w="234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80" w:type="dxa"/>
            <w:vAlign w:val="bottom"/>
            <w:gridSpan w:val="8"/>
          </w:tcPr>
          <w:p>
            <w:pPr>
              <w:jc w:val="center"/>
              <w:ind w:right="1892"/>
              <w:spacing w:after="0"/>
              <w:rPr>
                <w:sz w:val="20"/>
                <w:szCs w:val="20"/>
                <w:color w:val="auto"/>
              </w:rPr>
            </w:pPr>
            <w:r>
              <w:rPr>
                <w:rFonts w:ascii="Arial" w:cs="Arial" w:eastAsia="Arial" w:hAnsi="Arial"/>
                <w:sz w:val="22"/>
                <w:szCs w:val="22"/>
                <w:color w:val="auto"/>
                <w:w w:val="93"/>
              </w:rPr>
              <w:t>ANNUAL REPORT PURSUANT TO SECTION 13 OR 15(d) OF THE</w:t>
            </w:r>
          </w:p>
        </w:tc>
      </w:tr>
      <w:tr>
        <w:trPr>
          <w:trHeight w:val="435"/>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80" w:type="dxa"/>
            <w:vAlign w:val="bottom"/>
            <w:gridSpan w:val="7"/>
          </w:tcPr>
          <w:p>
            <w:pPr>
              <w:jc w:val="center"/>
              <w:ind w:right="3452"/>
              <w:spacing w:after="0"/>
              <w:rPr>
                <w:sz w:val="20"/>
                <w:szCs w:val="20"/>
                <w:color w:val="auto"/>
              </w:rPr>
            </w:pPr>
            <w:r>
              <w:rPr>
                <w:rFonts w:ascii="Arial" w:cs="Arial" w:eastAsia="Arial" w:hAnsi="Arial"/>
                <w:sz w:val="22"/>
                <w:szCs w:val="22"/>
                <w:color w:val="auto"/>
                <w:w w:val="93"/>
              </w:rPr>
              <w:t>SECURITIES EXCHANGE ACT OF 1934</w:t>
            </w:r>
          </w:p>
        </w:tc>
      </w:tr>
      <w:tr>
        <w:trPr>
          <w:trHeight w:val="382"/>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gridSpan w:val="6"/>
          </w:tcPr>
          <w:p>
            <w:pPr>
              <w:jc w:val="center"/>
              <w:ind w:right="3792"/>
              <w:spacing w:after="0"/>
              <w:rPr>
                <w:sz w:val="20"/>
                <w:szCs w:val="20"/>
                <w:color w:val="auto"/>
              </w:rPr>
            </w:pPr>
            <w:r>
              <w:rPr>
                <w:rFonts w:ascii="Arial" w:cs="Arial" w:eastAsia="Arial" w:hAnsi="Arial"/>
                <w:sz w:val="18"/>
                <w:szCs w:val="18"/>
                <w:color w:val="auto"/>
                <w:w w:val="87"/>
              </w:rPr>
              <w:t xml:space="preserve">For the fiscal year ended </w:t>
            </w:r>
            <w:r>
              <w:rPr>
                <w:rFonts w:ascii="Arial" w:cs="Arial" w:eastAsia="Arial" w:hAnsi="Arial"/>
                <w:sz w:val="18"/>
                <w:szCs w:val="18"/>
                <w:b w:val="1"/>
                <w:bCs w:val="1"/>
                <w:color w:val="auto"/>
                <w:w w:val="87"/>
              </w:rPr>
              <w:t>December 31, 2003</w:t>
            </w:r>
          </w:p>
        </w:tc>
      </w:tr>
      <w:tr>
        <w:trPr>
          <w:trHeight w:val="451"/>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jc w:val="center"/>
              <w:ind w:left="1545"/>
              <w:spacing w:after="0"/>
              <w:rPr>
                <w:sz w:val="20"/>
                <w:szCs w:val="20"/>
                <w:color w:val="auto"/>
              </w:rPr>
            </w:pPr>
            <w:r>
              <w:rPr>
                <w:rFonts w:ascii="Arial" w:cs="Arial" w:eastAsia="Arial" w:hAnsi="Arial"/>
                <w:sz w:val="18"/>
                <w:szCs w:val="18"/>
                <w:color w:val="auto"/>
                <w:w w:val="88"/>
              </w:rPr>
              <w:t>OR</w:t>
            </w:r>
          </w:p>
        </w:tc>
        <w:tc>
          <w:tcPr>
            <w:tcW w:w="7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71"/>
        </w:trPr>
        <w:tc>
          <w:tcPr>
            <w:tcW w:w="2340" w:type="dxa"/>
            <w:vAlign w:val="bottom"/>
          </w:tcPr>
          <w:p>
            <w:pPr>
              <w:spacing w:after="0"/>
              <w:rPr>
                <w:sz w:val="20"/>
                <w:szCs w:val="20"/>
                <w:color w:val="auto"/>
              </w:rPr>
            </w:pPr>
            <w:r>
              <w:rPr>
                <w:rFonts w:ascii="Arial" w:cs="Arial" w:eastAsia="Arial" w:hAnsi="Arial"/>
                <w:sz w:val="22"/>
                <w:szCs w:val="22"/>
                <w:color w:val="auto"/>
              </w:rPr>
              <w:t>o</w:t>
            </w:r>
          </w:p>
        </w:tc>
        <w:tc>
          <w:tcPr>
            <w:tcW w:w="9080" w:type="dxa"/>
            <w:vAlign w:val="bottom"/>
            <w:gridSpan w:val="8"/>
          </w:tcPr>
          <w:p>
            <w:pPr>
              <w:jc w:val="center"/>
              <w:ind w:right="1892"/>
              <w:spacing w:after="0"/>
              <w:rPr>
                <w:sz w:val="20"/>
                <w:szCs w:val="20"/>
                <w:color w:val="auto"/>
              </w:rPr>
            </w:pPr>
            <w:r>
              <w:rPr>
                <w:rFonts w:ascii="Arial" w:cs="Arial" w:eastAsia="Arial" w:hAnsi="Arial"/>
                <w:sz w:val="22"/>
                <w:szCs w:val="22"/>
                <w:color w:val="auto"/>
                <w:w w:val="92"/>
              </w:rPr>
              <w:t>TRANSITION REPORT PURSUANT TO SECTION 13 OR 15(d) OF THE</w:t>
            </w:r>
          </w:p>
        </w:tc>
      </w:tr>
      <w:tr>
        <w:trPr>
          <w:trHeight w:val="459"/>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80" w:type="dxa"/>
            <w:vAlign w:val="bottom"/>
            <w:gridSpan w:val="7"/>
          </w:tcPr>
          <w:p>
            <w:pPr>
              <w:jc w:val="center"/>
              <w:ind w:right="3452"/>
              <w:spacing w:after="0"/>
              <w:rPr>
                <w:sz w:val="20"/>
                <w:szCs w:val="20"/>
                <w:color w:val="auto"/>
              </w:rPr>
            </w:pPr>
            <w:r>
              <w:rPr>
                <w:rFonts w:ascii="Arial" w:cs="Arial" w:eastAsia="Arial" w:hAnsi="Arial"/>
                <w:sz w:val="22"/>
                <w:szCs w:val="22"/>
                <w:color w:val="auto"/>
                <w:w w:val="93"/>
              </w:rPr>
              <w:t>SECURITIES EXCHANGE ACT OF 1934</w:t>
            </w:r>
          </w:p>
        </w:tc>
      </w:tr>
      <w:tr>
        <w:trPr>
          <w:trHeight w:val="420"/>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For the transition period from</w:t>
            </w:r>
          </w:p>
        </w:tc>
        <w:tc>
          <w:tcPr>
            <w:tcW w:w="4780" w:type="dxa"/>
            <w:vAlign w:val="bottom"/>
            <w:gridSpan w:val="4"/>
          </w:tcPr>
          <w:p>
            <w:pPr>
              <w:ind w:left="40"/>
              <w:spacing w:after="0"/>
              <w:rPr>
                <w:sz w:val="20"/>
                <w:szCs w:val="20"/>
                <w:color w:val="auto"/>
              </w:rPr>
            </w:pPr>
            <w:r>
              <w:rPr>
                <w:rFonts w:ascii="Arial" w:cs="Arial" w:eastAsia="Arial" w:hAnsi="Arial"/>
                <w:sz w:val="18"/>
                <w:szCs w:val="18"/>
                <w:color w:val="auto"/>
              </w:rPr>
              <w:t>to</w:t>
            </w:r>
          </w:p>
        </w:tc>
      </w:tr>
      <w:tr>
        <w:trPr>
          <w:trHeight w:val="432"/>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gridSpan w:val="6"/>
          </w:tcPr>
          <w:p>
            <w:pPr>
              <w:jc w:val="center"/>
              <w:ind w:right="3812"/>
              <w:spacing w:after="0"/>
              <w:rPr>
                <w:sz w:val="20"/>
                <w:szCs w:val="20"/>
                <w:color w:val="auto"/>
              </w:rPr>
            </w:pPr>
            <w:r>
              <w:rPr>
                <w:rFonts w:ascii="Arial" w:cs="Arial" w:eastAsia="Arial" w:hAnsi="Arial"/>
                <w:sz w:val="18"/>
                <w:szCs w:val="18"/>
                <w:color w:val="auto"/>
                <w:w w:val="89"/>
              </w:rPr>
              <w:t>Commission File Number 1-368-2</w:t>
            </w:r>
          </w:p>
        </w:tc>
      </w:tr>
      <w:tr>
        <w:trPr>
          <w:trHeight w:val="506"/>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gridSpan w:val="6"/>
          </w:tcPr>
          <w:p>
            <w:pPr>
              <w:jc w:val="center"/>
              <w:ind w:right="3812"/>
              <w:spacing w:after="0"/>
              <w:rPr>
                <w:sz w:val="20"/>
                <w:szCs w:val="20"/>
                <w:color w:val="auto"/>
              </w:rPr>
            </w:pPr>
            <w:r>
              <w:rPr>
                <w:rFonts w:ascii="Arial" w:cs="Arial" w:eastAsia="Arial" w:hAnsi="Arial"/>
                <w:sz w:val="24"/>
                <w:szCs w:val="24"/>
                <w:b w:val="1"/>
                <w:bCs w:val="1"/>
                <w:color w:val="auto"/>
                <w:w w:val="91"/>
              </w:rPr>
              <w:t>ChevronTexaco Corporation</w:t>
            </w:r>
          </w:p>
        </w:tc>
      </w:tr>
      <w:tr>
        <w:trPr>
          <w:trHeight w:val="426"/>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gridSpan w:val="6"/>
          </w:tcPr>
          <w:p>
            <w:pPr>
              <w:jc w:val="center"/>
              <w:ind w:right="38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6001 Bollinger Canyon Road,</w:t>
            </w:r>
          </w:p>
        </w:tc>
      </w:tr>
      <w:tr>
        <w:trPr>
          <w:trHeight w:val="249"/>
        </w:trPr>
        <w:tc>
          <w:tcPr>
            <w:tcW w:w="2340" w:type="dxa"/>
            <w:vAlign w:val="bottom"/>
          </w:tcPr>
          <w:p>
            <w:pPr>
              <w:jc w:val="center"/>
              <w:ind w:left="1124"/>
              <w:spacing w:after="0"/>
              <w:rPr>
                <w:sz w:val="20"/>
                <w:szCs w:val="20"/>
                <w:color w:val="auto"/>
              </w:rPr>
            </w:pPr>
            <w:r>
              <w:rPr>
                <w:rFonts w:ascii="Arial" w:cs="Arial" w:eastAsia="Arial" w:hAnsi="Arial"/>
                <w:sz w:val="18"/>
                <w:szCs w:val="18"/>
                <w:color w:val="auto"/>
                <w:w w:val="89"/>
              </w:rPr>
              <w:t>Delaware</w:t>
            </w:r>
          </w:p>
        </w:tc>
        <w:tc>
          <w:tcPr>
            <w:tcW w:w="1200" w:type="dxa"/>
            <w:vAlign w:val="bottom"/>
          </w:tcPr>
          <w:p>
            <w:pPr>
              <w:spacing w:after="0"/>
              <w:rPr>
                <w:sz w:val="21"/>
                <w:szCs w:val="21"/>
                <w:color w:val="auto"/>
              </w:rPr>
            </w:pPr>
          </w:p>
        </w:tc>
        <w:tc>
          <w:tcPr>
            <w:tcW w:w="3100" w:type="dxa"/>
            <w:vAlign w:val="bottom"/>
            <w:gridSpan w:val="3"/>
          </w:tcPr>
          <w:p>
            <w:pPr>
              <w:jc w:val="center"/>
              <w:ind w:left="1062"/>
              <w:spacing w:after="0"/>
              <w:rPr>
                <w:sz w:val="20"/>
                <w:szCs w:val="20"/>
                <w:color w:val="auto"/>
              </w:rPr>
            </w:pPr>
            <w:r>
              <w:rPr>
                <w:rFonts w:ascii="Arial" w:cs="Arial" w:eastAsia="Arial" w:hAnsi="Arial"/>
                <w:sz w:val="18"/>
                <w:szCs w:val="18"/>
                <w:color w:val="auto"/>
                <w:w w:val="89"/>
              </w:rPr>
              <w:t>94-0890210</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San Ramon, California 94583</w:t>
            </w:r>
          </w:p>
        </w:tc>
      </w:tr>
      <w:tr>
        <w:trPr>
          <w:trHeight w:val="110"/>
        </w:trPr>
        <w:tc>
          <w:tcPr>
            <w:tcW w:w="3540" w:type="dxa"/>
            <w:vAlign w:val="bottom"/>
            <w:tcBorders>
              <w:bottom w:val="single" w:sz="8" w:color="808080"/>
            </w:tcBorders>
            <w:gridSpan w:val="2"/>
          </w:tcPr>
          <w:p>
            <w:pPr>
              <w:spacing w:after="0"/>
              <w:rPr>
                <w:sz w:val="9"/>
                <w:szCs w:val="9"/>
                <w:color w:val="auto"/>
              </w:rPr>
            </w:pPr>
          </w:p>
        </w:tc>
        <w:tc>
          <w:tcPr>
            <w:tcW w:w="36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r>
      <w:tr>
        <w:trPr>
          <w:trHeight w:val="309"/>
        </w:trPr>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360" w:type="dxa"/>
            <w:vAlign w:val="bottom"/>
          </w:tcPr>
          <w:p>
            <w:pPr>
              <w:spacing w:after="0"/>
              <w:rPr>
                <w:sz w:val="24"/>
                <w:szCs w:val="24"/>
                <w:color w:val="auto"/>
              </w:rPr>
            </w:pPr>
          </w:p>
        </w:tc>
        <w:tc>
          <w:tcPr>
            <w:tcW w:w="2740" w:type="dxa"/>
            <w:vAlign w:val="bottom"/>
            <w:gridSpan w:val="2"/>
          </w:tcPr>
          <w:p>
            <w:pPr>
              <w:jc w:val="center"/>
              <w:ind w:left="685"/>
              <w:spacing w:after="0"/>
              <w:rPr>
                <w:sz w:val="20"/>
                <w:szCs w:val="20"/>
                <w:color w:val="auto"/>
              </w:rPr>
            </w:pPr>
            <w:r>
              <w:rPr>
                <w:rFonts w:ascii="Arial" w:cs="Arial" w:eastAsia="Arial" w:hAnsi="Arial"/>
                <w:sz w:val="18"/>
                <w:szCs w:val="18"/>
                <w:color w:val="auto"/>
                <w:w w:val="90"/>
              </w:rPr>
              <w:t>(I.R.S. Employer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 (Zip Code)</w:t>
            </w:r>
          </w:p>
        </w:tc>
      </w:tr>
      <w:tr>
        <w:trPr>
          <w:trHeight w:val="222"/>
        </w:trPr>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360" w:type="dxa"/>
            <w:vAlign w:val="bottom"/>
          </w:tcPr>
          <w:p>
            <w:pPr>
              <w:spacing w:after="0"/>
              <w:rPr>
                <w:sz w:val="19"/>
                <w:szCs w:val="19"/>
                <w:color w:val="auto"/>
              </w:rPr>
            </w:pPr>
          </w:p>
        </w:tc>
        <w:tc>
          <w:tcPr>
            <w:tcW w:w="2740" w:type="dxa"/>
            <w:vAlign w:val="bottom"/>
            <w:gridSpan w:val="2"/>
          </w:tcPr>
          <w:p>
            <w:pPr>
              <w:jc w:val="center"/>
              <w:ind w:left="705"/>
              <w:spacing w:after="0"/>
              <w:rPr>
                <w:sz w:val="20"/>
                <w:szCs w:val="20"/>
                <w:color w:val="auto"/>
              </w:rPr>
            </w:pPr>
            <w:r>
              <w:rPr>
                <w:rFonts w:ascii="Arial" w:cs="Arial" w:eastAsia="Arial" w:hAnsi="Arial"/>
                <w:sz w:val="18"/>
                <w:szCs w:val="18"/>
                <w:color w:val="auto"/>
                <w:w w:val="91"/>
              </w:rPr>
              <w:t>Identification Number)</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(925) 842-1000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80010</wp:posOffset>
            </wp:positionV>
            <wp:extent cx="6543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7"/>
              </w:rPr>
              <w:t>Name of Each Exchange</w:t>
            </w:r>
          </w:p>
        </w:tc>
      </w:tr>
      <w:tr>
        <w:trPr>
          <w:trHeight w:val="249"/>
        </w:trPr>
        <w:tc>
          <w:tcPr>
            <w:tcW w:w="5500" w:type="dxa"/>
            <w:vAlign w:val="bottom"/>
          </w:tcPr>
          <w:p>
            <w:pPr>
              <w:jc w:val="center"/>
              <w:spacing w:after="0"/>
              <w:rPr>
                <w:sz w:val="20"/>
                <w:szCs w:val="20"/>
                <w:color w:val="auto"/>
              </w:rPr>
            </w:pPr>
            <w:r>
              <w:rPr>
                <w:rFonts w:ascii="Arial" w:cs="Arial" w:eastAsia="Arial" w:hAnsi="Arial"/>
                <w:sz w:val="18"/>
                <w:szCs w:val="18"/>
                <w:color w:val="auto"/>
                <w:w w:val="89"/>
              </w:rPr>
              <w:t>Title of Each Class</w:t>
            </w:r>
          </w:p>
        </w:tc>
        <w:tc>
          <w:tcPr>
            <w:tcW w:w="32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on Which Registered</w:t>
            </w:r>
          </w:p>
        </w:tc>
      </w:tr>
      <w:tr>
        <w:trPr>
          <w:trHeight w:val="110"/>
        </w:trPr>
        <w:tc>
          <w:tcPr>
            <w:tcW w:w="5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r>
      <w:tr>
        <w:trPr>
          <w:trHeight w:val="309"/>
        </w:trPr>
        <w:tc>
          <w:tcPr>
            <w:tcW w:w="5500" w:type="dxa"/>
            <w:vAlign w:val="bottom"/>
          </w:tcPr>
          <w:p>
            <w:pPr>
              <w:jc w:val="center"/>
              <w:spacing w:after="0"/>
              <w:rPr>
                <w:sz w:val="20"/>
                <w:szCs w:val="20"/>
                <w:color w:val="auto"/>
              </w:rPr>
            </w:pPr>
            <w:r>
              <w:rPr>
                <w:rFonts w:ascii="Arial" w:cs="Arial" w:eastAsia="Arial" w:hAnsi="Arial"/>
                <w:sz w:val="18"/>
                <w:szCs w:val="18"/>
                <w:color w:val="auto"/>
                <w:w w:val="86"/>
              </w:rPr>
              <w:t>Common stock par value $.75 per share</w:t>
            </w:r>
          </w:p>
        </w:tc>
        <w:tc>
          <w:tcPr>
            <w:tcW w:w="32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New York Stock Exchange, Inc.</w:t>
            </w:r>
          </w:p>
        </w:tc>
      </w:tr>
      <w:tr>
        <w:trPr>
          <w:trHeight w:val="222"/>
        </w:trPr>
        <w:tc>
          <w:tcPr>
            <w:tcW w:w="5500" w:type="dxa"/>
            <w:vAlign w:val="bottom"/>
          </w:tcPr>
          <w:p>
            <w:pPr>
              <w:jc w:val="center"/>
              <w:spacing w:after="0"/>
              <w:rPr>
                <w:sz w:val="20"/>
                <w:szCs w:val="20"/>
                <w:color w:val="auto"/>
              </w:rPr>
            </w:pPr>
            <w:r>
              <w:rPr>
                <w:rFonts w:ascii="Arial" w:cs="Arial" w:eastAsia="Arial" w:hAnsi="Arial"/>
                <w:sz w:val="18"/>
                <w:szCs w:val="18"/>
                <w:color w:val="auto"/>
                <w:w w:val="87"/>
              </w:rPr>
              <w:t>Preferred stock purchase rights</w:t>
            </w:r>
          </w:p>
        </w:tc>
        <w:tc>
          <w:tcPr>
            <w:tcW w:w="32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Pacific Exchange</w:t>
            </w:r>
          </w:p>
        </w:tc>
      </w:tr>
    </w:tbl>
    <w:p>
      <w:pPr>
        <w:spacing w:after="0" w:line="210" w:lineRule="exact"/>
        <w:rPr>
          <w:sz w:val="20"/>
          <w:szCs w:val="20"/>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w:t>
      </w:r>
      <w:r>
        <w:rPr>
          <w:rFonts w:ascii="MS PGothic" w:cs="MS PGothic" w:eastAsia="MS PGothic" w:hAnsi="MS PGothic"/>
          <w:sz w:val="18"/>
          <w:szCs w:val="18"/>
          <w:color w:val="auto"/>
        </w:rPr>
        <w:t>☑</w:t>
      </w:r>
    </w:p>
    <w:p>
      <w:pPr>
        <w:spacing w:after="0" w:line="2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 $71,712,298,891 (As of June 30, 2003)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 Shares of Common Stock outstanding as of February 29, 2004 — 1,069,736,866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Extent Indicated Herein)</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Notice of the 2004 Annual Meeting and 2004 Proxy Statement, to be filed pursuant to Rule 14a-6(b) under the Securities Exchange Act of 1934, in connection with the company’s 2004 Annual Meeting of Stockholders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76" w:gutter="0" w:footer="0" w:header="0"/>
        </w:sectPr>
      </w:pPr>
    </w:p>
    <w:bookmarkStart w:id="2" w:name="page3"/>
    <w:bookmarkEnd w:id="2"/>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gridSpan w:val="5"/>
          </w:tcPr>
          <w:p>
            <w:pPr>
              <w:ind w:left="740"/>
              <w:spacing w:after="0"/>
              <w:rPr>
                <w:sz w:val="20"/>
                <w:szCs w:val="20"/>
                <w:color w:val="auto"/>
              </w:rPr>
            </w:pPr>
            <w:r>
              <w:rPr>
                <w:rFonts w:ascii="Arial" w:cs="Arial" w:eastAsia="Arial" w:hAnsi="Arial"/>
                <w:sz w:val="14"/>
                <w:szCs w:val="14"/>
                <w:b w:val="1"/>
                <w:bCs w:val="1"/>
                <w:color w:val="auto"/>
              </w:rPr>
              <w:t>Item</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rPr>
              <w:t>Page No.</w:t>
            </w:r>
          </w:p>
        </w:tc>
      </w:tr>
      <w:tr>
        <w:trPr>
          <w:trHeight w:val="95"/>
        </w:trPr>
        <w:tc>
          <w:tcPr>
            <w:tcW w:w="1760" w:type="dxa"/>
            <w:vAlign w:val="bottom"/>
            <w:tcBorders>
              <w:bottom w:val="single" w:sz="8" w:color="808080"/>
            </w:tcBorders>
            <w:gridSpan w:val="4"/>
          </w:tcPr>
          <w:p>
            <w:pPr>
              <w:spacing w:after="0"/>
              <w:rPr>
                <w:sz w:val="8"/>
                <w:szCs w:val="8"/>
                <w:color w:val="auto"/>
              </w:rPr>
            </w:pPr>
          </w:p>
        </w:tc>
        <w:tc>
          <w:tcPr>
            <w:tcW w:w="8900" w:type="dxa"/>
            <w:vAlign w:val="bottom"/>
            <w:gridSpan w:val="51"/>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r>
      <w:tr>
        <w:trPr>
          <w:trHeight w:val="102"/>
        </w:trPr>
        <w:tc>
          <w:tcPr>
            <w:tcW w:w="11420" w:type="dxa"/>
            <w:vAlign w:val="bottom"/>
            <w:gridSpan w:val="56"/>
          </w:tcPr>
          <w:p>
            <w:pPr>
              <w:spacing w:after="0"/>
              <w:rPr>
                <w:sz w:val="8"/>
                <w:szCs w:val="8"/>
                <w:color w:val="auto"/>
              </w:rPr>
            </w:pPr>
          </w:p>
        </w:tc>
      </w:tr>
      <w:tr>
        <w:trPr>
          <w:trHeight w:val="196"/>
        </w:trPr>
        <w:tc>
          <w:tcPr>
            <w:tcW w:w="150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0000EE"/>
            </w:tcBorders>
            <w:gridSpan w:val="4"/>
            <w:shd w:val="clear" w:color="auto" w:fill="EEEEEE"/>
          </w:tcPr>
          <w:p>
            <w:pPr>
              <w:jc w:val="center"/>
              <w:spacing w:after="0" w:line="176" w:lineRule="exact"/>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4140" w:type="dxa"/>
            <w:vAlign w:val="bottom"/>
            <w:tcBorders>
              <w:bottom w:val="single" w:sz="8" w:color="EEEEEE"/>
            </w:tcBorders>
            <w:gridSpan w:val="9"/>
            <w:shd w:val="clear" w:color="auto" w:fill="EEEEEE"/>
          </w:tcPr>
          <w:p>
            <w:pPr>
              <w:spacing w:after="0"/>
              <w:rPr>
                <w:sz w:val="17"/>
                <w:szCs w:val="17"/>
                <w:color w:val="auto"/>
              </w:rPr>
            </w:pPr>
          </w:p>
        </w:tc>
        <w:tc>
          <w:tcPr>
            <w:tcW w:w="760" w:type="dxa"/>
            <w:vAlign w:val="bottom"/>
            <w:tcBorders>
              <w:bottom w:val="single" w:sz="8" w:color="EEEEEE"/>
            </w:tcBorders>
            <w:shd w:val="clear" w:color="auto" w:fill="EEEEEE"/>
          </w:tcPr>
          <w:p>
            <w:pPr>
              <w:spacing w:after="0"/>
              <w:rPr>
                <w:sz w:val="17"/>
                <w:szCs w:val="17"/>
                <w:color w:val="auto"/>
              </w:rPr>
            </w:pPr>
          </w:p>
        </w:tc>
      </w:tr>
      <w:tr>
        <w:trPr>
          <w:trHeight w:val="176"/>
        </w:trPr>
        <w:tc>
          <w:tcPr>
            <w:tcW w:w="1760" w:type="dxa"/>
            <w:vAlign w:val="bottom"/>
            <w:gridSpan w:val="4"/>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180" w:type="dxa"/>
            <w:vAlign w:val="bottom"/>
          </w:tcPr>
          <w:p>
            <w:pPr>
              <w:spacing w:after="0"/>
              <w:rPr>
                <w:sz w:val="15"/>
                <w:szCs w:val="15"/>
                <w:color w:val="auto"/>
              </w:rPr>
            </w:pPr>
          </w:p>
        </w:tc>
        <w:tc>
          <w:tcPr>
            <w:tcW w:w="8720" w:type="dxa"/>
            <w:vAlign w:val="bottom"/>
            <w:gridSpan w:val="50"/>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3</w:t>
            </w:r>
          </w:p>
        </w:tc>
      </w:tr>
      <w:tr>
        <w:trPr>
          <w:trHeight w:val="21"/>
        </w:trPr>
        <w:tc>
          <w:tcPr>
            <w:tcW w:w="1620" w:type="dxa"/>
            <w:vAlign w:val="bottom"/>
            <w:gridSpan w:val="3"/>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Borders>
              <w:top w:val="single" w:sz="8" w:color="0000EE"/>
            </w:tcBorders>
            <w:gridSpan w:val="3"/>
          </w:tcPr>
          <w:p>
            <w:pPr>
              <w:spacing w:after="0" w:line="20" w:lineRule="exact"/>
              <w:rPr>
                <w:sz w:val="1"/>
                <w:szCs w:val="1"/>
                <w:color w:val="auto"/>
              </w:rPr>
            </w:pPr>
          </w:p>
        </w:tc>
        <w:tc>
          <w:tcPr>
            <w:tcW w:w="8660" w:type="dxa"/>
            <w:vAlign w:val="bottom"/>
            <w:gridSpan w:val="47"/>
          </w:tcPr>
          <w:p>
            <w:pPr>
              <w:spacing w:after="0" w:line="20" w:lineRule="exact"/>
              <w:rPr>
                <w:sz w:val="1"/>
                <w:szCs w:val="1"/>
                <w:color w:val="auto"/>
              </w:rPr>
            </w:pPr>
          </w:p>
        </w:tc>
      </w:tr>
      <w:tr>
        <w:trPr>
          <w:trHeight w:val="203"/>
        </w:trPr>
        <w:tc>
          <w:tcPr>
            <w:tcW w:w="15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520" w:type="dxa"/>
            <w:vAlign w:val="bottom"/>
            <w:gridSpan w:val="49"/>
            <w:shd w:val="clear" w:color="auto" w:fill="EEEEEE"/>
          </w:tcPr>
          <w:p>
            <w:pPr>
              <w:ind w:left="1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(a) General Development of Business</w:t>
              </w:r>
            </w:hyperlink>
          </w:p>
        </w:tc>
        <w:tc>
          <w:tcPr>
            <w:tcW w:w="760" w:type="dxa"/>
            <w:vAlign w:val="bottom"/>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3</w:t>
            </w:r>
          </w:p>
        </w:tc>
      </w:tr>
      <w:tr>
        <w:trPr>
          <w:trHeight w:val="21"/>
        </w:trPr>
        <w:tc>
          <w:tcPr>
            <w:tcW w:w="2260" w:type="dxa"/>
            <w:vAlign w:val="bottom"/>
            <w:tcBorders>
              <w:top w:val="single" w:sz="8" w:color="EEEEEE"/>
            </w:tcBorders>
            <w:gridSpan w:val="7"/>
            <w:shd w:val="clear" w:color="auto" w:fill="EEEEEE"/>
          </w:tcPr>
          <w:p>
            <w:pPr>
              <w:spacing w:after="0" w:line="20" w:lineRule="exact"/>
              <w:rPr>
                <w:sz w:val="1"/>
                <w:szCs w:val="1"/>
                <w:color w:val="auto"/>
              </w:rPr>
            </w:pPr>
          </w:p>
        </w:tc>
        <w:tc>
          <w:tcPr>
            <w:tcW w:w="2640" w:type="dxa"/>
            <w:vAlign w:val="bottom"/>
            <w:tcBorders>
              <w:top w:val="single" w:sz="8" w:color="0000EE"/>
            </w:tcBorders>
            <w:gridSpan w:val="20"/>
            <w:shd w:val="clear" w:color="auto" w:fill="EEEEEE"/>
          </w:tcPr>
          <w:p>
            <w:pPr>
              <w:spacing w:after="0" w:line="20" w:lineRule="exact"/>
              <w:rPr>
                <w:sz w:val="1"/>
                <w:szCs w:val="1"/>
                <w:color w:val="auto"/>
              </w:rPr>
            </w:pPr>
          </w:p>
        </w:tc>
        <w:tc>
          <w:tcPr>
            <w:tcW w:w="6520" w:type="dxa"/>
            <w:vAlign w:val="bottom"/>
            <w:tcBorders>
              <w:top w:val="single" w:sz="8" w:color="EEEEEE"/>
            </w:tcBorders>
            <w:gridSpan w:val="29"/>
            <w:shd w:val="clear" w:color="auto" w:fill="EEEEEE"/>
          </w:tcPr>
          <w:p>
            <w:pPr>
              <w:spacing w:after="0" w:line="20" w:lineRule="exact"/>
              <w:rPr>
                <w:sz w:val="1"/>
                <w:szCs w:val="1"/>
                <w:color w:val="auto"/>
              </w:rPr>
            </w:pP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gridSpan w:val="49"/>
          </w:tcPr>
          <w:p>
            <w:pPr>
              <w:ind w:left="1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 Description of Business and Properties</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w:t>
            </w:r>
          </w:p>
        </w:tc>
      </w:tr>
      <w:tr>
        <w:trPr>
          <w:trHeight w:val="21"/>
        </w:trPr>
        <w:tc>
          <w:tcPr>
            <w:tcW w:w="2260" w:type="dxa"/>
            <w:vAlign w:val="bottom"/>
            <w:gridSpan w:val="7"/>
          </w:tcPr>
          <w:p>
            <w:pPr>
              <w:spacing w:after="0" w:line="20" w:lineRule="exact"/>
              <w:rPr>
                <w:sz w:val="1"/>
                <w:szCs w:val="1"/>
                <w:color w:val="auto"/>
              </w:rPr>
            </w:pPr>
          </w:p>
        </w:tc>
        <w:tc>
          <w:tcPr>
            <w:tcW w:w="2980" w:type="dxa"/>
            <w:vAlign w:val="bottom"/>
            <w:tcBorders>
              <w:top w:val="single" w:sz="8" w:color="0000EE"/>
            </w:tcBorders>
            <w:gridSpan w:val="24"/>
          </w:tcPr>
          <w:p>
            <w:pPr>
              <w:spacing w:after="0" w:line="20" w:lineRule="exact"/>
              <w:rPr>
                <w:sz w:val="1"/>
                <w:szCs w:val="1"/>
                <w:color w:val="auto"/>
              </w:rPr>
            </w:pPr>
          </w:p>
        </w:tc>
        <w:tc>
          <w:tcPr>
            <w:tcW w:w="6180" w:type="dxa"/>
            <w:vAlign w:val="bottom"/>
            <w:gridSpan w:val="25"/>
          </w:tcPr>
          <w:p>
            <w:pPr>
              <w:spacing w:after="0" w:line="20" w:lineRule="exact"/>
              <w:rPr>
                <w:sz w:val="1"/>
                <w:szCs w:val="1"/>
                <w:color w:val="auto"/>
              </w:rPr>
            </w:pPr>
          </w:p>
        </w:tc>
      </w:tr>
      <w:tr>
        <w:trPr>
          <w:trHeight w:val="203"/>
        </w:trPr>
        <w:tc>
          <w:tcPr>
            <w:tcW w:w="15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7980" w:type="dxa"/>
            <w:vAlign w:val="bottom"/>
            <w:gridSpan w:val="47"/>
            <w:shd w:val="clear" w:color="auto" w:fill="EEEEEE"/>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Capital and Exploratory Expenditures</w:t>
              </w:r>
            </w:hyperlink>
          </w:p>
        </w:tc>
        <w:tc>
          <w:tcPr>
            <w:tcW w:w="760" w:type="dxa"/>
            <w:vAlign w:val="bottom"/>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5</w:t>
            </w:r>
          </w:p>
        </w:tc>
      </w:tr>
      <w:tr>
        <w:trPr>
          <w:trHeight w:val="21"/>
        </w:trPr>
        <w:tc>
          <w:tcPr>
            <w:tcW w:w="2680" w:type="dxa"/>
            <w:vAlign w:val="bottom"/>
            <w:tcBorders>
              <w:top w:val="single" w:sz="8" w:color="EEEEEE"/>
            </w:tcBorders>
            <w:gridSpan w:val="8"/>
            <w:shd w:val="clear" w:color="auto" w:fill="EEEEEE"/>
          </w:tcPr>
          <w:p>
            <w:pPr>
              <w:spacing w:after="0" w:line="20" w:lineRule="exact"/>
              <w:rPr>
                <w:sz w:val="1"/>
                <w:szCs w:val="1"/>
                <w:color w:val="auto"/>
              </w:rPr>
            </w:pPr>
          </w:p>
        </w:tc>
        <w:tc>
          <w:tcPr>
            <w:tcW w:w="2660" w:type="dxa"/>
            <w:vAlign w:val="bottom"/>
            <w:tcBorders>
              <w:top w:val="single" w:sz="8" w:color="0000EE"/>
            </w:tcBorders>
            <w:gridSpan w:val="24"/>
            <w:shd w:val="clear" w:color="auto" w:fill="EEEEEE"/>
          </w:tcPr>
          <w:p>
            <w:pPr>
              <w:spacing w:after="0" w:line="20" w:lineRule="exact"/>
              <w:rPr>
                <w:sz w:val="1"/>
                <w:szCs w:val="1"/>
                <w:color w:val="auto"/>
              </w:rPr>
            </w:pPr>
          </w:p>
        </w:tc>
        <w:tc>
          <w:tcPr>
            <w:tcW w:w="6080" w:type="dxa"/>
            <w:vAlign w:val="bottom"/>
            <w:tcBorders>
              <w:top w:val="single" w:sz="8" w:color="EEEEEE"/>
            </w:tcBorders>
            <w:gridSpan w:val="24"/>
            <w:shd w:val="clear" w:color="auto" w:fill="EEEEEE"/>
          </w:tcPr>
          <w:p>
            <w:pPr>
              <w:spacing w:after="0" w:line="20" w:lineRule="exact"/>
              <w:rPr>
                <w:sz w:val="1"/>
                <w:szCs w:val="1"/>
                <w:color w:val="auto"/>
              </w:rPr>
            </w:pP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80" w:type="dxa"/>
            <w:vAlign w:val="bottom"/>
            <w:gridSpan w:val="47"/>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Petroleum — Exploration and Production</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w:t>
            </w:r>
          </w:p>
        </w:tc>
      </w:tr>
      <w:tr>
        <w:trPr>
          <w:trHeight w:val="21"/>
        </w:trPr>
        <w:tc>
          <w:tcPr>
            <w:tcW w:w="2680" w:type="dxa"/>
            <w:vAlign w:val="bottom"/>
            <w:gridSpan w:val="8"/>
          </w:tcPr>
          <w:p>
            <w:pPr>
              <w:spacing w:after="0" w:line="20" w:lineRule="exact"/>
              <w:rPr>
                <w:sz w:val="1"/>
                <w:szCs w:val="1"/>
                <w:color w:val="auto"/>
              </w:rPr>
            </w:pPr>
          </w:p>
        </w:tc>
        <w:tc>
          <w:tcPr>
            <w:tcW w:w="2940" w:type="dxa"/>
            <w:vAlign w:val="bottom"/>
            <w:tcBorders>
              <w:top w:val="single" w:sz="8" w:color="0000EE"/>
            </w:tcBorders>
            <w:gridSpan w:val="27"/>
          </w:tcPr>
          <w:p>
            <w:pPr>
              <w:spacing w:after="0" w:line="20" w:lineRule="exact"/>
              <w:rPr>
                <w:sz w:val="1"/>
                <w:szCs w:val="1"/>
                <w:color w:val="auto"/>
              </w:rPr>
            </w:pPr>
          </w:p>
        </w:tc>
        <w:tc>
          <w:tcPr>
            <w:tcW w:w="5800" w:type="dxa"/>
            <w:vAlign w:val="bottom"/>
            <w:gridSpan w:val="21"/>
          </w:tcPr>
          <w:p>
            <w:pPr>
              <w:spacing w:after="0" w:line="20" w:lineRule="exact"/>
              <w:rPr>
                <w:sz w:val="1"/>
                <w:szCs w:val="1"/>
                <w:color w:val="auto"/>
              </w:rPr>
            </w:pPr>
          </w:p>
        </w:tc>
      </w:tr>
      <w:tr>
        <w:trPr>
          <w:trHeight w:val="223"/>
        </w:trPr>
        <w:tc>
          <w:tcPr>
            <w:tcW w:w="150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980" w:type="dxa"/>
            <w:vAlign w:val="bottom"/>
            <w:gridSpan w:val="47"/>
            <w:shd w:val="clear" w:color="auto" w:fill="EEEEEE"/>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Liquids and Natural Gas Production</w:t>
              </w:r>
            </w:hyperlink>
          </w:p>
        </w:tc>
        <w:tc>
          <w:tcPr>
            <w:tcW w:w="760" w:type="dxa"/>
            <w:vAlign w:val="bottom"/>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6</w:t>
            </w:r>
          </w:p>
        </w:tc>
      </w:tr>
      <w:tr>
        <w:trPr>
          <w:trHeight w:val="203"/>
        </w:trPr>
        <w:tc>
          <w:tcPr>
            <w:tcW w:w="1500" w:type="dxa"/>
            <w:vAlign w:val="bottom"/>
            <w:tcBorders>
              <w:top w:val="single" w:sz="8" w:color="EEEEEE"/>
            </w:tcBorders>
          </w:tcPr>
          <w:p>
            <w:pPr>
              <w:spacing w:after="0"/>
              <w:rPr>
                <w:sz w:val="17"/>
                <w:szCs w:val="17"/>
                <w:color w:val="auto"/>
              </w:rPr>
            </w:pPr>
          </w:p>
        </w:tc>
        <w:tc>
          <w:tcPr>
            <w:tcW w:w="40" w:type="dxa"/>
            <w:vAlign w:val="bottom"/>
            <w:tcBorders>
              <w:top w:val="single" w:sz="8" w:color="EEEEEE"/>
            </w:tcBorders>
          </w:tcPr>
          <w:p>
            <w:pPr>
              <w:spacing w:after="0"/>
              <w:rPr>
                <w:sz w:val="17"/>
                <w:szCs w:val="17"/>
                <w:color w:val="auto"/>
              </w:rPr>
            </w:pPr>
          </w:p>
        </w:tc>
        <w:tc>
          <w:tcPr>
            <w:tcW w:w="80" w:type="dxa"/>
            <w:vAlign w:val="bottom"/>
            <w:tcBorders>
              <w:top w:val="single" w:sz="8" w:color="EEEEEE"/>
            </w:tcBorders>
          </w:tcPr>
          <w:p>
            <w:pPr>
              <w:spacing w:after="0"/>
              <w:rPr>
                <w:sz w:val="17"/>
                <w:szCs w:val="17"/>
                <w:color w:val="auto"/>
              </w:rPr>
            </w:pPr>
          </w:p>
        </w:tc>
        <w:tc>
          <w:tcPr>
            <w:tcW w:w="140" w:type="dxa"/>
            <w:vAlign w:val="bottom"/>
            <w:tcBorders>
              <w:top w:val="single" w:sz="8" w:color="EEEEEE"/>
            </w:tcBorders>
          </w:tcPr>
          <w:p>
            <w:pPr>
              <w:spacing w:after="0"/>
              <w:rPr>
                <w:sz w:val="17"/>
                <w:szCs w:val="17"/>
                <w:color w:val="auto"/>
              </w:rPr>
            </w:pPr>
          </w:p>
        </w:tc>
        <w:tc>
          <w:tcPr>
            <w:tcW w:w="180" w:type="dxa"/>
            <w:vAlign w:val="bottom"/>
            <w:tcBorders>
              <w:top w:val="single" w:sz="8" w:color="EEEEEE"/>
            </w:tcBorders>
          </w:tcPr>
          <w:p>
            <w:pPr>
              <w:spacing w:after="0"/>
              <w:rPr>
                <w:sz w:val="17"/>
                <w:szCs w:val="17"/>
                <w:color w:val="auto"/>
              </w:rPr>
            </w:pPr>
          </w:p>
        </w:tc>
        <w:tc>
          <w:tcPr>
            <w:tcW w:w="200" w:type="dxa"/>
            <w:vAlign w:val="bottom"/>
            <w:tcBorders>
              <w:top w:val="single" w:sz="8" w:color="EEEEEE"/>
            </w:tcBorders>
          </w:tcPr>
          <w:p>
            <w:pPr>
              <w:spacing w:after="0"/>
              <w:rPr>
                <w:sz w:val="17"/>
                <w:szCs w:val="17"/>
                <w:color w:val="auto"/>
              </w:rPr>
            </w:pPr>
          </w:p>
        </w:tc>
        <w:tc>
          <w:tcPr>
            <w:tcW w:w="120" w:type="dxa"/>
            <w:vAlign w:val="bottom"/>
            <w:tcBorders>
              <w:top w:val="single" w:sz="8" w:color="EEEEEE"/>
            </w:tcBorders>
          </w:tcPr>
          <w:p>
            <w:pPr>
              <w:spacing w:after="0"/>
              <w:rPr>
                <w:sz w:val="17"/>
                <w:szCs w:val="17"/>
                <w:color w:val="auto"/>
              </w:rPr>
            </w:pPr>
          </w:p>
        </w:tc>
        <w:tc>
          <w:tcPr>
            <w:tcW w:w="420" w:type="dxa"/>
            <w:vAlign w:val="bottom"/>
            <w:tcBorders>
              <w:top w:val="single" w:sz="8" w:color="EEEEEE"/>
            </w:tcBorders>
          </w:tcPr>
          <w:p>
            <w:pPr>
              <w:spacing w:after="0"/>
              <w:rPr>
                <w:sz w:val="17"/>
                <w:szCs w:val="17"/>
                <w:color w:val="auto"/>
              </w:rPr>
            </w:pPr>
          </w:p>
        </w:tc>
        <w:tc>
          <w:tcPr>
            <w:tcW w:w="2540" w:type="dxa"/>
            <w:vAlign w:val="bottom"/>
            <w:tcBorders>
              <w:top w:val="single" w:sz="8" w:color="0000EE"/>
            </w:tcBorders>
            <w:gridSpan w:val="22"/>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Acreage</w:t>
              </w:r>
            </w:hyperlink>
          </w:p>
        </w:tc>
        <w:tc>
          <w:tcPr>
            <w:tcW w:w="5440" w:type="dxa"/>
            <w:vAlign w:val="bottom"/>
            <w:tcBorders>
              <w:top w:val="single" w:sz="8" w:color="EEEEEE"/>
            </w:tcBorders>
            <w:gridSpan w:val="25"/>
          </w:tcPr>
          <w:p>
            <w:pPr>
              <w:spacing w:after="0"/>
              <w:rPr>
                <w:sz w:val="17"/>
                <w:szCs w:val="17"/>
                <w:color w:val="auto"/>
              </w:rPr>
            </w:pPr>
          </w:p>
        </w:tc>
        <w:tc>
          <w:tcPr>
            <w:tcW w:w="760" w:type="dxa"/>
            <w:vAlign w:val="bottom"/>
            <w:tcBorders>
              <w:top w:val="single" w:sz="8" w:color="EEEEEE"/>
            </w:tcBorders>
          </w:tcPr>
          <w:p>
            <w:pPr>
              <w:jc w:val="right"/>
              <w:ind w:right="133"/>
              <w:spacing w:after="0" w:line="202" w:lineRule="exact"/>
              <w:rPr>
                <w:sz w:val="20"/>
                <w:szCs w:val="20"/>
                <w:color w:val="auto"/>
              </w:rPr>
            </w:pPr>
            <w:r>
              <w:rPr>
                <w:rFonts w:ascii="Arial" w:cs="Arial" w:eastAsia="Arial" w:hAnsi="Arial"/>
                <w:sz w:val="18"/>
                <w:szCs w:val="18"/>
                <w:color w:val="auto"/>
              </w:rPr>
              <w:t>7</w:t>
            </w:r>
          </w:p>
        </w:tc>
      </w:tr>
      <w:tr>
        <w:trPr>
          <w:trHeight w:val="21"/>
        </w:trPr>
        <w:tc>
          <w:tcPr>
            <w:tcW w:w="2680" w:type="dxa"/>
            <w:vAlign w:val="bottom"/>
            <w:gridSpan w:val="8"/>
          </w:tcPr>
          <w:p>
            <w:pPr>
              <w:spacing w:after="0" w:line="20" w:lineRule="exact"/>
              <w:rPr>
                <w:sz w:val="1"/>
                <w:szCs w:val="1"/>
                <w:color w:val="auto"/>
              </w:rPr>
            </w:pPr>
          </w:p>
        </w:tc>
        <w:tc>
          <w:tcPr>
            <w:tcW w:w="600" w:type="dxa"/>
            <w:vAlign w:val="bottom"/>
            <w:tcBorders>
              <w:top w:val="single" w:sz="8" w:color="0000EE"/>
            </w:tcBorders>
            <w:gridSpan w:val="5"/>
          </w:tcPr>
          <w:p>
            <w:pPr>
              <w:spacing w:after="0" w:line="20" w:lineRule="exact"/>
              <w:rPr>
                <w:sz w:val="1"/>
                <w:szCs w:val="1"/>
                <w:color w:val="auto"/>
              </w:rPr>
            </w:pPr>
          </w:p>
        </w:tc>
        <w:tc>
          <w:tcPr>
            <w:tcW w:w="8140" w:type="dxa"/>
            <w:vAlign w:val="bottom"/>
            <w:gridSpan w:val="43"/>
          </w:tcPr>
          <w:p>
            <w:pPr>
              <w:spacing w:after="0" w:line="20" w:lineRule="exact"/>
              <w:rPr>
                <w:sz w:val="1"/>
                <w:szCs w:val="1"/>
                <w:color w:val="auto"/>
              </w:rPr>
            </w:pPr>
          </w:p>
        </w:tc>
      </w:tr>
      <w:tr>
        <w:trPr>
          <w:trHeight w:val="223"/>
        </w:trPr>
        <w:tc>
          <w:tcPr>
            <w:tcW w:w="150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980" w:type="dxa"/>
            <w:vAlign w:val="bottom"/>
            <w:gridSpan w:val="47"/>
            <w:shd w:val="clear" w:color="auto" w:fill="EEEEEE"/>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Reserves and Contract Obligations</w:t>
              </w:r>
            </w:hyperlink>
          </w:p>
        </w:tc>
        <w:tc>
          <w:tcPr>
            <w:tcW w:w="760" w:type="dxa"/>
            <w:vAlign w:val="bottom"/>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8</w:t>
            </w:r>
          </w:p>
        </w:tc>
      </w:tr>
      <w:tr>
        <w:trPr>
          <w:trHeight w:val="203"/>
        </w:trPr>
        <w:tc>
          <w:tcPr>
            <w:tcW w:w="1500" w:type="dxa"/>
            <w:vAlign w:val="bottom"/>
            <w:tcBorders>
              <w:top w:val="single" w:sz="8" w:color="EEEEEE"/>
            </w:tcBorders>
          </w:tcPr>
          <w:p>
            <w:pPr>
              <w:spacing w:after="0"/>
              <w:rPr>
                <w:sz w:val="17"/>
                <w:szCs w:val="17"/>
                <w:color w:val="auto"/>
              </w:rPr>
            </w:pPr>
          </w:p>
        </w:tc>
        <w:tc>
          <w:tcPr>
            <w:tcW w:w="40" w:type="dxa"/>
            <w:vAlign w:val="bottom"/>
            <w:tcBorders>
              <w:top w:val="single" w:sz="8" w:color="EEEEEE"/>
            </w:tcBorders>
          </w:tcPr>
          <w:p>
            <w:pPr>
              <w:spacing w:after="0"/>
              <w:rPr>
                <w:sz w:val="17"/>
                <w:szCs w:val="17"/>
                <w:color w:val="auto"/>
              </w:rPr>
            </w:pPr>
          </w:p>
        </w:tc>
        <w:tc>
          <w:tcPr>
            <w:tcW w:w="80" w:type="dxa"/>
            <w:vAlign w:val="bottom"/>
            <w:tcBorders>
              <w:top w:val="single" w:sz="8" w:color="EEEEEE"/>
            </w:tcBorders>
          </w:tcPr>
          <w:p>
            <w:pPr>
              <w:spacing w:after="0"/>
              <w:rPr>
                <w:sz w:val="17"/>
                <w:szCs w:val="17"/>
                <w:color w:val="auto"/>
              </w:rPr>
            </w:pPr>
          </w:p>
        </w:tc>
        <w:tc>
          <w:tcPr>
            <w:tcW w:w="140" w:type="dxa"/>
            <w:vAlign w:val="bottom"/>
            <w:tcBorders>
              <w:top w:val="single" w:sz="8" w:color="EEEEEE"/>
            </w:tcBorders>
          </w:tcPr>
          <w:p>
            <w:pPr>
              <w:spacing w:after="0"/>
              <w:rPr>
                <w:sz w:val="17"/>
                <w:szCs w:val="17"/>
                <w:color w:val="auto"/>
              </w:rPr>
            </w:pPr>
          </w:p>
        </w:tc>
        <w:tc>
          <w:tcPr>
            <w:tcW w:w="180" w:type="dxa"/>
            <w:vAlign w:val="bottom"/>
            <w:tcBorders>
              <w:top w:val="single" w:sz="8" w:color="EEEEEE"/>
            </w:tcBorders>
          </w:tcPr>
          <w:p>
            <w:pPr>
              <w:spacing w:after="0"/>
              <w:rPr>
                <w:sz w:val="17"/>
                <w:szCs w:val="17"/>
                <w:color w:val="auto"/>
              </w:rPr>
            </w:pPr>
          </w:p>
        </w:tc>
        <w:tc>
          <w:tcPr>
            <w:tcW w:w="200" w:type="dxa"/>
            <w:vAlign w:val="bottom"/>
            <w:tcBorders>
              <w:top w:val="single" w:sz="8" w:color="EEEEEE"/>
            </w:tcBorders>
          </w:tcPr>
          <w:p>
            <w:pPr>
              <w:spacing w:after="0"/>
              <w:rPr>
                <w:sz w:val="17"/>
                <w:szCs w:val="17"/>
                <w:color w:val="auto"/>
              </w:rPr>
            </w:pPr>
          </w:p>
        </w:tc>
        <w:tc>
          <w:tcPr>
            <w:tcW w:w="120" w:type="dxa"/>
            <w:vAlign w:val="bottom"/>
            <w:tcBorders>
              <w:top w:val="single" w:sz="8" w:color="EEEEEE"/>
            </w:tcBorders>
          </w:tcPr>
          <w:p>
            <w:pPr>
              <w:spacing w:after="0"/>
              <w:rPr>
                <w:sz w:val="17"/>
                <w:szCs w:val="17"/>
                <w:color w:val="auto"/>
              </w:rPr>
            </w:pPr>
          </w:p>
        </w:tc>
        <w:tc>
          <w:tcPr>
            <w:tcW w:w="420" w:type="dxa"/>
            <w:vAlign w:val="bottom"/>
            <w:tcBorders>
              <w:top w:val="single" w:sz="8" w:color="EEEEEE"/>
            </w:tcBorders>
          </w:tcPr>
          <w:p>
            <w:pPr>
              <w:spacing w:after="0"/>
              <w:rPr>
                <w:sz w:val="17"/>
                <w:szCs w:val="17"/>
                <w:color w:val="auto"/>
              </w:rPr>
            </w:pPr>
          </w:p>
        </w:tc>
        <w:tc>
          <w:tcPr>
            <w:tcW w:w="2440" w:type="dxa"/>
            <w:vAlign w:val="bottom"/>
            <w:tcBorders>
              <w:top w:val="single" w:sz="8" w:color="0000EE"/>
            </w:tcBorders>
            <w:gridSpan w:val="21"/>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Development Activities</w:t>
              </w:r>
            </w:hyperlink>
          </w:p>
        </w:tc>
        <w:tc>
          <w:tcPr>
            <w:tcW w:w="5540" w:type="dxa"/>
            <w:vAlign w:val="bottom"/>
            <w:tcBorders>
              <w:top w:val="single" w:sz="8" w:color="EEEEEE"/>
            </w:tcBorders>
            <w:gridSpan w:val="26"/>
          </w:tcPr>
          <w:p>
            <w:pPr>
              <w:spacing w:after="0"/>
              <w:rPr>
                <w:sz w:val="17"/>
                <w:szCs w:val="17"/>
                <w:color w:val="auto"/>
              </w:rPr>
            </w:pPr>
          </w:p>
        </w:tc>
        <w:tc>
          <w:tcPr>
            <w:tcW w:w="760" w:type="dxa"/>
            <w:vAlign w:val="bottom"/>
            <w:tcBorders>
              <w:top w:val="single" w:sz="8" w:color="EEEEEE"/>
            </w:tcBorders>
          </w:tcPr>
          <w:p>
            <w:pPr>
              <w:jc w:val="right"/>
              <w:ind w:right="133"/>
              <w:spacing w:after="0" w:line="202" w:lineRule="exact"/>
              <w:rPr>
                <w:sz w:val="20"/>
                <w:szCs w:val="20"/>
                <w:color w:val="auto"/>
              </w:rPr>
            </w:pPr>
            <w:r>
              <w:rPr>
                <w:rFonts w:ascii="Arial" w:cs="Arial" w:eastAsia="Arial" w:hAnsi="Arial"/>
                <w:sz w:val="18"/>
                <w:szCs w:val="18"/>
                <w:color w:val="auto"/>
              </w:rPr>
              <w:t>9</w:t>
            </w:r>
          </w:p>
        </w:tc>
      </w:tr>
      <w:tr>
        <w:trPr>
          <w:trHeight w:val="21"/>
        </w:trPr>
        <w:tc>
          <w:tcPr>
            <w:tcW w:w="2680" w:type="dxa"/>
            <w:vAlign w:val="bottom"/>
            <w:gridSpan w:val="8"/>
          </w:tcPr>
          <w:p>
            <w:pPr>
              <w:spacing w:after="0" w:line="20" w:lineRule="exact"/>
              <w:rPr>
                <w:sz w:val="1"/>
                <w:szCs w:val="1"/>
                <w:color w:val="auto"/>
              </w:rPr>
            </w:pPr>
          </w:p>
        </w:tc>
        <w:tc>
          <w:tcPr>
            <w:tcW w:w="1680" w:type="dxa"/>
            <w:vAlign w:val="bottom"/>
            <w:tcBorders>
              <w:top w:val="single" w:sz="8" w:color="0000EE"/>
            </w:tcBorders>
            <w:gridSpan w:val="14"/>
          </w:tcPr>
          <w:p>
            <w:pPr>
              <w:spacing w:after="0" w:line="20" w:lineRule="exact"/>
              <w:rPr>
                <w:sz w:val="1"/>
                <w:szCs w:val="1"/>
                <w:color w:val="auto"/>
              </w:rPr>
            </w:pPr>
          </w:p>
        </w:tc>
        <w:tc>
          <w:tcPr>
            <w:tcW w:w="7060" w:type="dxa"/>
            <w:vAlign w:val="bottom"/>
            <w:gridSpan w:val="34"/>
          </w:tcPr>
          <w:p>
            <w:pPr>
              <w:spacing w:after="0" w:line="20" w:lineRule="exact"/>
              <w:rPr>
                <w:sz w:val="1"/>
                <w:szCs w:val="1"/>
                <w:color w:val="auto"/>
              </w:rPr>
            </w:pPr>
          </w:p>
        </w:tc>
      </w:tr>
      <w:tr>
        <w:trPr>
          <w:trHeight w:val="203"/>
        </w:trPr>
        <w:tc>
          <w:tcPr>
            <w:tcW w:w="15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7980" w:type="dxa"/>
            <w:vAlign w:val="bottom"/>
            <w:gridSpan w:val="47"/>
            <w:shd w:val="clear" w:color="auto" w:fill="EEEEEE"/>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Exploration Activities</w:t>
              </w:r>
            </w:hyperlink>
          </w:p>
        </w:tc>
        <w:tc>
          <w:tcPr>
            <w:tcW w:w="760" w:type="dxa"/>
            <w:vAlign w:val="bottom"/>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10</w:t>
            </w:r>
          </w:p>
        </w:tc>
      </w:tr>
      <w:tr>
        <w:trPr>
          <w:trHeight w:val="21"/>
        </w:trPr>
        <w:tc>
          <w:tcPr>
            <w:tcW w:w="2680" w:type="dxa"/>
            <w:vAlign w:val="bottom"/>
            <w:tcBorders>
              <w:top w:val="single" w:sz="8" w:color="EEEEEE"/>
            </w:tcBorders>
            <w:gridSpan w:val="8"/>
            <w:shd w:val="clear" w:color="auto" w:fill="EEEEEE"/>
          </w:tcPr>
          <w:p>
            <w:pPr>
              <w:spacing w:after="0" w:line="20" w:lineRule="exact"/>
              <w:rPr>
                <w:sz w:val="1"/>
                <w:szCs w:val="1"/>
                <w:color w:val="auto"/>
              </w:rPr>
            </w:pPr>
          </w:p>
        </w:tc>
        <w:tc>
          <w:tcPr>
            <w:tcW w:w="1560" w:type="dxa"/>
            <w:vAlign w:val="bottom"/>
            <w:tcBorders>
              <w:top w:val="single" w:sz="8" w:color="0000EE"/>
            </w:tcBorders>
            <w:gridSpan w:val="12"/>
            <w:shd w:val="clear" w:color="auto" w:fill="EEEEEE"/>
          </w:tcPr>
          <w:p>
            <w:pPr>
              <w:spacing w:after="0" w:line="20" w:lineRule="exact"/>
              <w:rPr>
                <w:sz w:val="1"/>
                <w:szCs w:val="1"/>
                <w:color w:val="auto"/>
              </w:rPr>
            </w:pPr>
          </w:p>
        </w:tc>
        <w:tc>
          <w:tcPr>
            <w:tcW w:w="7180" w:type="dxa"/>
            <w:vAlign w:val="bottom"/>
            <w:tcBorders>
              <w:top w:val="single" w:sz="8" w:color="EEEEEE"/>
            </w:tcBorders>
            <w:gridSpan w:val="36"/>
            <w:shd w:val="clear" w:color="auto" w:fill="EEEEEE"/>
          </w:tcPr>
          <w:p>
            <w:pPr>
              <w:spacing w:after="0" w:line="20" w:lineRule="exact"/>
              <w:rPr>
                <w:sz w:val="1"/>
                <w:szCs w:val="1"/>
                <w:color w:val="auto"/>
              </w:rPr>
            </w:pP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80" w:type="dxa"/>
            <w:vAlign w:val="bottom"/>
            <w:gridSpan w:val="47"/>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Review of Ongoing Exploration and Production Activities in Key Areas</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w:t>
            </w:r>
          </w:p>
        </w:tc>
      </w:tr>
      <w:tr>
        <w:trPr>
          <w:trHeight w:val="21"/>
        </w:trPr>
        <w:tc>
          <w:tcPr>
            <w:tcW w:w="2680" w:type="dxa"/>
            <w:vAlign w:val="bottom"/>
            <w:gridSpan w:val="8"/>
          </w:tcPr>
          <w:p>
            <w:pPr>
              <w:spacing w:after="0" w:line="20" w:lineRule="exact"/>
              <w:rPr>
                <w:sz w:val="1"/>
                <w:szCs w:val="1"/>
                <w:color w:val="auto"/>
              </w:rPr>
            </w:pPr>
          </w:p>
        </w:tc>
        <w:tc>
          <w:tcPr>
            <w:tcW w:w="5080" w:type="dxa"/>
            <w:vAlign w:val="bottom"/>
            <w:tcBorders>
              <w:top w:val="single" w:sz="8" w:color="0000EE"/>
            </w:tcBorders>
            <w:gridSpan w:val="44"/>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r>
      <w:tr>
        <w:trPr>
          <w:trHeight w:val="223"/>
        </w:trPr>
        <w:tc>
          <w:tcPr>
            <w:tcW w:w="150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EEEEEE"/>
            </w:tcBorders>
            <w:shd w:val="clear" w:color="auto" w:fill="EEEEEE"/>
          </w:tcPr>
          <w:p>
            <w:pPr>
              <w:spacing w:after="0"/>
              <w:rPr>
                <w:sz w:val="19"/>
                <w:szCs w:val="19"/>
                <w:color w:val="auto"/>
              </w:rPr>
            </w:pPr>
          </w:p>
        </w:tc>
        <w:tc>
          <w:tcPr>
            <w:tcW w:w="3600" w:type="dxa"/>
            <w:vAlign w:val="bottom"/>
            <w:tcBorders>
              <w:bottom w:val="single" w:sz="8" w:color="0000EE"/>
            </w:tcBorders>
            <w:gridSpan w:val="36"/>
            <w:shd w:val="clear" w:color="auto" w:fill="EEEEEE"/>
          </w:tcPr>
          <w:p>
            <w:pPr>
              <w:spacing w:after="0" w:line="202"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Petroleum — Natural Gas and Natural Gas Liquids</w:t>
              </w:r>
            </w:hyperlink>
          </w:p>
        </w:tc>
        <w:tc>
          <w:tcPr>
            <w:tcW w:w="4380" w:type="dxa"/>
            <w:vAlign w:val="bottom"/>
            <w:tcBorders>
              <w:bottom w:val="single" w:sz="8" w:color="EEEEEE"/>
            </w:tcBorders>
            <w:gridSpan w:val="11"/>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17</w:t>
            </w: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gridSpan w:val="48"/>
          </w:tcPr>
          <w:p>
            <w:pPr>
              <w:ind w:left="4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Petroleum — Refining</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17</w:t>
            </w:r>
          </w:p>
        </w:tc>
      </w:tr>
      <w:tr>
        <w:trPr>
          <w:trHeight w:val="21"/>
        </w:trPr>
        <w:tc>
          <w:tcPr>
            <w:tcW w:w="2680" w:type="dxa"/>
            <w:vAlign w:val="bottom"/>
            <w:gridSpan w:val="8"/>
          </w:tcPr>
          <w:p>
            <w:pPr>
              <w:spacing w:after="0" w:line="20" w:lineRule="exact"/>
              <w:rPr>
                <w:sz w:val="1"/>
                <w:szCs w:val="1"/>
                <w:color w:val="auto"/>
              </w:rPr>
            </w:pPr>
          </w:p>
        </w:tc>
        <w:tc>
          <w:tcPr>
            <w:tcW w:w="1600" w:type="dxa"/>
            <w:vAlign w:val="bottom"/>
            <w:tcBorders>
              <w:top w:val="single" w:sz="8" w:color="0000EE"/>
            </w:tcBorders>
            <w:gridSpan w:val="13"/>
          </w:tcPr>
          <w:p>
            <w:pPr>
              <w:spacing w:after="0" w:line="20" w:lineRule="exact"/>
              <w:rPr>
                <w:sz w:val="1"/>
                <w:szCs w:val="1"/>
                <w:color w:val="auto"/>
              </w:rPr>
            </w:pPr>
          </w:p>
        </w:tc>
        <w:tc>
          <w:tcPr>
            <w:tcW w:w="7140" w:type="dxa"/>
            <w:vAlign w:val="bottom"/>
            <w:gridSpan w:val="35"/>
          </w:tcPr>
          <w:p>
            <w:pPr>
              <w:spacing w:after="0" w:line="20" w:lineRule="exact"/>
              <w:rPr>
                <w:sz w:val="1"/>
                <w:szCs w:val="1"/>
                <w:color w:val="auto"/>
              </w:rPr>
            </w:pPr>
          </w:p>
        </w:tc>
      </w:tr>
      <w:tr>
        <w:trPr>
          <w:trHeight w:val="223"/>
        </w:trPr>
        <w:tc>
          <w:tcPr>
            <w:tcW w:w="150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EEEEEE"/>
            </w:tcBorders>
            <w:shd w:val="clear" w:color="auto" w:fill="EEEEEE"/>
          </w:tcPr>
          <w:p>
            <w:pPr>
              <w:spacing w:after="0"/>
              <w:rPr>
                <w:sz w:val="19"/>
                <w:szCs w:val="19"/>
                <w:color w:val="auto"/>
              </w:rPr>
            </w:pPr>
          </w:p>
        </w:tc>
        <w:tc>
          <w:tcPr>
            <w:tcW w:w="2980" w:type="dxa"/>
            <w:vAlign w:val="bottom"/>
            <w:tcBorders>
              <w:bottom w:val="single" w:sz="8" w:color="0000EE"/>
            </w:tcBorders>
            <w:gridSpan w:val="28"/>
            <w:shd w:val="clear" w:color="auto" w:fill="EEEEEE"/>
          </w:tcPr>
          <w:p>
            <w:pPr>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Petroleum — Refined Products Marketing</w:t>
              </w:r>
            </w:hyperlink>
          </w:p>
        </w:tc>
        <w:tc>
          <w:tcPr>
            <w:tcW w:w="5000" w:type="dxa"/>
            <w:vAlign w:val="bottom"/>
            <w:tcBorders>
              <w:bottom w:val="single" w:sz="8" w:color="EEEEEE"/>
            </w:tcBorders>
            <w:gridSpan w:val="19"/>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18</w:t>
            </w: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gridSpan w:val="48"/>
          </w:tcPr>
          <w:p>
            <w:pPr>
              <w:ind w:left="4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Petroleum — Transportation</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20</w:t>
            </w:r>
          </w:p>
        </w:tc>
      </w:tr>
      <w:tr>
        <w:trPr>
          <w:trHeight w:val="21"/>
        </w:trPr>
        <w:tc>
          <w:tcPr>
            <w:tcW w:w="2680" w:type="dxa"/>
            <w:vAlign w:val="bottom"/>
            <w:gridSpan w:val="8"/>
          </w:tcPr>
          <w:p>
            <w:pPr>
              <w:spacing w:after="0" w:line="20" w:lineRule="exact"/>
              <w:rPr>
                <w:sz w:val="1"/>
                <w:szCs w:val="1"/>
                <w:color w:val="auto"/>
              </w:rPr>
            </w:pPr>
          </w:p>
        </w:tc>
        <w:tc>
          <w:tcPr>
            <w:tcW w:w="2020" w:type="dxa"/>
            <w:vAlign w:val="bottom"/>
            <w:tcBorders>
              <w:top w:val="single" w:sz="8" w:color="0000EE"/>
            </w:tcBorders>
            <w:gridSpan w:val="18"/>
          </w:tcPr>
          <w:p>
            <w:pPr>
              <w:spacing w:after="0" w:line="20" w:lineRule="exact"/>
              <w:rPr>
                <w:sz w:val="1"/>
                <w:szCs w:val="1"/>
                <w:color w:val="auto"/>
              </w:rPr>
            </w:pPr>
          </w:p>
        </w:tc>
        <w:tc>
          <w:tcPr>
            <w:tcW w:w="6720" w:type="dxa"/>
            <w:vAlign w:val="bottom"/>
            <w:gridSpan w:val="30"/>
          </w:tcPr>
          <w:p>
            <w:pPr>
              <w:spacing w:after="0" w:line="20" w:lineRule="exact"/>
              <w:rPr>
                <w:sz w:val="1"/>
                <w:szCs w:val="1"/>
                <w:color w:val="auto"/>
              </w:rPr>
            </w:pPr>
          </w:p>
        </w:tc>
      </w:tr>
      <w:tr>
        <w:trPr>
          <w:trHeight w:val="223"/>
        </w:trPr>
        <w:tc>
          <w:tcPr>
            <w:tcW w:w="150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980" w:type="dxa"/>
            <w:vAlign w:val="bottom"/>
            <w:gridSpan w:val="47"/>
            <w:shd w:val="clear" w:color="auto" w:fill="EEEEEE"/>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Chemicals</w:t>
              </w:r>
            </w:hyperlink>
          </w:p>
        </w:tc>
        <w:tc>
          <w:tcPr>
            <w:tcW w:w="760" w:type="dxa"/>
            <w:vAlign w:val="bottom"/>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21</w:t>
            </w:r>
          </w:p>
        </w:tc>
      </w:tr>
      <w:tr>
        <w:trPr>
          <w:trHeight w:val="203"/>
        </w:trPr>
        <w:tc>
          <w:tcPr>
            <w:tcW w:w="1500" w:type="dxa"/>
            <w:vAlign w:val="bottom"/>
            <w:tcBorders>
              <w:top w:val="single" w:sz="8" w:color="EEEEEE"/>
            </w:tcBorders>
          </w:tcPr>
          <w:p>
            <w:pPr>
              <w:spacing w:after="0"/>
              <w:rPr>
                <w:sz w:val="17"/>
                <w:szCs w:val="17"/>
                <w:color w:val="auto"/>
              </w:rPr>
            </w:pPr>
          </w:p>
        </w:tc>
        <w:tc>
          <w:tcPr>
            <w:tcW w:w="40" w:type="dxa"/>
            <w:vAlign w:val="bottom"/>
            <w:tcBorders>
              <w:top w:val="single" w:sz="8" w:color="EEEEEE"/>
            </w:tcBorders>
          </w:tcPr>
          <w:p>
            <w:pPr>
              <w:spacing w:after="0"/>
              <w:rPr>
                <w:sz w:val="17"/>
                <w:szCs w:val="17"/>
                <w:color w:val="auto"/>
              </w:rPr>
            </w:pPr>
          </w:p>
        </w:tc>
        <w:tc>
          <w:tcPr>
            <w:tcW w:w="80" w:type="dxa"/>
            <w:vAlign w:val="bottom"/>
            <w:tcBorders>
              <w:top w:val="single" w:sz="8" w:color="EEEEEE"/>
            </w:tcBorders>
          </w:tcPr>
          <w:p>
            <w:pPr>
              <w:spacing w:after="0"/>
              <w:rPr>
                <w:sz w:val="17"/>
                <w:szCs w:val="17"/>
                <w:color w:val="auto"/>
              </w:rPr>
            </w:pPr>
          </w:p>
        </w:tc>
        <w:tc>
          <w:tcPr>
            <w:tcW w:w="140" w:type="dxa"/>
            <w:vAlign w:val="bottom"/>
            <w:tcBorders>
              <w:top w:val="single" w:sz="8" w:color="EEEEEE"/>
            </w:tcBorders>
          </w:tcPr>
          <w:p>
            <w:pPr>
              <w:spacing w:after="0"/>
              <w:rPr>
                <w:sz w:val="17"/>
                <w:szCs w:val="17"/>
                <w:color w:val="auto"/>
              </w:rPr>
            </w:pPr>
          </w:p>
        </w:tc>
        <w:tc>
          <w:tcPr>
            <w:tcW w:w="180" w:type="dxa"/>
            <w:vAlign w:val="bottom"/>
            <w:tcBorders>
              <w:top w:val="single" w:sz="8" w:color="EEEEEE"/>
            </w:tcBorders>
          </w:tcPr>
          <w:p>
            <w:pPr>
              <w:spacing w:after="0"/>
              <w:rPr>
                <w:sz w:val="17"/>
                <w:szCs w:val="17"/>
                <w:color w:val="auto"/>
              </w:rPr>
            </w:pPr>
          </w:p>
        </w:tc>
        <w:tc>
          <w:tcPr>
            <w:tcW w:w="200" w:type="dxa"/>
            <w:vAlign w:val="bottom"/>
            <w:tcBorders>
              <w:top w:val="single" w:sz="8" w:color="EEEEEE"/>
            </w:tcBorders>
          </w:tcPr>
          <w:p>
            <w:pPr>
              <w:spacing w:after="0"/>
              <w:rPr>
                <w:sz w:val="17"/>
                <w:szCs w:val="17"/>
                <w:color w:val="auto"/>
              </w:rPr>
            </w:pPr>
          </w:p>
        </w:tc>
        <w:tc>
          <w:tcPr>
            <w:tcW w:w="120" w:type="dxa"/>
            <w:vAlign w:val="bottom"/>
            <w:tcBorders>
              <w:top w:val="single" w:sz="8" w:color="EEEEEE"/>
            </w:tcBorders>
          </w:tcPr>
          <w:p>
            <w:pPr>
              <w:spacing w:after="0"/>
              <w:rPr>
                <w:sz w:val="17"/>
                <w:szCs w:val="17"/>
                <w:color w:val="auto"/>
              </w:rPr>
            </w:pPr>
          </w:p>
        </w:tc>
        <w:tc>
          <w:tcPr>
            <w:tcW w:w="420" w:type="dxa"/>
            <w:vAlign w:val="bottom"/>
            <w:tcBorders>
              <w:top w:val="single" w:sz="8" w:color="EEEEEE"/>
            </w:tcBorders>
          </w:tcPr>
          <w:p>
            <w:pPr>
              <w:spacing w:after="0"/>
              <w:rPr>
                <w:sz w:val="17"/>
                <w:szCs w:val="17"/>
                <w:color w:val="auto"/>
              </w:rPr>
            </w:pPr>
          </w:p>
        </w:tc>
        <w:tc>
          <w:tcPr>
            <w:tcW w:w="740" w:type="dxa"/>
            <w:vAlign w:val="bottom"/>
            <w:tcBorders>
              <w:top w:val="single" w:sz="8" w:color="0000EE"/>
            </w:tcBorders>
            <w:gridSpan w:val="6"/>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Coal</w:t>
              </w:r>
            </w:hyperlink>
          </w:p>
        </w:tc>
        <w:tc>
          <w:tcPr>
            <w:tcW w:w="7240" w:type="dxa"/>
            <w:vAlign w:val="bottom"/>
            <w:tcBorders>
              <w:top w:val="single" w:sz="8" w:color="EEEEEE"/>
            </w:tcBorders>
            <w:gridSpan w:val="41"/>
          </w:tcPr>
          <w:p>
            <w:pPr>
              <w:spacing w:after="0"/>
              <w:rPr>
                <w:sz w:val="17"/>
                <w:szCs w:val="17"/>
                <w:color w:val="auto"/>
              </w:rPr>
            </w:pPr>
          </w:p>
        </w:tc>
        <w:tc>
          <w:tcPr>
            <w:tcW w:w="760" w:type="dxa"/>
            <w:vAlign w:val="bottom"/>
            <w:tcBorders>
              <w:top w:val="single" w:sz="8" w:color="EEEEEE"/>
            </w:tcBorders>
          </w:tcPr>
          <w:p>
            <w:pPr>
              <w:jc w:val="right"/>
              <w:ind w:right="133"/>
              <w:spacing w:after="0" w:line="202" w:lineRule="exact"/>
              <w:rPr>
                <w:sz w:val="20"/>
                <w:szCs w:val="20"/>
                <w:color w:val="auto"/>
              </w:rPr>
            </w:pPr>
            <w:r>
              <w:rPr>
                <w:rFonts w:ascii="Arial" w:cs="Arial" w:eastAsia="Arial" w:hAnsi="Arial"/>
                <w:sz w:val="18"/>
                <w:szCs w:val="18"/>
                <w:color w:val="auto"/>
              </w:rPr>
              <w:t>21</w:t>
            </w:r>
          </w:p>
        </w:tc>
      </w:tr>
      <w:tr>
        <w:trPr>
          <w:trHeight w:val="21"/>
        </w:trPr>
        <w:tc>
          <w:tcPr>
            <w:tcW w:w="2680" w:type="dxa"/>
            <w:vAlign w:val="bottom"/>
            <w:gridSpan w:val="8"/>
          </w:tcPr>
          <w:p>
            <w:pPr>
              <w:spacing w:after="0" w:line="20" w:lineRule="exact"/>
              <w:rPr>
                <w:sz w:val="1"/>
                <w:szCs w:val="1"/>
                <w:color w:val="auto"/>
              </w:rPr>
            </w:pPr>
          </w:p>
        </w:tc>
        <w:tc>
          <w:tcPr>
            <w:tcW w:w="340" w:type="dxa"/>
            <w:vAlign w:val="bottom"/>
            <w:tcBorders>
              <w:top w:val="single" w:sz="8" w:color="0000EE"/>
            </w:tcBorders>
            <w:gridSpan w:val="4"/>
          </w:tcPr>
          <w:p>
            <w:pPr>
              <w:spacing w:after="0" w:line="20" w:lineRule="exact"/>
              <w:rPr>
                <w:sz w:val="1"/>
                <w:szCs w:val="1"/>
                <w:color w:val="auto"/>
              </w:rPr>
            </w:pPr>
          </w:p>
        </w:tc>
        <w:tc>
          <w:tcPr>
            <w:tcW w:w="8400" w:type="dxa"/>
            <w:vAlign w:val="bottom"/>
            <w:gridSpan w:val="44"/>
          </w:tcPr>
          <w:p>
            <w:pPr>
              <w:spacing w:after="0" w:line="20" w:lineRule="exact"/>
              <w:rPr>
                <w:sz w:val="1"/>
                <w:szCs w:val="1"/>
                <w:color w:val="auto"/>
              </w:rPr>
            </w:pPr>
          </w:p>
        </w:tc>
      </w:tr>
      <w:tr>
        <w:trPr>
          <w:trHeight w:val="223"/>
        </w:trPr>
        <w:tc>
          <w:tcPr>
            <w:tcW w:w="150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EEEEEE"/>
            </w:tcBorders>
            <w:shd w:val="clear" w:color="auto" w:fill="EEEEEE"/>
          </w:tcPr>
          <w:p>
            <w:pPr>
              <w:spacing w:after="0"/>
              <w:rPr>
                <w:sz w:val="19"/>
                <w:szCs w:val="19"/>
                <w:color w:val="auto"/>
              </w:rPr>
            </w:pPr>
          </w:p>
        </w:tc>
        <w:tc>
          <w:tcPr>
            <w:tcW w:w="2800" w:type="dxa"/>
            <w:vAlign w:val="bottom"/>
            <w:tcBorders>
              <w:bottom w:val="single" w:sz="8" w:color="0000EE"/>
            </w:tcBorders>
            <w:gridSpan w:val="26"/>
            <w:shd w:val="clear" w:color="auto" w:fill="EEEEEE"/>
          </w:tcPr>
          <w:p>
            <w:pPr>
              <w:spacing w:after="0" w:line="202"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Other Activities — Synthetic Crude Oil</w:t>
              </w:r>
            </w:hyperlink>
          </w:p>
        </w:tc>
        <w:tc>
          <w:tcPr>
            <w:tcW w:w="5180" w:type="dxa"/>
            <w:vAlign w:val="bottom"/>
            <w:tcBorders>
              <w:bottom w:val="single" w:sz="8" w:color="EEEEEE"/>
            </w:tcBorders>
            <w:gridSpan w:val="21"/>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21</w:t>
            </w: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gridSpan w:val="48"/>
          </w:tcPr>
          <w:p>
            <w:pPr>
              <w:ind w:left="4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Global Power Generation</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22</w:t>
            </w:r>
          </w:p>
        </w:tc>
      </w:tr>
      <w:tr>
        <w:trPr>
          <w:trHeight w:val="21"/>
        </w:trPr>
        <w:tc>
          <w:tcPr>
            <w:tcW w:w="2680" w:type="dxa"/>
            <w:vAlign w:val="bottom"/>
            <w:gridSpan w:val="8"/>
          </w:tcPr>
          <w:p>
            <w:pPr>
              <w:spacing w:after="0" w:line="20" w:lineRule="exact"/>
              <w:rPr>
                <w:sz w:val="1"/>
                <w:szCs w:val="1"/>
                <w:color w:val="auto"/>
              </w:rPr>
            </w:pPr>
          </w:p>
        </w:tc>
        <w:tc>
          <w:tcPr>
            <w:tcW w:w="1800" w:type="dxa"/>
            <w:vAlign w:val="bottom"/>
            <w:tcBorders>
              <w:top w:val="single" w:sz="8" w:color="0000EE"/>
            </w:tcBorders>
            <w:gridSpan w:val="15"/>
          </w:tcPr>
          <w:p>
            <w:pPr>
              <w:spacing w:after="0" w:line="20" w:lineRule="exact"/>
              <w:rPr>
                <w:sz w:val="1"/>
                <w:szCs w:val="1"/>
                <w:color w:val="auto"/>
              </w:rPr>
            </w:pPr>
          </w:p>
        </w:tc>
        <w:tc>
          <w:tcPr>
            <w:tcW w:w="6940" w:type="dxa"/>
            <w:vAlign w:val="bottom"/>
            <w:gridSpan w:val="33"/>
          </w:tcPr>
          <w:p>
            <w:pPr>
              <w:spacing w:after="0" w:line="20" w:lineRule="exact"/>
              <w:rPr>
                <w:sz w:val="1"/>
                <w:szCs w:val="1"/>
                <w:color w:val="auto"/>
              </w:rPr>
            </w:pPr>
          </w:p>
        </w:tc>
      </w:tr>
      <w:tr>
        <w:trPr>
          <w:trHeight w:val="223"/>
        </w:trPr>
        <w:tc>
          <w:tcPr>
            <w:tcW w:w="150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EEEEEE"/>
            </w:tcBorders>
            <w:shd w:val="clear" w:color="auto" w:fill="EEEEEE"/>
          </w:tcPr>
          <w:p>
            <w:pPr>
              <w:spacing w:after="0"/>
              <w:rPr>
                <w:sz w:val="19"/>
                <w:szCs w:val="19"/>
                <w:color w:val="auto"/>
              </w:rPr>
            </w:pPr>
          </w:p>
        </w:tc>
        <w:tc>
          <w:tcPr>
            <w:tcW w:w="2560" w:type="dxa"/>
            <w:vAlign w:val="bottom"/>
            <w:tcBorders>
              <w:bottom w:val="single" w:sz="8" w:color="0000EE"/>
            </w:tcBorders>
            <w:gridSpan w:val="23"/>
            <w:shd w:val="clear" w:color="auto" w:fill="EEEEEE"/>
          </w:tcPr>
          <w:p>
            <w:pPr>
              <w:spacing w:after="0" w:line="20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Worldwide Gasification Technology</w:t>
              </w:r>
            </w:hyperlink>
          </w:p>
        </w:tc>
        <w:tc>
          <w:tcPr>
            <w:tcW w:w="5420" w:type="dxa"/>
            <w:vAlign w:val="bottom"/>
            <w:tcBorders>
              <w:bottom w:val="single" w:sz="8" w:color="EEEEEE"/>
            </w:tcBorders>
            <w:gridSpan w:val="24"/>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22</w:t>
            </w: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gridSpan w:val="48"/>
          </w:tcPr>
          <w:p>
            <w:pPr>
              <w:ind w:left="4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Gas-to-Liquids</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22</w:t>
            </w:r>
          </w:p>
        </w:tc>
      </w:tr>
      <w:tr>
        <w:trPr>
          <w:trHeight w:val="21"/>
        </w:trPr>
        <w:tc>
          <w:tcPr>
            <w:tcW w:w="2680" w:type="dxa"/>
            <w:vAlign w:val="bottom"/>
            <w:gridSpan w:val="8"/>
          </w:tcPr>
          <w:p>
            <w:pPr>
              <w:spacing w:after="0" w:line="20" w:lineRule="exact"/>
              <w:rPr>
                <w:sz w:val="1"/>
                <w:szCs w:val="1"/>
                <w:color w:val="auto"/>
              </w:rPr>
            </w:pPr>
          </w:p>
        </w:tc>
        <w:tc>
          <w:tcPr>
            <w:tcW w:w="1060" w:type="dxa"/>
            <w:vAlign w:val="bottom"/>
            <w:tcBorders>
              <w:top w:val="single" w:sz="8" w:color="0000EE"/>
            </w:tcBorders>
            <w:gridSpan w:val="8"/>
          </w:tcPr>
          <w:p>
            <w:pPr>
              <w:spacing w:after="0" w:line="20" w:lineRule="exact"/>
              <w:rPr>
                <w:sz w:val="1"/>
                <w:szCs w:val="1"/>
                <w:color w:val="auto"/>
              </w:rPr>
            </w:pPr>
          </w:p>
        </w:tc>
        <w:tc>
          <w:tcPr>
            <w:tcW w:w="7680" w:type="dxa"/>
            <w:vAlign w:val="bottom"/>
            <w:gridSpan w:val="40"/>
          </w:tcPr>
          <w:p>
            <w:pPr>
              <w:spacing w:after="0" w:line="20" w:lineRule="exact"/>
              <w:rPr>
                <w:sz w:val="1"/>
                <w:szCs w:val="1"/>
                <w:color w:val="auto"/>
              </w:rPr>
            </w:pPr>
          </w:p>
        </w:tc>
      </w:tr>
      <w:tr>
        <w:trPr>
          <w:trHeight w:val="223"/>
        </w:trPr>
        <w:tc>
          <w:tcPr>
            <w:tcW w:w="150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EEEEEE"/>
            </w:tcBorders>
            <w:shd w:val="clear" w:color="auto" w:fill="EEEEEE"/>
          </w:tcPr>
          <w:p>
            <w:pPr>
              <w:spacing w:after="0"/>
              <w:rPr>
                <w:sz w:val="19"/>
                <w:szCs w:val="19"/>
                <w:color w:val="auto"/>
              </w:rPr>
            </w:pPr>
          </w:p>
        </w:tc>
        <w:tc>
          <w:tcPr>
            <w:tcW w:w="1820" w:type="dxa"/>
            <w:vAlign w:val="bottom"/>
            <w:tcBorders>
              <w:bottom w:val="single" w:sz="8" w:color="0000EE"/>
            </w:tcBorders>
            <w:gridSpan w:val="16"/>
            <w:shd w:val="clear" w:color="auto" w:fill="EEEEEE"/>
          </w:tcPr>
          <w:p>
            <w:pPr>
              <w:spacing w:after="0" w:line="202"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Research and Technology</w:t>
              </w:r>
            </w:hyperlink>
          </w:p>
        </w:tc>
        <w:tc>
          <w:tcPr>
            <w:tcW w:w="6160" w:type="dxa"/>
            <w:vAlign w:val="bottom"/>
            <w:tcBorders>
              <w:bottom w:val="single" w:sz="8" w:color="EEEEEE"/>
            </w:tcBorders>
            <w:gridSpan w:val="31"/>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22</w:t>
            </w:r>
          </w:p>
        </w:tc>
      </w:tr>
      <w:tr>
        <w:trPr>
          <w:trHeight w:val="203"/>
        </w:trPr>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gridSpan w:val="48"/>
          </w:tcPr>
          <w:p>
            <w:pPr>
              <w:ind w:left="4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Environmental Protection</w:t>
              </w:r>
            </w:hyperlink>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22</w:t>
            </w:r>
          </w:p>
        </w:tc>
      </w:tr>
      <w:tr>
        <w:trPr>
          <w:trHeight w:val="21"/>
        </w:trPr>
        <w:tc>
          <w:tcPr>
            <w:tcW w:w="2680" w:type="dxa"/>
            <w:vAlign w:val="bottom"/>
            <w:gridSpan w:val="8"/>
          </w:tcPr>
          <w:p>
            <w:pPr>
              <w:spacing w:after="0" w:line="20" w:lineRule="exact"/>
              <w:rPr>
                <w:sz w:val="1"/>
                <w:szCs w:val="1"/>
                <w:color w:val="auto"/>
              </w:rPr>
            </w:pPr>
          </w:p>
        </w:tc>
        <w:tc>
          <w:tcPr>
            <w:tcW w:w="1820" w:type="dxa"/>
            <w:vAlign w:val="bottom"/>
            <w:tcBorders>
              <w:top w:val="single" w:sz="8" w:color="0000EE"/>
            </w:tcBorders>
            <w:gridSpan w:val="16"/>
          </w:tcPr>
          <w:p>
            <w:pPr>
              <w:spacing w:after="0" w:line="20" w:lineRule="exact"/>
              <w:rPr>
                <w:sz w:val="1"/>
                <w:szCs w:val="1"/>
                <w:color w:val="auto"/>
              </w:rPr>
            </w:pPr>
          </w:p>
        </w:tc>
        <w:tc>
          <w:tcPr>
            <w:tcW w:w="6920" w:type="dxa"/>
            <w:vAlign w:val="bottom"/>
            <w:gridSpan w:val="32"/>
          </w:tcPr>
          <w:p>
            <w:pPr>
              <w:spacing w:after="0" w:line="20" w:lineRule="exact"/>
              <w:rPr>
                <w:sz w:val="1"/>
                <w:szCs w:val="1"/>
                <w:color w:val="auto"/>
              </w:rPr>
            </w:pPr>
          </w:p>
        </w:tc>
      </w:tr>
      <w:tr>
        <w:trPr>
          <w:trHeight w:val="223"/>
        </w:trPr>
        <w:tc>
          <w:tcPr>
            <w:tcW w:w="150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EEEEEE"/>
            </w:tcBorders>
            <w:shd w:val="clear" w:color="auto" w:fill="EEEEEE"/>
          </w:tcPr>
          <w:p>
            <w:pPr>
              <w:spacing w:after="0"/>
              <w:rPr>
                <w:sz w:val="19"/>
                <w:szCs w:val="19"/>
                <w:color w:val="auto"/>
              </w:rPr>
            </w:pPr>
          </w:p>
        </w:tc>
        <w:tc>
          <w:tcPr>
            <w:tcW w:w="2320" w:type="dxa"/>
            <w:vAlign w:val="bottom"/>
            <w:tcBorders>
              <w:bottom w:val="single" w:sz="8" w:color="0000EE"/>
            </w:tcBorders>
            <w:gridSpan w:val="20"/>
            <w:shd w:val="clear" w:color="auto" w:fill="EEEEEE"/>
          </w:tcPr>
          <w:p>
            <w:pPr>
              <w:spacing w:after="0" w:line="202"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Web Site Access to SEC Reports</w:t>
              </w:r>
            </w:hyperlink>
          </w:p>
        </w:tc>
        <w:tc>
          <w:tcPr>
            <w:tcW w:w="5660" w:type="dxa"/>
            <w:vAlign w:val="bottom"/>
            <w:tcBorders>
              <w:bottom w:val="single" w:sz="8" w:color="EEEEEE"/>
            </w:tcBorders>
            <w:gridSpan w:val="27"/>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jc w:val="right"/>
              <w:ind w:right="133"/>
              <w:spacing w:after="0" w:line="202" w:lineRule="exact"/>
              <w:rPr>
                <w:sz w:val="20"/>
                <w:szCs w:val="20"/>
                <w:color w:val="auto"/>
              </w:rPr>
            </w:pPr>
            <w:r>
              <w:rPr>
                <w:rFonts w:ascii="Arial" w:cs="Arial" w:eastAsia="Arial" w:hAnsi="Arial"/>
                <w:sz w:val="18"/>
                <w:szCs w:val="18"/>
                <w:color w:val="auto"/>
              </w:rPr>
              <w:t>23</w:t>
            </w:r>
          </w:p>
        </w:tc>
      </w:tr>
      <w:tr>
        <w:trPr>
          <w:trHeight w:val="176"/>
        </w:trPr>
        <w:tc>
          <w:tcPr>
            <w:tcW w:w="1760" w:type="dxa"/>
            <w:vAlign w:val="bottom"/>
            <w:gridSpan w:val="4"/>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w:t>
              </w:r>
            </w:hyperlink>
          </w:p>
        </w:tc>
        <w:tc>
          <w:tcPr>
            <w:tcW w:w="180" w:type="dxa"/>
            <w:vAlign w:val="bottom"/>
          </w:tcPr>
          <w:p>
            <w:pPr>
              <w:spacing w:after="0"/>
              <w:rPr>
                <w:sz w:val="15"/>
                <w:szCs w:val="15"/>
                <w:color w:val="auto"/>
              </w:rPr>
            </w:pPr>
          </w:p>
        </w:tc>
        <w:tc>
          <w:tcPr>
            <w:tcW w:w="8720" w:type="dxa"/>
            <w:vAlign w:val="bottom"/>
            <w:gridSpan w:val="50"/>
          </w:tcPr>
          <w:p>
            <w:pPr>
              <w:ind w:left="2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24</w:t>
            </w:r>
          </w:p>
        </w:tc>
      </w:tr>
      <w:tr>
        <w:trPr>
          <w:trHeight w:val="21"/>
        </w:trPr>
        <w:tc>
          <w:tcPr>
            <w:tcW w:w="1620" w:type="dxa"/>
            <w:vAlign w:val="bottom"/>
            <w:gridSpan w:val="3"/>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tcBorders>
              <w:top w:val="single" w:sz="8" w:color="0000EE"/>
            </w:tcBorders>
            <w:gridSpan w:val="4"/>
          </w:tcPr>
          <w:p>
            <w:pPr>
              <w:spacing w:after="0" w:line="20" w:lineRule="exact"/>
              <w:rPr>
                <w:sz w:val="1"/>
                <w:szCs w:val="1"/>
                <w:color w:val="auto"/>
              </w:rPr>
            </w:pPr>
          </w:p>
        </w:tc>
        <w:tc>
          <w:tcPr>
            <w:tcW w:w="8560" w:type="dxa"/>
            <w:vAlign w:val="bottom"/>
            <w:gridSpan w:val="46"/>
          </w:tcPr>
          <w:p>
            <w:pPr>
              <w:spacing w:after="0" w:line="20" w:lineRule="exact"/>
              <w:rPr>
                <w:sz w:val="1"/>
                <w:szCs w:val="1"/>
                <w:color w:val="auto"/>
              </w:rPr>
            </w:pPr>
          </w:p>
        </w:tc>
      </w:tr>
      <w:tr>
        <w:trPr>
          <w:trHeight w:val="17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80" w:type="dxa"/>
            <w:vAlign w:val="bottom"/>
            <w:shd w:val="clear" w:color="auto" w:fill="EEEEEE"/>
          </w:tcPr>
          <w:p>
            <w:pPr>
              <w:spacing w:after="0"/>
              <w:rPr>
                <w:sz w:val="15"/>
                <w:szCs w:val="15"/>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24</w:t>
            </w:r>
          </w:p>
        </w:tc>
      </w:tr>
      <w:tr>
        <w:trPr>
          <w:trHeight w:val="21"/>
        </w:trPr>
        <w:tc>
          <w:tcPr>
            <w:tcW w:w="1620" w:type="dxa"/>
            <w:vAlign w:val="bottom"/>
            <w:tcBorders>
              <w:top w:val="single" w:sz="8" w:color="EEEEEE"/>
            </w:tcBorders>
            <w:gridSpan w:val="3"/>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gridSpan w:val="2"/>
            <w:shd w:val="clear" w:color="auto" w:fill="EEEEEE"/>
          </w:tcPr>
          <w:p>
            <w:pPr>
              <w:spacing w:after="0" w:line="20" w:lineRule="exact"/>
              <w:rPr>
                <w:sz w:val="1"/>
                <w:szCs w:val="1"/>
                <w:color w:val="auto"/>
              </w:rPr>
            </w:pPr>
          </w:p>
        </w:tc>
        <w:tc>
          <w:tcPr>
            <w:tcW w:w="1300" w:type="dxa"/>
            <w:vAlign w:val="bottom"/>
            <w:tcBorders>
              <w:top w:val="single" w:sz="8" w:color="0000EE"/>
            </w:tcBorders>
            <w:gridSpan w:val="9"/>
            <w:shd w:val="clear" w:color="auto" w:fill="EEEEEE"/>
          </w:tcPr>
          <w:p>
            <w:pPr>
              <w:spacing w:after="0" w:line="20" w:lineRule="exact"/>
              <w:rPr>
                <w:sz w:val="1"/>
                <w:szCs w:val="1"/>
                <w:color w:val="auto"/>
              </w:rPr>
            </w:pPr>
          </w:p>
        </w:tc>
        <w:tc>
          <w:tcPr>
            <w:tcW w:w="7980" w:type="dxa"/>
            <w:vAlign w:val="bottom"/>
            <w:tcBorders>
              <w:top w:val="single" w:sz="8" w:color="EEEEEE"/>
            </w:tcBorders>
            <w:gridSpan w:val="41"/>
            <w:shd w:val="clear" w:color="auto" w:fill="EEEEEE"/>
          </w:tcPr>
          <w:p>
            <w:pPr>
              <w:spacing w:after="0" w:line="20" w:lineRule="exact"/>
              <w:rPr>
                <w:sz w:val="1"/>
                <w:szCs w:val="1"/>
                <w:color w:val="auto"/>
              </w:rPr>
            </w:pPr>
          </w:p>
        </w:tc>
      </w:tr>
      <w:tr>
        <w:trPr>
          <w:trHeight w:val="176"/>
        </w:trPr>
        <w:tc>
          <w:tcPr>
            <w:tcW w:w="1760" w:type="dxa"/>
            <w:vAlign w:val="bottom"/>
            <w:gridSpan w:val="4"/>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4.</w:t>
              </w:r>
            </w:hyperlink>
          </w:p>
        </w:tc>
        <w:tc>
          <w:tcPr>
            <w:tcW w:w="180" w:type="dxa"/>
            <w:vAlign w:val="bottom"/>
          </w:tcPr>
          <w:p>
            <w:pPr>
              <w:spacing w:after="0"/>
              <w:rPr>
                <w:sz w:val="15"/>
                <w:szCs w:val="15"/>
                <w:color w:val="auto"/>
              </w:rPr>
            </w:pPr>
          </w:p>
        </w:tc>
        <w:tc>
          <w:tcPr>
            <w:tcW w:w="8720" w:type="dxa"/>
            <w:vAlign w:val="bottom"/>
            <w:gridSpan w:val="50"/>
          </w:tcPr>
          <w:p>
            <w:pPr>
              <w:ind w:left="2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24</w:t>
            </w:r>
          </w:p>
        </w:tc>
      </w:tr>
      <w:tr>
        <w:trPr>
          <w:trHeight w:val="21"/>
        </w:trPr>
        <w:tc>
          <w:tcPr>
            <w:tcW w:w="1620" w:type="dxa"/>
            <w:vAlign w:val="bottom"/>
            <w:gridSpan w:val="3"/>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80" w:type="dxa"/>
            <w:vAlign w:val="bottom"/>
            <w:tcBorders>
              <w:top w:val="single" w:sz="8" w:color="0000EE"/>
            </w:tcBorders>
            <w:gridSpan w:val="33"/>
          </w:tcPr>
          <w:p>
            <w:pPr>
              <w:spacing w:after="0" w:line="20" w:lineRule="exact"/>
              <w:rPr>
                <w:sz w:val="1"/>
                <w:szCs w:val="1"/>
                <w:color w:val="auto"/>
              </w:rPr>
            </w:pPr>
          </w:p>
        </w:tc>
        <w:tc>
          <w:tcPr>
            <w:tcW w:w="5600" w:type="dxa"/>
            <w:vAlign w:val="bottom"/>
            <w:gridSpan w:val="17"/>
          </w:tcPr>
          <w:p>
            <w:pPr>
              <w:spacing w:after="0" w:line="20" w:lineRule="exact"/>
              <w:rPr>
                <w:sz w:val="1"/>
                <w:szCs w:val="1"/>
                <w:color w:val="auto"/>
              </w:rPr>
            </w:pPr>
          </w:p>
        </w:tc>
      </w:tr>
      <w:tr>
        <w:trPr>
          <w:trHeight w:val="176"/>
        </w:trPr>
        <w:tc>
          <w:tcPr>
            <w:tcW w:w="150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8520" w:type="dxa"/>
            <w:vAlign w:val="bottom"/>
            <w:gridSpan w:val="49"/>
            <w:shd w:val="clear" w:color="auto" w:fill="EEEEEE"/>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Executive Officers of the Registrant at March 1, 2004.</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25</w:t>
            </w:r>
          </w:p>
        </w:tc>
      </w:tr>
      <w:tr>
        <w:trPr>
          <w:trHeight w:val="21"/>
        </w:trPr>
        <w:tc>
          <w:tcPr>
            <w:tcW w:w="2140" w:type="dxa"/>
            <w:vAlign w:val="bottom"/>
            <w:tcBorders>
              <w:top w:val="single" w:sz="8" w:color="EEEEEE"/>
            </w:tcBorders>
            <w:gridSpan w:val="6"/>
            <w:shd w:val="clear" w:color="auto" w:fill="EEEEEE"/>
          </w:tcPr>
          <w:p>
            <w:pPr>
              <w:spacing w:after="0" w:line="20" w:lineRule="exact"/>
              <w:rPr>
                <w:sz w:val="1"/>
                <w:szCs w:val="1"/>
                <w:color w:val="auto"/>
              </w:rPr>
            </w:pPr>
          </w:p>
        </w:tc>
        <w:tc>
          <w:tcPr>
            <w:tcW w:w="3820" w:type="dxa"/>
            <w:vAlign w:val="bottom"/>
            <w:tcBorders>
              <w:top w:val="single" w:sz="8" w:color="0000EE"/>
            </w:tcBorders>
            <w:gridSpan w:val="37"/>
            <w:shd w:val="clear" w:color="auto" w:fill="EEEEEE"/>
          </w:tcPr>
          <w:p>
            <w:pPr>
              <w:spacing w:after="0" w:line="20" w:lineRule="exact"/>
              <w:rPr>
                <w:sz w:val="1"/>
                <w:szCs w:val="1"/>
                <w:color w:val="auto"/>
              </w:rPr>
            </w:pPr>
          </w:p>
        </w:tc>
        <w:tc>
          <w:tcPr>
            <w:tcW w:w="5460" w:type="dxa"/>
            <w:vAlign w:val="bottom"/>
            <w:tcBorders>
              <w:top w:val="single" w:sz="8" w:color="EEEEEE"/>
            </w:tcBorders>
            <w:gridSpan w:val="13"/>
            <w:shd w:val="clear" w:color="auto" w:fill="EEEEEE"/>
          </w:tcPr>
          <w:p>
            <w:pPr>
              <w:spacing w:after="0" w:line="20" w:lineRule="exact"/>
              <w:rPr>
                <w:sz w:val="1"/>
                <w:szCs w:val="1"/>
                <w:color w:val="auto"/>
              </w:rPr>
            </w:pPr>
          </w:p>
        </w:tc>
      </w:tr>
      <w:tr>
        <w:trPr>
          <w:trHeight w:val="176"/>
        </w:trPr>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4"/>
          </w:tcPr>
          <w:p>
            <w:pPr>
              <w:jc w:val="center"/>
              <w:ind w:right="4120"/>
              <w:spacing w:after="0" w:line="176" w:lineRule="exact"/>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760" w:type="dxa"/>
            <w:vAlign w:val="bottom"/>
          </w:tcPr>
          <w:p>
            <w:pPr>
              <w:spacing w:after="0"/>
              <w:rPr>
                <w:sz w:val="15"/>
                <w:szCs w:val="15"/>
                <w:color w:val="auto"/>
              </w:rPr>
            </w:pPr>
          </w:p>
        </w:tc>
      </w:tr>
      <w:tr>
        <w:trPr>
          <w:trHeight w:val="21"/>
        </w:trPr>
        <w:tc>
          <w:tcPr>
            <w:tcW w:w="5900" w:type="dxa"/>
            <w:vAlign w:val="bottom"/>
            <w:gridSpan w:val="41"/>
          </w:tcPr>
          <w:p>
            <w:pPr>
              <w:spacing w:after="0" w:line="20" w:lineRule="exact"/>
              <w:rPr>
                <w:sz w:val="1"/>
                <w:szCs w:val="1"/>
                <w:color w:val="auto"/>
              </w:rPr>
            </w:pPr>
          </w:p>
        </w:tc>
        <w:tc>
          <w:tcPr>
            <w:tcW w:w="640" w:type="dxa"/>
            <w:vAlign w:val="bottom"/>
            <w:tcBorders>
              <w:top w:val="single" w:sz="8" w:color="0000EE"/>
            </w:tcBorders>
            <w:gridSpan w:val="6"/>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r>
      <w:tr>
        <w:trPr>
          <w:trHeight w:val="17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5.</w:t>
              </w:r>
            </w:hyperlink>
          </w:p>
        </w:tc>
        <w:tc>
          <w:tcPr>
            <w:tcW w:w="180" w:type="dxa"/>
            <w:vAlign w:val="bottom"/>
            <w:shd w:val="clear" w:color="auto" w:fill="EEEEEE"/>
          </w:tcPr>
          <w:p>
            <w:pPr>
              <w:spacing w:after="0"/>
              <w:rPr>
                <w:sz w:val="15"/>
                <w:szCs w:val="15"/>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Market for the Registrant’s Common Equity and Related Stockholder Matters</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26</w:t>
            </w:r>
          </w:p>
        </w:tc>
      </w:tr>
      <w:tr>
        <w:trPr>
          <w:trHeight w:val="21"/>
        </w:trPr>
        <w:tc>
          <w:tcPr>
            <w:tcW w:w="1620" w:type="dxa"/>
            <w:vAlign w:val="bottom"/>
            <w:tcBorders>
              <w:top w:val="single" w:sz="8" w:color="EEEEEE"/>
            </w:tcBorders>
            <w:gridSpan w:val="3"/>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gridSpan w:val="2"/>
            <w:shd w:val="clear" w:color="auto" w:fill="EEEEEE"/>
          </w:tcPr>
          <w:p>
            <w:pPr>
              <w:spacing w:after="0" w:line="20" w:lineRule="exact"/>
              <w:rPr>
                <w:sz w:val="1"/>
                <w:szCs w:val="1"/>
                <w:color w:val="auto"/>
              </w:rPr>
            </w:pPr>
          </w:p>
        </w:tc>
        <w:tc>
          <w:tcPr>
            <w:tcW w:w="5460" w:type="dxa"/>
            <w:vAlign w:val="bottom"/>
            <w:tcBorders>
              <w:top w:val="single" w:sz="8" w:color="0000EE"/>
            </w:tcBorders>
            <w:gridSpan w:val="45"/>
            <w:shd w:val="clear" w:color="auto" w:fill="EEEEEE"/>
          </w:tcPr>
          <w:p>
            <w:pPr>
              <w:spacing w:after="0" w:line="20" w:lineRule="exact"/>
              <w:rPr>
                <w:sz w:val="1"/>
                <w:szCs w:val="1"/>
                <w:color w:val="auto"/>
              </w:rPr>
            </w:pPr>
          </w:p>
        </w:tc>
        <w:tc>
          <w:tcPr>
            <w:tcW w:w="3820" w:type="dxa"/>
            <w:vAlign w:val="bottom"/>
            <w:tcBorders>
              <w:top w:val="single" w:sz="8" w:color="EEEEEE"/>
            </w:tcBorders>
            <w:gridSpan w:val="5"/>
            <w:shd w:val="clear" w:color="auto" w:fill="EEEEEE"/>
          </w:tcPr>
          <w:p>
            <w:pPr>
              <w:spacing w:after="0" w:line="20" w:lineRule="exact"/>
              <w:rPr>
                <w:sz w:val="1"/>
                <w:szCs w:val="1"/>
                <w:color w:val="auto"/>
              </w:rPr>
            </w:pPr>
          </w:p>
        </w:tc>
      </w:tr>
      <w:tr>
        <w:trPr>
          <w:trHeight w:val="176"/>
        </w:trPr>
        <w:tc>
          <w:tcPr>
            <w:tcW w:w="1760" w:type="dxa"/>
            <w:vAlign w:val="bottom"/>
            <w:gridSpan w:val="4"/>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6.</w:t>
              </w:r>
            </w:hyperlink>
          </w:p>
        </w:tc>
        <w:tc>
          <w:tcPr>
            <w:tcW w:w="180" w:type="dxa"/>
            <w:vAlign w:val="bottom"/>
          </w:tcPr>
          <w:p>
            <w:pPr>
              <w:spacing w:after="0"/>
              <w:rPr>
                <w:sz w:val="15"/>
                <w:szCs w:val="15"/>
                <w:color w:val="auto"/>
              </w:rPr>
            </w:pPr>
          </w:p>
        </w:tc>
        <w:tc>
          <w:tcPr>
            <w:tcW w:w="8720" w:type="dxa"/>
            <w:vAlign w:val="bottom"/>
            <w:gridSpan w:val="50"/>
          </w:tcPr>
          <w:p>
            <w:pPr>
              <w:ind w:left="20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26</w:t>
            </w:r>
          </w:p>
        </w:tc>
      </w:tr>
      <w:tr>
        <w:trPr>
          <w:trHeight w:val="21"/>
        </w:trPr>
        <w:tc>
          <w:tcPr>
            <w:tcW w:w="1620" w:type="dxa"/>
            <w:vAlign w:val="bottom"/>
            <w:gridSpan w:val="3"/>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80" w:type="dxa"/>
            <w:vAlign w:val="bottom"/>
            <w:tcBorders>
              <w:top w:val="single" w:sz="8" w:color="0000EE"/>
            </w:tcBorders>
            <w:gridSpan w:val="11"/>
          </w:tcPr>
          <w:p>
            <w:pPr>
              <w:spacing w:after="0" w:line="20" w:lineRule="exact"/>
              <w:rPr>
                <w:sz w:val="1"/>
                <w:szCs w:val="1"/>
                <w:color w:val="auto"/>
              </w:rPr>
            </w:pPr>
          </w:p>
        </w:tc>
        <w:tc>
          <w:tcPr>
            <w:tcW w:w="7600" w:type="dxa"/>
            <w:vAlign w:val="bottom"/>
            <w:gridSpan w:val="39"/>
          </w:tcPr>
          <w:p>
            <w:pPr>
              <w:spacing w:after="0" w:line="20" w:lineRule="exact"/>
              <w:rPr>
                <w:sz w:val="1"/>
                <w:szCs w:val="1"/>
                <w:color w:val="auto"/>
              </w:rPr>
            </w:pPr>
          </w:p>
        </w:tc>
      </w:tr>
      <w:tr>
        <w:trPr>
          <w:trHeight w:val="17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7.</w:t>
              </w:r>
            </w:hyperlink>
          </w:p>
        </w:tc>
        <w:tc>
          <w:tcPr>
            <w:tcW w:w="180" w:type="dxa"/>
            <w:vAlign w:val="bottom"/>
            <w:shd w:val="clear" w:color="auto" w:fill="EEEEEE"/>
          </w:tcPr>
          <w:p>
            <w:pPr>
              <w:spacing w:after="0"/>
              <w:rPr>
                <w:sz w:val="15"/>
                <w:szCs w:val="15"/>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26</w:t>
            </w:r>
          </w:p>
        </w:tc>
      </w:tr>
      <w:tr>
        <w:trPr>
          <w:trHeight w:val="21"/>
        </w:trPr>
        <w:tc>
          <w:tcPr>
            <w:tcW w:w="1620" w:type="dxa"/>
            <w:vAlign w:val="bottom"/>
            <w:tcBorders>
              <w:top w:val="single" w:sz="8" w:color="EEEEEE"/>
            </w:tcBorders>
            <w:gridSpan w:val="3"/>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gridSpan w:val="2"/>
            <w:shd w:val="clear" w:color="auto" w:fill="EEEEEE"/>
          </w:tcPr>
          <w:p>
            <w:pPr>
              <w:spacing w:after="0" w:line="20" w:lineRule="exact"/>
              <w:rPr>
                <w:sz w:val="1"/>
                <w:szCs w:val="1"/>
                <w:color w:val="auto"/>
              </w:rPr>
            </w:pPr>
          </w:p>
        </w:tc>
        <w:tc>
          <w:tcPr>
            <w:tcW w:w="6300" w:type="dxa"/>
            <w:vAlign w:val="bottom"/>
            <w:tcBorders>
              <w:top w:val="single" w:sz="8" w:color="0000EE"/>
            </w:tcBorders>
            <w:gridSpan w:val="48"/>
            <w:shd w:val="clear" w:color="auto" w:fill="EEEEEE"/>
          </w:tcPr>
          <w:p>
            <w:pPr>
              <w:spacing w:after="0" w:line="20" w:lineRule="exact"/>
              <w:rPr>
                <w:sz w:val="1"/>
                <w:szCs w:val="1"/>
                <w:color w:val="auto"/>
              </w:rPr>
            </w:pPr>
          </w:p>
        </w:tc>
        <w:tc>
          <w:tcPr>
            <w:tcW w:w="2980" w:type="dxa"/>
            <w:vAlign w:val="bottom"/>
            <w:tcBorders>
              <w:top w:val="single" w:sz="8" w:color="EEEEEE"/>
            </w:tcBorders>
            <w:gridSpan w:val="2"/>
            <w:shd w:val="clear" w:color="auto" w:fill="EEEEEE"/>
          </w:tcPr>
          <w:p>
            <w:pPr>
              <w:spacing w:after="0" w:line="20" w:lineRule="exact"/>
              <w:rPr>
                <w:sz w:val="1"/>
                <w:szCs w:val="1"/>
                <w:color w:val="auto"/>
              </w:rPr>
            </w:pPr>
          </w:p>
        </w:tc>
      </w:tr>
      <w:tr>
        <w:trPr>
          <w:trHeight w:val="176"/>
        </w:trPr>
        <w:tc>
          <w:tcPr>
            <w:tcW w:w="1500" w:type="dxa"/>
            <w:vAlign w:val="bottom"/>
          </w:tcPr>
          <w:p>
            <w:pPr>
              <w:spacing w:after="0"/>
              <w:rPr>
                <w:sz w:val="15"/>
                <w:szCs w:val="15"/>
                <w:color w:val="auto"/>
              </w:rPr>
            </w:pPr>
          </w:p>
        </w:tc>
        <w:tc>
          <w:tcPr>
            <w:tcW w:w="440" w:type="dxa"/>
            <w:vAlign w:val="bottom"/>
            <w:gridSpan w:val="4"/>
          </w:tcPr>
          <w:p>
            <w:pPr>
              <w:jc w:val="right"/>
              <w:ind w:right="180"/>
              <w:spacing w:after="0" w:line="17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7A.</w:t>
              </w:r>
            </w:hyperlink>
          </w:p>
        </w:tc>
        <w:tc>
          <w:tcPr>
            <w:tcW w:w="8720" w:type="dxa"/>
            <w:vAlign w:val="bottom"/>
            <w:gridSpan w:val="50"/>
          </w:tcPr>
          <w:p>
            <w:pPr>
              <w:ind w:left="2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27</w:t>
            </w:r>
          </w:p>
        </w:tc>
      </w:tr>
      <w:tr>
        <w:trPr>
          <w:trHeight w:val="21"/>
        </w:trPr>
        <w:tc>
          <w:tcPr>
            <w:tcW w:w="1500" w:type="dxa"/>
            <w:vAlign w:val="bottom"/>
          </w:tcPr>
          <w:p>
            <w:pPr>
              <w:spacing w:after="0" w:line="20" w:lineRule="exact"/>
              <w:rPr>
                <w:sz w:val="1"/>
                <w:szCs w:val="1"/>
                <w:color w:val="auto"/>
              </w:rPr>
            </w:pPr>
          </w:p>
        </w:tc>
        <w:tc>
          <w:tcPr>
            <w:tcW w:w="260" w:type="dxa"/>
            <w:vAlign w:val="bottom"/>
            <w:tcBorders>
              <w:top w:val="single" w:sz="8" w:color="0000EE"/>
            </w:tcBorders>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60" w:type="dxa"/>
            <w:vAlign w:val="bottom"/>
            <w:tcBorders>
              <w:top w:val="single" w:sz="8" w:color="0000EE"/>
            </w:tcBorders>
            <w:gridSpan w:val="39"/>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r>
      <w:tr>
        <w:trPr>
          <w:trHeight w:val="17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8.</w:t>
              </w:r>
            </w:hyperlink>
          </w:p>
        </w:tc>
        <w:tc>
          <w:tcPr>
            <w:tcW w:w="180" w:type="dxa"/>
            <w:vAlign w:val="bottom"/>
            <w:shd w:val="clear" w:color="auto" w:fill="EEEEEE"/>
          </w:tcPr>
          <w:p>
            <w:pPr>
              <w:spacing w:after="0"/>
              <w:rPr>
                <w:sz w:val="15"/>
                <w:szCs w:val="15"/>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27</w:t>
            </w:r>
          </w:p>
        </w:tc>
      </w:tr>
      <w:tr>
        <w:trPr>
          <w:trHeight w:val="21"/>
        </w:trPr>
        <w:tc>
          <w:tcPr>
            <w:tcW w:w="1620" w:type="dxa"/>
            <w:vAlign w:val="bottom"/>
            <w:tcBorders>
              <w:top w:val="single" w:sz="8" w:color="EEEEEE"/>
            </w:tcBorders>
            <w:gridSpan w:val="3"/>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EEEEEE"/>
            </w:tcBorders>
            <w:gridSpan w:val="2"/>
            <w:shd w:val="clear" w:color="auto" w:fill="EEEEEE"/>
          </w:tcPr>
          <w:p>
            <w:pPr>
              <w:spacing w:after="0" w:line="20" w:lineRule="exact"/>
              <w:rPr>
                <w:sz w:val="1"/>
                <w:szCs w:val="1"/>
                <w:color w:val="auto"/>
              </w:rPr>
            </w:pPr>
          </w:p>
        </w:tc>
        <w:tc>
          <w:tcPr>
            <w:tcW w:w="3260" w:type="dxa"/>
            <w:vAlign w:val="bottom"/>
            <w:tcBorders>
              <w:top w:val="single" w:sz="8" w:color="0000EE"/>
            </w:tcBorders>
            <w:gridSpan w:val="27"/>
            <w:shd w:val="clear" w:color="auto" w:fill="EEEEEE"/>
          </w:tcPr>
          <w:p>
            <w:pPr>
              <w:spacing w:after="0" w:line="20" w:lineRule="exact"/>
              <w:rPr>
                <w:sz w:val="1"/>
                <w:szCs w:val="1"/>
                <w:color w:val="auto"/>
              </w:rPr>
            </w:pPr>
          </w:p>
        </w:tc>
        <w:tc>
          <w:tcPr>
            <w:tcW w:w="6020" w:type="dxa"/>
            <w:vAlign w:val="bottom"/>
            <w:tcBorders>
              <w:top w:val="single" w:sz="8" w:color="EEEEEE"/>
            </w:tcBorders>
            <w:gridSpan w:val="23"/>
            <w:shd w:val="clear" w:color="auto" w:fill="EEEEEE"/>
          </w:tcPr>
          <w:p>
            <w:pPr>
              <w:spacing w:after="0" w:line="20" w:lineRule="exact"/>
              <w:rPr>
                <w:sz w:val="1"/>
                <w:szCs w:val="1"/>
                <w:color w:val="auto"/>
              </w:rPr>
            </w:pPr>
          </w:p>
        </w:tc>
      </w:tr>
      <w:tr>
        <w:trPr>
          <w:trHeight w:val="176"/>
        </w:trPr>
        <w:tc>
          <w:tcPr>
            <w:tcW w:w="1760" w:type="dxa"/>
            <w:vAlign w:val="bottom"/>
            <w:gridSpan w:val="4"/>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9.</w:t>
              </w:r>
            </w:hyperlink>
          </w:p>
        </w:tc>
        <w:tc>
          <w:tcPr>
            <w:tcW w:w="180" w:type="dxa"/>
            <w:vAlign w:val="bottom"/>
          </w:tcPr>
          <w:p>
            <w:pPr>
              <w:spacing w:after="0"/>
              <w:rPr>
                <w:sz w:val="15"/>
                <w:szCs w:val="15"/>
                <w:color w:val="auto"/>
              </w:rPr>
            </w:pPr>
          </w:p>
        </w:tc>
        <w:tc>
          <w:tcPr>
            <w:tcW w:w="8720" w:type="dxa"/>
            <w:vAlign w:val="bottom"/>
            <w:gridSpan w:val="50"/>
          </w:tcPr>
          <w:p>
            <w:pPr>
              <w:ind w:left="2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Changes in and Disagreements with Auditors on Accounting and Financial Disclosure</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27</w:t>
            </w:r>
          </w:p>
        </w:tc>
      </w:tr>
      <w:tr>
        <w:trPr>
          <w:trHeight w:val="21"/>
        </w:trPr>
        <w:tc>
          <w:tcPr>
            <w:tcW w:w="1620" w:type="dxa"/>
            <w:vAlign w:val="bottom"/>
            <w:gridSpan w:val="3"/>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60" w:type="dxa"/>
            <w:vAlign w:val="bottom"/>
            <w:tcBorders>
              <w:top w:val="single" w:sz="8" w:color="0000EE"/>
            </w:tcBorders>
            <w:gridSpan w:val="47"/>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96"/>
        </w:trPr>
        <w:tc>
          <w:tcPr>
            <w:tcW w:w="1500" w:type="dxa"/>
            <w:vAlign w:val="bottom"/>
            <w:shd w:val="clear" w:color="auto" w:fill="EEEEEE"/>
          </w:tcPr>
          <w:p>
            <w:pPr>
              <w:spacing w:after="0"/>
              <w:rPr>
                <w:sz w:val="17"/>
                <w:szCs w:val="17"/>
                <w:color w:val="auto"/>
              </w:rPr>
            </w:pPr>
          </w:p>
        </w:tc>
        <w:tc>
          <w:tcPr>
            <w:tcW w:w="440" w:type="dxa"/>
            <w:vAlign w:val="bottom"/>
            <w:gridSpan w:val="4"/>
            <w:shd w:val="clear" w:color="auto" w:fill="EEEEEE"/>
          </w:tcPr>
          <w:p>
            <w:pPr>
              <w:jc w:val="right"/>
              <w:ind w:right="180"/>
              <w:spacing w:after="0" w:line="17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9A.</w:t>
              </w:r>
            </w:hyperlink>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27</w:t>
            </w:r>
          </w:p>
        </w:tc>
      </w:tr>
      <w:tr>
        <w:trPr>
          <w:trHeight w:val="176"/>
        </w:trPr>
        <w:tc>
          <w:tcPr>
            <w:tcW w:w="1500" w:type="dxa"/>
            <w:vAlign w:val="bottom"/>
            <w:tcBorders>
              <w:top w:val="single" w:sz="8" w:color="EEEE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00" w:type="dxa"/>
            <w:vAlign w:val="bottom"/>
            <w:tcBorders>
              <w:top w:val="single" w:sz="8" w:color="EEEE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3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20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4840" w:type="dxa"/>
            <w:vAlign w:val="bottom"/>
            <w:tcBorders>
              <w:top w:val="single" w:sz="8" w:color="EEEEEE"/>
            </w:tcBorders>
            <w:gridSpan w:val="16"/>
          </w:tcPr>
          <w:p>
            <w:pPr>
              <w:jc w:val="center"/>
              <w:ind w:right="4020"/>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III</w:t>
              </w:r>
            </w:hyperlink>
          </w:p>
        </w:tc>
        <w:tc>
          <w:tcPr>
            <w:tcW w:w="760" w:type="dxa"/>
            <w:vAlign w:val="bottom"/>
            <w:tcBorders>
              <w:top w:val="single" w:sz="8" w:color="EEEEEE"/>
            </w:tcBorders>
          </w:tcPr>
          <w:p>
            <w:pPr>
              <w:spacing w:after="0"/>
              <w:rPr>
                <w:sz w:val="15"/>
                <w:szCs w:val="15"/>
                <w:color w:val="auto"/>
              </w:rPr>
            </w:pPr>
          </w:p>
        </w:tc>
      </w:tr>
      <w:tr>
        <w:trPr>
          <w:trHeight w:val="21"/>
        </w:trPr>
        <w:tc>
          <w:tcPr>
            <w:tcW w:w="5880" w:type="dxa"/>
            <w:vAlign w:val="bottom"/>
            <w:gridSpan w:val="40"/>
          </w:tcPr>
          <w:p>
            <w:pPr>
              <w:spacing w:after="0" w:line="20" w:lineRule="exact"/>
              <w:rPr>
                <w:sz w:val="1"/>
                <w:szCs w:val="1"/>
                <w:color w:val="auto"/>
              </w:rPr>
            </w:pPr>
          </w:p>
        </w:tc>
        <w:tc>
          <w:tcPr>
            <w:tcW w:w="700" w:type="dxa"/>
            <w:vAlign w:val="bottom"/>
            <w:tcBorders>
              <w:top w:val="single" w:sz="8" w:color="0000EE"/>
            </w:tcBorders>
            <w:gridSpan w:val="8"/>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r>
      <w:tr>
        <w:trPr>
          <w:trHeight w:val="17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10.</w:t>
              </w:r>
            </w:hyperlink>
          </w:p>
        </w:tc>
        <w:tc>
          <w:tcPr>
            <w:tcW w:w="180" w:type="dxa"/>
            <w:vAlign w:val="bottom"/>
            <w:shd w:val="clear" w:color="auto" w:fill="EEEEEE"/>
          </w:tcPr>
          <w:p>
            <w:pPr>
              <w:spacing w:after="0"/>
              <w:rPr>
                <w:sz w:val="15"/>
                <w:szCs w:val="15"/>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Directors and Executive Officers of the Registrant</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28</w:t>
            </w:r>
          </w:p>
        </w:tc>
      </w:tr>
      <w:tr>
        <w:trPr>
          <w:trHeight w:val="21"/>
        </w:trPr>
        <w:tc>
          <w:tcPr>
            <w:tcW w:w="1540" w:type="dxa"/>
            <w:vAlign w:val="bottom"/>
            <w:tcBorders>
              <w:top w:val="single" w:sz="8" w:color="EEEEEE"/>
            </w:tcBorders>
            <w:gridSpan w:val="2"/>
            <w:shd w:val="clear" w:color="auto" w:fill="EEEEEE"/>
          </w:tcPr>
          <w:p>
            <w:pPr>
              <w:spacing w:after="0" w:line="20" w:lineRule="exact"/>
              <w:rPr>
                <w:sz w:val="1"/>
                <w:szCs w:val="1"/>
                <w:color w:val="auto"/>
              </w:rPr>
            </w:pPr>
          </w:p>
        </w:tc>
        <w:tc>
          <w:tcPr>
            <w:tcW w:w="220" w:type="dxa"/>
            <w:vAlign w:val="bottom"/>
            <w:tcBorders>
              <w:top w:val="single" w:sz="8" w:color="0000EE"/>
            </w:tcBorders>
            <w:gridSpan w:val="2"/>
            <w:shd w:val="clear" w:color="auto" w:fill="EEEEEE"/>
          </w:tcPr>
          <w:p>
            <w:pPr>
              <w:spacing w:after="0" w:line="20" w:lineRule="exact"/>
              <w:rPr>
                <w:sz w:val="1"/>
                <w:szCs w:val="1"/>
                <w:color w:val="auto"/>
              </w:rPr>
            </w:pPr>
          </w:p>
        </w:tc>
        <w:tc>
          <w:tcPr>
            <w:tcW w:w="380" w:type="dxa"/>
            <w:vAlign w:val="bottom"/>
            <w:tcBorders>
              <w:top w:val="single" w:sz="8" w:color="EEEEEE"/>
            </w:tcBorders>
            <w:gridSpan w:val="2"/>
            <w:shd w:val="clear" w:color="auto" w:fill="EEEEEE"/>
          </w:tcPr>
          <w:p>
            <w:pPr>
              <w:spacing w:after="0" w:line="20" w:lineRule="exact"/>
              <w:rPr>
                <w:sz w:val="1"/>
                <w:szCs w:val="1"/>
                <w:color w:val="auto"/>
              </w:rPr>
            </w:pPr>
          </w:p>
        </w:tc>
        <w:tc>
          <w:tcPr>
            <w:tcW w:w="3540" w:type="dxa"/>
            <w:vAlign w:val="bottom"/>
            <w:tcBorders>
              <w:top w:val="single" w:sz="8" w:color="0000EE"/>
            </w:tcBorders>
            <w:gridSpan w:val="31"/>
            <w:shd w:val="clear" w:color="auto" w:fill="EEEEEE"/>
          </w:tcPr>
          <w:p>
            <w:pPr>
              <w:spacing w:after="0" w:line="20" w:lineRule="exact"/>
              <w:rPr>
                <w:sz w:val="1"/>
                <w:szCs w:val="1"/>
                <w:color w:val="auto"/>
              </w:rPr>
            </w:pPr>
          </w:p>
        </w:tc>
        <w:tc>
          <w:tcPr>
            <w:tcW w:w="5740" w:type="dxa"/>
            <w:vAlign w:val="bottom"/>
            <w:tcBorders>
              <w:top w:val="single" w:sz="8" w:color="EEEEEE"/>
            </w:tcBorders>
            <w:gridSpan w:val="19"/>
            <w:shd w:val="clear" w:color="auto" w:fill="EEEEEE"/>
          </w:tcPr>
          <w:p>
            <w:pPr>
              <w:spacing w:after="0" w:line="20" w:lineRule="exact"/>
              <w:rPr>
                <w:sz w:val="1"/>
                <w:szCs w:val="1"/>
                <w:color w:val="auto"/>
              </w:rPr>
            </w:pPr>
          </w:p>
        </w:tc>
      </w:tr>
      <w:tr>
        <w:trPr>
          <w:trHeight w:val="176"/>
        </w:trPr>
        <w:tc>
          <w:tcPr>
            <w:tcW w:w="1760" w:type="dxa"/>
            <w:vAlign w:val="bottom"/>
            <w:gridSpan w:val="4"/>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11.</w:t>
              </w:r>
            </w:hyperlink>
          </w:p>
        </w:tc>
        <w:tc>
          <w:tcPr>
            <w:tcW w:w="180" w:type="dxa"/>
            <w:vAlign w:val="bottom"/>
          </w:tcPr>
          <w:p>
            <w:pPr>
              <w:spacing w:after="0"/>
              <w:rPr>
                <w:sz w:val="15"/>
                <w:szCs w:val="15"/>
                <w:color w:val="auto"/>
              </w:rPr>
            </w:pPr>
          </w:p>
        </w:tc>
        <w:tc>
          <w:tcPr>
            <w:tcW w:w="8720" w:type="dxa"/>
            <w:vAlign w:val="bottom"/>
            <w:gridSpan w:val="50"/>
          </w:tcPr>
          <w:p>
            <w:pPr>
              <w:ind w:left="2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Executive Compensation</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28</w:t>
            </w:r>
          </w:p>
        </w:tc>
      </w:tr>
      <w:tr>
        <w:trPr>
          <w:trHeight w:val="21"/>
        </w:trPr>
        <w:tc>
          <w:tcPr>
            <w:tcW w:w="1540" w:type="dxa"/>
            <w:vAlign w:val="bottom"/>
            <w:gridSpan w:val="2"/>
          </w:tcPr>
          <w:p>
            <w:pPr>
              <w:spacing w:after="0" w:line="20" w:lineRule="exact"/>
              <w:rPr>
                <w:sz w:val="1"/>
                <w:szCs w:val="1"/>
                <w:color w:val="auto"/>
              </w:rPr>
            </w:pPr>
          </w:p>
        </w:tc>
        <w:tc>
          <w:tcPr>
            <w:tcW w:w="220" w:type="dxa"/>
            <w:vAlign w:val="bottom"/>
            <w:tcBorders>
              <w:top w:val="single" w:sz="8" w:color="0000EE"/>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60" w:type="dxa"/>
            <w:vAlign w:val="bottom"/>
            <w:tcBorders>
              <w:top w:val="single" w:sz="8" w:color="0000EE"/>
            </w:tcBorders>
            <w:gridSpan w:val="13"/>
          </w:tcPr>
          <w:p>
            <w:pPr>
              <w:spacing w:after="0" w:line="20" w:lineRule="exact"/>
              <w:rPr>
                <w:sz w:val="1"/>
                <w:szCs w:val="1"/>
                <w:color w:val="auto"/>
              </w:rPr>
            </w:pPr>
          </w:p>
        </w:tc>
        <w:tc>
          <w:tcPr>
            <w:tcW w:w="7520" w:type="dxa"/>
            <w:vAlign w:val="bottom"/>
            <w:gridSpan w:val="37"/>
          </w:tcPr>
          <w:p>
            <w:pPr>
              <w:spacing w:after="0" w:line="20" w:lineRule="exact"/>
              <w:rPr>
                <w:sz w:val="1"/>
                <w:szCs w:val="1"/>
                <w:color w:val="auto"/>
              </w:rPr>
            </w:pPr>
          </w:p>
        </w:tc>
      </w:tr>
      <w:tr>
        <w:trPr>
          <w:trHeight w:val="17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12.</w:t>
              </w:r>
            </w:hyperlink>
          </w:p>
        </w:tc>
        <w:tc>
          <w:tcPr>
            <w:tcW w:w="180" w:type="dxa"/>
            <w:vAlign w:val="bottom"/>
            <w:shd w:val="clear" w:color="auto" w:fill="EEEEEE"/>
          </w:tcPr>
          <w:p>
            <w:pPr>
              <w:spacing w:after="0"/>
              <w:rPr>
                <w:sz w:val="15"/>
                <w:szCs w:val="15"/>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Security Ownership of Certain Beneficial Owners and Management</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28</w:t>
            </w:r>
          </w:p>
        </w:tc>
      </w:tr>
      <w:tr>
        <w:trPr>
          <w:trHeight w:val="21"/>
        </w:trPr>
        <w:tc>
          <w:tcPr>
            <w:tcW w:w="1540" w:type="dxa"/>
            <w:vAlign w:val="bottom"/>
            <w:tcBorders>
              <w:top w:val="single" w:sz="8" w:color="EEEEEE"/>
            </w:tcBorders>
            <w:gridSpan w:val="2"/>
            <w:shd w:val="clear" w:color="auto" w:fill="EEEEEE"/>
          </w:tcPr>
          <w:p>
            <w:pPr>
              <w:spacing w:after="0" w:line="20" w:lineRule="exact"/>
              <w:rPr>
                <w:sz w:val="1"/>
                <w:szCs w:val="1"/>
                <w:color w:val="auto"/>
              </w:rPr>
            </w:pPr>
          </w:p>
        </w:tc>
        <w:tc>
          <w:tcPr>
            <w:tcW w:w="220" w:type="dxa"/>
            <w:vAlign w:val="bottom"/>
            <w:tcBorders>
              <w:top w:val="single" w:sz="8" w:color="0000EE"/>
            </w:tcBorders>
            <w:gridSpan w:val="2"/>
            <w:shd w:val="clear" w:color="auto" w:fill="EEEEEE"/>
          </w:tcPr>
          <w:p>
            <w:pPr>
              <w:spacing w:after="0" w:line="20" w:lineRule="exact"/>
              <w:rPr>
                <w:sz w:val="1"/>
                <w:szCs w:val="1"/>
                <w:color w:val="auto"/>
              </w:rPr>
            </w:pPr>
          </w:p>
        </w:tc>
        <w:tc>
          <w:tcPr>
            <w:tcW w:w="380" w:type="dxa"/>
            <w:vAlign w:val="bottom"/>
            <w:tcBorders>
              <w:top w:val="single" w:sz="8" w:color="EEEEEE"/>
            </w:tcBorders>
            <w:gridSpan w:val="2"/>
            <w:shd w:val="clear" w:color="auto" w:fill="EEEEEE"/>
          </w:tcPr>
          <w:p>
            <w:pPr>
              <w:spacing w:after="0" w:line="20" w:lineRule="exact"/>
              <w:rPr>
                <w:sz w:val="1"/>
                <w:szCs w:val="1"/>
                <w:color w:val="auto"/>
              </w:rPr>
            </w:pPr>
          </w:p>
        </w:tc>
        <w:tc>
          <w:tcPr>
            <w:tcW w:w="4760" w:type="dxa"/>
            <w:vAlign w:val="bottom"/>
            <w:tcBorders>
              <w:top w:val="single" w:sz="8" w:color="0000EE"/>
            </w:tcBorders>
            <w:gridSpan w:val="44"/>
            <w:shd w:val="clear" w:color="auto" w:fill="EEEEEE"/>
          </w:tcPr>
          <w:p>
            <w:pPr>
              <w:spacing w:after="0" w:line="20" w:lineRule="exact"/>
              <w:rPr>
                <w:sz w:val="1"/>
                <w:szCs w:val="1"/>
                <w:color w:val="auto"/>
              </w:rPr>
            </w:pPr>
          </w:p>
        </w:tc>
        <w:tc>
          <w:tcPr>
            <w:tcW w:w="4520" w:type="dxa"/>
            <w:vAlign w:val="bottom"/>
            <w:tcBorders>
              <w:top w:val="single" w:sz="8" w:color="EEEEEE"/>
            </w:tcBorders>
            <w:gridSpan w:val="6"/>
            <w:shd w:val="clear" w:color="auto" w:fill="EEEEEE"/>
          </w:tcPr>
          <w:p>
            <w:pPr>
              <w:spacing w:after="0" w:line="20" w:lineRule="exact"/>
              <w:rPr>
                <w:sz w:val="1"/>
                <w:szCs w:val="1"/>
                <w:color w:val="auto"/>
              </w:rPr>
            </w:pPr>
          </w:p>
        </w:tc>
      </w:tr>
      <w:tr>
        <w:trPr>
          <w:trHeight w:val="176"/>
        </w:trPr>
        <w:tc>
          <w:tcPr>
            <w:tcW w:w="1760" w:type="dxa"/>
            <w:vAlign w:val="bottom"/>
            <w:gridSpan w:val="4"/>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13.</w:t>
              </w:r>
            </w:hyperlink>
          </w:p>
        </w:tc>
        <w:tc>
          <w:tcPr>
            <w:tcW w:w="180" w:type="dxa"/>
            <w:vAlign w:val="bottom"/>
          </w:tcPr>
          <w:p>
            <w:pPr>
              <w:spacing w:after="0"/>
              <w:rPr>
                <w:sz w:val="15"/>
                <w:szCs w:val="15"/>
                <w:color w:val="auto"/>
              </w:rPr>
            </w:pPr>
          </w:p>
        </w:tc>
        <w:tc>
          <w:tcPr>
            <w:tcW w:w="8720" w:type="dxa"/>
            <w:vAlign w:val="bottom"/>
            <w:gridSpan w:val="50"/>
          </w:tcPr>
          <w:p>
            <w:pPr>
              <w:ind w:left="2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Certain Relationships and Related Transactions</w:t>
              </w:r>
            </w:hyperlink>
          </w:p>
        </w:tc>
        <w:tc>
          <w:tcPr>
            <w:tcW w:w="760" w:type="dxa"/>
            <w:vAlign w:val="bottom"/>
          </w:tcPr>
          <w:p>
            <w:pPr>
              <w:jc w:val="right"/>
              <w:ind w:right="133"/>
              <w:spacing w:after="0" w:line="176" w:lineRule="exact"/>
              <w:rPr>
                <w:sz w:val="20"/>
                <w:szCs w:val="20"/>
                <w:color w:val="auto"/>
              </w:rPr>
            </w:pPr>
            <w:r>
              <w:rPr>
                <w:rFonts w:ascii="Arial" w:cs="Arial" w:eastAsia="Arial" w:hAnsi="Arial"/>
                <w:sz w:val="18"/>
                <w:szCs w:val="18"/>
                <w:color w:val="auto"/>
              </w:rPr>
              <w:t>28</w:t>
            </w:r>
          </w:p>
        </w:tc>
      </w:tr>
      <w:tr>
        <w:trPr>
          <w:trHeight w:val="21"/>
        </w:trPr>
        <w:tc>
          <w:tcPr>
            <w:tcW w:w="1540" w:type="dxa"/>
            <w:vAlign w:val="bottom"/>
            <w:gridSpan w:val="2"/>
          </w:tcPr>
          <w:p>
            <w:pPr>
              <w:spacing w:after="0" w:line="20" w:lineRule="exact"/>
              <w:rPr>
                <w:sz w:val="1"/>
                <w:szCs w:val="1"/>
                <w:color w:val="auto"/>
              </w:rPr>
            </w:pPr>
          </w:p>
        </w:tc>
        <w:tc>
          <w:tcPr>
            <w:tcW w:w="220" w:type="dxa"/>
            <w:vAlign w:val="bottom"/>
            <w:tcBorders>
              <w:top w:val="single" w:sz="8" w:color="0000EE"/>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40" w:type="dxa"/>
            <w:vAlign w:val="bottom"/>
            <w:tcBorders>
              <w:top w:val="single" w:sz="8" w:color="0000EE"/>
            </w:tcBorders>
            <w:gridSpan w:val="28"/>
          </w:tcPr>
          <w:p>
            <w:pPr>
              <w:spacing w:after="0" w:line="20" w:lineRule="exact"/>
              <w:rPr>
                <w:sz w:val="1"/>
                <w:szCs w:val="1"/>
                <w:color w:val="auto"/>
              </w:rPr>
            </w:pPr>
          </w:p>
        </w:tc>
        <w:tc>
          <w:tcPr>
            <w:tcW w:w="5940" w:type="dxa"/>
            <w:vAlign w:val="bottom"/>
            <w:gridSpan w:val="22"/>
          </w:tcPr>
          <w:p>
            <w:pPr>
              <w:spacing w:after="0" w:line="20" w:lineRule="exact"/>
              <w:rPr>
                <w:sz w:val="1"/>
                <w:szCs w:val="1"/>
                <w:color w:val="auto"/>
              </w:rPr>
            </w:pPr>
          </w:p>
        </w:tc>
      </w:tr>
      <w:tr>
        <w:trPr>
          <w:trHeight w:val="19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14.</w:t>
              </w:r>
            </w:hyperlink>
          </w:p>
        </w:tc>
        <w:tc>
          <w:tcPr>
            <w:tcW w:w="180" w:type="dxa"/>
            <w:vAlign w:val="bottom"/>
            <w:shd w:val="clear" w:color="auto" w:fill="EEEEEE"/>
          </w:tcPr>
          <w:p>
            <w:pPr>
              <w:spacing w:after="0"/>
              <w:rPr>
                <w:sz w:val="17"/>
                <w:szCs w:val="17"/>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Principal Auditor Fees and Services</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29</w:t>
            </w:r>
          </w:p>
        </w:tc>
      </w:tr>
      <w:tr>
        <w:trPr>
          <w:trHeight w:val="176"/>
        </w:trPr>
        <w:tc>
          <w:tcPr>
            <w:tcW w:w="15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00" w:type="dxa"/>
            <w:vAlign w:val="bottom"/>
            <w:tcBorders>
              <w:top w:val="single" w:sz="8" w:color="EEEE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20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4780" w:type="dxa"/>
            <w:vAlign w:val="bottom"/>
            <w:tcBorders>
              <w:top w:val="single" w:sz="8" w:color="EEEEEE"/>
            </w:tcBorders>
            <w:gridSpan w:val="15"/>
          </w:tcPr>
          <w:p>
            <w:pPr>
              <w:jc w:val="center"/>
              <w:ind w:right="4080"/>
              <w:spacing w:after="0" w:line="176"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PART IV</w:t>
              </w:r>
            </w:hyperlink>
          </w:p>
        </w:tc>
        <w:tc>
          <w:tcPr>
            <w:tcW w:w="760" w:type="dxa"/>
            <w:vAlign w:val="bottom"/>
            <w:tcBorders>
              <w:top w:val="single" w:sz="8" w:color="EEEEEE"/>
            </w:tcBorders>
          </w:tcPr>
          <w:p>
            <w:pPr>
              <w:spacing w:after="0"/>
              <w:rPr>
                <w:sz w:val="15"/>
                <w:szCs w:val="15"/>
                <w:color w:val="auto"/>
              </w:rPr>
            </w:pPr>
          </w:p>
        </w:tc>
      </w:tr>
      <w:tr>
        <w:trPr>
          <w:trHeight w:val="21"/>
        </w:trPr>
        <w:tc>
          <w:tcPr>
            <w:tcW w:w="5880" w:type="dxa"/>
            <w:vAlign w:val="bottom"/>
            <w:gridSpan w:val="40"/>
          </w:tcPr>
          <w:p>
            <w:pPr>
              <w:spacing w:after="0" w:line="20" w:lineRule="exact"/>
              <w:rPr>
                <w:sz w:val="1"/>
                <w:szCs w:val="1"/>
                <w:color w:val="auto"/>
              </w:rPr>
            </w:pPr>
          </w:p>
        </w:tc>
        <w:tc>
          <w:tcPr>
            <w:tcW w:w="700" w:type="dxa"/>
            <w:vAlign w:val="bottom"/>
            <w:tcBorders>
              <w:top w:val="single" w:sz="8" w:color="0000EE"/>
            </w:tcBorders>
            <w:gridSpan w:val="8"/>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r>
      <w:tr>
        <w:trPr>
          <w:trHeight w:val="196"/>
        </w:trPr>
        <w:tc>
          <w:tcPr>
            <w:tcW w:w="1760" w:type="dxa"/>
            <w:vAlign w:val="bottom"/>
            <w:gridSpan w:val="4"/>
            <w:shd w:val="clear" w:color="auto" w:fill="EEEEEE"/>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15.</w:t>
              </w:r>
            </w:hyperlink>
          </w:p>
        </w:tc>
        <w:tc>
          <w:tcPr>
            <w:tcW w:w="180" w:type="dxa"/>
            <w:vAlign w:val="bottom"/>
            <w:shd w:val="clear" w:color="auto" w:fill="EEEEEE"/>
          </w:tcPr>
          <w:p>
            <w:pPr>
              <w:spacing w:after="0"/>
              <w:rPr>
                <w:sz w:val="17"/>
                <w:szCs w:val="17"/>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 Financial Statement Schedules and Reports on Form 8-K</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30</w:t>
            </w:r>
          </w:p>
        </w:tc>
      </w:tr>
      <w:tr>
        <w:trPr>
          <w:trHeight w:val="176"/>
        </w:trPr>
        <w:tc>
          <w:tcPr>
            <w:tcW w:w="15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00" w:type="dxa"/>
            <w:vAlign w:val="bottom"/>
            <w:tcBorders>
              <w:top w:val="single" w:sz="8" w:color="EEEEEE"/>
            </w:tcBorders>
          </w:tcPr>
          <w:p>
            <w:pPr>
              <w:spacing w:after="0"/>
              <w:rPr>
                <w:sz w:val="15"/>
                <w:szCs w:val="15"/>
                <w:color w:val="auto"/>
              </w:rPr>
            </w:pPr>
          </w:p>
        </w:tc>
        <w:tc>
          <w:tcPr>
            <w:tcW w:w="4680" w:type="dxa"/>
            <w:vAlign w:val="bottom"/>
            <w:tcBorders>
              <w:top w:val="single" w:sz="8" w:color="0000EE"/>
            </w:tcBorders>
            <w:gridSpan w:val="4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Schedule II — Valuation and Qualifying Accounts</w:t>
              </w:r>
            </w:hyperlink>
          </w:p>
        </w:tc>
        <w:tc>
          <w:tcPr>
            <w:tcW w:w="3840" w:type="dxa"/>
            <w:vAlign w:val="bottom"/>
            <w:tcBorders>
              <w:top w:val="single" w:sz="8" w:color="EEEEEE"/>
            </w:tcBorders>
            <w:gridSpan w:val="6"/>
          </w:tcPr>
          <w:p>
            <w:pPr>
              <w:spacing w:after="0"/>
              <w:rPr>
                <w:sz w:val="15"/>
                <w:szCs w:val="15"/>
                <w:color w:val="auto"/>
              </w:rPr>
            </w:pPr>
          </w:p>
        </w:tc>
        <w:tc>
          <w:tcPr>
            <w:tcW w:w="760" w:type="dxa"/>
            <w:vAlign w:val="bottom"/>
            <w:tcBorders>
              <w:top w:val="single" w:sz="8" w:color="EEEEEE"/>
            </w:tcBorders>
          </w:tcPr>
          <w:p>
            <w:pPr>
              <w:jc w:val="right"/>
              <w:ind w:right="133"/>
              <w:spacing w:after="0" w:line="176" w:lineRule="exact"/>
              <w:rPr>
                <w:sz w:val="20"/>
                <w:szCs w:val="20"/>
                <w:color w:val="auto"/>
              </w:rPr>
            </w:pPr>
            <w:r>
              <w:rPr>
                <w:rFonts w:ascii="Arial" w:cs="Arial" w:eastAsia="Arial" w:hAnsi="Arial"/>
                <w:sz w:val="18"/>
                <w:szCs w:val="18"/>
                <w:color w:val="auto"/>
              </w:rPr>
              <w:t>31</w:t>
            </w:r>
          </w:p>
        </w:tc>
      </w:tr>
      <w:tr>
        <w:trPr>
          <w:trHeight w:val="21"/>
        </w:trPr>
        <w:tc>
          <w:tcPr>
            <w:tcW w:w="2140" w:type="dxa"/>
            <w:vAlign w:val="bottom"/>
            <w:gridSpan w:val="6"/>
          </w:tcPr>
          <w:p>
            <w:pPr>
              <w:spacing w:after="0" w:line="20" w:lineRule="exact"/>
              <w:rPr>
                <w:sz w:val="1"/>
                <w:szCs w:val="1"/>
                <w:color w:val="auto"/>
              </w:rPr>
            </w:pPr>
          </w:p>
        </w:tc>
        <w:tc>
          <w:tcPr>
            <w:tcW w:w="3560" w:type="dxa"/>
            <w:vAlign w:val="bottom"/>
            <w:tcBorders>
              <w:top w:val="single" w:sz="8" w:color="0000EE"/>
            </w:tcBorders>
            <w:gridSpan w:val="32"/>
          </w:tcPr>
          <w:p>
            <w:pPr>
              <w:spacing w:after="0" w:line="20" w:lineRule="exact"/>
              <w:rPr>
                <w:sz w:val="1"/>
                <w:szCs w:val="1"/>
                <w:color w:val="auto"/>
              </w:rPr>
            </w:pPr>
          </w:p>
        </w:tc>
        <w:tc>
          <w:tcPr>
            <w:tcW w:w="5720" w:type="dxa"/>
            <w:vAlign w:val="bottom"/>
            <w:gridSpan w:val="18"/>
          </w:tcPr>
          <w:p>
            <w:pPr>
              <w:spacing w:after="0" w:line="20" w:lineRule="exact"/>
              <w:rPr>
                <w:sz w:val="1"/>
                <w:szCs w:val="1"/>
                <w:color w:val="auto"/>
              </w:rPr>
            </w:pPr>
          </w:p>
        </w:tc>
      </w:tr>
      <w:tr>
        <w:trPr>
          <w:trHeight w:val="176"/>
        </w:trPr>
        <w:tc>
          <w:tcPr>
            <w:tcW w:w="150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8720" w:type="dxa"/>
            <w:vAlign w:val="bottom"/>
            <w:gridSpan w:val="50"/>
            <w:shd w:val="clear" w:color="auto" w:fill="EEEEEE"/>
          </w:tcPr>
          <w:p>
            <w:pPr>
              <w:ind w:left="2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760" w:type="dxa"/>
            <w:vAlign w:val="bottom"/>
            <w:shd w:val="clear" w:color="auto" w:fill="EEEEEE"/>
          </w:tcPr>
          <w:p>
            <w:pPr>
              <w:jc w:val="right"/>
              <w:ind w:right="133"/>
              <w:spacing w:after="0" w:line="176" w:lineRule="exact"/>
              <w:rPr>
                <w:sz w:val="20"/>
                <w:szCs w:val="20"/>
                <w:color w:val="auto"/>
              </w:rPr>
            </w:pPr>
            <w:r>
              <w:rPr>
                <w:rFonts w:ascii="Arial" w:cs="Arial" w:eastAsia="Arial" w:hAnsi="Arial"/>
                <w:sz w:val="18"/>
                <w:szCs w:val="18"/>
                <w:color w:val="auto"/>
              </w:rPr>
              <w:t>32</w:t>
            </w:r>
          </w:p>
        </w:tc>
      </w:tr>
      <w:tr>
        <w:trPr>
          <w:trHeight w:val="21"/>
        </w:trPr>
        <w:tc>
          <w:tcPr>
            <w:tcW w:w="2140" w:type="dxa"/>
            <w:vAlign w:val="bottom"/>
            <w:tcBorders>
              <w:top w:val="single" w:sz="8" w:color="EEEEEE"/>
            </w:tcBorders>
            <w:gridSpan w:val="6"/>
            <w:shd w:val="clear" w:color="auto" w:fill="EEEEEE"/>
          </w:tcPr>
          <w:p>
            <w:pPr>
              <w:spacing w:after="0" w:line="20" w:lineRule="exact"/>
              <w:rPr>
                <w:sz w:val="1"/>
                <w:szCs w:val="1"/>
                <w:color w:val="auto"/>
              </w:rPr>
            </w:pPr>
          </w:p>
        </w:tc>
        <w:tc>
          <w:tcPr>
            <w:tcW w:w="740" w:type="dxa"/>
            <w:vAlign w:val="bottom"/>
            <w:tcBorders>
              <w:top w:val="single" w:sz="8" w:color="0000EE"/>
            </w:tcBorders>
            <w:gridSpan w:val="5"/>
            <w:shd w:val="clear" w:color="auto" w:fill="EEEEEE"/>
          </w:tcPr>
          <w:p>
            <w:pPr>
              <w:spacing w:after="0" w:line="20" w:lineRule="exact"/>
              <w:rPr>
                <w:sz w:val="1"/>
                <w:szCs w:val="1"/>
                <w:color w:val="auto"/>
              </w:rPr>
            </w:pPr>
          </w:p>
        </w:tc>
        <w:tc>
          <w:tcPr>
            <w:tcW w:w="8540" w:type="dxa"/>
            <w:vAlign w:val="bottom"/>
            <w:tcBorders>
              <w:top w:val="single" w:sz="8" w:color="EEEEEE"/>
            </w:tcBorders>
            <w:gridSpan w:val="45"/>
            <w:shd w:val="clear" w:color="auto" w:fill="EEEEEE"/>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u w:val="single" w:color="auto"/>
          <w:color w:val="0000EE"/>
        </w:rPr>
        <w:t>EXHIBIT 10.3</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24.16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ectPr>
          <w:pgSz w:w="11900" w:h="16886" w:orient="portrait"/>
          <w:cols w:equalWidth="0" w:num="1">
            <w:col w:w="11420"/>
          </w:cols>
          <w:pgMar w:left="240" w:top="125"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w:t>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STATEMENTS RELEVANT TO FORWARD-LOOKING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PURPOSE OF “SAFE HARBOR” PROVISIONS OF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SECURITIES LITIGATION REFORM ACT OF 1995</w:t>
      </w:r>
    </w:p>
    <w:p>
      <w:pPr>
        <w:spacing w:after="0" w:line="24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This Annual Report on Form 10-K of ChevronTexaco Corporation contains forward-looking statements relating to ChevronTexaco’s operations that are based on management’s current expectations, estimates and projections about the petroleum, chemicals and other energy-related industries. Words such as “anticipates,” “expects,” “intends,” “plans,” “targets,” “projects,” “believes,” “seeks,” “estimates” and similar expressions are intended to identify such forward-looking statements. These statements are not guarantees of future performance and are subject to certain risks, uncertainties and other factors, some of which are beyond our control and are difficult to predict. Therefore, actual outcomes and results may differ materially from what is expressed or forecasted in such forward-looking statements. You should not place undue reliance on these forward-looking statements, which speak only as of the date of this report. Unless legally required, ChevronTexaco undertakes no obligation to update publicly any forward-looking statements, whether as a result of new information, future events or otherwise.</w:t>
      </w:r>
    </w:p>
    <w:p>
      <w:pPr>
        <w:spacing w:after="0" w:line="22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Among the factors that could cause actual results to differ materially are crude oil and natural gas prices; refining margins and marketing margins; chemicals prices and competitive conditions affecting supply and demand for aromatics, olefins and additives products; actions of competitors; the competitiveness of alternate energy sources or product substitutes; technological developments; the results of operations and financial condition of equity affiliates; Dynegy Inc.’s ability to successfully complete its recapitalization and restructuring plans; inability or failure of the company’s joint-venture partners to fund their share of operations and development activities; potential failure to achieve expected production from existing and future oil and gas development projects; potential delays in the development, construction or start-up of planned projects; potential disruption or interruption of the company’s production or manufacturing facilities due to war, accidents, political events, civil unrest or severe weather; potential liability for remedial actions under existing or future environmental regulations and litigation; significant investment or product changes under existing or future environmental regulations (including, particularly, regulations and litigation dealing with gasoline composition and characteristics); potential liability resulting from pending or future litigation; the company’s ability to successfully implement the restructuring of its worldwide downstream organization and other business units; the company’s ability to sell or dispose of assets or operations as expected; and the effects of changed accounting rules under generally accepted accounting principles promulgated by rule-setting bodies. In addition, such statements could be affected by general domestic and international economic and political conditions. Unpredictable or unknown factors not discussed herein also could have material adverse effects on forward-looking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ind w:right="8340" w:firstLine="228"/>
        <w:spacing w:after="0" w:line="606" w:lineRule="auto"/>
        <w:tabs>
          <w:tab w:leader="none" w:pos="468"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General Development of Business Summary Description of ChevronTexaco</w:t>
      </w:r>
    </w:p>
    <w:p>
      <w:pPr>
        <w:ind w:right="60"/>
        <w:spacing w:after="0" w:line="251" w:lineRule="auto"/>
        <w:rPr>
          <w:sz w:val="20"/>
          <w:szCs w:val="20"/>
          <w:color w:val="auto"/>
        </w:rPr>
      </w:pPr>
      <w:r>
        <w:rPr>
          <w:rFonts w:ascii="Arial" w:cs="Arial" w:eastAsia="Arial" w:hAnsi="Arial"/>
          <w:sz w:val="17"/>
          <w:szCs w:val="17"/>
          <w:color w:val="auto"/>
        </w:rPr>
        <w:t>ChevronTexaco Corporation,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 Delaware corporation, manages its investments in subsidiaries and affiliates and provides administrative, financial and management support to U.S. and foreign subsidiaries that engage in fully integrated petroleum operations, chemicals operations, coal mining, power and energy services. The company operates in the United States and in more than 180 other countries. Petroleum operations consist of exploring for, developing and producing crude oil and natural gas; refining crude oil into finished petroleum products; marketing crude oil, natural gas and the many products derived from petroleum; and transporting crude oil, natural gas and petroleum products by pipeline, marine vessel, motor equipment and rail car. Chemicals operations include the manufacture and marketing, by an affiliate, of commodity petrochemicals for industrial uses, and the manufacture and marketing, by a consolidated subsidiary, of fuel and lubricating oil additives.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this report, exploration and production of crude oil, natural gas liquids and natural gas may be referred to as “E&amp;P” or “upstream” activities. Refining, marketing and transportation may be referred to as “RM&amp;T” or “downstream” activities. A list of the company’s major subsidiaries is presented on pages E-4 and E-5 of this Annual Report on Form 10-K. As of December 31, 2003, ChevronTexaco had 61,533 employees (including 10,951 service station employees), down about 4,500 from year-end 2002. Approximately 26,000, or 42 percent, of the company’s employees were employed in U.S. operations, of which approximately 3,400 were unionized.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Petroleum Industry</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Petroleum industry operations and profitability are influenced by many factors, over some of which individual petroleum companies have little control. Governmental policies, particularly in the areas of taxation, energy and the environment, have a significant impact on petroleum activities, regulating where and how companies conduct their operations and formulate their products and, in some cases, limiting their profits directly. Prices for crude oil and natural gas, petroleum products and petrochemicals are determined by supply and demand for these commodities. The members of the Organization of Petroleum Exporting Countries (OPEC) are typically the world’s swing producers of crude oil, and their production levels are a major factor in determining worldwide supply. Demand for crude oil and its products and for natural gas is largely driven by the conditions of local, national and worldwide economies, although weather patterns and taxation relative to other energy sources also play a significant part. Variations in the components of refined products sales due to seasonality are not primary drivers of changes in the company’s overall earnings.</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Strong competition exists in all sectors of the petroleum and petrochemical industries in supplying the energy, fuel and chemical needs of industry and individual consumers. ChevronTexaco competes with fully integrated major petroleum companies, as well as independent and national petroleum companies for the acquisition of crude oil and natural gas leases and other properties, and for the equipment and labor required to develop and operate those properties. In its downstream business, ChevronTexaco also competes with fully integrated major petroleum companies and other independent refining and marketing entities in the sale or purchase of various goods or services in many national and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2" w:lineRule="exact"/>
        <w:rPr>
          <w:sz w:val="20"/>
          <w:szCs w:val="20"/>
          <w:color w:val="auto"/>
        </w:rPr>
      </w:pPr>
    </w:p>
    <w:p>
      <w:pPr>
        <w:ind w:right="120" w:firstLine="8"/>
        <w:spacing w:after="0" w:line="230" w:lineRule="auto"/>
        <w:tabs>
          <w:tab w:leader="none" w:pos="132" w:val="left"/>
        </w:tabs>
        <w:numPr>
          <w:ilvl w:val="0"/>
          <w:numId w:val="3"/>
        </w:numPr>
        <w:rPr>
          <w:rFonts w:ascii="Arial" w:cs="Arial" w:eastAsia="Arial" w:hAnsi="Arial"/>
          <w:sz w:val="33"/>
          <w:szCs w:val="33"/>
          <w:color w:val="auto"/>
          <w:vertAlign w:val="superscript"/>
        </w:rPr>
      </w:pPr>
      <w:r>
        <w:rPr>
          <w:rFonts w:ascii="Arial" w:cs="Arial" w:eastAsia="Arial" w:hAnsi="Arial"/>
          <w:sz w:val="17"/>
          <w:szCs w:val="17"/>
          <w:color w:val="auto"/>
        </w:rPr>
        <w:t>Incorporated in Delaware in 1926 as Standard Oil Company of California, the company adopted the name Chevron Corporation in 1984 and ChevronTexaco Corporation in 2001. As used in this report, the term “ChevronTexaco” and such terms as “the company,” “the corporation,” “our,” “we,” and “us” may refer to ChevronTexaco Corporation, one or more of its consolidated subsidiaries, or to all of them taken as a whole, but unless stated otherwise, it does not include “affiliates” of ChevronTexaco — i.e., those companies accounted for by the equity method (generally owned 50 percent or less) or investments accounted for by the cost method. All of these terms are used for convenience only and are not intended as a precise description of any of the separate companies, each of which manages its own affairs.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Environment</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Refer to pages FS-2 through FS-4 of this Annual Report on Form 10-K in Management’s Discussion and Analysis of Financial Condition and Results of Operations for a discussion on the company’s current business environment and outlook.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ChevronTexaco Strategic Direction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ChevronTexaco’s primary objective is to achieve sustained financial returns from its operations that will enable it to outperform its competitors. The company has set as a goal to generate the highest total stockholder return among a designated peer group for the five-year period 2000-2004. BP, ExxonMobil and Royal Dutch Shell — among the world’s largest integrated petroleum companies — comprise the company’s designated competitor peer group for this purpose. The company had the highest total stockholder return in this peer group for the 2000-2003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a foundation for attaining this goal, the company has established four key priorities:</w:t>
      </w:r>
    </w:p>
    <w:p>
      <w:pPr>
        <w:spacing w:after="0" w:line="22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through safe, reliable, efficient and environmentally sound operations;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reduction </w:t>
      </w:r>
      <w:r>
        <w:rPr>
          <w:rFonts w:ascii="Arial" w:cs="Arial" w:eastAsia="Arial" w:hAnsi="Arial"/>
          <w:sz w:val="18"/>
          <w:szCs w:val="18"/>
          <w:color w:val="auto"/>
        </w:rPr>
        <w:t>by lowering unit costs through innovation and technology;</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Capital stewardship </w:t>
      </w:r>
      <w:r>
        <w:rPr>
          <w:rFonts w:ascii="Arial" w:cs="Arial" w:eastAsia="Arial" w:hAnsi="Arial"/>
          <w:sz w:val="18"/>
          <w:szCs w:val="18"/>
          <w:color w:val="auto"/>
        </w:rPr>
        <w:t>by investing in the best project opportunities and executing them successfully (safer, faster, and at lower cost);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Profitable growth </w:t>
      </w:r>
      <w:r>
        <w:rPr>
          <w:rFonts w:ascii="Arial" w:cs="Arial" w:eastAsia="Arial" w:hAnsi="Arial"/>
          <w:sz w:val="18"/>
          <w:szCs w:val="18"/>
          <w:color w:val="auto"/>
        </w:rPr>
        <w:t>through leadership in developing new business opportunities in both existing and new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Supporting these four priorities is a focus on:</w:t>
      </w:r>
    </w:p>
    <w:p>
      <w:pPr>
        <w:spacing w:after="0" w:line="225" w:lineRule="exact"/>
        <w:rPr>
          <w:sz w:val="20"/>
          <w:szCs w:val="20"/>
          <w:color w:val="auto"/>
        </w:rPr>
      </w:pPr>
    </w:p>
    <w:p>
      <w:pPr>
        <w:ind w:left="120" w:right="160" w:hanging="112"/>
        <w:spacing w:after="0" w:line="26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Organizational Capability: </w:t>
      </w:r>
      <w:r>
        <w:rPr>
          <w:rFonts w:ascii="Arial" w:cs="Arial" w:eastAsia="Arial" w:hAnsi="Arial"/>
          <w:sz w:val="18"/>
          <w:szCs w:val="18"/>
          <w:color w:val="auto"/>
        </w:rPr>
        <w:t>Having the right people, processes and culture to achieve and sustain industry-leading performance in the four priorities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Corporate Strategic Plan builds on this framework with strategies focused on appropriately balancing financial returns and growth. As a result of a rigorous evaluation of its entire portfolio of assets, the company is exploring potential asset transactions — sales, acquisitions or trades — to increase the efficiency and profitability of continuing operations and to enhance the economic value of its asset base. The company expects that its worldwide exploration and production business will continue to be its most important business, with development of its large worldwide proved and unproved natural gas reserves as a primary strategy to expand the company’s base of production and to capture economic value from emerging natural gas market opportunities. The company is also seeking to deliver improved and competitive returns from its worldwide downstream businesses. In January 2004, the company’s global downstream organization began operating along global functional lines rather than geographical functional lines in order to lower costs, improve efficiency and achieve sustained improvements in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Texaco Merger Transaction</w:t>
      </w:r>
    </w:p>
    <w:p>
      <w:pPr>
        <w:spacing w:after="0" w:line="231"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On October 9, 2001, Texaco Inc. (Texaco) became a wholly owned subsidiary of Chevron Corporation (Chevron) pursuant to a merger transaction, and Chevron changed its name to ChevronTexaco Corporation. The combination was accounted for as a pooling of interests, and each share of Texaco common stock was converted on a tax-free basis into the right to receive 0.77 shares of ChevronTexaco common stock. In the merger, ChevronTexaco issued approximately</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425 million shares of common stock, representing about 40 percent of the outstanding ChevronTexaco common stock after the merger. Further discussion of the Texaco merger transaction is contained on page FS-5 and in Note 2 on page FS-30 of this Annual Report on Form 10-K.</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820" w:hanging="592"/>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Properties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largest business segments are exploration and production (upstream) and refining, marketing and transportation (downstream). Chemicals is also a significant segment, conducted mainly by the company’s 50 percent-owned affiliate — Chevron Phillips Chemical Company LLC (CPChem). The petroleum activities of the company are widely dispersed geographically. The company has petroleum operations in North America, South America, Europe, Africa, Middle East, Central and Far East Asia, and Australia.</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CPChem has operations in the United States, Puerto Rico, Singapore, China, South Korea, Saudi Arabia, Qatar, Mexico and Belgium. ChevronTexaco’s wholly owned Oronite fuel and lubricating oil additives business has operations in the United States, Mexico, France, the Netherlands, Singapore, India, Japan and Brazil.</w:t>
      </w:r>
    </w:p>
    <w:p>
      <w:pPr>
        <w:spacing w:after="0" w:line="19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ChevronTexaco owns an approximate 26 percent equity interest in the common stock of Dynegy Inc. (Dynegy), an energy merchant engaged in power generation, natural gas liquids processing and marketing, and regulated energy delivery. The company also holds investments in Dynegy notes and preferred stock. During 2003, the company exchanged its $1.5 billion aggregate principal amount of Dynegy Series B preferred Stock, which was due for redemption at par value in November 2003, for cash and new Dynegy securities. Refer to pages FS-10 and FS-11 for further information relating to the company’s investment in Dynegy.</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Tabulations of segment sales and other operating revenues, earnings, income taxes and assets, by United States and International geographic areas, for the years 2001 to 2003 may be found in Note 9 to the consolidated financial statements beginning on page FS-34 of this Annual Report on Form 10-K. In addition, similar comparative data for the company’s investments in and income from equity affiliates and property, plant and equipment are contained in Notes 14 and 15 on pages FS-38 to FS-40.</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worldwide operations can be affected significantly by changing economic, tax, regulatory and political environments in the various countries in which it operates, including the United States. Environmental regulations and government policies concerning economic development, energy and taxation may have a significant effect on the company’s operations. Management evaluates the economic and political risk of initiating, maintaining or expanding operations in any geographical area. The company monitors political events worldwide and the possible threat these may pose to its activities — particularly the company’s oil and gas exploration and production operations — and the safety of the company’s employees. Political and community unrest has disrupted the company’s production in the past, most recently in Nigeria and Venezuela.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Exploratory Expenditures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the company’s capital and exploratory expenditures is contained on pages FS-11 and FS-12 of this Annual Report on Form 10-K.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Petroleum — Exploration and Production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Liquids and Natural Gas Production</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the company’s and affiliates’ net production of crude oil and natural gas liquids, natural gas, and oil-equivalent production for 2003 and 2002.</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Net Production</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of Crude Oil and Natural Gas Liquids and Natural Gas</w:t>
      </w:r>
    </w:p>
    <w:p>
      <w:pPr>
        <w:spacing w:after="0" w:line="3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Memo: Oil-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4"/>
          </w:tcPr>
          <w:p>
            <w:pPr>
              <w:jc w:val="center"/>
              <w:ind w:left="246"/>
              <w:spacing w:after="0" w:line="149" w:lineRule="exact"/>
              <w:rPr>
                <w:sz w:val="20"/>
                <w:szCs w:val="20"/>
                <w:color w:val="auto"/>
              </w:rPr>
            </w:pPr>
            <w:r>
              <w:rPr>
                <w:rFonts w:ascii="Arial" w:cs="Arial" w:eastAsia="Arial" w:hAnsi="Arial"/>
                <w:sz w:val="14"/>
                <w:szCs w:val="14"/>
                <w:b w:val="1"/>
                <w:bCs w:val="1"/>
                <w:color w:val="auto"/>
                <w:w w:val="96"/>
              </w:rPr>
              <w:t>Crude Oil &amp;</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4"/>
          </w:tcPr>
          <w:p>
            <w:pPr>
              <w:jc w:val="center"/>
              <w:ind w:left="246"/>
              <w:spacing w:after="0" w:line="149" w:lineRule="exact"/>
              <w:rPr>
                <w:sz w:val="20"/>
                <w:szCs w:val="20"/>
                <w:color w:val="auto"/>
              </w:rPr>
            </w:pPr>
            <w:r>
              <w:rPr>
                <w:rFonts w:ascii="Arial" w:cs="Arial" w:eastAsia="Arial" w:hAnsi="Arial"/>
                <w:sz w:val="14"/>
                <w:szCs w:val="14"/>
                <w:b w:val="1"/>
                <w:bCs w:val="1"/>
                <w:color w:val="auto"/>
                <w:w w:val="89"/>
              </w:rPr>
              <w:t>Natural Gas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Natural Gas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(BOE)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Liquids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(Millions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(Thousands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6"/>
          </w:tcPr>
          <w:p>
            <w:pPr>
              <w:jc w:val="center"/>
              <w:ind w:right="260"/>
              <w:spacing w:after="0" w:line="144" w:lineRule="exact"/>
              <w:rPr>
                <w:sz w:val="20"/>
                <w:szCs w:val="20"/>
                <w:color w:val="auto"/>
              </w:rPr>
            </w:pPr>
            <w:r>
              <w:rPr>
                <w:rFonts w:ascii="Arial" w:cs="Arial" w:eastAsia="Arial" w:hAnsi="Arial"/>
                <w:sz w:val="14"/>
                <w:szCs w:val="14"/>
                <w:b w:val="1"/>
                <w:bCs w:val="1"/>
                <w:color w:val="auto"/>
                <w:w w:val="84"/>
              </w:rPr>
              <w:t>(Thousands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tcPr>
          <w:p>
            <w:pPr>
              <w:jc w:val="center"/>
              <w:ind w:right="200"/>
              <w:spacing w:after="0" w:line="144" w:lineRule="exact"/>
              <w:rPr>
                <w:sz w:val="20"/>
                <w:szCs w:val="20"/>
                <w:color w:val="auto"/>
              </w:rPr>
            </w:pPr>
            <w:r>
              <w:rPr>
                <w:rFonts w:ascii="Arial" w:cs="Arial" w:eastAsia="Arial" w:hAnsi="Arial"/>
                <w:sz w:val="14"/>
                <w:szCs w:val="14"/>
                <w:b w:val="1"/>
                <w:bCs w:val="1"/>
                <w:color w:val="auto"/>
                <w:w w:val="86"/>
              </w:rPr>
              <w:t>Cubic Feet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ind w:left="232"/>
              <w:spacing w:after="0" w:line="144" w:lineRule="exact"/>
              <w:rPr>
                <w:sz w:val="20"/>
                <w:szCs w:val="20"/>
                <w:color w:val="auto"/>
              </w:rPr>
            </w:pPr>
            <w:r>
              <w:rPr>
                <w:rFonts w:ascii="Arial" w:cs="Arial" w:eastAsia="Arial" w:hAnsi="Arial"/>
                <w:sz w:val="14"/>
                <w:szCs w:val="14"/>
                <w:b w:val="1"/>
                <w:bCs w:val="1"/>
                <w:color w:val="auto"/>
                <w:w w:val="88"/>
              </w:rPr>
              <w:t>of Barrels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gridSpan w:val="6"/>
          </w:tcPr>
          <w:p>
            <w:pPr>
              <w:jc w:val="center"/>
              <w:ind w:right="280"/>
              <w:spacing w:after="0"/>
              <w:rPr>
                <w:sz w:val="20"/>
                <w:szCs w:val="20"/>
                <w:color w:val="auto"/>
              </w:rPr>
            </w:pPr>
            <w:r>
              <w:rPr>
                <w:rFonts w:ascii="Arial" w:cs="Arial" w:eastAsia="Arial" w:hAnsi="Arial"/>
                <w:sz w:val="14"/>
                <w:szCs w:val="14"/>
                <w:b w:val="1"/>
                <w:bCs w:val="1"/>
                <w:color w:val="auto"/>
                <w:w w:val="88"/>
              </w:rPr>
              <w:t>Barrels per Day)</w:t>
            </w:r>
          </w:p>
        </w:tc>
        <w:tc>
          <w:tcPr>
            <w:tcW w:w="24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gridSpan w:val="4"/>
          </w:tcPr>
          <w:p>
            <w:pPr>
              <w:jc w:val="center"/>
              <w:ind w:left="220"/>
              <w:spacing w:after="0"/>
              <w:rPr>
                <w:sz w:val="20"/>
                <w:szCs w:val="20"/>
                <w:color w:val="auto"/>
              </w:rPr>
            </w:pPr>
            <w:r>
              <w:rPr>
                <w:rFonts w:ascii="Arial" w:cs="Arial" w:eastAsia="Arial" w:hAnsi="Arial"/>
                <w:sz w:val="14"/>
                <w:szCs w:val="14"/>
                <w:b w:val="1"/>
                <w:bCs w:val="1"/>
                <w:color w:val="auto"/>
                <w:w w:val="89"/>
              </w:rPr>
              <w:t>per Day)</w:t>
            </w: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gridSpan w:val="4"/>
          </w:tcPr>
          <w:p>
            <w:pPr>
              <w:jc w:val="center"/>
              <w:ind w:left="212"/>
              <w:spacing w:after="0"/>
              <w:rPr>
                <w:sz w:val="20"/>
                <w:szCs w:val="20"/>
                <w:color w:val="auto"/>
              </w:rPr>
            </w:pPr>
            <w:r>
              <w:rPr>
                <w:rFonts w:ascii="Arial" w:cs="Arial" w:eastAsia="Arial" w:hAnsi="Arial"/>
                <w:sz w:val="14"/>
                <w:szCs w:val="14"/>
                <w:b w:val="1"/>
                <w:bCs w:val="1"/>
                <w:color w:val="auto"/>
                <w:w w:val="87"/>
              </w:rPr>
              <w:t>per Day)</w:t>
            </w:r>
            <w:r>
              <w:rPr>
                <w:rFonts w:ascii="Arial" w:cs="Arial" w:eastAsia="Arial" w:hAnsi="Arial"/>
                <w:sz w:val="22"/>
                <w:szCs w:val="22"/>
                <w:b w:val="1"/>
                <w:bCs w:val="1"/>
                <w:color w:val="auto"/>
                <w:w w:val="87"/>
                <w:vertAlign w:val="superscript"/>
              </w:rPr>
              <w:t>2</w:t>
            </w: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66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23"/>
                <w:szCs w:val="23"/>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23"/>
                <w:szCs w:val="23"/>
                <w:color w:val="auto"/>
              </w:rPr>
            </w:pPr>
          </w:p>
        </w:tc>
        <w:tc>
          <w:tcPr>
            <w:tcW w:w="8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United States:</w:t>
            </w: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California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Gulf of Mexico</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1,152</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Texas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Wyoming</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Other States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Total United States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2,405</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Africa:</w:t>
            </w: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7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Angola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Chad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Nigeria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Republic of Congo</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Democratic Republic of Congo</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Asia-Pacific:</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Indonesia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20"/>
              <w:spacing w:after="0" w:line="256" w:lineRule="exact"/>
              <w:rPr>
                <w:sz w:val="20"/>
                <w:szCs w:val="20"/>
                <w:color w:val="auto"/>
              </w:rPr>
            </w:pPr>
            <w:r>
              <w:rPr>
                <w:rFonts w:ascii="Arial" w:cs="Arial" w:eastAsia="Arial" w:hAnsi="Arial"/>
                <w:sz w:val="18"/>
                <w:szCs w:val="18"/>
                <w:color w:val="auto"/>
              </w:rPr>
              <w:t>Partitioned Neutral Zone (PNZ)</w:t>
            </w:r>
            <w:r>
              <w:rPr>
                <w:rFonts w:ascii="Arial" w:cs="Arial" w:eastAsia="Arial" w:hAnsi="Arial"/>
                <w:sz w:val="29"/>
                <w:szCs w:val="29"/>
                <w:color w:val="auto"/>
                <w:vertAlign w:val="superscript"/>
              </w:rPr>
              <w:t>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Australia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China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Kazakhstan</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Thailand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Philippines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20"/>
              <w:spacing w:after="0" w:line="256" w:lineRule="exact"/>
              <w:rPr>
                <w:sz w:val="20"/>
                <w:szCs w:val="20"/>
                <w:color w:val="auto"/>
              </w:rPr>
            </w:pPr>
            <w:r>
              <w:rPr>
                <w:rFonts w:ascii="Arial" w:cs="Arial" w:eastAsia="Arial" w:hAnsi="Arial"/>
                <w:sz w:val="18"/>
                <w:szCs w:val="18"/>
                <w:color w:val="auto"/>
              </w:rPr>
              <w:t>Papua New Guinea</w:t>
            </w:r>
            <w:r>
              <w:rPr>
                <w:rFonts w:ascii="Arial" w:cs="Arial" w:eastAsia="Arial" w:hAnsi="Arial"/>
                <w:sz w:val="29"/>
                <w:szCs w:val="29"/>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International:</w:t>
            </w: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Canada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Argentina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Denmark</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Norway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Venezuela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Colombia</w:t>
            </w:r>
          </w:p>
        </w:tc>
        <w:tc>
          <w:tcPr>
            <w:tcW w:w="260" w:type="dxa"/>
            <w:vAlign w:val="bottom"/>
          </w:tcPr>
          <w:p>
            <w:pPr>
              <w:spacing w:after="0"/>
              <w:rPr>
                <w:sz w:val="18"/>
                <w:szCs w:val="18"/>
                <w:color w:val="auto"/>
              </w:rPr>
            </w:pPr>
          </w:p>
        </w:tc>
        <w:tc>
          <w:tcPr>
            <w:tcW w:w="106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Trinidad and Tobago</w:t>
            </w:r>
          </w:p>
        </w:tc>
        <w:tc>
          <w:tcPr>
            <w:tcW w:w="2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4"/>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spacing w:after="0"/>
              <w:rPr>
                <w:sz w:val="20"/>
                <w:szCs w:val="20"/>
                <w:color w:val="auto"/>
              </w:rPr>
            </w:pPr>
            <w:r>
              <w:rPr>
                <w:rFonts w:ascii="Arial" w:cs="Arial" w:eastAsia="Arial" w:hAnsi="Arial"/>
                <w:sz w:val="18"/>
                <w:szCs w:val="18"/>
                <w:color w:val="auto"/>
              </w:rPr>
              <w:t>Total International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1,149</w:t>
            </w:r>
          </w:p>
        </w:tc>
        <w:tc>
          <w:tcPr>
            <w:tcW w:w="1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1,790</w:t>
            </w:r>
          </w:p>
        </w:tc>
        <w:tc>
          <w:tcPr>
            <w:tcW w:w="1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Operations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1,657</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1,751</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4,092</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4,195</w:t>
            </w:r>
          </w:p>
        </w:tc>
        <w:tc>
          <w:tcPr>
            <w:tcW w:w="1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2,450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Equity in Affiliates</w:t>
            </w:r>
            <w:r>
              <w:rPr>
                <w:rFonts w:ascii="Arial" w:cs="Arial" w:eastAsia="Arial" w:hAnsi="Arial"/>
                <w:sz w:val="29"/>
                <w:szCs w:val="29"/>
                <w:color w:val="auto"/>
                <w:vertAlign w:val="superscript"/>
              </w:rPr>
              <w:t>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Total Including Affiliates</w:t>
            </w:r>
            <w:r>
              <w:rPr>
                <w:rFonts w:ascii="Arial" w:cs="Arial" w:eastAsia="Arial" w:hAnsi="Arial"/>
                <w:sz w:val="29"/>
                <w:szCs w:val="29"/>
                <w:color w:val="auto"/>
                <w:vertAlign w:val="superscript"/>
              </w:rPr>
              <w:t>6, 7</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1,808</w:t>
            </w:r>
          </w:p>
        </w:tc>
        <w:tc>
          <w:tcPr>
            <w:tcW w:w="18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1,897</w:t>
            </w:r>
          </w:p>
        </w:tc>
        <w:tc>
          <w:tcPr>
            <w:tcW w:w="180" w:type="dxa"/>
            <w:vAlign w:val="bottom"/>
            <w:shd w:val="clear" w:color="auto" w:fill="EEEEEE"/>
          </w:tcPr>
          <w:p>
            <w:pPr>
              <w:spacing w:after="0"/>
              <w:rPr>
                <w:sz w:val="22"/>
                <w:szCs w:val="22"/>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4,292</w:t>
            </w:r>
          </w:p>
        </w:tc>
        <w:tc>
          <w:tcPr>
            <w:tcW w:w="10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180" w:type="dxa"/>
            <w:vAlign w:val="bottom"/>
            <w:shd w:val="clear" w:color="auto" w:fill="EEEEEE"/>
          </w:tcPr>
          <w:p>
            <w:pPr>
              <w:spacing w:after="0"/>
              <w:rPr>
                <w:sz w:val="22"/>
                <w:szCs w:val="22"/>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4,376</w:t>
            </w:r>
          </w:p>
        </w:tc>
        <w:tc>
          <w:tcPr>
            <w:tcW w:w="100" w:type="dxa"/>
            <w:vAlign w:val="bottom"/>
            <w:shd w:val="clear" w:color="auto" w:fill="EEEEEE"/>
          </w:tcPr>
          <w:p>
            <w:pPr>
              <w:spacing w:after="0"/>
              <w:rPr>
                <w:sz w:val="22"/>
                <w:szCs w:val="22"/>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180" w:type="dxa"/>
            <w:vAlign w:val="bottom"/>
            <w:tcBorders>
              <w:right w:val="single" w:sz="8" w:color="EEEEEE"/>
            </w:tcBorders>
            <w:shd w:val="clear" w:color="auto" w:fill="EEEEEE"/>
          </w:tcPr>
          <w:p>
            <w:pPr>
              <w:spacing w:after="0"/>
              <w:rPr>
                <w:sz w:val="22"/>
                <w:szCs w:val="22"/>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2,626</w:t>
            </w:r>
          </w:p>
        </w:tc>
        <w:tc>
          <w:tcPr>
            <w:tcW w:w="1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Net production excludes royalty interests owned by others.</w:t>
      </w:r>
    </w:p>
    <w:p>
      <w:pPr>
        <w:spacing w:after="0" w:line="3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 Barrels of oil-equivalent (BOE) is crude oil and natural gas liquids plus natural gas converted to oil-equivalent gas (OEG) barrels at 6 MCF = 1 OEG barrel.</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Located between the Kingdom of Saudi Arabia and the State of Kuwait.</w:t>
      </w:r>
    </w:p>
    <w:p>
      <w:pPr>
        <w:spacing w:after="0" w:line="3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 The company sold its interest in Papua New Guinea and resigned operatorship of the Kutubu, Gobe and Moran oil fields in the fourth quarter of 2003.</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 Affiliates include Tengizchevroil (TCO) in Kazakhstan and Hamaca in Venezuela.</w:t>
      </w:r>
    </w:p>
    <w:p>
      <w:pPr>
        <w:sectPr>
          <w:pgSz w:w="11900" w:h="16838" w:orient="portrait"/>
          <w:cols w:equalWidth="0" w:num="1">
            <w:col w:w="11220"/>
          </w:cols>
          <w:pgMar w:left="240" w:top="419" w:right="4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6 Includes natural gas consumed on lease of 327 and 320 million cubic feet per day in 2003 and 2002, respectively.</w:t>
      </w:r>
    </w:p>
    <w:p>
      <w:pPr>
        <w:spacing w:after="0" w:line="333" w:lineRule="exact"/>
        <w:rPr>
          <w:sz w:val="20"/>
          <w:szCs w:val="20"/>
          <w:color w:val="auto"/>
        </w:rPr>
      </w:pPr>
    </w:p>
    <w:p>
      <w:pPr>
        <w:ind w:left="140" w:hanging="134"/>
        <w:spacing w:after="0" w:line="332" w:lineRule="auto"/>
        <w:rPr>
          <w:sz w:val="20"/>
          <w:szCs w:val="20"/>
          <w:color w:val="auto"/>
        </w:rPr>
      </w:pPr>
      <w:r>
        <w:rPr>
          <w:rFonts w:ascii="Arial" w:cs="Arial" w:eastAsia="Arial" w:hAnsi="Arial"/>
          <w:sz w:val="16"/>
          <w:szCs w:val="16"/>
          <w:color w:val="auto"/>
        </w:rPr>
        <w:t>7 Does not include total field production under the Boscan operating service agreement in Venezuela of 99 and 97 thousand barrels per day for 2003 and 2002, respectively, and synthetic crude oil production from the Athabasca Oil Sands Project in Canada of 15 thousand barrels per day in 2003.</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340" w:top="374"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2003, ChevronTexaco conducted its exploration and production operations in the United States and approximately 25 other countries. Worldwide net crude oil and natural gas liquids production, including that of affiliates but excluding volumes produced under operating service agreements, decreased by about 5 percent from the 2002 levels. Net worldwide production of natural gas, including affiliates, decreased about 2 percent in 2003.</w:t>
      </w:r>
    </w:p>
    <w:p>
      <w:pPr>
        <w:spacing w:after="0" w:line="16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Net liquids and natural gas production in the United States were both down about 7 percent compared with 2002. The decline in U.S. production in 2003 was primarily attributable to declines in mature fields. In addition to normal field declines in 2003, oil-equivalent production decreased from the absence of 10,000 to 15,000 barrels per day of production the company deemed uneconomic to restore following storm damages in the Gulf of Mexico in late 2002.</w:t>
      </w:r>
    </w:p>
    <w:p>
      <w:pPr>
        <w:spacing w:after="0" w:line="16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International net liquids production, including affiliates, decreased about 4 percent, whereas net natural gas production increased about 5 percent from 2002. In Indonesia, about 29,000 barrels per day of the year-to-year decline was related to the effect of lower cost-oil recovery volumes under production-sharing terms during 2003 and the expiration of a production sharing arrangement in the third quarter of 2002.</w:t>
      </w:r>
    </w:p>
    <w:p>
      <w:pPr>
        <w:spacing w:after="0" w:line="19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For the past five years, the company’s worldwide oil-equivalent production has followed a downward trend with 2003 production at 89 percent of 1999 levels, equivalent to an average annual decline rate of slightly more than 2 percent. During this time period, increases in international oil-equivalent production were more than offset by decreases in the United States.</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For 2004, the company currently anticipates lower oil-equivalent production rates in the United States as a result of normal field declines, the effect of property sales and opportunity limitations. The ultimate level of worldwide production in 2004 remains uncertain due to the potential for constraints imposed by the Organization of Petroleum Exporting Countries (OPEC), and disruptions caused by weather, local civil unrest and other economic factors.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Acreage</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December 31, 2003, the company owned or had under lease or similar agreements undeveloped and developed oil and gas properties located throughout the world. The geographical distribution of the company’s acreage is shown in the following table.</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Acreage</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At December 31, 2003</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(Thousands of Acres)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w w:val="83"/>
              </w:rPr>
              <w:t>Undeveloped</w:t>
            </w:r>
            <w:r>
              <w:rPr>
                <w:rFonts w:ascii="Arial" w:cs="Arial" w:eastAsia="Arial" w:hAnsi="Arial"/>
                <w:sz w:val="22"/>
                <w:szCs w:val="22"/>
                <w:b w:val="1"/>
                <w:bCs w:val="1"/>
                <w:color w:val="auto"/>
                <w:w w:val="83"/>
                <w:vertAlign w:val="superscript"/>
              </w:rPr>
              <w:t>2</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83"/>
              </w:rPr>
              <w:t>Developed</w:t>
            </w:r>
            <w:r>
              <w:rPr>
                <w:rFonts w:ascii="Arial" w:cs="Arial" w:eastAsia="Arial" w:hAnsi="Arial"/>
                <w:sz w:val="22"/>
                <w:szCs w:val="22"/>
                <w:b w:val="1"/>
                <w:bCs w:val="1"/>
                <w:color w:val="auto"/>
                <w:w w:val="83"/>
                <w:vertAlign w:val="superscript"/>
              </w:rPr>
              <w:t>2</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left="332"/>
              <w:spacing w:after="0"/>
              <w:rPr>
                <w:sz w:val="20"/>
                <w:szCs w:val="20"/>
                <w:color w:val="auto"/>
              </w:rPr>
            </w:pPr>
            <w:r>
              <w:rPr>
                <w:rFonts w:ascii="Arial" w:cs="Arial" w:eastAsia="Arial" w:hAnsi="Arial"/>
                <w:sz w:val="14"/>
                <w:szCs w:val="14"/>
                <w:b w:val="1"/>
                <w:bCs w:val="1"/>
                <w:color w:val="auto"/>
                <w:w w:val="86"/>
              </w:rPr>
              <w:t>Developed and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gridSpan w:val="4"/>
            <w:vMerge w:val="continue"/>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gridSpan w:val="4"/>
            <w:vMerge w:val="continue"/>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gridSpan w:val="4"/>
          </w:tcPr>
          <w:p>
            <w:pPr>
              <w:jc w:val="center"/>
              <w:ind w:left="332"/>
              <w:spacing w:after="0"/>
              <w:rPr>
                <w:sz w:val="20"/>
                <w:szCs w:val="20"/>
                <w:color w:val="auto"/>
              </w:rPr>
            </w:pPr>
            <w:r>
              <w:rPr>
                <w:rFonts w:ascii="Arial" w:cs="Arial" w:eastAsia="Arial" w:hAnsi="Arial"/>
                <w:sz w:val="14"/>
                <w:szCs w:val="14"/>
                <w:b w:val="1"/>
                <w:bCs w:val="1"/>
                <w:color w:val="auto"/>
                <w:w w:val="84"/>
              </w:rPr>
              <w:t>Undeveloped</w:t>
            </w: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23"/>
                <w:szCs w:val="23"/>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Gross</w:t>
            </w: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Gross</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8,080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6,027</w:t>
            </w:r>
          </w:p>
        </w:tc>
        <w:tc>
          <w:tcPr>
            <w:tcW w:w="1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7,901</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3,923</w:t>
            </w:r>
          </w:p>
        </w:tc>
        <w:tc>
          <w:tcPr>
            <w:tcW w:w="1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15,981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9,950</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Africa</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22,328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7,797</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23,011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7,997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Asia-Pacific</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35,830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7"/>
              </w:rPr>
              <w:t>18,371</w:t>
            </w:r>
          </w:p>
        </w:tc>
        <w:tc>
          <w:tcPr>
            <w:tcW w:w="1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869</w:t>
            </w:r>
          </w:p>
        </w:tc>
        <w:tc>
          <w:tcPr>
            <w:tcW w:w="1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38,046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19,240</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International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36,963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19,874</w:t>
            </w: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1,126</w:t>
            </w: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39,672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Total International</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95,121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7"/>
              </w:rPr>
              <w:t>46,042</w:t>
            </w:r>
          </w:p>
        </w:tc>
        <w:tc>
          <w:tcPr>
            <w:tcW w:w="1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5,608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2,195</w:t>
            </w:r>
          </w:p>
        </w:tc>
        <w:tc>
          <w:tcPr>
            <w:tcW w:w="1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100,729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48,237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Total Consolidated Companies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103,201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52,069</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13,509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6,118</w:t>
            </w:r>
          </w:p>
        </w:tc>
        <w:tc>
          <w:tcPr>
            <w:tcW w:w="1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116,710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58,187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Equity in Affiliates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Total Including Affiliates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104,263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52,573</w:t>
            </w:r>
          </w:p>
        </w:tc>
        <w:tc>
          <w:tcPr>
            <w:tcW w:w="1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13,598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6,157</w:t>
            </w:r>
          </w:p>
        </w:tc>
        <w:tc>
          <w:tcPr>
            <w:tcW w:w="1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117,861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58,730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60" w:right="460" w:hanging="134"/>
        <w:spacing w:after="0" w:line="268" w:lineRule="auto"/>
        <w:rPr>
          <w:sz w:val="20"/>
          <w:szCs w:val="20"/>
          <w:color w:val="auto"/>
        </w:rPr>
      </w:pPr>
      <w:r>
        <w:rPr>
          <w:rFonts w:ascii="Arial" w:cs="Arial" w:eastAsia="Arial" w:hAnsi="Arial"/>
          <w:sz w:val="18"/>
          <w:szCs w:val="18"/>
          <w:color w:val="auto"/>
        </w:rPr>
        <w:t>1 Gross acreage includes the total number of acres in all tracts in which the company has an interest. Net acreage is the sum of the company’s fractional interests in gross acreage.</w:t>
      </w:r>
    </w:p>
    <w:p>
      <w:pPr>
        <w:spacing w:after="0" w:line="213" w:lineRule="exact"/>
        <w:rPr>
          <w:sz w:val="20"/>
          <w:szCs w:val="20"/>
          <w:color w:val="auto"/>
        </w:rPr>
      </w:pPr>
    </w:p>
    <w:p>
      <w:pPr>
        <w:ind w:left="360" w:right="200" w:hanging="134"/>
        <w:spacing w:after="0" w:line="259" w:lineRule="auto"/>
        <w:rPr>
          <w:sz w:val="20"/>
          <w:szCs w:val="20"/>
          <w:color w:val="auto"/>
        </w:rPr>
      </w:pPr>
      <w:r>
        <w:rPr>
          <w:rFonts w:ascii="Arial" w:cs="Arial" w:eastAsia="Arial" w:hAnsi="Arial"/>
          <w:sz w:val="18"/>
          <w:szCs w:val="18"/>
          <w:color w:val="auto"/>
        </w:rPr>
        <w:t>2 Developed acreage is spaced or assignable to productive wells. Undeveloped acreage is acreage where wells have not been drilled or completed to permit commercial production and that may contain undeveloped proved reserves. The gross undeveloped acres that will expire in 2004, 2005 and 2006 if production is not established are 8,238, 17,436 and 5,416, respectively.</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Refer to Table IV on page FS-56 of this Annual Report on Form 10-K for data about the company’s average sales price per unit of oil and gas produced, as well as the average production cost per unit for 2003, 2002 and 2001. The following table summarizes gross and net productive wells at year-end 2003 for the company and its affiliates.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Productive Oil and Gas Wells at December 31, 2003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84"/>
              </w:rPr>
              <w:t>Productive</w:t>
            </w:r>
            <w:r>
              <w:rPr>
                <w:rFonts w:ascii="Arial" w:cs="Arial" w:eastAsia="Arial" w:hAnsi="Arial"/>
                <w:sz w:val="22"/>
                <w:szCs w:val="22"/>
                <w:b w:val="1"/>
                <w:bCs w:val="1"/>
                <w:color w:val="auto"/>
                <w:w w:val="84"/>
                <w:vertAlign w:val="superscript"/>
              </w:rPr>
              <w:t>1</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86"/>
              </w:rPr>
              <w:t>Productive</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5"/>
          </w:tcPr>
          <w:p>
            <w:pPr>
              <w:jc w:val="center"/>
              <w:ind w:right="1000"/>
              <w:spacing w:after="0"/>
              <w:rPr>
                <w:sz w:val="20"/>
                <w:szCs w:val="20"/>
                <w:color w:val="auto"/>
              </w:rPr>
            </w:pPr>
            <w:r>
              <w:rPr>
                <w:rFonts w:ascii="Arial" w:cs="Arial" w:eastAsia="Arial" w:hAnsi="Arial"/>
                <w:sz w:val="14"/>
                <w:szCs w:val="14"/>
                <w:b w:val="1"/>
                <w:bCs w:val="1"/>
                <w:color w:val="auto"/>
                <w:w w:val="87"/>
              </w:rPr>
              <w:t>Oil Wells</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86"/>
              </w:rPr>
              <w:t>Gas Wells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0" w:type="dxa"/>
            <w:vAlign w:val="bottom"/>
            <w:tcBorders>
              <w:bottom w:val="single" w:sz="8" w:color="808080"/>
            </w:tcBorders>
            <w:gridSpan w:val="2"/>
          </w:tcPr>
          <w:p>
            <w:pPr>
              <w:jc w:val="right"/>
              <w:ind w:right="120"/>
              <w:spacing w:after="0"/>
              <w:rPr>
                <w:sz w:val="20"/>
                <w:szCs w:val="20"/>
                <w:color w:val="auto"/>
              </w:rPr>
            </w:pPr>
            <w:r>
              <w:rPr>
                <w:rFonts w:ascii="Arial" w:cs="Arial" w:eastAsia="Arial" w:hAnsi="Arial"/>
                <w:sz w:val="14"/>
                <w:szCs w:val="14"/>
                <w:b w:val="1"/>
                <w:bCs w:val="1"/>
                <w:color w:val="auto"/>
              </w:rPr>
              <w:t>Gross</w:t>
            </w:r>
            <w:r>
              <w:rPr>
                <w:rFonts w:ascii="Arial" w:cs="Arial" w:eastAsia="Arial" w:hAnsi="Arial"/>
                <w:sz w:val="22"/>
                <w:szCs w:val="22"/>
                <w:b w:val="1"/>
                <w:bCs w:val="1"/>
                <w:color w:val="auto"/>
                <w:vertAlign w:val="superscript"/>
              </w:rPr>
              <w:t>2</w:t>
            </w:r>
          </w:p>
        </w:tc>
        <w:tc>
          <w:tcPr>
            <w:tcW w:w="380" w:type="dxa"/>
            <w:vAlign w:val="bottom"/>
            <w:tcBorders>
              <w:bottom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gridSpan w:val="2"/>
          </w:tcPr>
          <w:p>
            <w:pPr>
              <w:ind w:left="120"/>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22"/>
                <w:szCs w:val="22"/>
                <w:b w:val="1"/>
                <w:bCs w:val="1"/>
                <w:color w:val="auto"/>
                <w:vertAlign w:val="superscript"/>
              </w:rPr>
              <w:t>2</w:t>
            </w:r>
          </w:p>
        </w:tc>
        <w:tc>
          <w:tcPr>
            <w:tcW w:w="300" w:type="dxa"/>
            <w:vAlign w:val="bottom"/>
          </w:tcPr>
          <w:p>
            <w:pPr>
              <w:spacing w:after="0"/>
              <w:rPr>
                <w:sz w:val="24"/>
                <w:szCs w:val="24"/>
                <w:color w:val="auto"/>
              </w:rPr>
            </w:pPr>
          </w:p>
        </w:tc>
        <w:tc>
          <w:tcPr>
            <w:tcW w:w="980" w:type="dxa"/>
            <w:vAlign w:val="bottom"/>
            <w:tcBorders>
              <w:bottom w:val="single" w:sz="8" w:color="808080"/>
            </w:tcBorders>
            <w:gridSpan w:val="2"/>
          </w:tcPr>
          <w:p>
            <w:pPr>
              <w:jc w:val="right"/>
              <w:ind w:right="12"/>
              <w:spacing w:after="0"/>
              <w:rPr>
                <w:sz w:val="20"/>
                <w:szCs w:val="20"/>
                <w:color w:val="auto"/>
              </w:rPr>
            </w:pPr>
            <w:r>
              <w:rPr>
                <w:rFonts w:ascii="Arial" w:cs="Arial" w:eastAsia="Arial" w:hAnsi="Arial"/>
                <w:sz w:val="14"/>
                <w:szCs w:val="14"/>
                <w:b w:val="1"/>
                <w:bCs w:val="1"/>
                <w:color w:val="auto"/>
              </w:rPr>
              <w:t>Gross</w:t>
            </w:r>
            <w:r>
              <w:rPr>
                <w:rFonts w:ascii="Arial" w:cs="Arial" w:eastAsia="Arial" w:hAnsi="Arial"/>
                <w:sz w:val="22"/>
                <w:szCs w:val="22"/>
                <w:b w:val="1"/>
                <w:bCs w:val="1"/>
                <w:color w:val="auto"/>
                <w:vertAlign w:val="superscript"/>
              </w:rPr>
              <w:t>2</w:t>
            </w:r>
          </w:p>
        </w:tc>
        <w:tc>
          <w:tcPr>
            <w:tcW w:w="400" w:type="dxa"/>
            <w:vAlign w:val="bottom"/>
            <w:tcBorders>
              <w:bottom w:val="single" w:sz="8" w:color="808080"/>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gridSpan w:val="2"/>
          </w:tcPr>
          <w:p>
            <w:pPr>
              <w:ind w:left="80"/>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53,617</w:t>
            </w:r>
          </w:p>
        </w:tc>
        <w:tc>
          <w:tcPr>
            <w:tcW w:w="14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31,535</w:t>
            </w: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12,515</w:t>
            </w:r>
          </w:p>
        </w:tc>
        <w:tc>
          <w:tcPr>
            <w:tcW w:w="15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6,486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80" w:type="dxa"/>
            <w:vAlign w:val="bottom"/>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gridSpan w:val="2"/>
          </w:tcPr>
          <w:p>
            <w:pPr>
              <w:spacing w:after="0"/>
              <w:rPr>
                <w:sz w:val="20"/>
                <w:szCs w:val="20"/>
                <w:color w:val="auto"/>
              </w:rPr>
            </w:pPr>
            <w:r>
              <w:rPr>
                <w:rFonts w:ascii="Arial" w:cs="Arial" w:eastAsia="Arial" w:hAnsi="Arial"/>
                <w:sz w:val="18"/>
                <w:szCs w:val="18"/>
                <w:color w:val="auto"/>
              </w:rPr>
              <w:t>Africa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1,729</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Asia-Pacific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8,400</w:t>
            </w:r>
          </w:p>
        </w:tc>
        <w:tc>
          <w:tcPr>
            <w:tcW w:w="14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7,482</w:t>
            </w: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281</w:t>
            </w:r>
          </w:p>
        </w:tc>
        <w:tc>
          <w:tcPr>
            <w:tcW w:w="15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International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2,568</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1,703</w:t>
            </w:r>
          </w:p>
        </w:tc>
        <w:tc>
          <w:tcPr>
            <w:tcW w:w="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430</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Total International</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12,697</w:t>
            </w:r>
          </w:p>
        </w:tc>
        <w:tc>
          <w:tcPr>
            <w:tcW w:w="14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9,805</w:t>
            </w: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722</w:t>
            </w:r>
          </w:p>
        </w:tc>
        <w:tc>
          <w:tcPr>
            <w:tcW w:w="15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80" w:type="dxa"/>
            <w:vAlign w:val="bottom"/>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gridSpan w:val="2"/>
          </w:tcPr>
          <w:p>
            <w:pPr>
              <w:spacing w:after="0"/>
              <w:rPr>
                <w:sz w:val="20"/>
                <w:szCs w:val="20"/>
                <w:color w:val="auto"/>
              </w:rPr>
            </w:pPr>
            <w:r>
              <w:rPr>
                <w:rFonts w:ascii="Arial" w:cs="Arial" w:eastAsia="Arial" w:hAnsi="Arial"/>
                <w:sz w:val="18"/>
                <w:szCs w:val="18"/>
                <w:color w:val="auto"/>
              </w:rPr>
              <w:t>Total Consolidated Companies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66,314</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41,340</w:t>
            </w:r>
          </w:p>
        </w:tc>
        <w:tc>
          <w:tcPr>
            <w:tcW w:w="30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13,237</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6,815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Equity in Affiliates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14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80" w:type="dxa"/>
            <w:vAlign w:val="bottom"/>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00" w:type="dxa"/>
            <w:vAlign w:val="bottom"/>
            <w:gridSpan w:val="2"/>
          </w:tcPr>
          <w:p>
            <w:pPr>
              <w:spacing w:after="0"/>
              <w:rPr>
                <w:sz w:val="20"/>
                <w:szCs w:val="20"/>
                <w:color w:val="auto"/>
              </w:rPr>
            </w:pPr>
            <w:r>
              <w:rPr>
                <w:rFonts w:ascii="Arial" w:cs="Arial" w:eastAsia="Arial" w:hAnsi="Arial"/>
                <w:sz w:val="18"/>
                <w:szCs w:val="18"/>
                <w:color w:val="auto"/>
              </w:rPr>
              <w:t>Total Including Affiliates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66,531</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41,416</w:t>
            </w:r>
          </w:p>
        </w:tc>
        <w:tc>
          <w:tcPr>
            <w:tcW w:w="30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13,237</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6,815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Multiple completion wells included above:</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925</w:t>
            </w:r>
          </w:p>
        </w:tc>
        <w:tc>
          <w:tcPr>
            <w:tcW w:w="14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642</w:t>
            </w:r>
          </w:p>
        </w:tc>
        <w:tc>
          <w:tcPr>
            <w:tcW w:w="3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627</w:t>
            </w:r>
          </w:p>
        </w:tc>
        <w:tc>
          <w:tcPr>
            <w:tcW w:w="15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504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320" w:hanging="134"/>
        <w:spacing w:after="0" w:line="254" w:lineRule="auto"/>
        <w:rPr>
          <w:sz w:val="20"/>
          <w:szCs w:val="20"/>
          <w:color w:val="auto"/>
        </w:rPr>
      </w:pPr>
      <w:r>
        <w:rPr>
          <w:rFonts w:ascii="Arial" w:cs="Arial" w:eastAsia="Arial" w:hAnsi="Arial"/>
          <w:sz w:val="18"/>
          <w:szCs w:val="18"/>
          <w:color w:val="auto"/>
        </w:rPr>
        <w:t>1 Includes wells producing or capable of producing and injection wells temporarily functioning as producing wells. Wells that produce both oil and gas are classified as oil wells.</w:t>
      </w:r>
    </w:p>
    <w:p>
      <w:pPr>
        <w:ind w:left="360" w:right="420" w:hanging="134"/>
        <w:spacing w:after="0" w:line="261" w:lineRule="auto"/>
        <w:rPr>
          <w:sz w:val="20"/>
          <w:szCs w:val="20"/>
          <w:color w:val="auto"/>
        </w:rPr>
      </w:pPr>
      <w:r>
        <w:rPr>
          <w:rFonts w:ascii="Arial" w:cs="Arial" w:eastAsia="Arial" w:hAnsi="Arial"/>
          <w:sz w:val="18"/>
          <w:szCs w:val="18"/>
          <w:color w:val="auto"/>
        </w:rPr>
        <w:t>2 Gross wells include the total number of wells in which the company has an interest. Net wells are the sum of the company’s fractional interests in gross wells.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and Contract Obligations</w:t>
      </w:r>
    </w:p>
    <w:p>
      <w:pPr>
        <w:spacing w:after="0" w:line="2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Table V on page FS-57 of this Annual Report on Form 10-K sets forth the company’s net proved oil and gas reserves, by geographic area, as of December 31, 2003, 2002 and 2001. During 2004, the company will file estimates of oil and gas reserves with the Department of Energy, Energy Information Agency, consistent with the reserve data reported on page FS-57 of this Annual Report on Form 10-K.</w:t>
      </w:r>
    </w:p>
    <w:p>
      <w:pPr>
        <w:spacing w:after="0" w:line="19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2003, ChevronTexaco’s worldwide oil and oil-equivalent gas barrels of net proved reserves additions exceeded production, with a replacement rate of 108 percent of net production, including sales and acquisitions. Excluding sales and acquisitions, the replacement rate was 114 percent of net production. Reserve additions included extensions of the Guajira Contract in Colombia and the Danish Underground Consortium Contract in Denmark; initial booking of the Tahiti Field in the Gulf of Mexico; reservoir studies and analyses at the Tengiz and Karachaganak fields in Kazakhstan; and improved recovery activity primarily in Indonesia and the United States. The following table summarizes the company’s net additions to net proved reserves of crude oil and natural gas liquids and natural gas compared with net production during 2003.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 Replacement — 2003</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4"/>
          </w:tcPr>
          <w:p>
            <w:pPr>
              <w:jc w:val="center"/>
              <w:ind w:left="212"/>
              <w:spacing w:after="0"/>
              <w:rPr>
                <w:sz w:val="20"/>
                <w:szCs w:val="20"/>
                <w:color w:val="auto"/>
              </w:rPr>
            </w:pPr>
            <w:r>
              <w:rPr>
                <w:rFonts w:ascii="Arial" w:cs="Arial" w:eastAsia="Arial" w:hAnsi="Arial"/>
                <w:sz w:val="14"/>
                <w:szCs w:val="14"/>
                <w:b w:val="1"/>
                <w:bCs w:val="1"/>
                <w:color w:val="auto"/>
                <w:w w:val="88"/>
              </w:rPr>
              <w:t>Net Additions to</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Memo: BOE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Reserves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gridSpan w:val="4"/>
          </w:tcPr>
          <w:p>
            <w:pPr>
              <w:ind w:left="320"/>
              <w:spacing w:after="0"/>
              <w:rPr>
                <w:sz w:val="20"/>
                <w:szCs w:val="20"/>
                <w:color w:val="auto"/>
              </w:rPr>
            </w:pPr>
            <w:r>
              <w:rPr>
                <w:rFonts w:ascii="Arial" w:cs="Arial" w:eastAsia="Arial" w:hAnsi="Arial"/>
                <w:sz w:val="14"/>
                <w:szCs w:val="14"/>
                <w:b w:val="1"/>
                <w:bCs w:val="1"/>
                <w:color w:val="auto"/>
                <w:w w:val="89"/>
              </w:rPr>
              <w:t>Net Production</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Replacement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20" w:type="dxa"/>
            <w:vAlign w:val="bottom"/>
            <w:vMerge w:val="restart"/>
          </w:tcPr>
          <w:p>
            <w:pPr>
              <w:spacing w:after="0"/>
              <w:rPr>
                <w:sz w:val="8"/>
                <w:szCs w:val="8"/>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80" w:type="dxa"/>
            <w:vAlign w:val="bottom"/>
            <w:gridSpan w:val="5"/>
          </w:tcPr>
          <w:p>
            <w:pPr>
              <w:jc w:val="center"/>
              <w:ind w:right="560"/>
              <w:spacing w:after="0" w:line="159" w:lineRule="exact"/>
              <w:rPr>
                <w:sz w:val="20"/>
                <w:szCs w:val="20"/>
                <w:color w:val="auto"/>
              </w:rPr>
            </w:pPr>
            <w:r>
              <w:rPr>
                <w:rFonts w:ascii="Arial" w:cs="Arial" w:eastAsia="Arial" w:hAnsi="Arial"/>
                <w:sz w:val="14"/>
                <w:szCs w:val="14"/>
                <w:b w:val="1"/>
                <w:bCs w:val="1"/>
                <w:color w:val="auto"/>
                <w:w w:val="88"/>
              </w:rPr>
              <w:t>Liquids</w:t>
            </w:r>
          </w:p>
        </w:tc>
        <w:tc>
          <w:tcPr>
            <w:tcW w:w="20" w:type="dxa"/>
            <w:vAlign w:val="bottom"/>
          </w:tcPr>
          <w:p>
            <w:pPr>
              <w:spacing w:after="0"/>
              <w:rPr>
                <w:sz w:val="13"/>
                <w:szCs w:val="13"/>
                <w:color w:val="auto"/>
              </w:rPr>
            </w:pPr>
          </w:p>
        </w:tc>
        <w:tc>
          <w:tcPr>
            <w:tcW w:w="700" w:type="dxa"/>
            <w:vAlign w:val="bottom"/>
            <w:gridSpan w:val="2"/>
          </w:tcPr>
          <w:p>
            <w:pPr>
              <w:jc w:val="right"/>
              <w:ind w:right="400"/>
              <w:spacing w:after="0" w:line="159" w:lineRule="exact"/>
              <w:rPr>
                <w:sz w:val="20"/>
                <w:szCs w:val="20"/>
                <w:color w:val="auto"/>
              </w:rPr>
            </w:pPr>
            <w:r>
              <w:rPr>
                <w:rFonts w:ascii="Arial" w:cs="Arial" w:eastAsia="Arial" w:hAnsi="Arial"/>
                <w:sz w:val="14"/>
                <w:szCs w:val="14"/>
                <w:b w:val="1"/>
                <w:bCs w:val="1"/>
                <w:color w:val="auto"/>
              </w:rPr>
              <w:t>Gas</w:t>
            </w:r>
          </w:p>
        </w:tc>
        <w:tc>
          <w:tcPr>
            <w:tcW w:w="300" w:type="dxa"/>
            <w:vAlign w:val="bottom"/>
          </w:tcPr>
          <w:p>
            <w:pPr>
              <w:spacing w:after="0"/>
              <w:rPr>
                <w:sz w:val="13"/>
                <w:szCs w:val="13"/>
                <w:color w:val="auto"/>
              </w:rPr>
            </w:pPr>
          </w:p>
        </w:tc>
        <w:tc>
          <w:tcPr>
            <w:tcW w:w="1660" w:type="dxa"/>
            <w:vAlign w:val="bottom"/>
            <w:gridSpan w:val="5"/>
          </w:tcPr>
          <w:p>
            <w:pPr>
              <w:jc w:val="right"/>
              <w:ind w:right="900"/>
              <w:spacing w:after="0" w:line="159" w:lineRule="exact"/>
              <w:rPr>
                <w:sz w:val="20"/>
                <w:szCs w:val="20"/>
                <w:color w:val="auto"/>
              </w:rPr>
            </w:pPr>
            <w:r>
              <w:rPr>
                <w:rFonts w:ascii="Arial" w:cs="Arial" w:eastAsia="Arial" w:hAnsi="Arial"/>
                <w:sz w:val="14"/>
                <w:szCs w:val="14"/>
                <w:b w:val="1"/>
                <w:bCs w:val="1"/>
                <w:color w:val="auto"/>
              </w:rPr>
              <w:t>Liquids</w:t>
            </w:r>
          </w:p>
        </w:tc>
        <w:tc>
          <w:tcPr>
            <w:tcW w:w="20" w:type="dxa"/>
            <w:vAlign w:val="bottom"/>
          </w:tcPr>
          <w:p>
            <w:pPr>
              <w:spacing w:after="0"/>
              <w:rPr>
                <w:sz w:val="13"/>
                <w:szCs w:val="13"/>
                <w:color w:val="auto"/>
              </w:rPr>
            </w:pPr>
          </w:p>
        </w:tc>
        <w:tc>
          <w:tcPr>
            <w:tcW w:w="7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82"/>
              </w:rPr>
              <w:t>Gas</w:t>
            </w:r>
          </w:p>
        </w:tc>
        <w:tc>
          <w:tcPr>
            <w:tcW w:w="320" w:type="dxa"/>
            <w:vAlign w:val="bottom"/>
          </w:tcPr>
          <w:p>
            <w:pPr>
              <w:spacing w:after="0"/>
              <w:rPr>
                <w:sz w:val="13"/>
                <w:szCs w:val="13"/>
                <w:color w:val="auto"/>
              </w:rPr>
            </w:pPr>
          </w:p>
        </w:tc>
        <w:tc>
          <w:tcPr>
            <w:tcW w:w="1660" w:type="dxa"/>
            <w:vAlign w:val="bottom"/>
          </w:tcPr>
          <w:p>
            <w:pPr>
              <w:jc w:val="right"/>
              <w:ind w:right="612"/>
              <w:spacing w:after="0" w:line="159" w:lineRule="exact"/>
              <w:rPr>
                <w:sz w:val="20"/>
                <w:szCs w:val="20"/>
                <w:color w:val="auto"/>
              </w:rPr>
            </w:pPr>
            <w:r>
              <w:rPr>
                <w:rFonts w:ascii="Arial" w:cs="Arial" w:eastAsia="Arial" w:hAnsi="Arial"/>
                <w:sz w:val="14"/>
                <w:szCs w:val="14"/>
                <w:b w:val="1"/>
                <w:bCs w:val="1"/>
                <w:color w:val="auto"/>
              </w:rPr>
              <w:t>BOE</w:t>
            </w:r>
          </w:p>
        </w:tc>
        <w:tc>
          <w:tcPr>
            <w:tcW w:w="320" w:type="dxa"/>
            <w:vAlign w:val="bottom"/>
          </w:tcPr>
          <w:p>
            <w:pPr>
              <w:spacing w:after="0"/>
              <w:rPr>
                <w:sz w:val="13"/>
                <w:szCs w:val="13"/>
                <w:color w:val="auto"/>
              </w:rPr>
            </w:pPr>
          </w:p>
        </w:tc>
        <w:tc>
          <w:tcPr>
            <w:tcW w:w="15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2"/>
              </w:rPr>
              <w:t>Sales and</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(MMBBLS)</w:t>
            </w:r>
            <w:r>
              <w:rPr>
                <w:rFonts w:ascii="Arial" w:cs="Arial" w:eastAsia="Arial" w:hAnsi="Arial"/>
                <w:sz w:val="22"/>
                <w:szCs w:val="22"/>
                <w:b w:val="1"/>
                <w:bCs w:val="1"/>
                <w:color w:val="auto"/>
                <w:w w:val="93"/>
                <w:vertAlign w:val="superscript"/>
              </w:rPr>
              <w:t>1</w:t>
            </w: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6"/>
              </w:rPr>
              <w:t>(BCF)</w:t>
            </w:r>
            <w:r>
              <w:rPr>
                <w:rFonts w:ascii="Arial" w:cs="Arial" w:eastAsia="Arial" w:hAnsi="Arial"/>
                <w:sz w:val="22"/>
                <w:szCs w:val="22"/>
                <w:b w:val="1"/>
                <w:bCs w:val="1"/>
                <w:color w:val="auto"/>
                <w:w w:val="86"/>
                <w:vertAlign w:val="superscript"/>
              </w:rPr>
              <w:t>2</w:t>
            </w:r>
          </w:p>
        </w:tc>
        <w:tc>
          <w:tcPr>
            <w:tcW w:w="300" w:type="dxa"/>
            <w:vAlign w:val="bottom"/>
          </w:tcPr>
          <w:p>
            <w:pPr>
              <w:spacing w:after="0"/>
              <w:rPr>
                <w:sz w:val="24"/>
                <w:szCs w:val="24"/>
                <w:color w:val="auto"/>
              </w:rPr>
            </w:pPr>
          </w:p>
        </w:tc>
        <w:tc>
          <w:tcPr>
            <w:tcW w:w="1660" w:type="dxa"/>
            <w:vAlign w:val="bottom"/>
            <w:gridSpan w:val="5"/>
          </w:tcPr>
          <w:p>
            <w:pPr>
              <w:ind w:left="160"/>
              <w:spacing w:after="0"/>
              <w:rPr>
                <w:sz w:val="20"/>
                <w:szCs w:val="20"/>
                <w:color w:val="auto"/>
              </w:rPr>
            </w:pPr>
            <w:r>
              <w:rPr>
                <w:rFonts w:ascii="Arial" w:cs="Arial" w:eastAsia="Arial" w:hAnsi="Arial"/>
                <w:sz w:val="14"/>
                <w:szCs w:val="14"/>
                <w:b w:val="1"/>
                <w:bCs w:val="1"/>
                <w:color w:val="auto"/>
              </w:rPr>
              <w:t>(MMBBLS)</w:t>
            </w:r>
            <w:r>
              <w:rPr>
                <w:rFonts w:ascii="Arial" w:cs="Arial" w:eastAsia="Arial" w:hAnsi="Arial"/>
                <w:sz w:val="22"/>
                <w:szCs w:val="22"/>
                <w:b w:val="1"/>
                <w:bCs w:val="1"/>
                <w:color w:val="auto"/>
                <w:vertAlign w:val="superscript"/>
              </w:rPr>
              <w:t>1</w:t>
            </w: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(BCF)</w:t>
            </w:r>
            <w:r>
              <w:rPr>
                <w:rFonts w:ascii="Arial" w:cs="Arial" w:eastAsia="Arial" w:hAnsi="Arial"/>
                <w:sz w:val="22"/>
                <w:szCs w:val="22"/>
                <w:b w:val="1"/>
                <w:bCs w:val="1"/>
                <w:color w:val="auto"/>
                <w:w w:val="90"/>
                <w:vertAlign w:val="superscript"/>
              </w:rPr>
              <w:t>2</w:t>
            </w:r>
          </w:p>
        </w:tc>
        <w:tc>
          <w:tcPr>
            <w:tcW w:w="320" w:type="dxa"/>
            <w:vAlign w:val="bottom"/>
          </w:tcPr>
          <w:p>
            <w:pPr>
              <w:spacing w:after="0"/>
              <w:rPr>
                <w:sz w:val="24"/>
                <w:szCs w:val="24"/>
                <w:color w:val="auto"/>
              </w:rPr>
            </w:pPr>
          </w:p>
        </w:tc>
        <w:tc>
          <w:tcPr>
            <w:tcW w:w="1660" w:type="dxa"/>
            <w:vAlign w:val="bottom"/>
          </w:tcPr>
          <w:p>
            <w:pPr>
              <w:jc w:val="right"/>
              <w:ind w:right="272"/>
              <w:spacing w:after="0"/>
              <w:rPr>
                <w:sz w:val="20"/>
                <w:szCs w:val="20"/>
                <w:color w:val="auto"/>
              </w:rPr>
            </w:pPr>
            <w:r>
              <w:rPr>
                <w:rFonts w:ascii="Arial" w:cs="Arial" w:eastAsia="Arial" w:hAnsi="Arial"/>
                <w:sz w:val="14"/>
                <w:szCs w:val="14"/>
                <w:b w:val="1"/>
                <w:bCs w:val="1"/>
                <w:color w:val="auto"/>
              </w:rPr>
              <w:t>Replacement %</w:t>
            </w:r>
            <w:r>
              <w:rPr>
                <w:rFonts w:ascii="Arial" w:cs="Arial" w:eastAsia="Arial" w:hAnsi="Arial"/>
                <w:sz w:val="22"/>
                <w:szCs w:val="22"/>
                <w:b w:val="1"/>
                <w:bCs w:val="1"/>
                <w:color w:val="auto"/>
                <w:vertAlign w:val="superscript"/>
              </w:rPr>
              <w:t>3</w:t>
            </w:r>
          </w:p>
        </w:tc>
        <w:tc>
          <w:tcPr>
            <w:tcW w:w="3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4"/>
              </w:rPr>
              <w:t>Acquisitions</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6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(251)</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813</w:t>
            </w:r>
          </w:p>
        </w:tc>
        <w:tc>
          <w:tcPr>
            <w:tcW w:w="28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31%</w:t>
            </w:r>
          </w:p>
        </w:tc>
        <w:tc>
          <w:tcPr>
            <w:tcW w:w="186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Africa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980" w:type="dxa"/>
            <w:vAlign w:val="bottom"/>
            <w:gridSpan w:val="2"/>
          </w:tcPr>
          <w:p>
            <w:pPr>
              <w:jc w:val="right"/>
              <w:ind w:right="432"/>
              <w:spacing w:after="0"/>
              <w:rPr>
                <w:sz w:val="20"/>
                <w:szCs w:val="20"/>
                <w:color w:val="auto"/>
              </w:rPr>
            </w:pPr>
            <w:r>
              <w:rPr>
                <w:rFonts w:ascii="Arial" w:cs="Arial" w:eastAsia="Arial" w:hAnsi="Arial"/>
                <w:sz w:val="18"/>
                <w:szCs w:val="18"/>
                <w:color w:val="auto"/>
              </w:rPr>
              <w:t>104%</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Asia-Pacific</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1,025</w:t>
            </w:r>
          </w:p>
        </w:tc>
        <w:tc>
          <w:tcPr>
            <w:tcW w:w="3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109%</w:t>
            </w:r>
          </w:p>
        </w:tc>
        <w:tc>
          <w:tcPr>
            <w:tcW w:w="186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Other International</w:t>
            </w:r>
            <w:r>
              <w:rPr>
                <w:rFonts w:ascii="Arial" w:cs="Arial" w:eastAsia="Arial" w:hAnsi="Arial"/>
                <w:sz w:val="29"/>
                <w:szCs w:val="29"/>
                <w:color w:val="auto"/>
                <w:vertAlign w:val="superscript"/>
              </w:rPr>
              <w:t>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1,286</w:t>
            </w:r>
          </w:p>
        </w:tc>
        <w:tc>
          <w:tcPr>
            <w:tcW w:w="3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24"/>
                <w:szCs w:val="24"/>
                <w:color w:val="auto"/>
              </w:rPr>
            </w:pPr>
          </w:p>
        </w:tc>
        <w:tc>
          <w:tcPr>
            <w:tcW w:w="1980" w:type="dxa"/>
            <w:vAlign w:val="bottom"/>
            <w:gridSpan w:val="2"/>
          </w:tcPr>
          <w:p>
            <w:pPr>
              <w:jc w:val="right"/>
              <w:ind w:right="432"/>
              <w:spacing w:after="0"/>
              <w:rPr>
                <w:sz w:val="20"/>
                <w:szCs w:val="20"/>
                <w:color w:val="auto"/>
              </w:rPr>
            </w:pPr>
            <w:r>
              <w:rPr>
                <w:rFonts w:ascii="Arial" w:cs="Arial" w:eastAsia="Arial" w:hAnsi="Arial"/>
                <w:sz w:val="18"/>
                <w:szCs w:val="18"/>
                <w:color w:val="auto"/>
              </w:rPr>
              <w:t>220%</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Total Worldwide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2,422</w:t>
            </w:r>
          </w:p>
        </w:tc>
        <w:tc>
          <w:tcPr>
            <w:tcW w:w="3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660</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8"/>
              </w:rPr>
              <w:t>1,566</w:t>
            </w:r>
          </w:p>
        </w:tc>
        <w:tc>
          <w:tcPr>
            <w:tcW w:w="28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108%</w:t>
            </w:r>
          </w:p>
        </w:tc>
        <w:tc>
          <w:tcPr>
            <w:tcW w:w="186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MMBBLS = millions of barrels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 BCF = billions of cubic feet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 Oil-Equivalent Gas (OEG) conversion ratio is 6,000 cubic feet of gas = 1 barrel of oil</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 Includes equity in affiliates</w:t>
      </w:r>
    </w:p>
    <w:p>
      <w:pPr>
        <w:spacing w:after="0" w:line="3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sells crude oil and natural gas from its producing operations under a variety of contractual arrangements. Most contracts generally commit the company to sell quantities based on production from specified properties, but certain gas sales contracts specify delivery of fixed and determinable quantities. During 2002, Dynegy purchased substantially all natural gas and natural gas liquids produced by the company in the United States, excluding Alaska, and supplied natural gas and natural gas liquids feedstocks to the company’s U.S. refineries and chemical plants. The company reached an agreement with Dynegy to terminate the natural gas purchase and sale contracts and other related contracts at the end of January 2003. See pages FS-10 and FS-11 for further information on Dynegy.</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United States, the company is contractually committed to deliver to third parties and affiliates approximately 160 billion cubic feet of natural gas through 2006 from United States reserves. The company believes it can satisfy these contracts from quantities available from production of the company’s proved developed U.S. reserves. These contracts include variable-pricing terms.</w:t>
      </w:r>
    </w:p>
    <w:p>
      <w:pPr>
        <w:spacing w:after="0" w:line="194"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Outside the United States, the company is contractually committed to deliver to third parties approximately 600 billion cubic feet of natural gas through 2006 from Australian, Canadian, Colombian and Philippine reserves. The sales contracts contain variable pricing formulas that are generally referenced to the prevailing market price for crude oil, natural gas or other petroleum products at the time of delivery and that in some cases consider inflation or other factors.</w:t>
      </w:r>
    </w:p>
    <w:p>
      <w:pPr>
        <w:spacing w:after="0" w:line="16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believes it can satisfy these contracts from quantities available from production of the company’s proved developed Australian, Canadian, Colombian and Philippine reserves.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Details of the company’s development expenditures and costs of proved property acquisitions for 2003, 2002 and 2001 are presented in Table I on page FS-53 of this Annual Report on Form 10-K.</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table below summarizes the company’s net interest in productive and dry development wells completed in each of the past three years and the status of the company’s development wells drilling at December 31, 2003. A “development well” is a well drilled within the proved area of an oil or gas reservoir to the depth of a stratigraphic horizon known to be productive. “Wells drilling” includes wells temporarily suspended.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Well Activity</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gridSpan w:val="6"/>
          </w:tcPr>
          <w:p>
            <w:pPr>
              <w:ind w:left="180"/>
              <w:spacing w:after="0"/>
              <w:rPr>
                <w:sz w:val="20"/>
                <w:szCs w:val="20"/>
                <w:color w:val="auto"/>
              </w:rPr>
            </w:pPr>
            <w:r>
              <w:rPr>
                <w:rFonts w:ascii="Arial" w:cs="Arial" w:eastAsia="Arial" w:hAnsi="Arial"/>
                <w:sz w:val="14"/>
                <w:szCs w:val="14"/>
                <w:b w:val="1"/>
                <w:bCs w:val="1"/>
                <w:color w:val="auto"/>
                <w:w w:val="84"/>
              </w:rPr>
              <w:t>Net Wells Completed</w:t>
            </w:r>
            <w:r>
              <w:rPr>
                <w:rFonts w:ascii="Arial" w:cs="Arial" w:eastAsia="Arial" w:hAnsi="Arial"/>
                <w:sz w:val="22"/>
                <w:szCs w:val="22"/>
                <w:b w:val="1"/>
                <w:bCs w:val="1"/>
                <w:color w:val="auto"/>
                <w:w w:val="84"/>
                <w:vertAlign w:val="superscript"/>
              </w:rPr>
              <w:t>1</w:t>
            </w: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89"/>
              </w:rPr>
              <w:t>Wells Drilling at</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12/31/03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w:t>
            </w:r>
            <w:r>
              <w:rPr>
                <w:rFonts w:ascii="Arial" w:cs="Arial" w:eastAsia="Arial" w:hAnsi="Arial"/>
                <w:sz w:val="22"/>
                <w:szCs w:val="22"/>
                <w:b w:val="1"/>
                <w:bCs w:val="1"/>
                <w:color w:val="auto"/>
                <w:vertAlign w:val="superscript"/>
              </w:rPr>
              <w:t>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4"/>
          </w:tcPr>
          <w:p>
            <w:pPr>
              <w:ind w:left="180"/>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22"/>
                <w:szCs w:val="22"/>
                <w:b w:val="1"/>
                <w:bCs w:val="1"/>
                <w:color w:val="auto"/>
                <w:vertAlign w:val="superscript"/>
              </w:rPr>
              <w:t>2</w:t>
            </w:r>
          </w:p>
        </w:tc>
        <w:tc>
          <w:tcPr>
            <w:tcW w:w="200" w:type="dxa"/>
            <w:vAlign w:val="bottom"/>
          </w:tcPr>
          <w:p>
            <w:pPr>
              <w:spacing w:after="0"/>
              <w:rPr>
                <w:sz w:val="24"/>
                <w:szCs w:val="2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Prod.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Dry</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Prod.</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Dry</w:t>
            </w:r>
          </w:p>
        </w:tc>
        <w:tc>
          <w:tcPr>
            <w:tcW w:w="320" w:type="dxa"/>
            <w:vAlign w:val="bottom"/>
          </w:tcPr>
          <w:p>
            <w:pPr>
              <w:spacing w:after="0"/>
              <w:rPr>
                <w:sz w:val="24"/>
                <w:szCs w:val="2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Prod.</w:t>
            </w:r>
          </w:p>
        </w:tc>
        <w:tc>
          <w:tcPr>
            <w:tcW w:w="6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Dry</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697</w:t>
            </w: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EEEEEE"/>
          </w:tcPr>
          <w:p>
            <w:pPr>
              <w:spacing w:after="0"/>
              <w:rPr>
                <w:sz w:val="18"/>
                <w:szCs w:val="18"/>
                <w:color w:val="auto"/>
              </w:rPr>
            </w:pPr>
          </w:p>
        </w:tc>
        <w:tc>
          <w:tcPr>
            <w:tcW w:w="34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2"/>
          </w:tcPr>
          <w:p>
            <w:pPr>
              <w:spacing w:after="0"/>
              <w:rPr>
                <w:sz w:val="20"/>
                <w:szCs w:val="20"/>
                <w:color w:val="auto"/>
              </w:rPr>
            </w:pPr>
            <w:r>
              <w:rPr>
                <w:rFonts w:ascii="Arial" w:cs="Arial" w:eastAsia="Arial" w:hAnsi="Arial"/>
                <w:sz w:val="18"/>
                <w:szCs w:val="18"/>
                <w:color w:val="auto"/>
              </w:rPr>
              <w:t>Africa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77"/>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Asia-Pacific</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7"/>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International</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Total International</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686</w:t>
            </w:r>
          </w:p>
        </w:tc>
        <w:tc>
          <w:tcPr>
            <w:tcW w:w="80" w:type="dxa"/>
            <w:vAlign w:val="bottom"/>
            <w:shd w:val="clear" w:color="auto" w:fill="EEEEEE"/>
          </w:tcPr>
          <w:p>
            <w:pPr>
              <w:spacing w:after="0"/>
              <w:rPr>
                <w:sz w:val="18"/>
                <w:szCs w:val="18"/>
                <w:color w:val="auto"/>
              </w:rPr>
            </w:pPr>
          </w:p>
        </w:tc>
        <w:tc>
          <w:tcPr>
            <w:tcW w:w="34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gridSpan w:val="3"/>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2"/>
          </w:tcPr>
          <w:p>
            <w:pPr>
              <w:spacing w:after="0"/>
              <w:rPr>
                <w:sz w:val="20"/>
                <w:szCs w:val="20"/>
                <w:color w:val="auto"/>
              </w:rPr>
            </w:pPr>
            <w:r>
              <w:rPr>
                <w:rFonts w:ascii="Arial" w:cs="Arial" w:eastAsia="Arial" w:hAnsi="Arial"/>
                <w:sz w:val="18"/>
                <w:szCs w:val="18"/>
                <w:color w:val="auto"/>
              </w:rPr>
              <w:t>Total Consolidated Companies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24"/>
                <w:szCs w:val="24"/>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Equity in Affiliates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7"/>
              </w:rPr>
              <w:t>—</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gridSpan w:val="3"/>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2"/>
          </w:tcPr>
          <w:p>
            <w:pPr>
              <w:spacing w:after="0"/>
              <w:rPr>
                <w:sz w:val="20"/>
                <w:szCs w:val="20"/>
                <w:color w:val="auto"/>
              </w:rPr>
            </w:pPr>
            <w:r>
              <w:rPr>
                <w:rFonts w:ascii="Arial" w:cs="Arial" w:eastAsia="Arial" w:hAnsi="Arial"/>
                <w:sz w:val="18"/>
                <w:szCs w:val="18"/>
                <w:color w:val="auto"/>
              </w:rPr>
              <w:t>Total Including Affiliates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1,569</w:t>
            </w:r>
          </w:p>
        </w:tc>
        <w:tc>
          <w:tcPr>
            <w:tcW w:w="80" w:type="dxa"/>
            <w:vAlign w:val="bottom"/>
          </w:tcPr>
          <w:p>
            <w:pPr>
              <w:spacing w:after="0"/>
              <w:rPr>
                <w:sz w:val="24"/>
                <w:szCs w:val="24"/>
                <w:color w:val="auto"/>
              </w:rPr>
            </w:pP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-38100</wp:posOffset>
            </wp:positionV>
            <wp:extent cx="11557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93" w:lineRule="exact"/>
        <w:rPr>
          <w:sz w:val="20"/>
          <w:szCs w:val="20"/>
          <w:color w:val="auto"/>
        </w:rPr>
      </w:pPr>
    </w:p>
    <w:p>
      <w:pPr>
        <w:ind w:left="360" w:right="640" w:hanging="134"/>
        <w:spacing w:after="0" w:line="332" w:lineRule="auto"/>
        <w:rPr>
          <w:sz w:val="20"/>
          <w:szCs w:val="20"/>
          <w:color w:val="auto"/>
        </w:rPr>
      </w:pPr>
      <w:r>
        <w:rPr>
          <w:rFonts w:ascii="Arial" w:cs="Arial" w:eastAsia="Arial" w:hAnsi="Arial"/>
          <w:sz w:val="16"/>
          <w:szCs w:val="16"/>
          <w:color w:val="auto"/>
        </w:rPr>
        <w:t>1 Indicates the number of wells completed during the year regardless of when drilling was initiated. Completion refers to the installation of permanent equipment for the production of oil or gas or, in the case of a dry well, the reporting of abandonment to the appropriate agency.</w:t>
      </w:r>
    </w:p>
    <w:p>
      <w:pPr>
        <w:spacing w:after="0" w:line="166" w:lineRule="exact"/>
        <w:rPr>
          <w:sz w:val="20"/>
          <w:szCs w:val="20"/>
          <w:color w:val="auto"/>
        </w:rPr>
      </w:pPr>
    </w:p>
    <w:p>
      <w:pPr>
        <w:ind w:left="360" w:right="420" w:hanging="134"/>
        <w:spacing w:after="0" w:line="268" w:lineRule="auto"/>
        <w:rPr>
          <w:sz w:val="20"/>
          <w:szCs w:val="20"/>
          <w:color w:val="auto"/>
        </w:rPr>
      </w:pPr>
      <w:r>
        <w:rPr>
          <w:rFonts w:ascii="Arial" w:cs="Arial" w:eastAsia="Arial" w:hAnsi="Arial"/>
          <w:sz w:val="18"/>
          <w:szCs w:val="18"/>
          <w:color w:val="auto"/>
        </w:rPr>
        <w:t>2 Gross wells include the total number of wells in which the company has an interest. Net wells are the sum of the company’s fractional interests in gross wells.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Activities</w:t>
      </w:r>
    </w:p>
    <w:p>
      <w:pPr>
        <w:spacing w:after="0" w:line="2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following table summarizes the company’s net interests in productive and dry exploratory wells completed in each of the last three years and the number of exploratory wells drilling at December 31, 2003. “Exploratory wells” are wells drilled to find and produce oil or gas in unproved areas and include delineation wells, which are wells drilled to find a new reservoir in a field previously found to be productive of oil or gas in another reservoir or to extend a known reservoir beyond the proved area. “Wells drilling” includes wells temporarily suspended. Refer to the suspended wells discussion in “Litigation and Other Contingencies” in Management’s Discussion and Analysis of Financial Condition and Results of Operations on page FS-17 and Note 1, Summary of Significant Accounting Policies; “Properties, Plant and Equipment” on pages FS-28 and FS-29 for further discussion. Increases in the United States, Nigeria and Australia were partially offset by decreases in China and Angola. The wells are suspended pending a final determination of the commercial potential of the related oil and gas deposits. The ultimate disposition of these well costs is dependent on: (1) decisions on additional major capital expenditures, (2) the results of additional exploratory drilling that is under way or firmly planned, and (3) in some cases, securing final regulatory approvals for development.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Exploratory Well Activity</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gridSpan w:val="8"/>
          </w:tcPr>
          <w:p>
            <w:pPr>
              <w:jc w:val="right"/>
              <w:ind w:right="280"/>
              <w:spacing w:after="0"/>
              <w:rPr>
                <w:sz w:val="20"/>
                <w:szCs w:val="20"/>
                <w:color w:val="auto"/>
              </w:rPr>
            </w:pPr>
            <w:r>
              <w:rPr>
                <w:rFonts w:ascii="Arial" w:cs="Arial" w:eastAsia="Arial" w:hAnsi="Arial"/>
                <w:sz w:val="14"/>
                <w:szCs w:val="14"/>
                <w:b w:val="1"/>
                <w:bCs w:val="1"/>
                <w:color w:val="auto"/>
              </w:rPr>
              <w:t>Net Wells Completed</w:t>
            </w:r>
            <w:r>
              <w:rPr>
                <w:rFonts w:ascii="Arial" w:cs="Arial" w:eastAsia="Arial" w:hAnsi="Arial"/>
                <w:sz w:val="22"/>
                <w:szCs w:val="22"/>
                <w:b w:val="1"/>
                <w:bCs w:val="1"/>
                <w:color w:val="auto"/>
                <w:vertAlign w:val="superscript"/>
              </w:rPr>
              <w:t>1</w:t>
            </w: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4"/>
          </w:tcPr>
          <w:p>
            <w:pPr>
              <w:jc w:val="center"/>
              <w:ind w:left="137"/>
              <w:spacing w:after="0"/>
              <w:rPr>
                <w:sz w:val="20"/>
                <w:szCs w:val="20"/>
                <w:color w:val="auto"/>
              </w:rPr>
            </w:pPr>
            <w:r>
              <w:rPr>
                <w:rFonts w:ascii="Arial" w:cs="Arial" w:eastAsia="Arial" w:hAnsi="Arial"/>
                <w:sz w:val="14"/>
                <w:szCs w:val="14"/>
                <w:b w:val="1"/>
                <w:bCs w:val="1"/>
                <w:color w:val="auto"/>
                <w:w w:val="90"/>
              </w:rPr>
              <w:t>Wells Drilling</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at 12/31/03</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40" w:type="dxa"/>
            <w:vAlign w:val="bottom"/>
            <w:gridSpan w:val="5"/>
          </w:tcPr>
          <w:p>
            <w:pPr>
              <w:ind w:left="260"/>
              <w:spacing w:after="0"/>
              <w:rPr>
                <w:sz w:val="20"/>
                <w:szCs w:val="20"/>
                <w:color w:val="auto"/>
              </w:rPr>
            </w:pPr>
            <w:r>
              <w:rPr>
                <w:rFonts w:ascii="Arial" w:cs="Arial" w:eastAsia="Arial" w:hAnsi="Arial"/>
                <w:sz w:val="14"/>
                <w:szCs w:val="14"/>
                <w:b w:val="1"/>
                <w:bCs w:val="1"/>
                <w:color w:val="auto"/>
              </w:rPr>
              <w:t>Gross</w:t>
            </w:r>
            <w:r>
              <w:rPr>
                <w:rFonts w:ascii="Arial" w:cs="Arial" w:eastAsia="Arial" w:hAnsi="Arial"/>
                <w:sz w:val="22"/>
                <w:szCs w:val="22"/>
                <w:b w:val="1"/>
                <w:bCs w:val="1"/>
                <w:color w:val="auto"/>
                <w:vertAlign w:val="superscript"/>
              </w:rPr>
              <w:t>2</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Net</w:t>
            </w:r>
            <w:r>
              <w:rPr>
                <w:rFonts w:ascii="Arial" w:cs="Arial" w:eastAsia="Arial" w:hAnsi="Arial"/>
                <w:sz w:val="22"/>
                <w:szCs w:val="22"/>
                <w:b w:val="1"/>
                <w:bCs w:val="1"/>
                <w:color w:val="auto"/>
                <w:vertAlign w:val="superscript"/>
              </w:rPr>
              <w:t>2</w:t>
            </w:r>
          </w:p>
        </w:tc>
        <w:tc>
          <w:tcPr>
            <w:tcW w:w="10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Dry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Prod.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Dry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Prod.</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Dry</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gridSpan w:val="3"/>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Africa</w:t>
            </w:r>
          </w:p>
        </w:tc>
        <w:tc>
          <w:tcPr>
            <w:tcW w:w="340" w:type="dxa"/>
            <w:vAlign w:val="bottom"/>
          </w:tcPr>
          <w:p>
            <w:pPr>
              <w:spacing w:after="0"/>
              <w:rPr>
                <w:sz w:val="24"/>
                <w:szCs w:val="24"/>
                <w:color w:val="auto"/>
              </w:rPr>
            </w:pPr>
          </w:p>
        </w:tc>
        <w:tc>
          <w:tcPr>
            <w:tcW w:w="1100" w:type="dxa"/>
            <w:vAlign w:val="bottom"/>
            <w:gridSpan w:val="4"/>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Asia-Pacific</w:t>
            </w:r>
          </w:p>
        </w:tc>
        <w:tc>
          <w:tcPr>
            <w:tcW w:w="34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International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Total International</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Total Consolidated Companies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Equity in Affiliates</w:t>
            </w:r>
          </w:p>
        </w:tc>
        <w:tc>
          <w:tcPr>
            <w:tcW w:w="34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7"/>
              </w:rPr>
              <w:t>—</w:t>
            </w: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Total Including Affiliates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-38100</wp:posOffset>
            </wp:positionV>
            <wp:extent cx="11557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93" w:lineRule="exact"/>
        <w:rPr>
          <w:sz w:val="20"/>
          <w:szCs w:val="20"/>
          <w:color w:val="auto"/>
        </w:rPr>
      </w:pPr>
    </w:p>
    <w:p>
      <w:pPr>
        <w:ind w:left="360" w:right="640" w:hanging="134"/>
        <w:spacing w:after="0" w:line="332" w:lineRule="auto"/>
        <w:rPr>
          <w:sz w:val="20"/>
          <w:szCs w:val="20"/>
          <w:color w:val="auto"/>
        </w:rPr>
      </w:pPr>
      <w:r>
        <w:rPr>
          <w:rFonts w:ascii="Arial" w:cs="Arial" w:eastAsia="Arial" w:hAnsi="Arial"/>
          <w:sz w:val="16"/>
          <w:szCs w:val="16"/>
          <w:color w:val="auto"/>
        </w:rPr>
        <w:t>1 Indicates the number of wells completed during the year regardless of when drilling was initiated. Completion refers to the installation of permanent equipment for the production of oil or gas or, in the case of a dry well, the reporting of abandonment to the appropriate agency.</w:t>
      </w:r>
    </w:p>
    <w:p>
      <w:pPr>
        <w:spacing w:after="0" w:line="166" w:lineRule="exact"/>
        <w:rPr>
          <w:sz w:val="20"/>
          <w:szCs w:val="20"/>
          <w:color w:val="auto"/>
        </w:rPr>
      </w:pPr>
    </w:p>
    <w:p>
      <w:pPr>
        <w:ind w:left="360" w:right="420" w:hanging="134"/>
        <w:spacing w:after="0" w:line="268" w:lineRule="auto"/>
        <w:rPr>
          <w:sz w:val="20"/>
          <w:szCs w:val="20"/>
          <w:color w:val="auto"/>
        </w:rPr>
      </w:pPr>
      <w:r>
        <w:rPr>
          <w:rFonts w:ascii="Arial" w:cs="Arial" w:eastAsia="Arial" w:hAnsi="Arial"/>
          <w:sz w:val="18"/>
          <w:szCs w:val="18"/>
          <w:color w:val="auto"/>
        </w:rPr>
        <w:t>2 Gross wells include the total number of wells in which the company has an interest. Net wells are the sum of the company’s fractional interests in gross wells.</w:t>
      </w:r>
    </w:p>
    <w:p>
      <w:pPr>
        <w:sectPr>
          <w:pgSz w:w="11900" w:h="16838" w:orient="portrait"/>
          <w:cols w:equalWidth="0" w:num="1">
            <w:col w:w="11420"/>
          </w:cols>
          <w:pgMar w:left="240" w:top="419"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19" w:right="239" w:bottom="0"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Details of the company’s exploration expenditures and costs of unproved property acquisitions for 2003, 2002 and 2001 are presented in Table I on page FS-53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Ongoing Exploration and Production Activities in Key Areas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ChevronTexaco’s 2003 key upstream activities not discussed in Management’s Discussion and Analysis of Financial Condition and Results of Operations beginning on page FS-2 of this Annual Report on Form 10-K are presented below. The comments include reference to “net production,” which excludes partner shares and royalty interests. “Total production” includes these components. In addition to the activities discussed, ChevronTexaco was active in other geographic areas, but these activities were less significant.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United States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United States exploration and production activities are concentrated in the Gulf of Mexico, California, Louisiana, Texas, New Mexico and the Rocky Mountains. As part of the ongoing effort to improve competitive performance and increase operating efficiency, the company announced plans in 2003 to sell interests in non-strategic producing properties in the United States. The majority of these properties are located in 15 states and the Outer Continental Shelf of the Gulf of Mexico. The company expects to retain about 400 core fields and anticipates the divestment program will be substantially completed in 2004.</w:t>
      </w:r>
    </w:p>
    <w:p>
      <w:pPr>
        <w:spacing w:after="0" w:line="188" w:lineRule="exact"/>
        <w:rPr>
          <w:sz w:val="20"/>
          <w:szCs w:val="20"/>
          <w:color w:val="auto"/>
        </w:rPr>
      </w:pPr>
    </w:p>
    <w:p>
      <w:pPr>
        <w:ind w:right="160" w:firstLine="162"/>
        <w:spacing w:after="0" w:line="275" w:lineRule="auto"/>
        <w:rPr>
          <w:sz w:val="20"/>
          <w:szCs w:val="20"/>
          <w:color w:val="auto"/>
        </w:rPr>
      </w:pPr>
      <w:r>
        <w:rPr>
          <w:rFonts w:ascii="Arial" w:cs="Arial" w:eastAsia="Arial" w:hAnsi="Arial"/>
          <w:sz w:val="18"/>
          <w:szCs w:val="18"/>
          <w:b w:val="1"/>
          <w:bCs w:val="1"/>
          <w:color w:val="auto"/>
        </w:rPr>
        <w:t xml:space="preserve">Gulf of Mexico: </w:t>
      </w:r>
      <w:r>
        <w:rPr>
          <w:rFonts w:ascii="Arial" w:cs="Arial" w:eastAsia="Arial" w:hAnsi="Arial"/>
          <w:sz w:val="18"/>
          <w:szCs w:val="18"/>
          <w:color w:val="auto"/>
        </w:rPr>
        <w:t>Combining the shelf and deepwater interests in the Gulf of Mexico, average daily net production during 2003 were 169,000 barrels of crude</w:t>
      </w:r>
      <w:r>
        <w:rPr>
          <w:rFonts w:ascii="Arial" w:cs="Arial" w:eastAsia="Arial" w:hAnsi="Arial"/>
          <w:sz w:val="18"/>
          <w:szCs w:val="18"/>
          <w:b w:val="1"/>
          <w:bCs w:val="1"/>
          <w:color w:val="auto"/>
        </w:rPr>
        <w:t xml:space="preserve"> </w:t>
      </w:r>
      <w:r>
        <w:rPr>
          <w:rFonts w:ascii="Arial" w:cs="Arial" w:eastAsia="Arial" w:hAnsi="Arial"/>
          <w:sz w:val="18"/>
          <w:szCs w:val="18"/>
          <w:color w:val="auto"/>
        </w:rPr>
        <w:t>oil, 1 billion cubic feet of natural gas and 19,700 barrels of natural gas liquids.</w:t>
      </w:r>
    </w:p>
    <w:p>
      <w:pPr>
        <w:spacing w:after="0" w:line="18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deepwater, the company has an interest in three significant developments: Petronius, Genesis and Typhoon. Petronius, 50 percent-owned and operated, maintained a daily production of approximately 30,000 barrels of net oil-equivalent in 2003. The 57 percent-owned and operated Genesis averaged production of approximately 20,000 barrels of net oil-equivalent per day in 2003. Typhoon, which is 50 percent-owned and operated, had average production of approximately 14,000 barrels of net oil-equivalent per day in 2003, including production from the Boris field that utilizes the Typhoon production facility.</w:t>
      </w:r>
    </w:p>
    <w:p>
      <w:pPr>
        <w:spacing w:after="0" w:line="167"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In exploration, there were four new deepwater discoveries in 2003 — Sturgis and Perseus, in which the company has a 50 percent interest in each, and Tubular Bells and Saint Malo, which the company’s interest is 30 percent and 12.5 percent, respectively. The company drilled a well in the Tonga prospect in 2003. The data from this well is under evaluation. Additionally, under terms of an agreement with BP, ChevronTexaco earned the right to operate the Blind Faith discovery and increased its ownership to 50 percent. Appraisal work was completed in the Tahiti discovery.</w:t>
      </w:r>
    </w:p>
    <w:p>
      <w:pPr>
        <w:spacing w:after="0" w:line="188" w:lineRule="exact"/>
        <w:rPr>
          <w:sz w:val="20"/>
          <w:szCs w:val="20"/>
          <w:color w:val="auto"/>
        </w:rPr>
      </w:pPr>
    </w:p>
    <w:p>
      <w:pPr>
        <w:ind w:right="80" w:firstLine="162"/>
        <w:spacing w:after="0" w:line="301" w:lineRule="auto"/>
        <w:rPr>
          <w:sz w:val="20"/>
          <w:szCs w:val="20"/>
          <w:color w:val="auto"/>
        </w:rPr>
      </w:pPr>
      <w:r>
        <w:rPr>
          <w:rFonts w:ascii="Arial" w:cs="Arial" w:eastAsia="Arial" w:hAnsi="Arial"/>
          <w:sz w:val="16"/>
          <w:szCs w:val="16"/>
          <w:b w:val="1"/>
          <w:bCs w:val="1"/>
          <w:color w:val="auto"/>
        </w:rPr>
        <w:t xml:space="preserve">Mid-Continent: </w:t>
      </w:r>
      <w:r>
        <w:rPr>
          <w:rFonts w:ascii="Arial" w:cs="Arial" w:eastAsia="Arial" w:hAnsi="Arial"/>
          <w:sz w:val="16"/>
          <w:szCs w:val="16"/>
          <w:color w:val="auto"/>
        </w:rPr>
        <w:t>Onshore operations in the mid-continent United States are concentrated in Texas, Oklahoma, Kansas, Alabama and the Rocky Mountain</w:t>
      </w:r>
      <w:r>
        <w:rPr>
          <w:rFonts w:ascii="Arial" w:cs="Arial" w:eastAsia="Arial" w:hAnsi="Arial"/>
          <w:sz w:val="16"/>
          <w:szCs w:val="16"/>
          <w:b w:val="1"/>
          <w:bCs w:val="1"/>
          <w:color w:val="auto"/>
        </w:rPr>
        <w:t xml:space="preserve"> </w:t>
      </w:r>
      <w:r>
        <w:rPr>
          <w:rFonts w:ascii="Arial" w:cs="Arial" w:eastAsia="Arial" w:hAnsi="Arial"/>
          <w:sz w:val="16"/>
          <w:szCs w:val="16"/>
          <w:color w:val="auto"/>
        </w:rPr>
        <w:t>states. Net production of natural gas averaged 822 million cubic feet per day through development drilling activity, combined with a focus on maintaining base production with workovers, artificial lift and facility optimization. Net production of crude oil and natural gas liquids averaged 32,000 barrels per day during the year. Capital spending was focused on natural gas development with major programs in the Rockies, East Texas and South Texas.</w:t>
      </w:r>
    </w:p>
    <w:p>
      <w:pPr>
        <w:spacing w:after="0" w:line="184" w:lineRule="exact"/>
        <w:rPr>
          <w:sz w:val="20"/>
          <w:szCs w:val="20"/>
          <w:color w:val="auto"/>
        </w:rPr>
      </w:pPr>
    </w:p>
    <w:p>
      <w:pPr>
        <w:ind w:right="260" w:firstLine="162"/>
        <w:spacing w:after="0" w:line="275" w:lineRule="auto"/>
        <w:rPr>
          <w:sz w:val="20"/>
          <w:szCs w:val="20"/>
          <w:color w:val="auto"/>
        </w:rPr>
      </w:pPr>
      <w:r>
        <w:rPr>
          <w:rFonts w:ascii="Arial" w:cs="Arial" w:eastAsia="Arial" w:hAnsi="Arial"/>
          <w:sz w:val="18"/>
          <w:szCs w:val="18"/>
          <w:b w:val="1"/>
          <w:bCs w:val="1"/>
          <w:color w:val="auto"/>
        </w:rPr>
        <w:t xml:space="preserve">Permian: </w:t>
      </w:r>
      <w:r>
        <w:rPr>
          <w:rFonts w:ascii="Arial" w:cs="Arial" w:eastAsia="Arial" w:hAnsi="Arial"/>
          <w:sz w:val="18"/>
          <w:szCs w:val="18"/>
          <w:color w:val="auto"/>
        </w:rPr>
        <w:t>Permian operations are located predominantly in southeastern New Mexico and West Texas. During 2003, daily net production averaged 110,500</w:t>
      </w:r>
      <w:r>
        <w:rPr>
          <w:rFonts w:ascii="Arial" w:cs="Arial" w:eastAsia="Arial" w:hAnsi="Arial"/>
          <w:sz w:val="18"/>
          <w:szCs w:val="18"/>
          <w:b w:val="1"/>
          <w:bCs w:val="1"/>
          <w:color w:val="auto"/>
        </w:rPr>
        <w:t xml:space="preserve"> </w:t>
      </w:r>
      <w:r>
        <w:rPr>
          <w:rFonts w:ascii="Arial" w:cs="Arial" w:eastAsia="Arial" w:hAnsi="Arial"/>
          <w:sz w:val="18"/>
          <w:szCs w:val="18"/>
          <w:color w:val="auto"/>
        </w:rPr>
        <w:t>barrels of crude oil and natural gas liquids and 257 million cubic feet of natural gas.</w:t>
      </w:r>
    </w:p>
    <w:p>
      <w:pPr>
        <w:spacing w:after="0" w:line="201" w:lineRule="exact"/>
        <w:rPr>
          <w:sz w:val="20"/>
          <w:szCs w:val="20"/>
          <w:color w:val="auto"/>
        </w:rPr>
      </w:pPr>
    </w:p>
    <w:p>
      <w:pPr>
        <w:ind w:right="100" w:firstLine="162"/>
        <w:spacing w:after="0" w:line="339" w:lineRule="auto"/>
        <w:rPr>
          <w:sz w:val="20"/>
          <w:szCs w:val="20"/>
          <w:color w:val="auto"/>
        </w:rPr>
      </w:pPr>
      <w:r>
        <w:rPr>
          <w:rFonts w:ascii="Arial" w:cs="Arial" w:eastAsia="Arial" w:hAnsi="Arial"/>
          <w:sz w:val="16"/>
          <w:szCs w:val="16"/>
          <w:b w:val="1"/>
          <w:bCs w:val="1"/>
          <w:color w:val="auto"/>
        </w:rPr>
        <w:t xml:space="preserve">San Joaquin Valley: </w:t>
      </w:r>
      <w:r>
        <w:rPr>
          <w:rFonts w:ascii="Arial" w:cs="Arial" w:eastAsia="Arial" w:hAnsi="Arial"/>
          <w:sz w:val="16"/>
          <w:szCs w:val="16"/>
          <w:color w:val="auto"/>
        </w:rPr>
        <w:t>ChevronTexaco is the largest producer in California. In 2003, average daily net production was 225,500 barrels of crude oil, 112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cubic feet of natural gas and 4,800 barrels of natural gas liquids. Approximately 85 percent of the crude oil production is considered heavy oil (typically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with an API gravity lower than 22 degrees). Heat management continued to be a major focus for the oil assets, enabling greater recovery of this resource.</w:t>
      </w:r>
    </w:p>
    <w:p>
      <w:pPr>
        <w:spacing w:after="0" w:line="269" w:lineRule="exact"/>
        <w:rPr>
          <w:sz w:val="20"/>
          <w:szCs w:val="20"/>
          <w:color w:val="auto"/>
        </w:rPr>
      </w:pPr>
    </w:p>
    <w:p>
      <w:pPr>
        <w:ind w:right="180" w:firstLine="162"/>
        <w:spacing w:after="0" w:line="256" w:lineRule="auto"/>
        <w:rPr>
          <w:sz w:val="20"/>
          <w:szCs w:val="20"/>
          <w:color w:val="auto"/>
        </w:rPr>
      </w:pPr>
      <w:r>
        <w:rPr>
          <w:rFonts w:ascii="Arial" w:cs="Arial" w:eastAsia="Arial" w:hAnsi="Arial"/>
          <w:sz w:val="18"/>
          <w:szCs w:val="18"/>
          <w:b w:val="1"/>
          <w:bCs w:val="1"/>
          <w:color w:val="auto"/>
        </w:rPr>
        <w:t xml:space="preserve">Global Natural Gas Projects: </w:t>
      </w:r>
      <w:r>
        <w:rPr>
          <w:rFonts w:ascii="Arial" w:cs="Arial" w:eastAsia="Arial" w:hAnsi="Arial"/>
          <w:sz w:val="18"/>
          <w:szCs w:val="18"/>
          <w:color w:val="auto"/>
        </w:rPr>
        <w:t>In November 2003, ChevronTexaco received approval for a Deepwater Port License by U.S. government authorities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 own and operate a liquefied natural gas (LNG) receiving and regasification terminal, Port Pelican, to be located offshore Louisiana to serve the North American market. Efforts are under way in 2004 to obtain project approval. The company also filed permits to construct an LNG receiving and regasification terminal to be located approximately eight miles off the coast of Baja California, Mexico. ChevronTexaco is working with Mexican authorities to secure permit approvals for the project.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Africa</w:t>
      </w:r>
    </w:p>
    <w:p>
      <w:pPr>
        <w:spacing w:after="0" w:line="252" w:lineRule="exact"/>
        <w:rPr>
          <w:sz w:val="20"/>
          <w:szCs w:val="20"/>
          <w:color w:val="auto"/>
        </w:rPr>
      </w:pPr>
    </w:p>
    <w:p>
      <w:pPr>
        <w:ind w:right="20" w:firstLine="162"/>
        <w:spacing w:after="0" w:line="296" w:lineRule="auto"/>
        <w:rPr>
          <w:sz w:val="20"/>
          <w:szCs w:val="20"/>
          <w:color w:val="auto"/>
        </w:rPr>
      </w:pPr>
      <w:r>
        <w:rPr>
          <w:rFonts w:ascii="Arial" w:cs="Arial" w:eastAsia="Arial" w:hAnsi="Arial"/>
          <w:sz w:val="16"/>
          <w:szCs w:val="16"/>
          <w:b w:val="1"/>
          <w:bCs w:val="1"/>
          <w:color w:val="auto"/>
        </w:rPr>
        <w:t xml:space="preserve">Nigeria: </w:t>
      </w:r>
      <w:r>
        <w:rPr>
          <w:rFonts w:ascii="Arial" w:cs="Arial" w:eastAsia="Arial" w:hAnsi="Arial"/>
          <w:sz w:val="16"/>
          <w:szCs w:val="16"/>
          <w:color w:val="auto"/>
        </w:rPr>
        <w:t>ChevronTexaco’s principal subsidiary in Nigeria, Chevron Nigeria Limited (CNL), operates and holds a 40 percent interest in 11 concessions,</w:t>
      </w:r>
      <w:r>
        <w:rPr>
          <w:rFonts w:ascii="Arial" w:cs="Arial" w:eastAsia="Arial" w:hAnsi="Arial"/>
          <w:sz w:val="16"/>
          <w:szCs w:val="16"/>
          <w:b w:val="1"/>
          <w:bCs w:val="1"/>
          <w:color w:val="auto"/>
        </w:rPr>
        <w:t xml:space="preserve"> </w:t>
      </w:r>
      <w:r>
        <w:rPr>
          <w:rFonts w:ascii="Arial" w:cs="Arial" w:eastAsia="Arial" w:hAnsi="Arial"/>
          <w:sz w:val="16"/>
          <w:szCs w:val="16"/>
          <w:color w:val="auto"/>
        </w:rPr>
        <w:t>predominantly in the onshore and near-offshore regions of the Niger Delta. CNL operates under a joint venture arrangement with the Nigerian National Petroleum Corporation (NNPC), which owns the remaining 60 percent interest. ChevronTexaco’s subsidiaries Chevron Oil Company Nigeria Limited (COCNL) and Texaco Overseas Nigeria Petroleum Company Unlimited (TOPCON) each hold a 20 percent interest in six additional concessions. TOPCON operates these concessions under a joint venture agreement with NNPC, which owns the remaining 60 percent interest.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2003, daily net production from the 33 CNL-operated fields averaged 113,100 barrels of crude oil, 2,400 barrels of liquefied petroleum gas (LPG) and</w:t>
      </w:r>
    </w:p>
    <w:p>
      <w:pPr>
        <w:spacing w:after="0" w:line="38" w:lineRule="exact"/>
        <w:rPr>
          <w:sz w:val="20"/>
          <w:szCs w:val="20"/>
          <w:color w:val="auto"/>
        </w:rPr>
      </w:pPr>
    </w:p>
    <w:p>
      <w:pPr>
        <w:ind w:right="260"/>
        <w:spacing w:after="0" w:line="331" w:lineRule="auto"/>
        <w:rPr>
          <w:sz w:val="20"/>
          <w:szCs w:val="20"/>
          <w:color w:val="auto"/>
        </w:rPr>
      </w:pPr>
      <w:r>
        <w:rPr>
          <w:rFonts w:ascii="Arial" w:cs="Arial" w:eastAsia="Arial" w:hAnsi="Arial"/>
          <w:sz w:val="15"/>
          <w:szCs w:val="15"/>
          <w:color w:val="auto"/>
        </w:rPr>
        <w:t>50 million cubic feet of natural gas. Net production from five TOPCON operating fields during the year averaged approximately 7,200 barrels of crude oil per day. Onshore operations in the western Niger Delta were suspended in March 2003 as a result of community disturbance. Net onshore production capacity of about 45,000 barrels of oil per day remained shut-in at year-end while the company continued to evaluate options for safe and secure restoration of production.</w:t>
      </w:r>
    </w:p>
    <w:p>
      <w:pPr>
        <w:spacing w:after="0" w:line="14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onshore and offshore engineering, procurement and construction bids were received in 2003 for Phase 3 of the Escravos Gas Project, which includes adding a second gas plant and expanding processing capacity to 680 million cubic feet per day and is targeted for completion in 2007. ChevronTexaco holds a 40 percent working interest in the Escravos Gas Project, which has the capacity to process 285 million cubic feet of natural gas per day.</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Front-end engineering and design and site preparations have been completed for the planned gas-to-liquids (GTL) facility at Escravos. This proposed 33,000-barrel-per-day GTL project is the company’s first project to use the Sasol Chevron Global Joint Venture’s technology and operational expertise. Project start-up is expected to be in 2007. ChevronTexaco will ultimately hold about a 38 percent beneficial interest.</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also continued activities in the deepwater Agbami development. In 2003, a pre-unitization agreement was completed between ChevronTexaco and the Blocks 216 and 217 participants. Initial production is expected in 2007.</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Successful results were achieved in 2003 from the Aparo-3 appraisal well and the Nsiko-1 wildcat well in the deepwater Block OPL-249, in which the company is entitled to a variable equity interest over the life of the field.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OPL-222 activities continued in 2003 with the successful completion of appraisal programs involving Usan-3, Usan-4 and Ukot-2, in which ChevronTexaco holds a 30 percent interest. Exploration activities on the shelf included the completion of the Okagba-2 appraisal well along with the successful Sonam-4 appraisal well.</w:t>
      </w:r>
    </w:p>
    <w:p>
      <w:pPr>
        <w:spacing w:after="0" w:line="13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and its partners in the Brass River Consortium agreed to advance plans for the front-end engineering and design work for a new LNG facility at Brass River in Nigeria.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firstLine="162"/>
        <w:spacing w:after="0" w:line="301" w:lineRule="auto"/>
        <w:rPr>
          <w:sz w:val="20"/>
          <w:szCs w:val="20"/>
          <w:color w:val="auto"/>
        </w:rPr>
      </w:pPr>
      <w:r>
        <w:rPr>
          <w:rFonts w:ascii="Arial" w:cs="Arial" w:eastAsia="Arial" w:hAnsi="Arial"/>
          <w:sz w:val="16"/>
          <w:szCs w:val="16"/>
          <w:b w:val="1"/>
          <w:bCs w:val="1"/>
          <w:color w:val="auto"/>
        </w:rPr>
        <w:t xml:space="preserve">Angola: </w:t>
      </w:r>
      <w:r>
        <w:rPr>
          <w:rFonts w:ascii="Arial" w:cs="Arial" w:eastAsia="Arial" w:hAnsi="Arial"/>
          <w:sz w:val="16"/>
          <w:szCs w:val="16"/>
          <w:color w:val="auto"/>
        </w:rPr>
        <w:t>ChevronTexaco is the largest producer of crude oil and natural gas in Angola and the first to produce in the deepwater. Cabinda Gulf Oil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(CABGOC), a wholly owned subsidiary of ChevronTexaco, is operator of two concessions, Blocks 0 and 14, off the west coast of Angola, north of the Congo River. Block 0, in which CABGOC has a 39 percent interest, is a 2,155-square-mile concession adjacent to the Cabinda coastline. Block 14, in which CABGOC has a 31 percent interest, is a 1,580-square-mile deepwater concession located west of Block 0.</w:t>
      </w:r>
    </w:p>
    <w:p>
      <w:pPr>
        <w:spacing w:after="0" w:line="16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Block 0, the company operates in three areas — A, B and C — composed of 21 fields producing 128,000 barrels per day of net liquids in 2003. Area A, comprising 16 fields that are currently producing, averaged daily net production of approximately 82,000 barrels of crude oil and 1,000 barrels of LPG in 2003. Area B, which has three fields producing, averaged net production of 37,000 barrels of crude oil per day. Area C averaged net production of 8,000 barrels of crude oil per day from two producing fields.</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Block 14, net production in 2003 from the Kuito Field, Angola’s first deepwater producing area, averaged approximately 19,000 barrels of crude oil per day. The Benguela Belize-Lobito Tomboco development includes a phased development of the Benguela, Belize, Lobito and Tomboco fields, with Phase 1 currently estimated to start up by the end of 2005. Phase 2 involves the installation of subsea systems, pipelines and wells for the Lobito and Tomboco fields. The company is the operator and holds a 31 percent interest in Block 14. The Negage prospect is currently under evaluation for commerciality, and feasibility studies continue for the Gabela heavy oil field.</w:t>
      </w:r>
    </w:p>
    <w:p>
      <w:pPr>
        <w:spacing w:after="0" w:line="19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ChevronTexaco has two other concessions in Angola. Block 2, in which the company operates and has a 20 percent interest, and Block FST, in which the company has a 16 percent nonoperated interest, had a combined net production of 7,100 barrels of crude oil per day in 2003.</w:t>
      </w:r>
    </w:p>
    <w:p>
      <w:pPr>
        <w:spacing w:after="0" w:line="13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Angola LNG Project is an integrated gas utilization project. ChevronTexaco and Sonangol, the state oil company of Angola, are co-leading the project in which the company has a 36 percent interest.</w:t>
      </w:r>
    </w:p>
    <w:p>
      <w:pPr>
        <w:spacing w:after="0" w:line="207" w:lineRule="exact"/>
        <w:rPr>
          <w:sz w:val="20"/>
          <w:szCs w:val="20"/>
          <w:color w:val="auto"/>
        </w:rPr>
      </w:pPr>
    </w:p>
    <w:p>
      <w:pPr>
        <w:ind w:right="280" w:firstLine="162"/>
        <w:spacing w:after="0" w:line="301" w:lineRule="auto"/>
        <w:rPr>
          <w:sz w:val="20"/>
          <w:szCs w:val="20"/>
          <w:color w:val="auto"/>
        </w:rPr>
      </w:pPr>
      <w:r>
        <w:rPr>
          <w:rFonts w:ascii="Arial" w:cs="Arial" w:eastAsia="Arial" w:hAnsi="Arial"/>
          <w:sz w:val="16"/>
          <w:szCs w:val="16"/>
          <w:b w:val="1"/>
          <w:bCs w:val="1"/>
          <w:color w:val="auto"/>
        </w:rPr>
        <w:t xml:space="preserve">Republic of Congo: </w:t>
      </w:r>
      <w:r>
        <w:rPr>
          <w:rFonts w:ascii="Arial" w:cs="Arial" w:eastAsia="Arial" w:hAnsi="Arial"/>
          <w:sz w:val="16"/>
          <w:szCs w:val="16"/>
          <w:color w:val="auto"/>
        </w:rPr>
        <w:t>ChevronTexaco has a 30 percent interest in NKossa, Nsoko and Moho-Bilondo exploitation permits and a 29 percent interest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Marine VII Kitina and Sounda exploitation permits, all of which are in offshore Congo and adjacent to the company’s concessions in Cabinda. Net production from ChevronTexaco’s concessions in the Republic of Congo averaged 13,300 barrels of crude oil per day in 2003. An assessment of the Moho and Bilondo discoveries progressed during 2003, and a development decision is expected in 2004.</w:t>
      </w:r>
    </w:p>
    <w:p>
      <w:pPr>
        <w:spacing w:after="0" w:line="184" w:lineRule="exact"/>
        <w:rPr>
          <w:sz w:val="20"/>
          <w:szCs w:val="20"/>
          <w:color w:val="auto"/>
        </w:rPr>
      </w:pPr>
    </w:p>
    <w:p>
      <w:pPr>
        <w:ind w:right="80" w:firstLine="162"/>
        <w:spacing w:after="0" w:line="339" w:lineRule="auto"/>
        <w:rPr>
          <w:sz w:val="20"/>
          <w:szCs w:val="20"/>
          <w:color w:val="auto"/>
        </w:rPr>
      </w:pPr>
      <w:r>
        <w:rPr>
          <w:rFonts w:ascii="Arial" w:cs="Arial" w:eastAsia="Arial" w:hAnsi="Arial"/>
          <w:sz w:val="15"/>
          <w:szCs w:val="15"/>
          <w:b w:val="1"/>
          <w:bCs w:val="1"/>
          <w:color w:val="auto"/>
        </w:rPr>
        <w:t xml:space="preserve">Chad-Cameroon: </w:t>
      </w:r>
      <w:r>
        <w:rPr>
          <w:rFonts w:ascii="Arial" w:cs="Arial" w:eastAsia="Arial" w:hAnsi="Arial"/>
          <w:sz w:val="15"/>
          <w:szCs w:val="15"/>
          <w:color w:val="auto"/>
        </w:rPr>
        <w:t>ChevronTexaco is partner in a project to develop landlocked oil fields in southern Chad and transport crude oil by pipeline to the coast of</w:t>
      </w:r>
      <w:r>
        <w:rPr>
          <w:rFonts w:ascii="Arial" w:cs="Arial" w:eastAsia="Arial" w:hAnsi="Arial"/>
          <w:sz w:val="15"/>
          <w:szCs w:val="15"/>
          <w:b w:val="1"/>
          <w:bCs w:val="1"/>
          <w:color w:val="auto"/>
        </w:rPr>
        <w:t xml:space="preserve"> </w:t>
      </w:r>
      <w:r>
        <w:rPr>
          <w:rFonts w:ascii="Arial" w:cs="Arial" w:eastAsia="Arial" w:hAnsi="Arial"/>
          <w:sz w:val="15"/>
          <w:szCs w:val="15"/>
          <w:color w:val="auto"/>
        </w:rPr>
        <w:t>Cameroon for export to world markets. At the end of 2003, the overall development project was substantially complete. The company’s first sales of Chad production occurred in late 2003. ChevronTexaco has a 25 percent interest in the upstream operations and has approximately a 23 percent interest in the pipeline.</w:t>
      </w:r>
    </w:p>
    <w:p>
      <w:pPr>
        <w:spacing w:after="0" w:line="160" w:lineRule="exact"/>
        <w:rPr>
          <w:sz w:val="20"/>
          <w:szCs w:val="20"/>
          <w:color w:val="auto"/>
        </w:rPr>
      </w:pPr>
    </w:p>
    <w:p>
      <w:pPr>
        <w:ind w:right="280" w:firstLine="162"/>
        <w:spacing w:after="0" w:line="275" w:lineRule="auto"/>
        <w:rPr>
          <w:sz w:val="20"/>
          <w:szCs w:val="20"/>
          <w:color w:val="auto"/>
        </w:rPr>
      </w:pPr>
      <w:r>
        <w:rPr>
          <w:rFonts w:ascii="Arial" w:cs="Arial" w:eastAsia="Arial" w:hAnsi="Arial"/>
          <w:sz w:val="18"/>
          <w:szCs w:val="18"/>
          <w:b w:val="1"/>
          <w:bCs w:val="1"/>
          <w:color w:val="auto"/>
        </w:rPr>
        <w:t xml:space="preserve">Equatorial Guinea: </w:t>
      </w:r>
      <w:r>
        <w:rPr>
          <w:rFonts w:ascii="Arial" w:cs="Arial" w:eastAsia="Arial" w:hAnsi="Arial"/>
          <w:sz w:val="18"/>
          <w:szCs w:val="18"/>
          <w:color w:val="auto"/>
        </w:rPr>
        <w:t>ChevronTexaco is a 45 percent partner and operator of Block L offshore the Republic of Equatorial Guinea. The first exploration well,</w:t>
      </w:r>
      <w:r>
        <w:rPr>
          <w:rFonts w:ascii="Arial" w:cs="Arial" w:eastAsia="Arial" w:hAnsi="Arial"/>
          <w:sz w:val="18"/>
          <w:szCs w:val="18"/>
          <w:b w:val="1"/>
          <w:bCs w:val="1"/>
          <w:color w:val="auto"/>
        </w:rPr>
        <w:t xml:space="preserve"> </w:t>
      </w:r>
      <w:r>
        <w:rPr>
          <w:rFonts w:ascii="Arial" w:cs="Arial" w:eastAsia="Arial" w:hAnsi="Arial"/>
          <w:sz w:val="18"/>
          <w:szCs w:val="18"/>
          <w:color w:val="auto"/>
        </w:rPr>
        <w:t>Ballena-1, was completed in April 2003, and the partnership is currently progressing with the evaluation of the block.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Asia-Pacific</w:t>
      </w:r>
    </w:p>
    <w:p>
      <w:pPr>
        <w:spacing w:after="0" w:line="252" w:lineRule="exact"/>
        <w:rPr>
          <w:sz w:val="20"/>
          <w:szCs w:val="20"/>
          <w:color w:val="auto"/>
        </w:rPr>
      </w:pPr>
    </w:p>
    <w:p>
      <w:pPr>
        <w:ind w:right="140" w:firstLine="162"/>
        <w:spacing w:after="0" w:line="262" w:lineRule="auto"/>
        <w:rPr>
          <w:sz w:val="20"/>
          <w:szCs w:val="20"/>
          <w:color w:val="auto"/>
        </w:rPr>
      </w:pPr>
      <w:r>
        <w:rPr>
          <w:rFonts w:ascii="Arial" w:cs="Arial" w:eastAsia="Arial" w:hAnsi="Arial"/>
          <w:sz w:val="18"/>
          <w:szCs w:val="18"/>
          <w:b w:val="1"/>
          <w:bCs w:val="1"/>
          <w:color w:val="auto"/>
        </w:rPr>
        <w:t xml:space="preserve">China: </w:t>
      </w:r>
      <w:r>
        <w:rPr>
          <w:rFonts w:ascii="Arial" w:cs="Arial" w:eastAsia="Arial" w:hAnsi="Arial"/>
          <w:sz w:val="18"/>
          <w:szCs w:val="18"/>
          <w:color w:val="auto"/>
        </w:rPr>
        <w:t>ChevronTexaco has a 33 percent interest in Block 16/08, located in the Pearl River Delta Mouth Basin. Daily net production from the six fields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block averaged 14,700 barrels of crude oil per day in 2003. The company has a 25 percent interest in QHD-32-6 in Bohai Bay, which had 2003 average net production of 8,300 barrels of crude oil per day.</w:t>
      </w:r>
    </w:p>
    <w:p>
      <w:pPr>
        <w:spacing w:after="0" w:line="213" w:lineRule="exact"/>
        <w:rPr>
          <w:sz w:val="20"/>
          <w:szCs w:val="20"/>
          <w:color w:val="auto"/>
        </w:rPr>
      </w:pPr>
    </w:p>
    <w:p>
      <w:pPr>
        <w:ind w:firstLine="162"/>
        <w:spacing w:after="0" w:line="262" w:lineRule="auto"/>
        <w:rPr>
          <w:sz w:val="20"/>
          <w:szCs w:val="20"/>
          <w:color w:val="auto"/>
        </w:rPr>
      </w:pPr>
      <w:r>
        <w:rPr>
          <w:rFonts w:ascii="Arial" w:cs="Arial" w:eastAsia="Arial" w:hAnsi="Arial"/>
          <w:sz w:val="18"/>
          <w:szCs w:val="18"/>
          <w:b w:val="1"/>
          <w:bCs w:val="1"/>
          <w:color w:val="auto"/>
        </w:rPr>
        <w:t xml:space="preserve">Indonesia: </w:t>
      </w:r>
      <w:r>
        <w:rPr>
          <w:rFonts w:ascii="Arial" w:cs="Arial" w:eastAsia="Arial" w:hAnsi="Arial"/>
          <w:sz w:val="18"/>
          <w:szCs w:val="18"/>
          <w:color w:val="auto"/>
        </w:rPr>
        <w:t>ChevronTexaco’s interests in Indonesia are managed by two wholly owned subsidiaries, P.T. Caltex Pacific Indonesia (CPI) and Amoseas Indonesia</w:t>
      </w:r>
      <w:r>
        <w:rPr>
          <w:rFonts w:ascii="Arial" w:cs="Arial" w:eastAsia="Arial" w:hAnsi="Arial"/>
          <w:sz w:val="18"/>
          <w:szCs w:val="18"/>
          <w:b w:val="1"/>
          <w:bCs w:val="1"/>
          <w:color w:val="auto"/>
        </w:rPr>
        <w:t xml:space="preserve"> </w:t>
      </w:r>
      <w:r>
        <w:rPr>
          <w:rFonts w:ascii="Arial" w:cs="Arial" w:eastAsia="Arial" w:hAnsi="Arial"/>
          <w:sz w:val="18"/>
          <w:szCs w:val="18"/>
          <w:color w:val="auto"/>
        </w:rPr>
        <w:t>(AI). CPI accounts for about 40 percent of Indonesia’s total crude oil output and holds an interest in five production-sharing contracts (PSCs). AI is a power generation company that operates the Darajat geothermal contract area in West Java and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cogeneration facility in support of CPI’s operation in North Duri. In addition to the above interests, ChevronTexaco has a 25 percent nonoperated interest in South Natuna Sea Block B.</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ChevronTexaco’s share of net production during 2003 was 251,000 barrels of oil-equivalent per day. CPI continues to execute projects that are designed to optimize production from its existing reservoirs. The Duri Field in the Rokan Block, under steamflood since 1985, is the largest steamflood project in the world, with net production averaging 116,000 barrels of crude oil per day in 2003. ChevronTexaco’s net production from South Natuna Sea Block B in 2003 was about 15,400 barrels of oil-equivalent per day.</w:t>
      </w:r>
    </w:p>
    <w:p>
      <w:pPr>
        <w:spacing w:after="0" w:line="218" w:lineRule="exact"/>
        <w:rPr>
          <w:sz w:val="20"/>
          <w:szCs w:val="20"/>
          <w:color w:val="auto"/>
        </w:rPr>
      </w:pPr>
    </w:p>
    <w:p>
      <w:pPr>
        <w:ind w:right="80" w:firstLine="162"/>
        <w:spacing w:after="0" w:line="258" w:lineRule="auto"/>
        <w:rPr>
          <w:sz w:val="20"/>
          <w:szCs w:val="20"/>
          <w:color w:val="auto"/>
        </w:rPr>
      </w:pPr>
      <w:r>
        <w:rPr>
          <w:rFonts w:ascii="Arial" w:cs="Arial" w:eastAsia="Arial" w:hAnsi="Arial"/>
          <w:sz w:val="18"/>
          <w:szCs w:val="18"/>
          <w:b w:val="1"/>
          <w:bCs w:val="1"/>
          <w:color w:val="auto"/>
        </w:rPr>
        <w:t xml:space="preserve">Thailand: </w:t>
      </w:r>
      <w:r>
        <w:rPr>
          <w:rFonts w:ascii="Arial" w:cs="Arial" w:eastAsia="Arial" w:hAnsi="Arial"/>
          <w:sz w:val="18"/>
          <w:szCs w:val="18"/>
          <w:color w:val="auto"/>
        </w:rPr>
        <w:t>ChevronTexaco operates Block B8/32 in the Gulf of Thailand with a 52 percent interest. During 2003, the company was awarded the exploration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production rights to two additional offshore concessions. The company’s interests in the newly acquired Blocks G4/43 and 9A are 85 percent and 52 percent, respectively. The company also holds a 33 percent interest in exploration Blocks 7, 8 and 9, which are currently inactive pending resolution of border issues between Thailand and Cambodia.</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Block B8/32 produces crude oil and natural gas from three fields: Tantawan, Maliwan and Benchamas. Daily net production in 2003 from these fields was</w:t>
      </w:r>
    </w:p>
    <w:p>
      <w:pPr>
        <w:spacing w:after="0" w:line="38"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104 million cubic feet of natural gas and 24,600 barrels of crude oil. During the year, the company drilled 44 development wells and installed three platforms in Block B8/32. In early 2004, the company completed an upgrade of processing capacity at the Benchamas Field, increasing total capacity to approximately</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65,000 barrels of crude oil per day (34,000 net barrels of crude oil per day). During 2004, an exploration program is planned to continue to evaluate the remaining areas of Block B8/32 and the recently acquired concessions.</w:t>
      </w:r>
    </w:p>
    <w:p>
      <w:pPr>
        <w:spacing w:after="0" w:line="213" w:lineRule="exact"/>
        <w:rPr>
          <w:sz w:val="20"/>
          <w:szCs w:val="20"/>
          <w:color w:val="auto"/>
        </w:rPr>
      </w:pPr>
    </w:p>
    <w:p>
      <w:pPr>
        <w:ind w:right="160" w:firstLine="162"/>
        <w:spacing w:after="0" w:line="258" w:lineRule="auto"/>
        <w:rPr>
          <w:sz w:val="20"/>
          <w:szCs w:val="20"/>
          <w:color w:val="auto"/>
        </w:rPr>
      </w:pPr>
      <w:r>
        <w:rPr>
          <w:rFonts w:ascii="Arial" w:cs="Arial" w:eastAsia="Arial" w:hAnsi="Arial"/>
          <w:sz w:val="18"/>
          <w:szCs w:val="18"/>
          <w:b w:val="1"/>
          <w:bCs w:val="1"/>
          <w:color w:val="auto"/>
        </w:rPr>
        <w:t xml:space="preserve">Cambodia: </w:t>
      </w:r>
      <w:r>
        <w:rPr>
          <w:rFonts w:ascii="Arial" w:cs="Arial" w:eastAsia="Arial" w:hAnsi="Arial"/>
          <w:sz w:val="18"/>
          <w:szCs w:val="18"/>
          <w:color w:val="auto"/>
        </w:rPr>
        <w:t>ChevronTexaco operates and holds a 70 percent interest in Block A, located offshore Cambodia in the Gulf of Thailand. Efforts are under way to</w:t>
      </w:r>
      <w:r>
        <w:rPr>
          <w:rFonts w:ascii="Arial" w:cs="Arial" w:eastAsia="Arial" w:hAnsi="Arial"/>
          <w:sz w:val="18"/>
          <w:szCs w:val="18"/>
          <w:b w:val="1"/>
          <w:bCs w:val="1"/>
          <w:color w:val="auto"/>
        </w:rPr>
        <w:t xml:space="preserve"> </w:t>
      </w:r>
      <w:r>
        <w:rPr>
          <w:rFonts w:ascii="Arial" w:cs="Arial" w:eastAsia="Arial" w:hAnsi="Arial"/>
          <w:sz w:val="18"/>
          <w:szCs w:val="18"/>
          <w:color w:val="auto"/>
        </w:rPr>
        <w:t>reduce the company’s working interest in the block to 55 percent. The concession covers approximately 1 million net acres. In 2003, ChevronTexaco drilled one exploration well without commercial success. New 3D seismic data has been acquired and processed over a portion of the block, and the drilling of additional exploration wells is planned for 2004.</w:t>
      </w:r>
    </w:p>
    <w:p>
      <w:pPr>
        <w:spacing w:after="0" w:line="217" w:lineRule="exact"/>
        <w:rPr>
          <w:sz w:val="20"/>
          <w:szCs w:val="20"/>
          <w:color w:val="auto"/>
        </w:rPr>
      </w:pPr>
    </w:p>
    <w:p>
      <w:pPr>
        <w:ind w:right="20" w:firstLine="162"/>
        <w:spacing w:after="0" w:line="289" w:lineRule="auto"/>
        <w:rPr>
          <w:sz w:val="20"/>
          <w:szCs w:val="20"/>
          <w:color w:val="auto"/>
        </w:rPr>
      </w:pPr>
      <w:r>
        <w:rPr>
          <w:rFonts w:ascii="Arial" w:cs="Arial" w:eastAsia="Arial" w:hAnsi="Arial"/>
          <w:sz w:val="16"/>
          <w:szCs w:val="16"/>
          <w:b w:val="1"/>
          <w:bCs w:val="1"/>
          <w:color w:val="auto"/>
        </w:rPr>
        <w:t xml:space="preserve">Australia: </w:t>
      </w:r>
      <w:r>
        <w:rPr>
          <w:rFonts w:ascii="Arial" w:cs="Arial" w:eastAsia="Arial" w:hAnsi="Arial"/>
          <w:sz w:val="16"/>
          <w:szCs w:val="16"/>
          <w:color w:val="auto"/>
        </w:rPr>
        <w:t>ChevronTexaco has a one-sixth interest in the North West Shelf (NWS) Project in offshore Western Australia. Daily net production from the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2003 averaged 18,100 barrels of condensate, 282 million cubic feet of natural gas, 17,900 barrels of crude oil and 3,700 barrels of liquefied petroleum gas. Approximately 60 percent of the natural gas was sold, primarily under long-term contracts, in the form of liquefied natural gas (LNG) to major utilities in Japan and South Korea. The remaining natural gas was sold to the Western Australia domestic market. The Train 4 LNG expansion project, which is planned to increase LNG capacity by about 50 percent, is under construction and is expected to have first gas sales by September 2004. The NWS Venture was selected by the People’s Republic of China to be the supplier of LNG for the proposed Guangdong LNG Terminal Project. A 25-year LNG Sale and Purchase Agreement (SPA) for approximately 3.9 trillion cubic feet of natural gas is being negotiated, with first LNG cargoes expected in late 2006 or 2007. In parallel with the execution of the SPA, China National Offshore Oil Corporation (CNOOC) will have the opportunity to acquire participating interest in NWS reserves and production that will supply gas to Guangdong.</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is operator of and has a 57 percent interest in the undeveloped Gorgon area gas fields offshore northwest Australia. ChevronTexaco is actively pursuing long-term gas sales from Gorgon to Australian industrial customers and in international LNG markets, including China, Japan, South Korea and the west coast of North America. In 2003, the Western Australian government granted in-principle approval, through an act of parliament, for the development and construction of a multibillion-dollar gas processing facility on Barrow Island. This represented one of several milestones toward enabling production of natural gas resources in this area. Additionally, ChevronTexaco signed a Memorandum of Understanding with the Gorgon joint venture partners for the supply of LNG to the North America west coast, over a 20-year period (approximately 1.9 trillion cubic feet in total) beginning in 2008. In October 2003, the Gorgon joint venture partners announced an agreement with CNOOC to negotiate the sale of Gorgon LNG to the People’s Republic of China. The agreement, which is subject to the completion of formal contracts, enables CNOOC to purchase an equity stake in the Gorgon gas development project and to facilitate the sale of LNG into the Chinese market.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2003, ChevronTexaco participated in the drilling of the Jansz-3 appraisal well in the Io-Jansz gas field discovery, offshore Western Australia, in which the company holds a 50 percent interest.</w:t>
      </w:r>
    </w:p>
    <w:p>
      <w:pPr>
        <w:spacing w:after="0" w:line="207" w:lineRule="exact"/>
        <w:rPr>
          <w:sz w:val="20"/>
          <w:szCs w:val="20"/>
          <w:color w:val="auto"/>
        </w:rPr>
      </w:pPr>
    </w:p>
    <w:p>
      <w:pPr>
        <w:jc w:val="both"/>
        <w:ind w:firstLine="162"/>
        <w:spacing w:after="0" w:line="262" w:lineRule="auto"/>
        <w:rPr>
          <w:sz w:val="20"/>
          <w:szCs w:val="20"/>
          <w:color w:val="auto"/>
        </w:rPr>
      </w:pPr>
      <w:r>
        <w:rPr>
          <w:rFonts w:ascii="Arial" w:cs="Arial" w:eastAsia="Arial" w:hAnsi="Arial"/>
          <w:sz w:val="18"/>
          <w:szCs w:val="18"/>
          <w:b w:val="1"/>
          <w:bCs w:val="1"/>
          <w:color w:val="auto"/>
        </w:rPr>
        <w:t xml:space="preserve">Philippines: </w:t>
      </w:r>
      <w:r>
        <w:rPr>
          <w:rFonts w:ascii="Arial" w:cs="Arial" w:eastAsia="Arial" w:hAnsi="Arial"/>
          <w:sz w:val="18"/>
          <w:szCs w:val="18"/>
          <w:color w:val="auto"/>
        </w:rPr>
        <w:t>The company holds a 45 percent interest in the Malampaya natural gas field located about 50 miles offshore Palawan Island. The Malampaya gas-to-power project represents the first offshore production of natural gas in the Philippines. Daily net production was 140 million cubic feet of natural gas and 7,600 barrels of condensate.</w:t>
      </w:r>
    </w:p>
    <w:p>
      <w:pPr>
        <w:spacing w:after="0" w:line="213"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b w:val="1"/>
          <w:bCs w:val="1"/>
          <w:color w:val="auto"/>
        </w:rPr>
        <w:t xml:space="preserve">Middle East: </w:t>
      </w:r>
      <w:r>
        <w:rPr>
          <w:rFonts w:ascii="Arial" w:cs="Arial" w:eastAsia="Arial" w:hAnsi="Arial"/>
          <w:sz w:val="16"/>
          <w:szCs w:val="16"/>
          <w:color w:val="auto"/>
        </w:rPr>
        <w:t>Saudi Arabia Texaco Inc., a ChevronTexaco affiliate, holds a 60-year concession, originally signed in 1949, to produce onshore crude oil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Partitioned Neutral Zone (PNZ), located between the Kingdom of Saudi Arabia and the State of Kuwait. The Kingdom of Saudi Arabia and the State of Kuwait each own an undivided 50 percent interest in the PNZ’s hydrocarbon resources. The company, by virtue of its concession, has the rights to the Kingdom’s undivided 50 percent interest in the hydrocarbon resources located in the onshore PNZ, on which it pays a royalty and other taxes on hydrocarbons produced. During 2003, average net production was 133,700 barrels of crude oil per day and 15 million net cubic feet of natural gas per day. The company also has an exploration agreement in Bahrain. The exploration concessions in Qatar expired in mid-2003.</w:t>
      </w:r>
    </w:p>
    <w:p>
      <w:pPr>
        <w:spacing w:after="0" w:line="192" w:lineRule="exact"/>
        <w:rPr>
          <w:sz w:val="20"/>
          <w:szCs w:val="20"/>
          <w:color w:val="auto"/>
        </w:rPr>
      </w:pPr>
    </w:p>
    <w:p>
      <w:pPr>
        <w:ind w:firstLine="162"/>
        <w:spacing w:after="0" w:line="285" w:lineRule="auto"/>
        <w:rPr>
          <w:sz w:val="20"/>
          <w:szCs w:val="20"/>
          <w:color w:val="auto"/>
        </w:rPr>
      </w:pPr>
      <w:r>
        <w:rPr>
          <w:rFonts w:ascii="Arial" w:cs="Arial" w:eastAsia="Arial" w:hAnsi="Arial"/>
          <w:sz w:val="16"/>
          <w:szCs w:val="16"/>
          <w:b w:val="1"/>
          <w:bCs w:val="1"/>
          <w:color w:val="auto"/>
        </w:rPr>
        <w:t xml:space="preserve">Kazakhstan: </w:t>
      </w:r>
      <w:r>
        <w:rPr>
          <w:rFonts w:ascii="Arial" w:cs="Arial" w:eastAsia="Arial" w:hAnsi="Arial"/>
          <w:sz w:val="16"/>
          <w:szCs w:val="16"/>
          <w:color w:val="auto"/>
        </w:rPr>
        <w:t>ChevronTexaco holds a 20 percent interest in the Karachaganak project. Phase 2 of the field development, which included construction of gas</w:t>
      </w:r>
      <w:r>
        <w:rPr>
          <w:rFonts w:ascii="Arial" w:cs="Arial" w:eastAsia="Arial" w:hAnsi="Arial"/>
          <w:sz w:val="16"/>
          <w:szCs w:val="16"/>
          <w:b w:val="1"/>
          <w:bCs w:val="1"/>
          <w:color w:val="auto"/>
        </w:rPr>
        <w:t xml:space="preserve"> </w:t>
      </w:r>
      <w:r>
        <w:rPr>
          <w:rFonts w:ascii="Arial" w:cs="Arial" w:eastAsia="Arial" w:hAnsi="Arial"/>
          <w:sz w:val="16"/>
          <w:szCs w:val="16"/>
          <w:color w:val="auto"/>
        </w:rPr>
        <w:t>injection and liquids processing facilities, as well as a 400-mile pipeline that provides access to world markets, was substantially completed at year-end 2003. When fully operational in mid-2004, daily net production is expected to increase to approximately 40,000 barrels of liquids, including 27,900 barrels of processed liquids that will be exported via the company’s 15 percent-owned Caspian Pipeline. Daily net natural gas production is expected to increase to approximately</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140 million cubic feet of natural gas. During 2003, Karachaganak net production averaged 21,400 barrels of liquids and 101 million cubic feet of natural gas per day. Also in 2003, ChevronTexaco sold its interest in the North Buzachi oil and gas field.</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Papua New Guinea: </w:t>
      </w:r>
      <w:r>
        <w:rPr>
          <w:rFonts w:ascii="Arial" w:cs="Arial" w:eastAsia="Arial" w:hAnsi="Arial"/>
          <w:sz w:val="16"/>
          <w:szCs w:val="16"/>
          <w:color w:val="auto"/>
        </w:rPr>
        <w:t>In 2003, ChevronTexaco sold its interests in Papua New Guinea and resigned operatorship of the Kutubu, Gobe and Moran oil fields.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Other International Areas</w:t>
      </w:r>
    </w:p>
    <w:p>
      <w:pPr>
        <w:spacing w:after="0" w:line="252" w:lineRule="exact"/>
        <w:rPr>
          <w:sz w:val="20"/>
          <w:szCs w:val="20"/>
          <w:color w:val="auto"/>
        </w:rPr>
      </w:pPr>
    </w:p>
    <w:p>
      <w:pPr>
        <w:ind w:right="20" w:firstLine="162"/>
        <w:spacing w:after="0" w:line="289" w:lineRule="auto"/>
        <w:rPr>
          <w:sz w:val="20"/>
          <w:szCs w:val="20"/>
          <w:color w:val="auto"/>
        </w:rPr>
      </w:pPr>
      <w:r>
        <w:rPr>
          <w:rFonts w:ascii="Arial" w:cs="Arial" w:eastAsia="Arial" w:hAnsi="Arial"/>
          <w:sz w:val="16"/>
          <w:szCs w:val="16"/>
          <w:b w:val="1"/>
          <w:bCs w:val="1"/>
          <w:color w:val="auto"/>
        </w:rPr>
        <w:t xml:space="preserve">Europe: </w:t>
      </w:r>
      <w:r>
        <w:rPr>
          <w:rFonts w:ascii="Arial" w:cs="Arial" w:eastAsia="Arial" w:hAnsi="Arial"/>
          <w:sz w:val="16"/>
          <w:szCs w:val="16"/>
          <w:color w:val="auto"/>
        </w:rPr>
        <w:t>ChevronTexaco holds producing interests in 26 fields in Denmark, Norway and the United Kingdom with a combined daily net production of 167,900</w:t>
      </w:r>
      <w:r>
        <w:rPr>
          <w:rFonts w:ascii="Arial" w:cs="Arial" w:eastAsia="Arial" w:hAnsi="Arial"/>
          <w:sz w:val="16"/>
          <w:szCs w:val="16"/>
          <w:b w:val="1"/>
          <w:bCs w:val="1"/>
          <w:color w:val="auto"/>
        </w:rPr>
        <w:t xml:space="preserve"> </w:t>
      </w:r>
      <w:r>
        <w:rPr>
          <w:rFonts w:ascii="Arial" w:cs="Arial" w:eastAsia="Arial" w:hAnsi="Arial"/>
          <w:sz w:val="16"/>
          <w:szCs w:val="16"/>
          <w:color w:val="auto"/>
        </w:rPr>
        <w:t>barrels of crude oil and 477 million cubic feet of gas. In the United Kingdom, the daily net production was 115,600 barrels of crude oil and 378 million cubic feet of natural gas in 2003. This includes daily net production of 46,600 barrels of crude oil at the Captain Field, ChevronTexaco is the operator with an 85 percent interest. At Britannia, where ChevronTexaco holds a 32 percent interest and shares operatorship, daily net production averaged 10,300 barrels of crude oil and 204 million cubic feet of natural gas. At the Alba Field in the North Sea, where ChevronTexaco holds a 21 percent interest and operatorship, daily net production averaged 17,500 barrels of crude oil and 4 million cubic feet of natural gas. The Erskine Field, the first high-pressure/ high-temperature gas condensate field developed in the North Sea, reported net crude oil production of 9,400 barrels per day, and net natural gas production averaged 52 million cubic feet per day. ChevronTexaco is the operator and holds a 50 percent interest. In early 2004, the company reached agreements to sell its interests in the Galley, Orwell and Statfjord fields. Daily net production from the three fields in 2003 was 14,000 barrels of crude oil and 37 million cubic feet of natural gas.</w:t>
      </w:r>
    </w:p>
    <w:p>
      <w:pPr>
        <w:spacing w:after="0" w:line="17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the Draugen Field in Norway, ChevronTexaco’s 8 percent share of production during 2003 was 10,300 barrels of crude oil per day. The daily net production from the Danish Underground Consortium was 42,000 barrels of crude oil and 99 million cubic feet of gas. An agreement was announced in October 2003 extending the concession term from 2012 to 2042 and revising other terms of the concession. The agreement was subsequently ratified by the Danish parliament in December 2003.</w:t>
      </w:r>
    </w:p>
    <w:p>
      <w:pPr>
        <w:spacing w:after="0" w:line="218" w:lineRule="exact"/>
        <w:rPr>
          <w:sz w:val="20"/>
          <w:szCs w:val="20"/>
          <w:color w:val="auto"/>
        </w:rPr>
      </w:pPr>
    </w:p>
    <w:p>
      <w:pPr>
        <w:ind w:right="720" w:firstLine="162"/>
        <w:spacing w:after="0" w:line="275" w:lineRule="auto"/>
        <w:rPr>
          <w:sz w:val="20"/>
          <w:szCs w:val="20"/>
          <w:color w:val="auto"/>
        </w:rPr>
      </w:pPr>
      <w:r>
        <w:rPr>
          <w:rFonts w:ascii="Arial" w:cs="Arial" w:eastAsia="Arial" w:hAnsi="Arial"/>
          <w:sz w:val="18"/>
          <w:szCs w:val="18"/>
          <w:b w:val="1"/>
          <w:bCs w:val="1"/>
          <w:color w:val="auto"/>
        </w:rPr>
        <w:t xml:space="preserve">Canada: </w:t>
      </w:r>
      <w:r>
        <w:rPr>
          <w:rFonts w:ascii="Arial" w:cs="Arial" w:eastAsia="Arial" w:hAnsi="Arial"/>
          <w:sz w:val="18"/>
          <w:szCs w:val="18"/>
          <w:color w:val="auto"/>
        </w:rPr>
        <w:t>As part of ChevronTexaco’s portfolio optimization process, the company intends in 2004 to evaluate opportunities to divest selected mature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producing fields — currently producing about 35,000 net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barrels of oil-equivalent production per day — and midstream assets in western Canada. This decision does not affect strategically significant assets in Canada, including the Athabasca Oil Sands Project, MacKenzie Delta gas and east coast Canada exploration, development and production activities.</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December 2003, ChevronTexaco was the successful bidder on a 50 percent working interest in eight new exploration licenses totaling 5.2 million acres in the Orphan Basin offshore Newfoundland.</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Excluding Athabasca, which is discussed separately on page 21 of this Annual Report on Form 10-K, daily net production in 2003 from the company’s Canadian operations was 73,100 barrels of crude oil and 110 million cubic feet of natural gas.</w:t>
      </w:r>
    </w:p>
    <w:p>
      <w:pPr>
        <w:spacing w:after="0" w:line="207" w:lineRule="exact"/>
        <w:rPr>
          <w:sz w:val="20"/>
          <w:szCs w:val="20"/>
          <w:color w:val="auto"/>
        </w:rPr>
      </w:pPr>
    </w:p>
    <w:p>
      <w:pPr>
        <w:ind w:right="120" w:firstLine="162"/>
        <w:spacing w:after="0" w:line="256" w:lineRule="auto"/>
        <w:rPr>
          <w:sz w:val="20"/>
          <w:szCs w:val="20"/>
          <w:color w:val="auto"/>
        </w:rPr>
      </w:pPr>
      <w:r>
        <w:rPr>
          <w:rFonts w:ascii="Arial" w:cs="Arial" w:eastAsia="Arial" w:hAnsi="Arial"/>
          <w:sz w:val="18"/>
          <w:szCs w:val="18"/>
          <w:b w:val="1"/>
          <w:bCs w:val="1"/>
          <w:color w:val="auto"/>
        </w:rPr>
        <w:t xml:space="preserve">Venezuela: </w:t>
      </w:r>
      <w:r>
        <w:rPr>
          <w:rFonts w:ascii="Arial" w:cs="Arial" w:eastAsia="Arial" w:hAnsi="Arial"/>
          <w:sz w:val="18"/>
          <w:szCs w:val="18"/>
          <w:color w:val="auto"/>
        </w:rPr>
        <w:t>The company operates the onshore Boscan Field under an Operating Services Agreement and receives operating expense reimbursement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recovery, plus interest and an incentive fee. Despite a general strike affecting the entire country in early 2003, total Boscan production averaged 98,900 barrels of crude oil per day for the year. In February 2003, ChevronTexaco was awarded the license for offshore Block 2 in the northeastern Plataforma Deltana, including Loran Field, an undeveloped natural gas discovery. The company plans to begin an exploration and delineation program in Block 2 in 2004. Currently the company holds a 60 percent interest.</w:t>
      </w:r>
    </w:p>
    <w:p>
      <w:pPr>
        <w:spacing w:after="0" w:line="220" w:lineRule="exact"/>
        <w:rPr>
          <w:sz w:val="20"/>
          <w:szCs w:val="20"/>
          <w:color w:val="auto"/>
        </w:rPr>
      </w:pPr>
    </w:p>
    <w:p>
      <w:pPr>
        <w:ind w:right="40" w:firstLine="162"/>
        <w:spacing w:after="0" w:line="310" w:lineRule="auto"/>
        <w:rPr>
          <w:sz w:val="20"/>
          <w:szCs w:val="20"/>
          <w:color w:val="auto"/>
        </w:rPr>
      </w:pPr>
      <w:r>
        <w:rPr>
          <w:rFonts w:ascii="Arial" w:cs="Arial" w:eastAsia="Arial" w:hAnsi="Arial"/>
          <w:sz w:val="16"/>
          <w:szCs w:val="16"/>
          <w:b w:val="1"/>
          <w:bCs w:val="1"/>
          <w:color w:val="auto"/>
        </w:rPr>
        <w:t xml:space="preserve">Argentina: </w:t>
      </w:r>
      <w:r>
        <w:rPr>
          <w:rFonts w:ascii="Arial" w:cs="Arial" w:eastAsia="Arial" w:hAnsi="Arial"/>
          <w:sz w:val="16"/>
          <w:szCs w:val="16"/>
          <w:color w:val="auto"/>
        </w:rPr>
        <w:t>ChevronTexaco operates in Argentina through its subsidiary Chevron San Jorge S.R.L. Chevron San Jorge holds more than 3.8 million exploration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production acres in the Neuquén and Austral basins with working interests ranging from approximately 19 percent to 100 percent in operated license areas. Farm-out agreements are under negotiation in three blocks. Net production in 2003 averaged 64,800 barrels of oil-equivalent per day.</w:t>
      </w:r>
    </w:p>
    <w:p>
      <w:pPr>
        <w:spacing w:after="0" w:line="178" w:lineRule="exact"/>
        <w:rPr>
          <w:sz w:val="20"/>
          <w:szCs w:val="20"/>
          <w:color w:val="auto"/>
        </w:rPr>
      </w:pPr>
    </w:p>
    <w:p>
      <w:pPr>
        <w:ind w:right="80" w:firstLine="162"/>
        <w:spacing w:after="0" w:line="258" w:lineRule="auto"/>
        <w:rPr>
          <w:sz w:val="20"/>
          <w:szCs w:val="20"/>
          <w:color w:val="auto"/>
        </w:rPr>
      </w:pPr>
      <w:r>
        <w:rPr>
          <w:rFonts w:ascii="Arial" w:cs="Arial" w:eastAsia="Arial" w:hAnsi="Arial"/>
          <w:sz w:val="18"/>
          <w:szCs w:val="18"/>
          <w:b w:val="1"/>
          <w:bCs w:val="1"/>
          <w:color w:val="auto"/>
        </w:rPr>
        <w:t xml:space="preserve">Brazil: </w:t>
      </w:r>
      <w:r>
        <w:rPr>
          <w:rFonts w:ascii="Arial" w:cs="Arial" w:eastAsia="Arial" w:hAnsi="Arial"/>
          <w:sz w:val="18"/>
          <w:szCs w:val="18"/>
          <w:color w:val="auto"/>
        </w:rPr>
        <w:t>ChevronTexaco holds working interests ranging from 20 to 68 percent in six deepwater blocks totaling 1.6 million acres at year-end 2003. Exploration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concentrated in the Campos and Santos basins. During 2003, one block was fully relinquished, and two blocks entered into an assessment phase to further evaluate the commercial potential. In the Frade Field, where the company has a 42.5 percent interest, front-end engineering and design work commenced in the fourth quarter of 2003.</w:t>
      </w:r>
    </w:p>
    <w:p>
      <w:pPr>
        <w:spacing w:after="0" w:line="217" w:lineRule="exact"/>
        <w:rPr>
          <w:sz w:val="20"/>
          <w:szCs w:val="20"/>
          <w:color w:val="auto"/>
        </w:rPr>
      </w:pPr>
    </w:p>
    <w:p>
      <w:pPr>
        <w:ind w:firstLine="162"/>
        <w:spacing w:after="0" w:line="256" w:lineRule="auto"/>
        <w:rPr>
          <w:sz w:val="20"/>
          <w:szCs w:val="20"/>
          <w:color w:val="auto"/>
        </w:rPr>
      </w:pPr>
      <w:r>
        <w:rPr>
          <w:rFonts w:ascii="Arial" w:cs="Arial" w:eastAsia="Arial" w:hAnsi="Arial"/>
          <w:sz w:val="18"/>
          <w:szCs w:val="18"/>
          <w:b w:val="1"/>
          <w:bCs w:val="1"/>
          <w:color w:val="auto"/>
        </w:rPr>
        <w:t xml:space="preserve">Colombia: </w:t>
      </w:r>
      <w:r>
        <w:rPr>
          <w:rFonts w:ascii="Arial" w:cs="Arial" w:eastAsia="Arial" w:hAnsi="Arial"/>
          <w:sz w:val="18"/>
          <w:szCs w:val="18"/>
          <w:color w:val="auto"/>
        </w:rPr>
        <w:t>ChevronTexaco currently operates three natural gas fields under two related contracts — the Guajira Association contract and the Build-Operate-Maintain-Transfer (BOMT) contract. The Guajira Association Contract, a 50-50 joint venture production-sharing agreement with the Colombian national oil company, Ecopetrol, expires in December 2004. A contract extension was signed in December 2003 whereby in 2005 ChevronTexaco will continue to operate the fields and receive 43 percent of the production for the economic life of the fields, as well as continue to operate the BOMT contract until it expires in 2016. Total natural gas production averaged 470 million cubic feet per day in 2003.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Affiliate Operations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Kazakhstan: </w:t>
      </w:r>
      <w:r>
        <w:rPr>
          <w:rFonts w:ascii="Arial" w:cs="Arial" w:eastAsia="Arial" w:hAnsi="Arial"/>
          <w:sz w:val="16"/>
          <w:szCs w:val="16"/>
          <w:color w:val="auto"/>
        </w:rPr>
        <w:t>The company’s 50 percent owned affiliate, Tengizchevroil (TCO), reached agreement with the Republic of Kazakhstan in September 2003 to</w:t>
      </w:r>
      <w:r>
        <w:rPr>
          <w:rFonts w:ascii="Arial" w:cs="Arial" w:eastAsia="Arial" w:hAnsi="Arial"/>
          <w:sz w:val="16"/>
          <w:szCs w:val="16"/>
          <w:b w:val="1"/>
          <w:bCs w:val="1"/>
          <w:color w:val="auto"/>
        </w:rPr>
        <w:t xml:space="preserve"> </w:t>
      </w:r>
      <w:r>
        <w:rPr>
          <w:rFonts w:ascii="Arial" w:cs="Arial" w:eastAsia="Arial" w:hAnsi="Arial"/>
          <w:sz w:val="16"/>
          <w:szCs w:val="16"/>
          <w:color w:val="auto"/>
        </w:rPr>
        <w:t>expand operations at the Tengiz and Korolev fields. The agreement formalizes earlier understandings relating to the Sour Gas Injection/ Second Generation project. The project is expected to increase TCO’s crude oil production capacity from about 285,000 barrels per day to between 430,000 and 500,000 barrels per day in the second half of 2006. TCO 2003 total crude oil production of 280,000 barrels per day was marginally below 2002 production levels, which was attributable to TCO’s largest-ever planned maintenance turnaround during the year.</w:t>
      </w:r>
    </w:p>
    <w:p>
      <w:pPr>
        <w:spacing w:after="0" w:line="189" w:lineRule="exact"/>
        <w:rPr>
          <w:sz w:val="20"/>
          <w:szCs w:val="20"/>
          <w:color w:val="auto"/>
        </w:rPr>
      </w:pPr>
    </w:p>
    <w:p>
      <w:pPr>
        <w:ind w:right="120" w:firstLine="162"/>
        <w:spacing w:after="0" w:line="310" w:lineRule="auto"/>
        <w:rPr>
          <w:sz w:val="20"/>
          <w:szCs w:val="20"/>
          <w:color w:val="auto"/>
        </w:rPr>
      </w:pPr>
      <w:r>
        <w:rPr>
          <w:rFonts w:ascii="Arial" w:cs="Arial" w:eastAsia="Arial" w:hAnsi="Arial"/>
          <w:sz w:val="16"/>
          <w:szCs w:val="16"/>
          <w:b w:val="1"/>
          <w:bCs w:val="1"/>
          <w:color w:val="auto"/>
        </w:rPr>
        <w:t xml:space="preserve">Venezuela: </w:t>
      </w:r>
      <w:r>
        <w:rPr>
          <w:rFonts w:ascii="Arial" w:cs="Arial" w:eastAsia="Arial" w:hAnsi="Arial"/>
          <w:sz w:val="16"/>
          <w:szCs w:val="16"/>
          <w:color w:val="auto"/>
        </w:rPr>
        <w:t>ChevronTexaco has a 30 percent interest in the Hamaca integrated oil production and upgrading project located in Venezuela’s Orinoco Belt.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drilling and major facility construction at Hamaca continued through 2003. Upon completion in third quarter 2004, the facility is expected to have upgrade capacity to 190,000 barrels per day of heavy crude oil, creating a lighter, higher-value crude oil.</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Petroleum — Natural Gas and Natural Gas Liquids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sells natural gas and natural gas liquids from its producing operations under a variety of contractual arrangements. Prior to February 2003, ChevronTexaco’s equity affiliate, Dynegy, purchased substantially all natural gas and natural gas liquids produced by the company in the United States, excluding Alaska, and supplied natural gas and natural gas liquids feedstocks to the company’s U.S. refineries and chemical plants. At the end of January 2003, the company’s natural gas purchase and sale contracts with Dynegy were terminated. This was preceded by an agreement between ChevronTexaco and Dynegy to discontinue certain commercial arrangements as a result of Dynegy’s decision to exit the gas marketing and trading business. As a result, the company now markets its domestic natural gas production to a variety of third parties through its new unit, ChevronTexaco Natural Gas. The company’s long-term natural gas processing and liquids arrangements with Dynegy were not affected by the early termination of natural gas purchase and sale contracts. During 2003, nearly all of ChevronTexaco’s U.S. natural gas liquids production was sold to Dynegy. Refer to pages FS-10 and FS-11 on Form 10-K in Management’s Discussion and Analysis of Financial Condition and Results of Operations for further comments on Dynegy.</w:t>
      </w:r>
    </w:p>
    <w:p>
      <w:pPr>
        <w:spacing w:after="0" w:line="174"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Outside the United States, the majority of the company’s natural gas sales occur in the United Kingdom, Australia, Canada, Latin America, and in the company’s affiliate operations in Kazakhstan. International natural gas liquids sales primarily take place in the company’s Canadian upstream operations, with lower sales levels in Africa, Australia and Europe. Refer to “Selected Operating Data” on page FS-10 of this Annual Report on Form 10-K in Management’s Discussion and Analysis of Financial Condition and Results of Operations for further information on the company’s natural gas and natural gas liquids sales volumes.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Petroleum — Refining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Distillation operating capacity utilization in 2003, adjusted for sales and closures, averaged 91 percent in the United States (including asphalt plants) and</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88 percent worldwide (including affiliates), compared with 94 percent in the United States and 89 percent worldwide in the prior year. ChevronTexaco’s capacity utilization at its U.S. fuels refineries averaged 95 percent in 2003, compared with 98 percent in 2002. ChevronTexaco’s capacity utilization of its wholly owned U.S. cracking and coking facilities, which are the primary facilities used to convert heavier products to gasoline and other light products, averaged 86 percent and 85 percent in 2003 and 2002, respectively. The company processed imported and domestic crude oil in its U.S. refining operations. Imported crude oil accounted for about 75 percent of ChevronTexaco’s U.S. refinery inputs in 2003.</w:t>
      </w:r>
    </w:p>
    <w:p>
      <w:pPr>
        <w:spacing w:after="0" w:line="17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Prior to October 2001, the company also had interests in eight U.S. refineries with a combined capacity of about 1.3 million barrels per day through its investments in the Equilon and Motiva affiliates. These investments were sold in February 2002, as required by the U.S. Federal Trade Commission for the merger of Chevron and Texaco.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daily refinery inputs over the last three years for the company and affiliate refineries are shown in the following table:</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Petroleum Refineries: Locations, Capacities and Inputs</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(Inputs and Capacities in Thousands of Barrels per Day)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5"/>
          </w:tcPr>
          <w:p>
            <w:pPr>
              <w:ind w:left="220"/>
              <w:spacing w:after="0"/>
              <w:rPr>
                <w:sz w:val="20"/>
                <w:szCs w:val="20"/>
                <w:color w:val="auto"/>
              </w:rPr>
            </w:pPr>
            <w:r>
              <w:rPr>
                <w:rFonts w:ascii="Arial" w:cs="Arial" w:eastAsia="Arial" w:hAnsi="Arial"/>
                <w:sz w:val="14"/>
                <w:szCs w:val="14"/>
                <w:b w:val="1"/>
                <w:bCs w:val="1"/>
                <w:color w:val="auto"/>
              </w:rPr>
              <w:t>Refinery Inputs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ind w:left="300"/>
              <w:spacing w:after="0"/>
              <w:rPr>
                <w:sz w:val="20"/>
                <w:szCs w:val="20"/>
                <w:color w:val="auto"/>
              </w:rPr>
            </w:pPr>
            <w:r>
              <w:rPr>
                <w:rFonts w:ascii="Arial" w:cs="Arial" w:eastAsia="Arial" w:hAnsi="Arial"/>
                <w:sz w:val="14"/>
                <w:szCs w:val="14"/>
                <w:b w:val="1"/>
                <w:bCs w:val="1"/>
                <w:color w:val="auto"/>
              </w:rPr>
              <w:t>Operable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3"/>
          </w:tcPr>
          <w:p>
            <w:pPr>
              <w:ind w:left="10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4"/>
                <w:szCs w:val="14"/>
                <w:b w:val="1"/>
                <w:bCs w:val="1"/>
                <w:color w:val="auto"/>
              </w:rPr>
              <w:t>Capacity</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Locations</w:t>
            </w: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Pascagoula</w:t>
            </w:r>
          </w:p>
        </w:tc>
        <w:tc>
          <w:tcPr>
            <w:tcW w:w="32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Mississippi</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El Segundo</w:t>
            </w:r>
          </w:p>
        </w:tc>
        <w:tc>
          <w:tcPr>
            <w:tcW w:w="322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Richmond</w:t>
            </w:r>
          </w:p>
        </w:tc>
        <w:tc>
          <w:tcPr>
            <w:tcW w:w="32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California</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tcPr>
          <w:p>
            <w:pPr>
              <w:spacing w:after="0" w:line="256" w:lineRule="exact"/>
              <w:rPr>
                <w:sz w:val="20"/>
                <w:szCs w:val="20"/>
                <w:color w:val="auto"/>
              </w:rPr>
            </w:pPr>
            <w:r>
              <w:rPr>
                <w:rFonts w:ascii="Arial" w:cs="Arial" w:eastAsia="Arial" w:hAnsi="Arial"/>
                <w:sz w:val="18"/>
                <w:szCs w:val="18"/>
                <w:color w:val="auto"/>
              </w:rPr>
              <w:t>El Paso</w:t>
            </w:r>
            <w:r>
              <w:rPr>
                <w:rFonts w:ascii="Arial" w:cs="Arial" w:eastAsia="Arial" w:hAnsi="Arial"/>
                <w:sz w:val="29"/>
                <w:szCs w:val="29"/>
                <w:color w:val="auto"/>
                <w:vertAlign w:val="superscript"/>
              </w:rPr>
              <w:t>1</w:t>
            </w:r>
          </w:p>
        </w:tc>
        <w:tc>
          <w:tcPr>
            <w:tcW w:w="3220" w:type="dxa"/>
            <w:vAlign w:val="bottom"/>
            <w:gridSpan w:val="2"/>
          </w:tcPr>
          <w:p>
            <w:pPr>
              <w:ind w:left="720"/>
              <w:spacing w:after="0"/>
              <w:rPr>
                <w:sz w:val="20"/>
                <w:szCs w:val="20"/>
                <w:color w:val="auto"/>
              </w:rPr>
            </w:pPr>
            <w:r>
              <w:rPr>
                <w:rFonts w:ascii="Arial" w:cs="Arial" w:eastAsia="Arial" w:hAnsi="Arial"/>
                <w:sz w:val="18"/>
                <w:szCs w:val="18"/>
                <w:color w:val="auto"/>
              </w:rPr>
              <w:t>Texas</w:t>
            </w:r>
          </w:p>
        </w:tc>
        <w:tc>
          <w:tcPr>
            <w:tcW w:w="200" w:type="dxa"/>
            <w:vAlign w:val="bottom"/>
          </w:tcPr>
          <w:p>
            <w:pPr>
              <w:spacing w:after="0"/>
              <w:rPr>
                <w:sz w:val="22"/>
                <w:szCs w:val="22"/>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Honolulu</w:t>
            </w:r>
          </w:p>
        </w:tc>
        <w:tc>
          <w:tcPr>
            <w:tcW w:w="32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Hawaii</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Salt Lake City</w:t>
            </w:r>
          </w:p>
        </w:tc>
        <w:tc>
          <w:tcPr>
            <w:tcW w:w="3220" w:type="dxa"/>
            <w:vAlign w:val="bottom"/>
            <w:gridSpan w:val="2"/>
          </w:tcPr>
          <w:p>
            <w:pPr>
              <w:ind w:left="720"/>
              <w:spacing w:after="0"/>
              <w:rPr>
                <w:sz w:val="20"/>
                <w:szCs w:val="20"/>
                <w:color w:val="auto"/>
              </w:rPr>
            </w:pPr>
            <w:r>
              <w:rPr>
                <w:rFonts w:ascii="Arial" w:cs="Arial" w:eastAsia="Arial" w:hAnsi="Arial"/>
                <w:sz w:val="18"/>
                <w:szCs w:val="18"/>
                <w:color w:val="auto"/>
              </w:rPr>
              <w:t>Utah</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960" w:type="dxa"/>
            <w:vAlign w:val="bottom"/>
            <w:shd w:val="clear" w:color="auto" w:fill="EEEEEE"/>
          </w:tcPr>
          <w:p>
            <w:pPr>
              <w:spacing w:after="0"/>
              <w:rPr>
                <w:sz w:val="22"/>
                <w:szCs w:val="22"/>
                <w:color w:val="auto"/>
              </w:rPr>
            </w:pPr>
          </w:p>
        </w:tc>
        <w:tc>
          <w:tcPr>
            <w:tcW w:w="260" w:type="dxa"/>
            <w:vAlign w:val="bottom"/>
            <w:shd w:val="clear" w:color="auto" w:fill="EEEEEE"/>
          </w:tcPr>
          <w:p>
            <w:pPr>
              <w:spacing w:after="0"/>
              <w:rPr>
                <w:sz w:val="22"/>
                <w:szCs w:val="22"/>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22"/>
                <w:szCs w:val="22"/>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360" w:type="dxa"/>
            <w:vAlign w:val="bottom"/>
            <w:shd w:val="clear" w:color="auto" w:fill="EEEEEE"/>
          </w:tcPr>
          <w:p>
            <w:pPr>
              <w:spacing w:after="0"/>
              <w:rPr>
                <w:sz w:val="22"/>
                <w:szCs w:val="22"/>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EEEEEE"/>
          </w:tcPr>
          <w:p>
            <w:pPr>
              <w:spacing w:after="0"/>
              <w:rPr>
                <w:sz w:val="22"/>
                <w:szCs w:val="22"/>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EEEEEE"/>
          </w:tcPr>
          <w:p>
            <w:pPr>
              <w:spacing w:after="0"/>
              <w:rPr>
                <w:sz w:val="22"/>
                <w:szCs w:val="22"/>
                <w:color w:val="auto"/>
              </w:rPr>
            </w:pPr>
          </w:p>
        </w:tc>
        <w:tc>
          <w:tcPr>
            <w:tcW w:w="260" w:type="dxa"/>
            <w:vAlign w:val="bottom"/>
            <w:shd w:val="clear" w:color="auto" w:fill="EEEEEE"/>
          </w:tcPr>
          <w:p>
            <w:pPr>
              <w:spacing w:after="0"/>
              <w:rPr>
                <w:sz w:val="22"/>
                <w:szCs w:val="22"/>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98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Total Consolidated Companies — United States</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1,005</w:t>
            </w:r>
          </w:p>
        </w:tc>
        <w:tc>
          <w:tcPr>
            <w:tcW w:w="3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951</w:t>
            </w: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979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983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7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Equity in Affiliates</w:t>
            </w:r>
            <w:r>
              <w:rPr>
                <w:rFonts w:ascii="Arial" w:cs="Arial" w:eastAsia="Arial" w:hAnsi="Arial"/>
                <w:sz w:val="29"/>
                <w:szCs w:val="29"/>
                <w:color w:val="auto"/>
                <w:vertAlign w:val="superscript"/>
              </w:rPr>
              <w:t>3</w:t>
            </w:r>
          </w:p>
        </w:tc>
        <w:tc>
          <w:tcPr>
            <w:tcW w:w="32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Various Locations</w:t>
            </w:r>
          </w:p>
        </w:tc>
        <w:tc>
          <w:tcPr>
            <w:tcW w:w="200" w:type="dxa"/>
            <w:vAlign w:val="bottom"/>
            <w:shd w:val="clear" w:color="auto" w:fill="EEEEEE"/>
          </w:tcPr>
          <w:p>
            <w:pPr>
              <w:spacing w:after="0"/>
              <w:rPr>
                <w:sz w:val="22"/>
                <w:szCs w:val="22"/>
                <w:color w:val="auto"/>
              </w:rPr>
            </w:pPr>
          </w:p>
        </w:tc>
        <w:tc>
          <w:tcPr>
            <w:tcW w:w="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2"/>
                <w:szCs w:val="22"/>
                <w:color w:val="auto"/>
              </w:rPr>
            </w:pPr>
          </w:p>
        </w:tc>
        <w:tc>
          <w:tcPr>
            <w:tcW w:w="380" w:type="dxa"/>
            <w:vAlign w:val="bottom"/>
            <w:shd w:val="clear" w:color="auto" w:fill="EEEEEE"/>
          </w:tcPr>
          <w:p>
            <w:pPr>
              <w:spacing w:after="0"/>
              <w:rPr>
                <w:sz w:val="22"/>
                <w:szCs w:val="22"/>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2"/>
                <w:szCs w:val="22"/>
                <w:color w:val="auto"/>
              </w:rPr>
            </w:pPr>
          </w:p>
        </w:tc>
        <w:tc>
          <w:tcPr>
            <w:tcW w:w="200" w:type="dxa"/>
            <w:vAlign w:val="bottom"/>
            <w:tcBorders>
              <w:right w:val="single" w:sz="8" w:color="EEEEEE"/>
            </w:tcBorders>
            <w:shd w:val="clear" w:color="auto" w:fill="EEEEEE"/>
          </w:tcPr>
          <w:p>
            <w:pPr>
              <w:spacing w:after="0"/>
              <w:rPr>
                <w:sz w:val="22"/>
                <w:szCs w:val="22"/>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2"/>
                <w:szCs w:val="22"/>
                <w:color w:val="auto"/>
              </w:rPr>
            </w:pPr>
          </w:p>
        </w:tc>
        <w:tc>
          <w:tcPr>
            <w:tcW w:w="200" w:type="dxa"/>
            <w:vAlign w:val="bottom"/>
            <w:tcBorders>
              <w:right w:val="single" w:sz="8" w:color="EEEEEE"/>
            </w:tcBorders>
            <w:shd w:val="clear" w:color="auto" w:fill="EEEEEE"/>
          </w:tcPr>
          <w:p>
            <w:pPr>
              <w:spacing w:after="0"/>
              <w:rPr>
                <w:sz w:val="22"/>
                <w:szCs w:val="22"/>
                <w:color w:val="auto"/>
              </w:rPr>
            </w:pPr>
          </w:p>
        </w:tc>
        <w:tc>
          <w:tcPr>
            <w:tcW w:w="84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98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Total Including Affiliates — United States</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1,005</w:t>
            </w:r>
          </w:p>
        </w:tc>
        <w:tc>
          <w:tcPr>
            <w:tcW w:w="3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951</w:t>
            </w: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979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Pembroke</w:t>
            </w:r>
          </w:p>
        </w:tc>
        <w:tc>
          <w:tcPr>
            <w:tcW w:w="32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United Kingdom</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Cape Town</w:t>
            </w:r>
          </w:p>
        </w:tc>
        <w:tc>
          <w:tcPr>
            <w:tcW w:w="3220" w:type="dxa"/>
            <w:vAlign w:val="bottom"/>
            <w:gridSpan w:val="2"/>
          </w:tcPr>
          <w:p>
            <w:pPr>
              <w:ind w:left="720"/>
              <w:spacing w:after="0"/>
              <w:rPr>
                <w:sz w:val="20"/>
                <w:szCs w:val="20"/>
                <w:color w:val="auto"/>
              </w:rPr>
            </w:pPr>
            <w:r>
              <w:rPr>
                <w:rFonts w:ascii="Arial" w:cs="Arial" w:eastAsia="Arial" w:hAnsi="Arial"/>
                <w:sz w:val="18"/>
                <w:szCs w:val="18"/>
                <w:color w:val="auto"/>
              </w:rPr>
              <w:t>South Africa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Batangas</w:t>
            </w:r>
            <w:r>
              <w:rPr>
                <w:rFonts w:ascii="Arial" w:cs="Arial" w:eastAsia="Arial" w:hAnsi="Arial"/>
                <w:sz w:val="29"/>
                <w:szCs w:val="29"/>
                <w:color w:val="auto"/>
                <w:vertAlign w:val="superscript"/>
              </w:rPr>
              <w:t>4</w:t>
            </w:r>
          </w:p>
        </w:tc>
        <w:tc>
          <w:tcPr>
            <w:tcW w:w="32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Philippines</w:t>
            </w:r>
          </w:p>
        </w:tc>
        <w:tc>
          <w:tcPr>
            <w:tcW w:w="200" w:type="dxa"/>
            <w:vAlign w:val="bottom"/>
            <w:shd w:val="clear" w:color="auto" w:fill="EEEEEE"/>
          </w:tcPr>
          <w:p>
            <w:pPr>
              <w:spacing w:after="0"/>
              <w:rPr>
                <w:sz w:val="22"/>
                <w:szCs w:val="22"/>
                <w:color w:val="auto"/>
              </w:rPr>
            </w:pPr>
          </w:p>
        </w:tc>
        <w:tc>
          <w:tcPr>
            <w:tcW w:w="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2"/>
                <w:szCs w:val="22"/>
                <w:color w:val="auto"/>
              </w:rPr>
            </w:pPr>
          </w:p>
        </w:tc>
        <w:tc>
          <w:tcPr>
            <w:tcW w:w="380" w:type="dxa"/>
            <w:vAlign w:val="bottom"/>
            <w:shd w:val="clear" w:color="auto" w:fill="EEEEEE"/>
          </w:tcPr>
          <w:p>
            <w:pPr>
              <w:spacing w:after="0"/>
              <w:rPr>
                <w:sz w:val="22"/>
                <w:szCs w:val="22"/>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EEEEE"/>
          </w:tcPr>
          <w:p>
            <w:pPr>
              <w:spacing w:after="0"/>
              <w:rPr>
                <w:sz w:val="22"/>
                <w:szCs w:val="22"/>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EEEEEE"/>
          </w:tcPr>
          <w:p>
            <w:pPr>
              <w:spacing w:after="0"/>
              <w:rPr>
                <w:sz w:val="22"/>
                <w:szCs w:val="22"/>
                <w:color w:val="auto"/>
              </w:rPr>
            </w:pPr>
          </w:p>
        </w:tc>
        <w:tc>
          <w:tcPr>
            <w:tcW w:w="260" w:type="dxa"/>
            <w:vAlign w:val="bottom"/>
            <w:shd w:val="clear" w:color="auto" w:fill="EEEEEE"/>
          </w:tcPr>
          <w:p>
            <w:pPr>
              <w:spacing w:after="0"/>
              <w:rPr>
                <w:sz w:val="22"/>
                <w:szCs w:val="22"/>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tcPr>
          <w:p>
            <w:pPr>
              <w:spacing w:after="0" w:line="256" w:lineRule="exact"/>
              <w:rPr>
                <w:sz w:val="20"/>
                <w:szCs w:val="20"/>
                <w:color w:val="auto"/>
              </w:rPr>
            </w:pPr>
            <w:r>
              <w:rPr>
                <w:rFonts w:ascii="Arial" w:cs="Arial" w:eastAsia="Arial" w:hAnsi="Arial"/>
                <w:sz w:val="18"/>
                <w:szCs w:val="18"/>
                <w:color w:val="auto"/>
              </w:rPr>
              <w:t>Colón</w:t>
            </w:r>
            <w:r>
              <w:rPr>
                <w:rFonts w:ascii="Arial" w:cs="Arial" w:eastAsia="Arial" w:hAnsi="Arial"/>
                <w:sz w:val="29"/>
                <w:szCs w:val="29"/>
                <w:color w:val="auto"/>
                <w:vertAlign w:val="superscript"/>
              </w:rPr>
              <w:t>5</w:t>
            </w:r>
          </w:p>
        </w:tc>
        <w:tc>
          <w:tcPr>
            <w:tcW w:w="3220" w:type="dxa"/>
            <w:vAlign w:val="bottom"/>
            <w:gridSpan w:val="2"/>
          </w:tcPr>
          <w:p>
            <w:pPr>
              <w:ind w:left="720"/>
              <w:spacing w:after="0"/>
              <w:rPr>
                <w:sz w:val="20"/>
                <w:szCs w:val="20"/>
                <w:color w:val="auto"/>
              </w:rPr>
            </w:pPr>
            <w:r>
              <w:rPr>
                <w:rFonts w:ascii="Arial" w:cs="Arial" w:eastAsia="Arial" w:hAnsi="Arial"/>
                <w:sz w:val="18"/>
                <w:szCs w:val="18"/>
                <w:color w:val="auto"/>
              </w:rPr>
              <w:t>Panama</w:t>
            </w:r>
          </w:p>
        </w:tc>
        <w:tc>
          <w:tcPr>
            <w:tcW w:w="200" w:type="dxa"/>
            <w:vAlign w:val="bottom"/>
          </w:tcPr>
          <w:p>
            <w:pPr>
              <w:spacing w:after="0"/>
              <w:rPr>
                <w:sz w:val="22"/>
                <w:szCs w:val="22"/>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Burnaby, B.C.</w:t>
            </w:r>
          </w:p>
        </w:tc>
        <w:tc>
          <w:tcPr>
            <w:tcW w:w="32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Canada</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Escuintla</w:t>
            </w:r>
            <w:r>
              <w:rPr>
                <w:rFonts w:ascii="Arial" w:cs="Arial" w:eastAsia="Arial" w:hAnsi="Arial"/>
                <w:sz w:val="29"/>
                <w:szCs w:val="29"/>
                <w:color w:val="auto"/>
                <w:vertAlign w:val="superscript"/>
              </w:rPr>
              <w:t>5</w:t>
            </w:r>
          </w:p>
        </w:tc>
        <w:tc>
          <w:tcPr>
            <w:tcW w:w="3220" w:type="dxa"/>
            <w:vAlign w:val="bottom"/>
            <w:gridSpan w:val="2"/>
          </w:tcPr>
          <w:p>
            <w:pPr>
              <w:ind w:left="720"/>
              <w:spacing w:after="0"/>
              <w:rPr>
                <w:sz w:val="20"/>
                <w:szCs w:val="20"/>
                <w:color w:val="auto"/>
              </w:rPr>
            </w:pPr>
            <w:r>
              <w:rPr>
                <w:rFonts w:ascii="Arial" w:cs="Arial" w:eastAsia="Arial" w:hAnsi="Arial"/>
                <w:sz w:val="18"/>
                <w:szCs w:val="18"/>
                <w:color w:val="auto"/>
              </w:rPr>
              <w:t>Guatemala</w:t>
            </w:r>
          </w:p>
        </w:tc>
        <w:tc>
          <w:tcPr>
            <w:tcW w:w="200" w:type="dxa"/>
            <w:vAlign w:val="bottom"/>
          </w:tcPr>
          <w:p>
            <w:pPr>
              <w:spacing w:after="0"/>
              <w:rPr>
                <w:sz w:val="24"/>
                <w:szCs w:val="24"/>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Consolidated Companies — International</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374</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346</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426</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460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Equity in Affiliates</w:t>
            </w:r>
          </w:p>
        </w:tc>
        <w:tc>
          <w:tcPr>
            <w:tcW w:w="3220" w:type="dxa"/>
            <w:vAlign w:val="bottom"/>
            <w:gridSpan w:val="2"/>
          </w:tcPr>
          <w:p>
            <w:pPr>
              <w:ind w:left="720"/>
              <w:spacing w:after="0"/>
              <w:rPr>
                <w:sz w:val="20"/>
                <w:szCs w:val="20"/>
                <w:color w:val="auto"/>
              </w:rPr>
            </w:pPr>
            <w:r>
              <w:rPr>
                <w:rFonts w:ascii="Arial" w:cs="Arial" w:eastAsia="Arial" w:hAnsi="Arial"/>
                <w:sz w:val="18"/>
                <w:szCs w:val="18"/>
                <w:color w:val="auto"/>
              </w:rPr>
              <w:t>Various Locations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785</w:t>
            </w:r>
          </w:p>
        </w:tc>
        <w:tc>
          <w:tcPr>
            <w:tcW w:w="3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Including Affiliates — International</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1,159</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1,040</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1,100</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1,136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8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Total Including Affiliates — Worldwide</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2,164</w:t>
            </w:r>
          </w:p>
        </w:tc>
        <w:tc>
          <w:tcPr>
            <w:tcW w:w="3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1,991</w:t>
            </w: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2,079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2,472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ChevronTexaco sold its interest in the El Paso Refinery in August 2003.</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 Refineries in Perth Amboy, New Jersey, and Portland, Oregon, are primarily asphalt plants.</w:t>
      </w:r>
    </w:p>
    <w:p>
      <w:pPr>
        <w:spacing w:after="0" w:line="333" w:lineRule="exact"/>
        <w:rPr>
          <w:sz w:val="20"/>
          <w:szCs w:val="20"/>
          <w:color w:val="auto"/>
        </w:rPr>
      </w:pPr>
    </w:p>
    <w:p>
      <w:pPr>
        <w:ind w:left="360" w:right="140" w:hanging="134"/>
        <w:spacing w:after="0" w:line="268" w:lineRule="auto"/>
        <w:rPr>
          <w:sz w:val="20"/>
          <w:szCs w:val="20"/>
          <w:color w:val="auto"/>
        </w:rPr>
      </w:pPr>
      <w:r>
        <w:rPr>
          <w:rFonts w:ascii="Arial" w:cs="Arial" w:eastAsia="Arial" w:hAnsi="Arial"/>
          <w:sz w:val="18"/>
          <w:szCs w:val="18"/>
          <w:color w:val="auto"/>
        </w:rPr>
        <w:t>3 Represents ChevronTexaco interests in Equilon and Motiva refineries, which were placed in trust in October 2001, as required by the U.S. Federal Trade Commission, and disposed of in February 2002.</w:t>
      </w:r>
    </w:p>
    <w:p>
      <w:pPr>
        <w:spacing w:after="0" w:line="213" w:lineRule="exact"/>
        <w:rPr>
          <w:sz w:val="20"/>
          <w:szCs w:val="20"/>
          <w:color w:val="auto"/>
        </w:rPr>
      </w:pPr>
    </w:p>
    <w:p>
      <w:pPr>
        <w:ind w:left="360" w:right="300" w:hanging="134"/>
        <w:spacing w:after="0" w:line="268" w:lineRule="auto"/>
        <w:rPr>
          <w:sz w:val="20"/>
          <w:szCs w:val="20"/>
          <w:color w:val="auto"/>
        </w:rPr>
      </w:pPr>
      <w:r>
        <w:rPr>
          <w:rFonts w:ascii="Arial" w:cs="Arial" w:eastAsia="Arial" w:hAnsi="Arial"/>
          <w:sz w:val="18"/>
          <w:szCs w:val="18"/>
          <w:color w:val="auto"/>
        </w:rPr>
        <w:t>4 ChevronTexaco ceased refining operations at the Batangas Refinery in November 2003 in advance of the refinery’s conversion into a finished-product terminal.</w:t>
      </w:r>
    </w:p>
    <w:p>
      <w:pPr>
        <w:spacing w:after="0" w:line="213" w:lineRule="exact"/>
        <w:rPr>
          <w:sz w:val="20"/>
          <w:szCs w:val="20"/>
          <w:color w:val="auto"/>
        </w:rPr>
      </w:pPr>
    </w:p>
    <w:p>
      <w:pPr>
        <w:ind w:left="360" w:hanging="134"/>
        <w:spacing w:after="0" w:line="268" w:lineRule="auto"/>
        <w:rPr>
          <w:sz w:val="20"/>
          <w:szCs w:val="20"/>
          <w:color w:val="auto"/>
        </w:rPr>
      </w:pPr>
      <w:r>
        <w:rPr>
          <w:rFonts w:ascii="Arial" w:cs="Arial" w:eastAsia="Arial" w:hAnsi="Arial"/>
          <w:sz w:val="18"/>
          <w:szCs w:val="18"/>
          <w:color w:val="auto"/>
        </w:rPr>
        <w:t>5 ChevronTexaco ceased refining operations at the Panama and Guatemala refineries in July 2002 and September 2002, respectively. The Guatemala facility was converted to terminal operations in 2002. The Panama facility was converted to a terminaling facility in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Petroleum — Refined Products Marketing</w:t>
      </w:r>
    </w:p>
    <w:p>
      <w:pPr>
        <w:spacing w:after="0" w:line="252" w:lineRule="exact"/>
        <w:rPr>
          <w:sz w:val="20"/>
          <w:szCs w:val="20"/>
          <w:color w:val="auto"/>
        </w:rPr>
      </w:pPr>
    </w:p>
    <w:p>
      <w:pPr>
        <w:ind w:right="40" w:firstLine="162"/>
        <w:spacing w:after="0" w:line="275" w:lineRule="auto"/>
        <w:rPr>
          <w:sz w:val="20"/>
          <w:szCs w:val="20"/>
          <w:color w:val="auto"/>
        </w:rPr>
      </w:pPr>
      <w:r>
        <w:rPr>
          <w:rFonts w:ascii="Arial" w:cs="Arial" w:eastAsia="Arial" w:hAnsi="Arial"/>
          <w:sz w:val="18"/>
          <w:szCs w:val="18"/>
          <w:b w:val="1"/>
          <w:bCs w:val="1"/>
          <w:color w:val="auto"/>
        </w:rPr>
        <w:t xml:space="preserve">Product Sales: </w:t>
      </w:r>
      <w:r>
        <w:rPr>
          <w:rFonts w:ascii="Arial" w:cs="Arial" w:eastAsia="Arial" w:hAnsi="Arial"/>
          <w:sz w:val="18"/>
          <w:szCs w:val="18"/>
          <w:color w:val="auto"/>
        </w:rPr>
        <w:t>The company markets petroleum products throughout much of the world. The principal brands for identifying these products are “Chevron,”</w:t>
      </w:r>
      <w:r>
        <w:rPr>
          <w:rFonts w:ascii="Arial" w:cs="Arial" w:eastAsia="Arial" w:hAnsi="Arial"/>
          <w:sz w:val="18"/>
          <w:szCs w:val="18"/>
          <w:b w:val="1"/>
          <w:bCs w:val="1"/>
          <w:color w:val="auto"/>
        </w:rPr>
        <w:t xml:space="preserve"> </w:t>
      </w:r>
      <w:r>
        <w:rPr>
          <w:rFonts w:ascii="Arial" w:cs="Arial" w:eastAsia="Arial" w:hAnsi="Arial"/>
          <w:sz w:val="18"/>
          <w:szCs w:val="18"/>
          <w:color w:val="auto"/>
        </w:rPr>
        <w:t>“Texaco” and “Caltex.”</w:t>
      </w:r>
    </w:p>
    <w:p>
      <w:pPr>
        <w:sectPr>
          <w:pgSz w:w="11900" w:h="16838" w:orient="portrait"/>
          <w:cols w:equalWidth="0" w:num="1">
            <w:col w:w="11220"/>
          </w:cols>
          <w:pgMar w:left="240" w:top="419" w:right="439" w:bottom="1440" w:gutter="0" w:footer="0" w:header="0"/>
        </w:sectPr>
      </w:pP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company’s and its affiliates’ refined products sales volumes, excluding intercompany sales, over the past three years: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Refined Products Sales Volumes</w:t>
      </w:r>
      <w:r>
        <w:rPr>
          <w:rFonts w:ascii="Arial" w:cs="Arial" w:eastAsia="Arial" w:hAnsi="Arial"/>
          <w:sz w:val="29"/>
          <w:szCs w:val="29"/>
          <w:b w:val="1"/>
          <w:bCs w:val="1"/>
          <w:color w:val="auto"/>
          <w:vertAlign w:val="superscript"/>
        </w:rPr>
        <w:t>1</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Barrels per Day)</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Gasolines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Jet Fuel</w:t>
            </w: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Gas Oils and Kerosene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Residual Fuel Oil</w:t>
            </w: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Other Petroleum Products</w:t>
            </w:r>
            <w:r>
              <w:rPr>
                <w:rFonts w:ascii="Arial" w:cs="Arial" w:eastAsia="Arial" w:hAnsi="Arial"/>
                <w:sz w:val="29"/>
                <w:szCs w:val="29"/>
                <w:color w:val="auto"/>
                <w:vertAlign w:val="superscript"/>
              </w:rPr>
              <w:t>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United States</w:t>
            </w: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Gasolines</w:t>
            </w: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Jet Fuel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Gas Oils and Kerosene</w:t>
            </w: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Residual Fuel Oil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EEEEEE"/>
          </w:tcPr>
          <w:p>
            <w:pPr>
              <w:ind w:left="180"/>
              <w:spacing w:after="0" w:line="256" w:lineRule="exact"/>
              <w:rPr>
                <w:sz w:val="20"/>
                <w:szCs w:val="20"/>
                <w:color w:val="auto"/>
              </w:rPr>
            </w:pPr>
            <w:r>
              <w:rPr>
                <w:rFonts w:ascii="Arial" w:cs="Arial" w:eastAsia="Arial" w:hAnsi="Arial"/>
                <w:sz w:val="18"/>
                <w:szCs w:val="18"/>
                <w:color w:val="auto"/>
              </w:rPr>
              <w:t>Other Petroleum Products</w:t>
            </w:r>
            <w:r>
              <w:rPr>
                <w:rFonts w:ascii="Arial" w:cs="Arial" w:eastAsia="Arial" w:hAnsi="Arial"/>
                <w:sz w:val="29"/>
                <w:szCs w:val="29"/>
                <w:color w:val="auto"/>
                <w:vertAlign w:val="superscript"/>
              </w:rPr>
              <w:t>2</w:t>
            </w: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EEEEEE"/>
          </w:tcPr>
          <w:p>
            <w:pPr>
              <w:spacing w:after="0"/>
              <w:rPr>
                <w:sz w:val="22"/>
                <w:szCs w:val="22"/>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EEEEEE"/>
          </w:tcPr>
          <w:p>
            <w:pPr>
              <w:spacing w:after="0"/>
              <w:rPr>
                <w:sz w:val="22"/>
                <w:szCs w:val="22"/>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Share of Affiliates’ Sales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International</w:t>
            </w:r>
          </w:p>
        </w:tc>
        <w:tc>
          <w:tcPr>
            <w:tcW w:w="7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2,224</w:t>
            </w: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2,175</w:t>
            </w:r>
          </w:p>
        </w:tc>
        <w:tc>
          <w:tcPr>
            <w:tcW w:w="2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Total Worldwide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3,738</w:t>
            </w: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3,775</w:t>
            </w:r>
          </w:p>
        </w:tc>
        <w:tc>
          <w:tcPr>
            <w:tcW w:w="22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 Excludes Equilon and Motiva; and 2002 conformed to 2003 presentation.</w:t>
      </w:r>
    </w:p>
    <w:p>
      <w:pPr>
        <w:spacing w:after="0" w:line="33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 Principally naphtha, lubricants, asphalt and coke.</w:t>
      </w:r>
    </w:p>
    <w:p>
      <w:pPr>
        <w:spacing w:after="0" w:line="30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 xml:space="preserve">In the United States, the company supplies, directly or through dealers and jobbers, more than 7,800 Chevron-branded motor vehicle retail outlets, of which about 1,000 are company-owned or -leased stations. The company’s gasoline market area is concentrated in the southern, southwestern and western states. According to the </w:t>
      </w:r>
      <w:r>
        <w:rPr>
          <w:rFonts w:ascii="Arial" w:cs="Arial" w:eastAsia="Arial" w:hAnsi="Arial"/>
          <w:sz w:val="16"/>
          <w:szCs w:val="16"/>
          <w:i w:val="1"/>
          <w:iCs w:val="1"/>
          <w:color w:val="auto"/>
        </w:rPr>
        <w:t>Lundberg Share of Market Report,</w:t>
      </w:r>
      <w:r>
        <w:rPr>
          <w:rFonts w:ascii="Arial" w:cs="Arial" w:eastAsia="Arial" w:hAnsi="Arial"/>
          <w:sz w:val="16"/>
          <w:szCs w:val="16"/>
          <w:color w:val="auto"/>
        </w:rPr>
        <w:t xml:space="preserve"> ChevronTexaco ranks among the top three gasoline marketers in 14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Canada — primarily British Columbia — the company’s Chevron-branded products are sold in 165 company-owned or-leased stations.</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Outside of the United States and Canada, ChevronTexaco supplies, directly or through dealers and jobbers, approximately 11,600 branded service stations in more than 80 countries. In the Asia-Pacific region, southern and East Africa, and the Middle East, ChevronTexaco uses the Caltex brand name.</w:t>
      </w:r>
    </w:p>
    <w:p>
      <w:pPr>
        <w:spacing w:after="0" w:line="139"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 Europe, the company has marketing operations in the United Kingdom, Ireland, the Netherlands, Belgium, Luxembourg and the Canary Islands. The company operates in Denmark and Norway through its 50 percent-owned affiliate, HydroTexaco, using the HydroTexaco brand. In West Africa, the company operates or leases to dealers in Cameroon, Côte d’Ivoire, Nigeria, Republic of Congo, Togo and Benin. In these regions, the company mainly uses the Texaco brand name.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ChevronTexaco operates across the Caribbean, Central America, and South America with a significant presence in Brazil, using the Texaco brand name.</w:t>
      </w:r>
    </w:p>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addition to the above activities, the company manages other marketing businesses globally. In global aviation fuel marketing, the company markets 440,000 barrels per day of aviation fuel in 80 countries, representing a worldwide market share of about 12 percent. The company is the leading marketer of jet fuels in the United States. ChevronTexaco markets residual fuel oils and marine lubricants in more than 65 countries and motor lubricants in more than 180 countries.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Petroleum — Transportation</w:t>
      </w:r>
    </w:p>
    <w:p>
      <w:pPr>
        <w:spacing w:after="0" w:line="252" w:lineRule="exact"/>
        <w:rPr>
          <w:sz w:val="20"/>
          <w:szCs w:val="20"/>
          <w:color w:val="auto"/>
        </w:rPr>
      </w:pPr>
    </w:p>
    <w:p>
      <w:pPr>
        <w:ind w:right="40" w:firstLine="162"/>
        <w:spacing w:after="0" w:line="262" w:lineRule="auto"/>
        <w:rPr>
          <w:sz w:val="20"/>
          <w:szCs w:val="20"/>
          <w:color w:val="auto"/>
        </w:rPr>
      </w:pPr>
      <w:r>
        <w:rPr>
          <w:rFonts w:ascii="Arial" w:cs="Arial" w:eastAsia="Arial" w:hAnsi="Arial"/>
          <w:sz w:val="18"/>
          <w:szCs w:val="18"/>
          <w:b w:val="1"/>
          <w:bCs w:val="1"/>
          <w:color w:val="auto"/>
        </w:rPr>
        <w:t xml:space="preserve">Pipelines: </w:t>
      </w:r>
      <w:r>
        <w:rPr>
          <w:rFonts w:ascii="Arial" w:cs="Arial" w:eastAsia="Arial" w:hAnsi="Arial"/>
          <w:sz w:val="18"/>
          <w:szCs w:val="18"/>
          <w:color w:val="auto"/>
        </w:rPr>
        <w:t>ChevronTexaco owns and operates an extensive system of crude oil, refined products, chemicals, natural gas liquids and natural gas pipelines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The company also has direct or indirect interests in other U.S. and international pipelines. The company’s ownership interests in pipelines are summarized in the following table:</w:t>
      </w:r>
    </w:p>
    <w:p>
      <w:pPr>
        <w:spacing w:after="0" w:line="186"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080" w:type="dxa"/>
            <w:vAlign w:val="bottom"/>
            <w:gridSpan w:val="4"/>
          </w:tcPr>
          <w:p>
            <w:pPr>
              <w:ind w:left="200"/>
              <w:spacing w:after="0"/>
              <w:rPr>
                <w:sz w:val="20"/>
                <w:szCs w:val="20"/>
                <w:color w:val="auto"/>
              </w:rPr>
            </w:pPr>
            <w:r>
              <w:rPr>
                <w:rFonts w:ascii="Arial" w:cs="Arial" w:eastAsia="Arial" w:hAnsi="Arial"/>
                <w:sz w:val="18"/>
                <w:szCs w:val="18"/>
                <w:b w:val="1"/>
                <w:bCs w:val="1"/>
                <w:color w:val="auto"/>
              </w:rPr>
              <w:t>Pipeline Mileage at December 31, 2003</w:t>
            </w:r>
          </w:p>
        </w:tc>
        <w:tc>
          <w:tcPr>
            <w:tcW w:w="0" w:type="dxa"/>
            <w:vAlign w:val="bottom"/>
          </w:tcPr>
          <w:p>
            <w:pPr>
              <w:spacing w:after="0"/>
              <w:rPr>
                <w:sz w:val="1"/>
                <w:szCs w:val="1"/>
                <w:color w:val="auto"/>
              </w:rPr>
            </w:pPr>
          </w:p>
        </w:tc>
      </w:tr>
      <w:tr>
        <w:trPr>
          <w:trHeight w:val="71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40" w:type="dxa"/>
            <w:vAlign w:val="bottom"/>
            <w:tcBorders>
              <w:bottom w:val="single" w:sz="8" w:color="808080"/>
            </w:tcBorders>
            <w:gridSpan w:val="3"/>
          </w:tcPr>
          <w:p>
            <w:pPr>
              <w:ind w:left="500"/>
              <w:spacing w:after="0"/>
              <w:rPr>
                <w:sz w:val="20"/>
                <w:szCs w:val="20"/>
                <w:color w:val="auto"/>
              </w:rPr>
            </w:pPr>
            <w:r>
              <w:rPr>
                <w:rFonts w:ascii="Arial" w:cs="Arial" w:eastAsia="Arial" w:hAnsi="Arial"/>
                <w:sz w:val="14"/>
                <w:szCs w:val="14"/>
                <w:b w:val="1"/>
                <w:bCs w:val="1"/>
                <w:color w:val="auto"/>
              </w:rPr>
              <w:t>Net Mileage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334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tcPr>
          <w:p>
            <w:pPr>
              <w:ind w:left="160"/>
              <w:spacing w:after="0" w:line="256" w:lineRule="exact"/>
              <w:rPr>
                <w:sz w:val="20"/>
                <w:szCs w:val="20"/>
                <w:color w:val="auto"/>
              </w:rPr>
            </w:pPr>
            <w:r>
              <w:rPr>
                <w:rFonts w:ascii="Arial" w:cs="Arial" w:eastAsia="Arial" w:hAnsi="Arial"/>
                <w:sz w:val="18"/>
                <w:szCs w:val="18"/>
                <w:color w:val="auto"/>
              </w:rPr>
              <w:t>Crude Oil</w:t>
            </w:r>
            <w:r>
              <w:rPr>
                <w:rFonts w:ascii="Arial" w:cs="Arial" w:eastAsia="Arial" w:hAnsi="Arial"/>
                <w:sz w:val="29"/>
                <w:szCs w:val="29"/>
                <w:color w:val="auto"/>
                <w:vertAlign w:val="superscript"/>
              </w:rPr>
              <w:t>2</w:t>
            </w: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1,891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Natural Gas</w:t>
            </w:r>
          </w:p>
        </w:tc>
        <w:tc>
          <w:tcPr>
            <w:tcW w:w="4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1,916</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w w:val="98"/>
              </w:rPr>
              <w:t>Petroleum Products</w:t>
            </w: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5,044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United States</w:t>
            </w:r>
          </w:p>
        </w:tc>
        <w:tc>
          <w:tcPr>
            <w:tcW w:w="4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8,851</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rPr>
              <w:t>International:</w:t>
            </w:r>
          </w:p>
        </w:tc>
        <w:tc>
          <w:tcPr>
            <w:tcW w:w="3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760" w:type="dxa"/>
            <w:vAlign w:val="bottom"/>
            <w:gridSpan w:val="2"/>
            <w:vMerge w:val="continue"/>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740" w:type="dxa"/>
            <w:vAlign w:val="bottom"/>
            <w:shd w:val="clear" w:color="auto" w:fill="EEEEEE"/>
          </w:tcPr>
          <w:p>
            <w:pPr>
              <w:ind w:left="160"/>
              <w:spacing w:after="0" w:line="258" w:lineRule="exact"/>
              <w:rPr>
                <w:sz w:val="20"/>
                <w:szCs w:val="20"/>
                <w:color w:val="auto"/>
              </w:rPr>
            </w:pPr>
            <w:r>
              <w:rPr>
                <w:rFonts w:ascii="Arial" w:cs="Arial" w:eastAsia="Arial" w:hAnsi="Arial"/>
                <w:sz w:val="18"/>
                <w:szCs w:val="18"/>
                <w:color w:val="auto"/>
              </w:rPr>
              <w:t>Crude Oil</w:t>
            </w:r>
            <w:r>
              <w:rPr>
                <w:rFonts w:ascii="Arial" w:cs="Arial" w:eastAsia="Arial" w:hAnsi="Arial"/>
                <w:sz w:val="29"/>
                <w:szCs w:val="29"/>
                <w:color w:val="auto"/>
                <w:vertAlign w:val="superscript"/>
              </w:rPr>
              <w:t>2</w:t>
            </w:r>
          </w:p>
        </w:tc>
        <w:tc>
          <w:tcPr>
            <w:tcW w:w="4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6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Natural Gas</w:t>
            </w:r>
          </w:p>
        </w:tc>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8"/>
              </w:rPr>
              <w:t>Petroleum Products</w:t>
            </w:r>
          </w:p>
        </w:tc>
        <w:tc>
          <w:tcPr>
            <w:tcW w:w="4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Total International</w:t>
            </w: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rPr>
              <w:t>634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8"/>
                <w:szCs w:val="18"/>
                <w:color w:val="auto"/>
              </w:rPr>
              <w:t>Worldwide</w:t>
            </w:r>
          </w:p>
        </w:tc>
        <w:tc>
          <w:tcPr>
            <w:tcW w:w="4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9,485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34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38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Partially owned pipelines are included at the company’s equity percentage.</w:t>
      </w:r>
    </w:p>
    <w:p>
      <w:pPr>
        <w:spacing w:after="0" w:line="333" w:lineRule="exact"/>
        <w:rPr>
          <w:sz w:val="20"/>
          <w:szCs w:val="20"/>
          <w:color w:val="auto"/>
        </w:rPr>
      </w:pPr>
    </w:p>
    <w:p>
      <w:pPr>
        <w:ind w:left="1620" w:right="300" w:hanging="234"/>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gathering lines related to the transportation function. Excludes gathering lines related to the U.S. and international production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Caspian Pipeline Consortium (CPC) operates a crude oil export pipeline from the Tengiz Field in Kazakhstan to the Russian Black Sea port of Novorossiysk.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Currently, CPC has seven transportation agreements in place which provide the capacity to transport approximately 600,000 barrels of crude oil per day.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ChevronTexaco has a 15 percent ownership interest in CPC.</w:t>
      </w:r>
    </w:p>
    <w:p>
      <w:pPr>
        <w:spacing w:after="0" w:line="24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Tankers: </w:t>
      </w:r>
      <w:r>
        <w:rPr>
          <w:rFonts w:ascii="Arial" w:cs="Arial" w:eastAsia="Arial" w:hAnsi="Arial"/>
          <w:sz w:val="16"/>
          <w:szCs w:val="16"/>
          <w:color w:val="auto"/>
        </w:rPr>
        <w:t>ChevronTexaco’s controlled seagoing fleet at December 31, 2003, is summarized in the following table. All controlled tankers were utilized in 2003.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addition, at any given time, the company has approximately 70 vessels under a voyage basis or as time charters of less than one year.</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Controlled Tankers at December 31, 2003</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3"/>
          </w:tcPr>
          <w:p>
            <w:pPr>
              <w:ind w:left="320"/>
              <w:spacing w:after="0"/>
              <w:rPr>
                <w:sz w:val="20"/>
                <w:szCs w:val="20"/>
                <w:color w:val="auto"/>
              </w:rPr>
            </w:pPr>
            <w:r>
              <w:rPr>
                <w:rFonts w:ascii="Arial" w:cs="Arial" w:eastAsia="Arial" w:hAnsi="Arial"/>
                <w:sz w:val="14"/>
                <w:szCs w:val="14"/>
                <w:b w:val="1"/>
                <w:bCs w:val="1"/>
                <w:color w:val="auto"/>
              </w:rPr>
              <w:t>U.S. Flag</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3"/>
          </w:tcPr>
          <w:p>
            <w:pPr>
              <w:ind w:left="280"/>
              <w:spacing w:after="0"/>
              <w:rPr>
                <w:sz w:val="20"/>
                <w:szCs w:val="20"/>
                <w:color w:val="auto"/>
              </w:rPr>
            </w:pPr>
            <w:r>
              <w:rPr>
                <w:rFonts w:ascii="Arial" w:cs="Arial" w:eastAsia="Arial" w:hAnsi="Arial"/>
                <w:sz w:val="14"/>
                <w:szCs w:val="14"/>
                <w:b w:val="1"/>
                <w:bCs w:val="1"/>
                <w:color w:val="auto"/>
              </w:rPr>
              <w:t>Foreign Flag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Cargo Capacity</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Cargo Capacity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2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(Millions of Barrels)</w:t>
            </w:r>
          </w:p>
        </w:tc>
        <w:tc>
          <w:tcPr>
            <w:tcW w:w="2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(Millions of Barrels)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Owned</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0.8</w:t>
            </w:r>
          </w:p>
        </w:tc>
        <w:tc>
          <w:tcPr>
            <w:tcW w:w="9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Bareboat Charter</w:t>
            </w:r>
          </w:p>
        </w:tc>
        <w:tc>
          <w:tcPr>
            <w:tcW w:w="2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Time Charter*</w:t>
            </w:r>
          </w:p>
        </w:tc>
        <w:tc>
          <w:tcPr>
            <w:tcW w:w="280" w:type="dxa"/>
            <w:vAlign w:val="bottom"/>
            <w:tcBorders>
              <w:right w:val="single" w:sz="8" w:color="EEEEEE"/>
            </w:tcBorders>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00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9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9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33.8</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38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Greater than one year.</w:t>
      </w:r>
    </w:p>
    <w:p>
      <w:pPr>
        <w:spacing w:after="0" w:line="252"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Federal law requires that cargo transported between U.S. ports be carried in ships built and registered in the United States, owned and operated by U.S. entities, and manned by U.S. crews. At year-end 2003, the company’s U.S. flag fleet was engaged primarily in transporting refined products between the Gulf Coast</w:t>
      </w:r>
    </w:p>
    <w:p>
      <w:pPr>
        <w:sectPr>
          <w:pgSz w:w="11900" w:h="16838" w:orient="portrait"/>
          <w:cols w:equalWidth="0" w:num="1">
            <w:col w:w="11360"/>
          </w:cols>
          <w:pgMar w:left="240" w:top="419" w:right="299" w:bottom="1440" w:gutter="0" w:footer="0" w:header="0"/>
        </w:sectPr>
      </w:pP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the East Coast, and from California refineries to terminals on the West Coast and in Alaska and Hawaii.</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international flag vessels were engaged primarily in transporting crude oil from the Middle East, Indonesia, Mexico and West Africa to ports in the United States, Europe and Asia. Refined products also were transported by tanker worldwide.</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Federal Oil Pollution Act of 1990 requires the scheduled phase-out, by year-end 2010, of all single-hull tankers trading to U.S. ports or transferring cargo in waters within the U.S. Exclusive Economic Zone. This has raised the demand for double-hull tankers. During 2003, ChevronTexaco operated a total of 20 double-hull tankers, which includes three additional double-hull tankers that the company took delivery of in 2003. The company is a member of many oil-spill-response cooperatives in areas around the world in which it operates.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Chemicals</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Chevron Phillips Chemical Company LLC (CPChem) is a 50-50 joint venture with ConocoPhillips Corporation. CPChem owns or has joint venture interests in 32 manufacturing facilities and six research and technical centers in the United States, Puerto Rico, Belgium, China, Mexico, Saudi Arabia, Singapore, South Korea and Qatar.</w:t>
      </w:r>
    </w:p>
    <w:p>
      <w:pPr>
        <w:spacing w:after="0" w:line="19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 new olefins and polyolefins complex was commissioned in Qatar in 2003. The complex is owned and operated by Qatar Chemical Company Ltd., a joint venture between CPChem, with a 49 percent interest, and Qatar General Petroleum, which owns the remaining 51 percent.</w:t>
      </w:r>
    </w:p>
    <w:p>
      <w:pPr>
        <w:spacing w:after="0" w:line="1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Also during 2003, a 50-50 joint venture with BP Solvay commenced operations of a new high-density polyethylene (HDPE) facility at a CPChem site in the Houston, Texas area. The jointly owned 700-million-pounds per-year HDPE facility is among the largest of its kind in the world and uses CPChem proprietary manufacturing technology.</w:t>
      </w:r>
    </w:p>
    <w:p>
      <w:pPr>
        <w:spacing w:after="0" w:line="19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ChevronTexaco’s Oronite brand fuel and lubricant additives business is a leading developer, manufacturer and marketer of performance additives for fuels and lubricating oils. The company owns and operates facilities in the United States, France, the Netherlands, Singapore, Japan and Brazil and has equity interests in facilities in India and Mexico.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Coal</w:t>
      </w:r>
    </w:p>
    <w:p>
      <w:pPr>
        <w:spacing w:after="0" w:line="231"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The company’s coal mining and marketing subsidiary, The Pittsburg &amp; Midway Coal Mining Co. (P&amp;M), owned and operated two surface mines and one underground mine at year-end 2003. In addition, final reclamation activities were under way at two mines that are scheduled to close. P&amp;M also owns an approximate 30 percent interest in Inter-American Coal Holding N.V., which has interests in coal mining operations in Venezuela as well as in trading and transportation activities in Venezuela and Colombia.</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Sales of coal from P&amp;M’s wholly owned mines and from its affiliates were 13.4 million tons, a decrease of 10 percent from 2002. The reduction resulted from the absence of sales in 2003 from the company’s mining operations in northeastern New Mexico, where production ceased in late 2002. Lower production from P&amp;M’s surface mine, located near Gallup, New Mexico, also contributed to the decline.</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year-end 2003, P&amp;M controlled approximately 189 million tons of developed and undeveloped coal reserves, including significant reserves of environmentally desirable low-sulfur fuel. The company is contractually committed to deliver approximately 13 million tons of coal per year through the end of 2006 and believes it can satisfy these contracts from existing coal reserves.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 Synthetic Crude Oil</w:t>
      </w:r>
    </w:p>
    <w:p>
      <w:pPr>
        <w:spacing w:after="0" w:line="23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In Canada, ChevronTexaco holds a 20 percent interest in the Athabasca Oil Sands Project (AOSP). Bitumen is extracted from oil sands and upgraded into synthetic crude oil using hydroprocessing technology. The integrated operation at AOSP commenced in April 2003 when the Scotford Upgrader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started processing bitumen from Train 1 of the Muskeg River Mine. Full operation with both processing trains began in June. Bitumen production in the fourth quarter of 2003 averaged approximately 130,000 barrels per day. Full capacity is expected to reach 155,000 barrels per day.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Power Generation</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ChevronTexaco’s Global Power Generation (GPG) has more than 20 years’ experience in developing and operating commercial power projects. With 13 power assets located in the United States, Asia and Europe, GPG manages the production of more than 3,500 megawatts of electricity in its facilities. All of the facilities are owned through joint ventures. The company operates efficient gas-fired cogeneration facilities, some of which produce steam for use in upstream operations to facilitate production of heavy oil.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Gasification Technology</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ChevronTexaco Worldwide Gasification Technology (WGT) is used to convert a wide variety of hydrocarbon feedstocks into clean synthesis gas. The synthesis gas can be used as a feedstock for basic chemicals or to generate electricity in low-emission power plants. ChevronTexaco has licensed its gasification technology to more than 60 plants worldwide.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Gas-to-Liquids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50-50 Sasol Chevron Global Joint Venture was established in October 2000 to develop a worldwide gas-to-liquids (GTL) business. Projects to build GTL plants are being considered for Qatar, Nigeria and Australia.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Technology</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core hydrocarbon technology efforts support the upstream, downstream, and power and gasification businesses. These activities include heavy oil recovery and upgrading, deepwater exploration and production, shallow water production operations, gas-to-liquids processing, hydrocarbon gasification to power, and new and improved refinery processes.</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Additionally, ChevronTexaco’s Technology Ventures Company focuses on the identification, growth and commercialization of emerging technologies that have the potential to change or transform how energy is produced or consumed. The range of business spans early-stage investing of venture capital in emerging technologies to developing joint venture companies in new energy systems, such as advanced batteries for distributed power and transportation systems and hydrogen fuel storage.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2003, the company completed the worldwide implementation of a new information technology infrastructure encompassing computing, data management, security, and connectivity of partners, suppliers and employees. The architecture, known as “Net Ready,” provides the foundation for the company to cost-effectively and rapidly integrate advances in computing and network-based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ChevronTexaco’s research and development expenses were $238 million, $221 million and $209 million for the years 2003, 2002 and 2001, respectively.</w:t>
      </w:r>
    </w:p>
    <w:p>
      <w:pPr>
        <w:spacing w:after="0" w:line="24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Because some of the investments the company makes in the areas described above are in new or unproven technologies and business processes, ultimate success is not certain. Although not all initiatives may prove to be economically viable, the company’s overall investment in this area is not significant to the company’s consolidated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Protection</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Virtually all aspects of the company’s businesses are subject to various federal, state and local environmental, health and safety laws and regulations. These regulatory requirements continue to change and increase in both number and complexity and to govern not only the manner in which the company conducts its operations, but also the products it sells. ChevronTexaco expects more environmental-related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regulations in the countries where it has operations. Most of the costs of complying with the many laws and regulations pertaining to its operations are embedded in the normal costs of conducting its business.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2003, the company’s U.S. capitalized environmental expenditures were $178 million, representing approximately 8 percent of the company’s total consolidated U.S. capital and exploratory expenditures. These environmental expenditures include capital outlays to retrofit existing facilities, as well as those associated with new facilities. The expenditures are predominantly in the petroleum segment and relate mostly to air-and-water quality projects and activities at the company’s refineries, oil and gas producing facilities, and marketing facilities. For 2004, the company estimates U.S. capital expenditures for environmental control facilities will be $260 million. The future annual capital costs of fulfilling this commitment are uncertain and will be governed by several factors, including future changes to regulatory requirements.</w:t>
      </w:r>
    </w:p>
    <w:p>
      <w:pPr>
        <w:spacing w:after="0" w:line="19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Further information on environmental matters and their impact on ChevronTexaco and on the company’s 2003 environmental expenditures, remediation provisions and year-end environmental reserves are contained in Management’s Discussion and Analysis of Financial Condition and Results of Operations on pages FS-16 to FS-18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 Access to SEC Reports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The company’s Internet Web site can be found at </w:t>
      </w:r>
      <w:r>
        <w:rPr>
          <w:rFonts w:ascii="Arial" w:cs="Arial" w:eastAsia="Arial" w:hAnsi="Arial"/>
          <w:sz w:val="18"/>
          <w:szCs w:val="18"/>
          <w:u w:val="single" w:color="auto"/>
          <w:color w:val="auto"/>
        </w:rPr>
        <w:t>http://www.chevrontexaco.com/</w:t>
      </w:r>
      <w:r>
        <w:rPr>
          <w:rFonts w:ascii="Arial" w:cs="Arial" w:eastAsia="Arial" w:hAnsi="Arial"/>
          <w:sz w:val="18"/>
          <w:szCs w:val="18"/>
          <w:color w:val="auto"/>
        </w:rPr>
        <w:t>. Information contained on the company’s Internet Web site is not part of this report.</w:t>
      </w:r>
    </w:p>
    <w:p>
      <w:pPr>
        <w:spacing w:after="0" w:line="18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Annual Reports on Form 10-K, Quarterly Reports on Form 10-Q, Current Reports on Form 8-K and any amendments to these reports filed or furnished pursuant to Section 13(a) or 15(d) of the Securities Exchange Act of 1934 are available on the company’s Web site, free of charge, as soon as reasonably practicable after such reports are filed with or furnished to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Alternatively, you may access these reports at the SEC’s Internet Web site: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location and character of the company’s oil, natural gas and coal properties and its refining, marketing, transportation and chemicals facilities are described above under Item 1. Business. Information required by the Securities Exchange Act Industry Guide No. 2 (“Disclosure of Oil and Gas Operations”) is also contained in Item 1 and in Tables I through VII on pages FS-53 to FS-59 of this Annual Report on Form 10-K. Note 15, “Properties, Plant and Equipment,” to the company’s financial statements is on page FS-40 of this Annual Report on Form 10-K.</w:t>
      </w:r>
    </w:p>
    <w:p>
      <w:pPr>
        <w:spacing w:after="0" w:line="1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Richmond Refinery — Alleged Air Violations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Chevron Products Company, a division of Chevron U.S.A. Inc., paid $228,275 to the Bay Area Air Quality Management District (BAAQMD) and $50,000 to the District Attorney of the County of Contra Costa, California, in settlement of 35 alleged violations of the BAAQMD’s air regulations at the company’s Richmond Refinery.</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 at March 1, 2004</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860" w:type="dxa"/>
            <w:vAlign w:val="bottom"/>
          </w:tcPr>
          <w:p>
            <w:pPr>
              <w:ind w:left="500"/>
              <w:spacing w:after="0"/>
              <w:rPr>
                <w:sz w:val="20"/>
                <w:szCs w:val="20"/>
                <w:color w:val="auto"/>
              </w:rPr>
            </w:pPr>
            <w:r>
              <w:rPr>
                <w:rFonts w:ascii="Arial" w:cs="Arial" w:eastAsia="Arial" w:hAnsi="Arial"/>
                <w:sz w:val="14"/>
                <w:szCs w:val="14"/>
                <w:b w:val="1"/>
                <w:bCs w:val="1"/>
                <w:color w:val="auto"/>
              </w:rPr>
              <w:t>Name and Age</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00" w:type="dxa"/>
            <w:vAlign w:val="bottom"/>
          </w:tcPr>
          <w:p>
            <w:pPr>
              <w:ind w:left="1400"/>
              <w:spacing w:after="0"/>
              <w:rPr>
                <w:sz w:val="20"/>
                <w:szCs w:val="20"/>
                <w:color w:val="auto"/>
              </w:rPr>
            </w:pPr>
            <w:r>
              <w:rPr>
                <w:rFonts w:ascii="Arial" w:cs="Arial" w:eastAsia="Arial" w:hAnsi="Arial"/>
                <w:sz w:val="14"/>
                <w:szCs w:val="14"/>
                <w:b w:val="1"/>
                <w:bCs w:val="1"/>
                <w:color w:val="auto"/>
              </w:rPr>
              <w:t>Executive Office Held</w:t>
            </w:r>
          </w:p>
        </w:tc>
        <w:tc>
          <w:tcPr>
            <w:tcW w:w="300" w:type="dxa"/>
            <w:vAlign w:val="bottom"/>
          </w:tcPr>
          <w:p>
            <w:pPr>
              <w:spacing w:after="0"/>
              <w:rPr>
                <w:sz w:val="15"/>
                <w:szCs w:val="15"/>
                <w:color w:val="auto"/>
              </w:rPr>
            </w:pPr>
          </w:p>
        </w:tc>
        <w:tc>
          <w:tcPr>
            <w:tcW w:w="3080" w:type="dxa"/>
            <w:vAlign w:val="bottom"/>
          </w:tcPr>
          <w:p>
            <w:pPr>
              <w:ind w:left="680"/>
              <w:spacing w:after="0"/>
              <w:rPr>
                <w:sz w:val="20"/>
                <w:szCs w:val="20"/>
                <w:color w:val="auto"/>
              </w:rPr>
            </w:pPr>
            <w:r>
              <w:rPr>
                <w:rFonts w:ascii="Arial" w:cs="Arial" w:eastAsia="Arial" w:hAnsi="Arial"/>
                <w:sz w:val="14"/>
                <w:szCs w:val="14"/>
                <w:b w:val="1"/>
                <w:bCs w:val="1"/>
                <w:color w:val="auto"/>
              </w:rPr>
              <w:t>Major Area of Responsibility</w:t>
            </w:r>
          </w:p>
        </w:tc>
      </w:tr>
      <w:tr>
        <w:trPr>
          <w:trHeight w:val="95"/>
        </w:trPr>
        <w:tc>
          <w:tcPr>
            <w:tcW w:w="18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r>
      <w:tr>
        <w:trPr>
          <w:trHeight w:val="309"/>
        </w:trPr>
        <w:tc>
          <w:tcPr>
            <w:tcW w:w="1860" w:type="dxa"/>
            <w:vAlign w:val="bottom"/>
          </w:tcPr>
          <w:p>
            <w:pPr>
              <w:spacing w:after="0"/>
              <w:rPr>
                <w:sz w:val="20"/>
                <w:szCs w:val="20"/>
                <w:color w:val="auto"/>
              </w:rPr>
            </w:pPr>
            <w:r>
              <w:rPr>
                <w:rFonts w:ascii="Arial" w:cs="Arial" w:eastAsia="Arial" w:hAnsi="Arial"/>
                <w:sz w:val="18"/>
                <w:szCs w:val="18"/>
                <w:color w:val="auto"/>
              </w:rPr>
              <w:t>D. J. O’Reilly</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Chairman of the Board since 2000</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Chief Executive Officer</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Director since 1998</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Chairman from 1998 to 2000</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President of Chevron Products</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Company from 1994 to 1998</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Committee Member</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1994</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P. J. Robertson</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Chairman of the Board since</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Worldwide Exploration and Production</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2002</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Activities and Global Gas Activities</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from 1994 to 2001</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President of Chevron Overseas</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Petroleum Inc. from 2000 to 2002</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Committee Member</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1997</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J. E. Bethancourt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since</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Technology, Chemicals, Coal, Health,</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2003</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Environment and Safety</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Committee Member</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2003</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C. A. James</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and General</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Law</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Counsel since 2002</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Committee Member</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2002</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G. L. Kirkland</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President of ChevronTexaco</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Overseas Exploration and Production</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Overseas Petroleum Inc.</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2002</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since 2000</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President of Chevron U.S.A.</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Production Company from 2000 to 2002</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Committee Member</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from 2000 to 2001</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 Laidlaw</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since</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Business Development</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2003</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Committee Member</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2003</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J. S. Watson</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47</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Finance and Chief</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Finance</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Financial Officer since 2000</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since 1998</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Committee Member</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2000</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R. I. Wilcox</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President, ChevronTexaco</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North American Exploration and</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Exploration Production Company</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Production</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since 2002</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since 2002</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P. A. Woertz</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since</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w w:val="99"/>
              </w:rPr>
              <w:t>Global Refining, Marketing, Lubricants,</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2001</w:t>
            </w:r>
          </w:p>
        </w:tc>
        <w:tc>
          <w:tcPr>
            <w:tcW w:w="3380" w:type="dxa"/>
            <w:vAlign w:val="bottom"/>
            <w:gridSpan w:val="2"/>
          </w:tcPr>
          <w:p>
            <w:pPr>
              <w:ind w:left="280"/>
              <w:spacing w:after="0"/>
              <w:rPr>
                <w:sz w:val="20"/>
                <w:szCs w:val="20"/>
                <w:color w:val="auto"/>
              </w:rPr>
            </w:pPr>
            <w:r>
              <w:rPr>
                <w:rFonts w:ascii="Arial" w:cs="Arial" w:eastAsia="Arial" w:hAnsi="Arial"/>
                <w:sz w:val="18"/>
                <w:szCs w:val="18"/>
                <w:color w:val="auto"/>
              </w:rPr>
              <w:t>and Supply and Trading</w:t>
            </w:r>
          </w:p>
        </w:tc>
      </w:tr>
      <w:tr>
        <w:trPr>
          <w:trHeight w:val="216"/>
        </w:trPr>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since 1998</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1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President of Chevron Products</w:t>
            </w:r>
          </w:p>
        </w:tc>
        <w:tc>
          <w:tcPr>
            <w:tcW w:w="30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ind w:left="3460"/>
        <w:spacing w:after="0"/>
        <w:rPr>
          <w:sz w:val="20"/>
          <w:szCs w:val="20"/>
          <w:color w:val="auto"/>
        </w:rPr>
      </w:pPr>
      <w:r>
        <w:rPr>
          <w:rFonts w:ascii="Arial" w:cs="Arial" w:eastAsia="Arial" w:hAnsi="Arial"/>
          <w:sz w:val="18"/>
          <w:szCs w:val="18"/>
          <w:color w:val="auto"/>
        </w:rPr>
        <w:t>Company from 1998 to 2001</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Executive Committee Member</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since 1998</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Officers of the Corporation consist of the Chairman of the Board, the Vice Chairman of the Board, and such other officers of the Corporation who are either Directors or members of the Executive Committee or who are chief executive officers of principal business units. Except as noted below, all of the Corporation’s Executive Officers have held one or more of such positions for more than five years.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J. E. Bethancourt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w w:val="88"/>
              </w:rPr>
              <w:t>Vice President, Texaco Inc., President of Production Operations, Worldwide Exploration and Production, Texaco</w:t>
            </w:r>
          </w:p>
        </w:tc>
      </w:tr>
      <w:tr>
        <w:trPr>
          <w:trHeight w:val="216"/>
        </w:trPr>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40" w:type="dxa"/>
            <w:vAlign w:val="bottom"/>
          </w:tcPr>
          <w:p>
            <w:pPr>
              <w:ind w:left="220"/>
              <w:spacing w:after="0"/>
              <w:rPr>
                <w:sz w:val="20"/>
                <w:szCs w:val="20"/>
                <w:color w:val="auto"/>
              </w:rPr>
            </w:pPr>
            <w:r>
              <w:rPr>
                <w:rFonts w:ascii="Arial" w:cs="Arial" w:eastAsia="Arial" w:hAnsi="Arial"/>
                <w:sz w:val="18"/>
                <w:szCs w:val="18"/>
                <w:color w:val="auto"/>
              </w:rPr>
              <w:t>Inc. — 2000</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Vice President, Human Resources, ChevronTexaco Corporation — 2001</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Executive Vice President, ChevronTexaco Corporation — 2003</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 A. James</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Partner, Jones Day (a major U.S. law firm) — 1992</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Assistant Attorney General, Antitrust Division, U.S. Department of Justice — 2001</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Vice President and General Counsel — 2002</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G. L. Kirkland</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General Manager, Asset Management, Chevron Nigeria Limited — 1996</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Chairman and Managing Director, Chevron Nigeria Limited — 1996</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President, Chevron U.S.A. Production Company — 2000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 Laidlaw</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President and Chief Operating Officer, Amerada Hess — 2001</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Chief Executive Officer, Enterprise Oil Plc — 2002</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Executive Vice President, ChevronTexaco Corporation — 2003</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J. S. Watson</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President, Chevron Canada Limited — 1996</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Vice President, Strategic Planning, Chevron Corporation — 1998</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Vice President, Finance and Chief Financial Officer, Chevron Corporation — 2000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R. I. Wilcox</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Vice President and General Manager, Marine Transportation, Chevron Shipping Company — 1996</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General Manager, Asset Management, Chevron Nigeria Limited — 1999</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Chairman and Managing Director, Chevron Nigeria Limited — 2000</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w w:val="97"/>
              </w:rPr>
              <w:t>Corporate Vice President and President, ChevronTexaco Exploration &amp; Production Company — 2002</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P. A. Woertz</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President, Chevron International Oil Company — 1996</w:t>
            </w:r>
          </w:p>
        </w:tc>
      </w:tr>
      <w:tr>
        <w:trPr>
          <w:trHeight w:val="216"/>
        </w:trPr>
        <w:tc>
          <w:tcPr>
            <w:tcW w:w="20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Vice President, Logistics and Trading, Chevron Products Company — 1996</w:t>
            </w:r>
          </w:p>
        </w:tc>
      </w:tr>
      <w:tr>
        <w:trPr>
          <w:trHeight w:val="222"/>
        </w:trPr>
        <w:tc>
          <w:tcPr>
            <w:tcW w:w="20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140" w:type="dxa"/>
            <w:vAlign w:val="bottom"/>
          </w:tcPr>
          <w:p>
            <w:pPr>
              <w:ind w:left="220"/>
              <w:spacing w:after="0"/>
              <w:rPr>
                <w:sz w:val="20"/>
                <w:szCs w:val="20"/>
                <w:color w:val="auto"/>
              </w:rPr>
            </w:pPr>
            <w:r>
              <w:rPr>
                <w:rFonts w:ascii="Arial" w:cs="Arial" w:eastAsia="Arial" w:hAnsi="Arial"/>
                <w:sz w:val="18"/>
                <w:szCs w:val="18"/>
                <w:color w:val="auto"/>
              </w:rPr>
              <w:t>President, Chevron Products Company — 1998</w:t>
            </w:r>
          </w:p>
        </w:tc>
      </w:tr>
      <w:tr>
        <w:trPr>
          <w:trHeight w:val="432"/>
        </w:trPr>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40" w:type="dxa"/>
            <w:vAlign w:val="bottom"/>
          </w:tcPr>
          <w:p>
            <w:pPr>
              <w:ind w:left="2280"/>
              <w:spacing w:after="0"/>
              <w:rPr>
                <w:sz w:val="20"/>
                <w:szCs w:val="20"/>
                <w:color w:val="auto"/>
              </w:rPr>
            </w:pPr>
            <w:r>
              <w:rPr>
                <w:rFonts w:ascii="Arial" w:cs="Arial" w:eastAsia="Arial" w:hAnsi="Arial"/>
                <w:sz w:val="18"/>
                <w:szCs w:val="18"/>
                <w:b w:val="1"/>
                <w:bCs w:val="1"/>
                <w:color w:val="auto"/>
              </w:rPr>
              <w:t>PART II</w:t>
            </w:r>
          </w:p>
        </w:tc>
      </w:tr>
    </w:tbl>
    <w:p>
      <w:pPr>
        <w:spacing w:after="0" w:line="200" w:lineRule="exact"/>
        <w:rPr>
          <w:sz w:val="20"/>
          <w:szCs w:val="20"/>
          <w:color w:val="auto"/>
        </w:rPr>
      </w:pPr>
    </w:p>
    <w:p>
      <w:pPr>
        <w:spacing w:after="0" w:line="2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and Related Stockholder Matters</w:t>
      </w:r>
    </w:p>
    <w:p>
      <w:pPr>
        <w:spacing w:after="0" w:line="23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information on ChevronTexaco’s common stock market prices, dividends, principal exchanges on which the stock is traded and number of stockholders of record is contained in the Quarterly Results and Stock Market Data tabulations, on page FS-51 of this Annual Report on Form 10-K.</w:t>
      </w:r>
    </w:p>
    <w:p>
      <w:pPr>
        <w:spacing w:after="0" w:line="3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selected financial data for years 1999 through 2003 are presented on page FS-52 of this Annual Report on Form 10-K.</w:t>
      </w:r>
    </w:p>
    <w:p>
      <w:pPr>
        <w:spacing w:after="0" w:line="200" w:lineRule="exact"/>
        <w:rPr>
          <w:sz w:val="20"/>
          <w:szCs w:val="20"/>
          <w:color w:val="auto"/>
        </w:rPr>
      </w:pP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index to Management’s Discussion and Analysis, Consolidated Financial Statements and Supplementary Data is presented on page FS-1 of this Annual Report on Form 10-K.</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discussion of interest rate, foreign currency and commodity price market risk is contained in Management’s Discussion and Analysis of Financial Condition and Results of Operations — “Financial and Derivative Instruments,” beginning on page FS-15 and Note 8 to the Consolidated Financial Statements, “Financial and Derivative Instruments,” beginning on page FS-33.</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index to Management’s Discussion and Analysis, Consolidated Financial Statements and Supplementary Data is presented on page FS-1 of this Annual Report on Form 10-K.</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Auditors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52" w:lineRule="exact"/>
        <w:rPr>
          <w:sz w:val="20"/>
          <w:szCs w:val="20"/>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Evaluation of Disclosure Controls and Procedures</w:t>
      </w:r>
    </w:p>
    <w:p>
      <w:pPr>
        <w:spacing w:after="0" w:line="258" w:lineRule="exact"/>
        <w:rPr>
          <w:sz w:val="20"/>
          <w:szCs w:val="20"/>
          <w:color w:val="auto"/>
        </w:rPr>
      </w:pPr>
    </w:p>
    <w:p>
      <w:pPr>
        <w:ind w:left="360" w:firstLine="324"/>
        <w:spacing w:after="0" w:line="286" w:lineRule="auto"/>
        <w:rPr>
          <w:sz w:val="20"/>
          <w:szCs w:val="20"/>
          <w:color w:val="auto"/>
        </w:rPr>
      </w:pPr>
      <w:r>
        <w:rPr>
          <w:rFonts w:ascii="Arial" w:cs="Arial" w:eastAsia="Arial" w:hAnsi="Arial"/>
          <w:sz w:val="16"/>
          <w:szCs w:val="16"/>
          <w:color w:val="auto"/>
        </w:rPr>
        <w:t>The company maintains “disclosure controls and procedures,” as such term is defined in Rule 13a-15(e) and Rule 15d-15(e) under the Securities Exchange Act of 1934 (the “Exchange Act”), that are designed to ensure that information required to be disclosed in reports the company files or submits under the Exchange Act is recorded, processed, summarized and reported within the time periods specified in Securities and Exchange Commission rules and forms, and that such information is accumulated and communicated to management, including the company’s Chief Executive Officer and Chief Financial Officer, as appropriate, to allow timely decisions regarding required disclosure. In designing and evaluating its disclosure controls and procedures, management recognized that no matter how well conceived and operated, disclosure controls and procedures can provide only reasonable, not absolute, assurance that the objectives of the disclosure controls and procedures are met. The company’s disclosure controls and procedures have been designed to meet, and management believes that they meet, reasonable assurance standards. Based on their evaluation as of the end of the period covered by this Annual Report on Form 10-K, the Chief Executive Officer and Chief Financial Officer have concluded that, subject to the limitations noted above, the company’s disclosure controls and procedures were effective to ensure that material information relating to the company, including its consolidated subsidiaries, is made known to them by others within those entities.</w:t>
      </w:r>
    </w:p>
    <w:p>
      <w:pPr>
        <w:spacing w:after="0" w:line="202"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Changes in Internal Control Over Financial Reporting</w:t>
      </w:r>
    </w:p>
    <w:p>
      <w:pPr>
        <w:spacing w:after="0" w:line="258" w:lineRule="exact"/>
        <w:rPr>
          <w:sz w:val="20"/>
          <w:szCs w:val="20"/>
          <w:color w:val="auto"/>
        </w:rPr>
      </w:pPr>
    </w:p>
    <w:p>
      <w:pPr>
        <w:ind w:left="360" w:right="200" w:firstLine="324"/>
        <w:spacing w:after="0" w:line="268" w:lineRule="auto"/>
        <w:rPr>
          <w:sz w:val="20"/>
          <w:szCs w:val="20"/>
          <w:color w:val="auto"/>
        </w:rPr>
      </w:pPr>
      <w:r>
        <w:rPr>
          <w:rFonts w:ascii="Arial" w:cs="Arial" w:eastAsia="Arial" w:hAnsi="Arial"/>
          <w:sz w:val="18"/>
          <w:szCs w:val="18"/>
          <w:color w:val="auto"/>
        </w:rPr>
        <w:t>As of the last quarter, there were no changes in the company’s internal control over financial reporting that have materially affected, or are reasonably likely to materially affect, the company’s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information on Directors appearing under the heading “Election of Directors — Nominees For Directors” in the Notice of the 2004 Annual Meeting of Stockholders and 2004 Proxy Statement, to be filed pursuant to Rule 14a-6(b) under the Securities Exchange Act of 1934 (the “Exchange Act”), in connection with the company’s 2004 Annual Meeting of Stockholders, is incorporated by reference in this Annual Report on Form 10-K. See Executive Officers of the Registrant on pages 25 and 26 of this Annual Report on Form 10-K for information about Executive Officers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separately designated standing Audit Committee established in accordance with Section 3(a)(58)(A) of the Exchange Act. The members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are Sam Ginn (Chairperson), Franklyn G. Jenifer, Charles R. Shoemate, Thomas A. Vanderslice, and John A. Young, all of whom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 under the New York Stock Exchange Corporate Governance Rules. Of these Audit Committee members, Sam Ginn, Charles R. Shoemate,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Thomas A. Vanderslice, and John A. Young are audit committee financial experts as determined by the Board within the applicable definition of the Securities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1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information contained under the heading “Stock Ownership Information — Section 16(a) Beneficial Ownership Reporting Compliance” in the Notice of the 2004 Annual Meeting of Stockholders and 2004 Proxy Statement, to be filed pursuant to Rule 14a-6(b) under the Exchange Act, in connection with the company’s 2004 Annual Meeting of Stockholders, is incorporated by reference in this Annual Report on Form 10-K. ChevronTexaco believes all filing requirements were complied with during 2003.</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 has adopted a code of business conduct and ethics for directors, officers (including the company’s Chief Executive Officer, Chief Financial Officer and Comptroller) and employees, known as the Business Conduct and Ethics Code (the “Code”). The Code is available on the company’s Internet Web site at </w:t>
      </w:r>
      <w:r>
        <w:rPr>
          <w:rFonts w:ascii="Arial" w:cs="Arial" w:eastAsia="Arial" w:hAnsi="Arial"/>
          <w:sz w:val="18"/>
          <w:szCs w:val="18"/>
          <w:u w:val="single" w:color="auto"/>
          <w:color w:val="auto"/>
        </w:rPr>
        <w:t>http://www.chevrontexaco.com/</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appearing under the headings “Executive Compensation” and “Directors Compensation” in the Notice of the 2004 Annual Meeting of Stockholders and 2004 Proxy Statement, to be filed pursuant to Rule 14a-6(b) under the Exchange Act, in connection with the company’s 2004 Annual Meeting of Stockholders, is incorporated herein by reference in this Annual Report on Form 10-K.</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information appearing under the headings “Stock Ownership Information — Directors’ and Executive Officers’ Stock Ownership” and “Stock Ownership Information — Other Security Holders” in the Notice of the 2004 Annual Meeting of Stockholders and 2004 Proxy Statement, to be filed pursuant to Rule 14a-6(b) under the Exchange Act, in connection with the company’s 2004 Annual Meeting of Stockholders, is incorporated by reference in this Annual Report on Form 10-K.</w:t>
      </w:r>
    </w:p>
    <w:p>
      <w:pPr>
        <w:spacing w:after="0" w:line="19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information contained under the heading “Equity Compensation Plan Information” in the Notice of the 2004 Annual Meeting of Stockholders and 2004 Proxy Statement, to be filed pursuant to Rule 14a-6(b) under the Exchange Act, in connection with the company’s 2004 Annual Meeting of Stockholders, is incorporated by reference in this Annual Report on Form 10-K.</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information appearing under the heading “Board Operations — Certain Business Relationships Between ChevronTexaco and its Directors and Officers” in the Notice of the 2004 Annual Meeting of Stockholders and 2004 Proxy Statement, to be filed pursuant to Rule 14a-6(b) under the Exchange Act, in connection with the company’s 2004 Annual Meeting of Stockholders, is incorporated by reference in this Annual Report on Form 10-K.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Auditor Fees and Services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appearing under the headings “Ratification of Independent Auditors — Principal Auditor Fees and Services” and “Ratification of Independent Auditors — Pre-Approval Policies and Procedures” in the Notice of the 2004 Annual Meeting of Stockholders and 2004 Proxy Statement, to be filed pursuant to Rule 14a-6(b) under the Exchange Act, in connection with the company’s 2004 Annual Meeting of Stockholders, is incorporated by reference in this Annual Report on Form 10-K.</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800" w:type="dxa"/>
            <w:vAlign w:val="bottom"/>
          </w:tcPr>
          <w:p>
            <w:pPr>
              <w:ind w:left="3060"/>
              <w:spacing w:after="0"/>
              <w:rPr>
                <w:sz w:val="20"/>
                <w:szCs w:val="20"/>
                <w:color w:val="auto"/>
              </w:rPr>
            </w:pPr>
            <w:r>
              <w:rPr>
                <w:rFonts w:ascii="Arial" w:cs="Arial" w:eastAsia="Arial" w:hAnsi="Arial"/>
                <w:sz w:val="18"/>
                <w:szCs w:val="18"/>
                <w:b w:val="1"/>
                <w:bCs w:val="1"/>
                <w:color w:val="auto"/>
              </w:rPr>
              <w:t>PART IV</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ind w:left="1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The following documents are filed as part of this report:</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ind w:left="580"/>
              <w:spacing w:after="0"/>
              <w:rPr>
                <w:sz w:val="20"/>
                <w:szCs w:val="20"/>
                <w:color w:val="auto"/>
              </w:rPr>
            </w:pPr>
            <w:r>
              <w:rPr>
                <w:rFonts w:ascii="Arial" w:cs="Arial" w:eastAsia="Arial" w:hAnsi="Arial"/>
                <w:sz w:val="18"/>
                <w:szCs w:val="18"/>
                <w:color w:val="auto"/>
              </w:rPr>
              <w:t>(1) Financial Statements: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40" w:type="dxa"/>
            <w:vAlign w:val="bottom"/>
          </w:tcPr>
          <w:p>
            <w:pPr>
              <w:ind w:left="80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w w:val="92"/>
              </w:rPr>
              <w:t>Report of Independent Auditors — PricewaterhouseCoopers LLP</w:t>
            </w:r>
          </w:p>
        </w:tc>
        <w:tc>
          <w:tcPr>
            <w:tcW w:w="204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FS-21</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9"/>
              </w:rPr>
              <w:t>Consolidated Statement of Income for the three years ended</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December 31, 2003</w:t>
            </w:r>
          </w:p>
        </w:tc>
        <w:tc>
          <w:tcPr>
            <w:tcW w:w="2040" w:type="dxa"/>
            <w:vAlign w:val="bottom"/>
          </w:tcPr>
          <w:p>
            <w:pPr>
              <w:ind w:left="1160"/>
              <w:spacing w:after="0"/>
              <w:rPr>
                <w:sz w:val="20"/>
                <w:szCs w:val="20"/>
                <w:color w:val="auto"/>
              </w:rPr>
            </w:pPr>
            <w:r>
              <w:rPr>
                <w:rFonts w:ascii="Arial" w:cs="Arial" w:eastAsia="Arial" w:hAnsi="Arial"/>
                <w:sz w:val="18"/>
                <w:szCs w:val="18"/>
                <w:color w:val="auto"/>
              </w:rPr>
              <w:t>FS-22</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w w:val="93"/>
              </w:rPr>
              <w:t>Consolidated Statement of Comprehensive Income for the three</w:t>
            </w:r>
          </w:p>
        </w:tc>
        <w:tc>
          <w:tcPr>
            <w:tcW w:w="2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years ended December 31, 2003</w:t>
            </w:r>
          </w:p>
        </w:tc>
        <w:tc>
          <w:tcPr>
            <w:tcW w:w="204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FS-23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7"/>
              </w:rPr>
              <w:t>Consolidated Balance Sheet at December 31, 2003 and 2002</w:t>
            </w:r>
          </w:p>
        </w:tc>
        <w:tc>
          <w:tcPr>
            <w:tcW w:w="2040" w:type="dxa"/>
            <w:vAlign w:val="bottom"/>
          </w:tcPr>
          <w:p>
            <w:pPr>
              <w:ind w:left="1160"/>
              <w:spacing w:after="0"/>
              <w:rPr>
                <w:sz w:val="20"/>
                <w:szCs w:val="20"/>
                <w:color w:val="auto"/>
              </w:rPr>
            </w:pPr>
            <w:r>
              <w:rPr>
                <w:rFonts w:ascii="Arial" w:cs="Arial" w:eastAsia="Arial" w:hAnsi="Arial"/>
                <w:sz w:val="18"/>
                <w:szCs w:val="18"/>
                <w:color w:val="auto"/>
              </w:rPr>
              <w:t>FS-24</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w w:val="92"/>
              </w:rPr>
              <w:t>Consolidated Statement of Cash Flows for the three years ended</w:t>
            </w:r>
          </w:p>
        </w:tc>
        <w:tc>
          <w:tcPr>
            <w:tcW w:w="2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December 31, 2003</w:t>
            </w:r>
          </w:p>
        </w:tc>
        <w:tc>
          <w:tcPr>
            <w:tcW w:w="204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FS-25</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9"/>
              </w:rPr>
              <w:t>Consolidated Statement of Stockholders’ Equity for the three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years ended December 31, 2003</w:t>
            </w:r>
          </w:p>
        </w:tc>
        <w:tc>
          <w:tcPr>
            <w:tcW w:w="2040" w:type="dxa"/>
            <w:vAlign w:val="bottom"/>
          </w:tcPr>
          <w:p>
            <w:pPr>
              <w:ind w:left="500"/>
              <w:spacing w:after="0"/>
              <w:rPr>
                <w:sz w:val="20"/>
                <w:szCs w:val="20"/>
                <w:color w:val="auto"/>
              </w:rPr>
            </w:pPr>
            <w:r>
              <w:rPr>
                <w:rFonts w:ascii="Arial" w:cs="Arial" w:eastAsia="Arial" w:hAnsi="Arial"/>
                <w:sz w:val="18"/>
                <w:szCs w:val="18"/>
                <w:color w:val="auto"/>
              </w:rPr>
              <w:t>FS-26 to FS-27</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20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FS-28 to FS-50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920" w:hanging="615"/>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We have included on page 31 of this Annual Report on Form 10-K, Financial Statement Schedule II — Valuation and Qualifying Accounts.</w:t>
      </w:r>
    </w:p>
    <w:p>
      <w:pPr>
        <w:spacing w:after="0" w:line="275" w:lineRule="exact"/>
        <w:rPr>
          <w:rFonts w:ascii="Arial" w:cs="Arial" w:eastAsia="Arial" w:hAnsi="Arial"/>
          <w:sz w:val="18"/>
          <w:szCs w:val="18"/>
          <w:color w:val="auto"/>
        </w:rPr>
      </w:pPr>
    </w:p>
    <w:p>
      <w:pPr>
        <w:ind w:left="920" w:hanging="615"/>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The Exhibit Index on pages E-1 and E-2 of this Annual Report on Form 10-K lists the exhibits that are filed as part of this report.</w:t>
      </w:r>
    </w:p>
    <w:p>
      <w:pPr>
        <w:spacing w:after="0" w:line="269" w:lineRule="exact"/>
        <w:rPr>
          <w:rFonts w:ascii="Arial" w:cs="Arial" w:eastAsia="Arial" w:hAnsi="Arial"/>
          <w:sz w:val="18"/>
          <w:szCs w:val="18"/>
          <w:color w:val="auto"/>
        </w:rPr>
      </w:pPr>
    </w:p>
    <w:p>
      <w:pPr>
        <w:ind w:left="420" w:hanging="250"/>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Reports on Form 8-K:</w:t>
      </w:r>
    </w:p>
    <w:p>
      <w:pPr>
        <w:spacing w:after="0" w:line="231" w:lineRule="exact"/>
        <w:rPr>
          <w:rFonts w:ascii="Arial" w:cs="Arial" w:eastAsia="Arial" w:hAnsi="Arial"/>
          <w:sz w:val="18"/>
          <w:szCs w:val="18"/>
          <w:color w:val="auto"/>
        </w:rPr>
      </w:pPr>
    </w:p>
    <w:p>
      <w:pPr>
        <w:ind w:left="1040" w:hanging="451"/>
        <w:spacing w:after="0" w:line="268" w:lineRule="auto"/>
        <w:tabs>
          <w:tab w:leader="none" w:pos="10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 Current Report on Form 8-K was furnished by the company on October 31, 2003. In this report, ChevronTexaco furnished a press release announcing preliminary unaudited third quarter 2003 net income of $1.975 billion.</w:t>
      </w:r>
    </w:p>
    <w:p>
      <w:pPr>
        <w:spacing w:after="0" w:line="212" w:lineRule="exact"/>
        <w:rPr>
          <w:rFonts w:ascii="Arial" w:cs="Arial" w:eastAsia="Arial" w:hAnsi="Arial"/>
          <w:sz w:val="18"/>
          <w:szCs w:val="18"/>
          <w:color w:val="auto"/>
        </w:rPr>
      </w:pPr>
    </w:p>
    <w:p>
      <w:pPr>
        <w:ind w:left="1040" w:hanging="451"/>
        <w:spacing w:after="0" w:line="332" w:lineRule="auto"/>
        <w:tabs>
          <w:tab w:leader="none" w:pos="104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 Current Report on Form 8-K was furnished by the company on January 30, 2004. In this report, ChevronTexaco furnished a press release announcing preliminary unaudited net income of $1.7 billion for the fourth quarter 2003 and $7.2 billion for the year.</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7"/>
          </w:tcPr>
          <w:p>
            <w:pPr>
              <w:ind w:left="6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Employee Termination Benefits:</w:t>
            </w: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Additions charged to expense</w:t>
            </w: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December 31</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336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665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Merger-Related Expenses:</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vMerge w:val="continue"/>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(Deductions) additions (credited) charged to expense</w:t>
            </w:r>
          </w:p>
        </w:tc>
        <w:tc>
          <w:tcPr>
            <w:tcW w:w="2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Payments</w:t>
            </w: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Additions charged to expense</w:t>
            </w: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Bad debt write-offs</w:t>
            </w:r>
          </w:p>
        </w:tc>
        <w:tc>
          <w:tcPr>
            <w:tcW w:w="2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at December 31</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225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183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Income Tax Valuation Allowance:*</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vMerge w:val="continue"/>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1,740</w:t>
            </w:r>
          </w:p>
        </w:tc>
        <w:tc>
          <w:tcPr>
            <w:tcW w:w="10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1,512</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1,574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Additions charged to deferred income tax expense</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Deductions credited to deferred income tax expense</w:t>
            </w: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9"/>
              </w:rPr>
              <w:t>(562)</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(548)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(401)</w:t>
            </w: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1,553</w:t>
            </w:r>
          </w:p>
        </w:tc>
        <w:tc>
          <w:tcPr>
            <w:tcW w:w="10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1,740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79"/>
              </w:rPr>
              <w:t>1,512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860" w:right="5240" w:hanging="137"/>
        <w:spacing w:after="0" w:line="268" w:lineRule="auto"/>
        <w:tabs>
          <w:tab w:leader="none" w:pos="18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also Note 16 to the Consolidated Financial Statements on pages FS-40 and FS-41.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-287655</wp:posOffset>
            </wp:positionV>
            <wp:extent cx="506857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8570" cy="41148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gridSpan w:val="2"/>
          </w:tcPr>
          <w:p>
            <w:pPr>
              <w:ind w:left="1720"/>
              <w:spacing w:after="0"/>
              <w:rPr>
                <w:sz w:val="20"/>
                <w:szCs w:val="20"/>
                <w:color w:val="auto"/>
              </w:rPr>
            </w:pPr>
            <w:r>
              <w:rPr>
                <w:rFonts w:ascii="Arial" w:cs="Arial" w:eastAsia="Arial" w:hAnsi="Arial"/>
                <w:sz w:val="18"/>
                <w:szCs w:val="18"/>
                <w:b w:val="1"/>
                <w:bCs w:val="1"/>
                <w:color w:val="auto"/>
              </w:rPr>
              <w:t>Inventory Valuation Allowance:</w:t>
            </w:r>
          </w:p>
        </w:tc>
        <w:tc>
          <w:tcPr>
            <w:tcW w:w="2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Balance at January 1</w:t>
            </w:r>
          </w:p>
        </w:tc>
        <w:tc>
          <w:tcPr>
            <w:tcW w:w="2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8"/>
              </w:rPr>
              <w:t>—</w:t>
            </w: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ind w:left="200"/>
              <w:spacing w:after="0"/>
              <w:rPr>
                <w:sz w:val="20"/>
                <w:szCs w:val="20"/>
                <w:color w:val="auto"/>
              </w:rPr>
            </w:pPr>
            <w:r>
              <w:rPr>
                <w:rFonts w:ascii="Arial" w:cs="Arial" w:eastAsia="Arial" w:hAnsi="Arial"/>
                <w:sz w:val="18"/>
                <w:szCs w:val="18"/>
                <w:color w:val="auto"/>
                <w:w w:val="88"/>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Additions</w:t>
            </w:r>
          </w:p>
        </w:tc>
        <w:tc>
          <w:tcPr>
            <w:tcW w:w="206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Deductions</w:t>
            </w:r>
          </w:p>
        </w:tc>
        <w:tc>
          <w:tcPr>
            <w:tcW w:w="2060" w:type="dxa"/>
            <w:vAlign w:val="bottom"/>
            <w:shd w:val="clear" w:color="auto" w:fill="EEEEEE"/>
          </w:tcPr>
          <w:p>
            <w:pPr>
              <w:spacing w:after="0"/>
              <w:rPr>
                <w:sz w:val="18"/>
                <w:szCs w:val="18"/>
                <w:color w:val="auto"/>
              </w:rPr>
            </w:pPr>
          </w:p>
        </w:tc>
        <w:tc>
          <w:tcPr>
            <w:tcW w:w="40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8"/>
              </w:rPr>
              <w:t>—</w:t>
            </w:r>
          </w:p>
        </w:tc>
        <w:tc>
          <w:tcPr>
            <w:tcW w:w="6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ind w:left="200"/>
              <w:spacing w:after="0"/>
              <w:rPr>
                <w:sz w:val="20"/>
                <w:szCs w:val="20"/>
                <w:color w:val="auto"/>
              </w:rPr>
            </w:pPr>
            <w:r>
              <w:rPr>
                <w:rFonts w:ascii="Arial" w:cs="Arial" w:eastAsia="Arial" w:hAnsi="Arial"/>
                <w:sz w:val="18"/>
                <w:szCs w:val="18"/>
                <w:color w:val="auto"/>
                <w:w w:val="88"/>
              </w:rPr>
              <w:t>—</w:t>
            </w:r>
          </w:p>
        </w:tc>
        <w:tc>
          <w:tcPr>
            <w:tcW w:w="7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80" w:type="dxa"/>
            <w:vAlign w:val="bottom"/>
            <w:gridSpan w:val="2"/>
          </w:tcPr>
          <w:p>
            <w:pPr>
              <w:spacing w:after="0"/>
              <w:rPr>
                <w:sz w:val="9"/>
                <w:szCs w:val="9"/>
                <w:color w:val="auto"/>
              </w:rPr>
            </w:pPr>
          </w:p>
        </w:tc>
        <w:tc>
          <w:tcPr>
            <w:tcW w:w="20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80" w:type="dxa"/>
            <w:vAlign w:val="bottom"/>
            <w:gridSpan w:val="2"/>
          </w:tcPr>
          <w:p>
            <w:pPr>
              <w:ind w:left="1720"/>
              <w:spacing w:after="0"/>
              <w:rPr>
                <w:sz w:val="20"/>
                <w:szCs w:val="20"/>
                <w:color w:val="auto"/>
              </w:rPr>
            </w:pPr>
            <w:r>
              <w:rPr>
                <w:rFonts w:ascii="Arial" w:cs="Arial" w:eastAsia="Arial" w:hAnsi="Arial"/>
                <w:sz w:val="18"/>
                <w:szCs w:val="18"/>
                <w:b w:val="1"/>
                <w:bCs w:val="1"/>
                <w:color w:val="auto"/>
              </w:rPr>
              <w:t>Balance at December 31</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2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ind w:left="200"/>
              <w:spacing w:after="0"/>
              <w:rPr>
                <w:sz w:val="20"/>
                <w:szCs w:val="20"/>
                <w:color w:val="auto"/>
              </w:rPr>
            </w:pPr>
            <w:r>
              <w:rPr>
                <w:rFonts w:ascii="Arial" w:cs="Arial" w:eastAsia="Arial" w:hAnsi="Arial"/>
                <w:sz w:val="18"/>
                <w:szCs w:val="18"/>
                <w:b w:val="1"/>
                <w:bCs w:val="1"/>
                <w:color w:val="auto"/>
                <w:w w:val="88"/>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60" w:type="dxa"/>
            <w:vAlign w:val="bottom"/>
            <w:vMerge w:val="restart"/>
          </w:tcPr>
          <w:p>
            <w:pPr>
              <w:jc w:val="right"/>
              <w:ind w:right="1052"/>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9th day of March, 2004.</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ChevronTexaco Corporation</w:t>
      </w:r>
    </w:p>
    <w:p>
      <w:pPr>
        <w:spacing w:after="0" w:line="25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 DAVID J.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J. O’Reilly, Chairman of the Board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and Chief Executive Officer</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9th day of March, 2004.</w:t>
      </w:r>
    </w:p>
    <w:p>
      <w:pPr>
        <w:sectPr>
          <w:pgSz w:w="11900" w:h="16838" w:orient="portrait"/>
          <w:cols w:equalWidth="0" w:num="1">
            <w:col w:w="11260"/>
          </w:cols>
          <w:pgMar w:left="240" w:top="419" w:right="399" w:bottom="886" w:gutter="0" w:footer="0" w:header="0"/>
        </w:sectPr>
      </w:pPr>
    </w:p>
    <w:p>
      <w:pPr>
        <w:spacing w:after="0" w:line="396"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Principal Executive Officers (and Directors)</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DAVID J.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David J. O’Reilly, Chairman of the Board</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and Chief Executive Officer</w:t>
      </w:r>
    </w:p>
    <w:p>
      <w:pPr>
        <w:spacing w:after="0" w:line="21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PETER J.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Peter J. Robertson, Vice Chairman of the Board</w:t>
      </w:r>
    </w:p>
    <w:p>
      <w:pPr>
        <w:spacing w:after="0" w:line="21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Principal Financial Officer</w:t>
      </w:r>
    </w:p>
    <w:p>
      <w:pPr>
        <w:spacing w:after="0" w:line="23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JOHN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right="1160"/>
        <w:spacing w:after="0"/>
        <w:rPr>
          <w:sz w:val="20"/>
          <w:szCs w:val="20"/>
          <w:color w:val="auto"/>
        </w:rPr>
      </w:pPr>
      <w:r>
        <w:rPr>
          <w:rFonts w:ascii="Arial" w:cs="Arial" w:eastAsia="Arial" w:hAnsi="Arial"/>
          <w:sz w:val="15"/>
          <w:szCs w:val="15"/>
          <w:color w:val="auto"/>
        </w:rPr>
        <w:t>John S. Watson, Vice President, Finance and Chief Financial Officer</w:t>
      </w:r>
    </w:p>
    <w:p>
      <w:pPr>
        <w:spacing w:after="0" w:line="254"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Principal Accounting Officer</w:t>
      </w:r>
    </w:p>
    <w:p>
      <w:pPr>
        <w:spacing w:after="0" w:line="23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STEPHEN J.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Stephen J. Crowe, Vice President and Comptroller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LYDIA I.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Lydia I. Beebe, Attorney-in-Fact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Directors</w:t>
      </w:r>
    </w:p>
    <w:p>
      <w:pPr>
        <w:spacing w:after="0" w:line="21"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SAMUEL H. ARMACOST*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67310</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Samuel H. Armacost</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ROBERT J.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Robert J. Eaton</w:t>
      </w:r>
    </w:p>
    <w:p>
      <w:pPr>
        <w:spacing w:after="0" w:line="1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SAM 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67310</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2"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Sam Ginn</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CARLA A.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Carla A. Hills</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FRANKLYN G. JENIFER*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Franklyn G. Jenifer</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J. BENNETT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J. Bennett Johnston</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SAM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Sam Nunn</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CHARLES R. SHOEMATE*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Charles R. Shoemate</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FRANK A. SHRONTZ*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Frank A. Shrontz</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THOMAS A. VANDERSLICE*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85725</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1"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Thomas A. Vanderslice</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CARL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Carl Ware</w:t>
      </w:r>
    </w:p>
    <w:p>
      <w:pPr>
        <w:spacing w:after="0" w:line="225"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71120</wp:posOffset>
            </wp:positionV>
            <wp:extent cx="3404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John A. Young</w:t>
      </w:r>
    </w:p>
    <w:p>
      <w:pPr>
        <w:spacing w:after="0" w:line="821" w:lineRule="exact"/>
        <w:rPr>
          <w:sz w:val="20"/>
          <w:szCs w:val="20"/>
          <w:color w:val="auto"/>
        </w:rPr>
      </w:pPr>
    </w:p>
    <w:p>
      <w:pPr>
        <w:sectPr>
          <w:pgSz w:w="11900" w:h="16838" w:orient="portrait"/>
          <w:cols w:equalWidth="0" w:num="2">
            <w:col w:w="6880" w:space="720"/>
            <w:col w:w="3660"/>
          </w:cols>
          <w:pgMar w:left="240" w:top="419" w:right="399" w:bottom="886" w:gutter="0" w:footer="0" w:header="0"/>
          <w:type w:val="continuous"/>
        </w:sectPr>
      </w:pP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886"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5100"/>
        <w:spacing w:after="0" w:line="347" w:lineRule="auto"/>
        <w:rPr>
          <w:sz w:val="20"/>
          <w:szCs w:val="20"/>
          <w:color w:val="auto"/>
        </w:rPr>
      </w:pPr>
      <w:r>
        <w:rPr>
          <w:rFonts w:ascii="Arial" w:cs="Arial" w:eastAsia="Arial" w:hAnsi="Arial"/>
          <w:sz w:val="22"/>
          <w:szCs w:val="22"/>
          <w:color w:val="0070FF"/>
        </w:rPr>
        <w:t>Index to Management’s Discussion and Analysis, Consolidated Financial Statement and Supplementary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3380" w:type="dxa"/>
            <w:vAlign w:val="bottom"/>
          </w:tcPr>
          <w:p>
            <w:pPr>
              <w:ind w:left="2500"/>
              <w:spacing w:after="0"/>
              <w:rPr>
                <w:sz w:val="20"/>
                <w:szCs w:val="20"/>
                <w:color w:val="auto"/>
              </w:rPr>
            </w:pPr>
            <w:r>
              <w:rPr>
                <w:rFonts w:ascii="Arial" w:cs="Arial" w:eastAsia="Arial" w:hAnsi="Arial"/>
                <w:sz w:val="14"/>
                <w:szCs w:val="14"/>
                <w:color w:val="auto"/>
                <w:w w:val="97"/>
              </w:rPr>
              <w:t>FS-2 to FS-20</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Report of Management</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FS-21</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Report of Independent Auditors</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FS-21</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Consolidated Statement of Income</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FS-22</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Consolidated Statement of Comprehensive Income</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FS-23</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Consolidated Balance Sheet</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FS-24</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Consolidated Statement of Cash Flows</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FS-25</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Consolidated Statement of Stockholders’ Equity</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w w:val="89"/>
              </w:rPr>
              <w:t>FS-26 to FS-27</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Notes to Consolidated Financial Statements</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w w:val="89"/>
              </w:rPr>
              <w:t>FS-28 to FS-50</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Quarterly Results and Stock Market Data</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FS-51</w:t>
            </w: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color w:val="auto"/>
              </w:rPr>
              <w:t>Five-Year Financial Summary</w:t>
            </w:r>
          </w:p>
        </w:tc>
        <w:tc>
          <w:tcPr>
            <w:tcW w:w="3380" w:type="dxa"/>
            <w:vAlign w:val="bottom"/>
          </w:tcPr>
          <w:p>
            <w:pPr>
              <w:ind w:left="2500"/>
              <w:spacing w:after="0" w:line="149" w:lineRule="exact"/>
              <w:rPr>
                <w:sz w:val="20"/>
                <w:szCs w:val="20"/>
                <w:color w:val="auto"/>
              </w:rPr>
            </w:pPr>
            <w:r>
              <w:rPr>
                <w:rFonts w:ascii="Arial" w:cs="Arial" w:eastAsia="Arial" w:hAnsi="Arial"/>
                <w:sz w:val="14"/>
                <w:szCs w:val="14"/>
                <w:color w:val="auto"/>
              </w:rPr>
              <w:t>FS-52</w:t>
            </w:r>
          </w:p>
        </w:tc>
      </w:tr>
      <w:tr>
        <w:trPr>
          <w:trHeight w:val="182"/>
        </w:trPr>
        <w:tc>
          <w:tcPr>
            <w:tcW w:w="7680" w:type="dxa"/>
            <w:vAlign w:val="bottom"/>
          </w:tcPr>
          <w:p>
            <w:pPr>
              <w:spacing w:after="0"/>
              <w:rPr>
                <w:sz w:val="20"/>
                <w:szCs w:val="20"/>
                <w:color w:val="auto"/>
              </w:rPr>
            </w:pPr>
            <w:r>
              <w:rPr>
                <w:rFonts w:ascii="Arial" w:cs="Arial" w:eastAsia="Arial" w:hAnsi="Arial"/>
                <w:sz w:val="14"/>
                <w:szCs w:val="14"/>
                <w:color w:val="auto"/>
              </w:rPr>
              <w:t>Supplemental Information on Oil and Gas Producing Activities</w:t>
            </w:r>
          </w:p>
        </w:tc>
        <w:tc>
          <w:tcPr>
            <w:tcW w:w="3380" w:type="dxa"/>
            <w:vAlign w:val="bottom"/>
          </w:tcPr>
          <w:p>
            <w:pPr>
              <w:ind w:left="2500"/>
              <w:spacing w:after="0"/>
              <w:rPr>
                <w:sz w:val="20"/>
                <w:szCs w:val="20"/>
                <w:color w:val="auto"/>
              </w:rPr>
            </w:pPr>
            <w:r>
              <w:rPr>
                <w:rFonts w:ascii="Arial" w:cs="Arial" w:eastAsia="Arial" w:hAnsi="Arial"/>
                <w:sz w:val="14"/>
                <w:szCs w:val="14"/>
                <w:color w:val="auto"/>
                <w:w w:val="89"/>
              </w:rPr>
              <w:t>FS-52 to FS-59</w:t>
            </w:r>
          </w:p>
        </w:tc>
      </w:tr>
    </w:tbl>
    <w:p>
      <w:pPr>
        <w:spacing w:after="0" w:line="138"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13"/>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387985</wp:posOffset>
            </wp:positionV>
            <wp:extent cx="8890" cy="6148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6148705"/>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KEY FINANCIAL RESULTS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Borders>
              <w:bottom w:val="single" w:sz="8" w:color="0070FF"/>
            </w:tcBorders>
            <w:gridSpan w:val="2"/>
          </w:tcPr>
          <w:p>
            <w:pPr>
              <w:ind w:left="20"/>
              <w:spacing w:after="0"/>
              <w:rPr>
                <w:sz w:val="20"/>
                <w:szCs w:val="20"/>
                <w:color w:val="auto"/>
              </w:rPr>
            </w:pPr>
            <w:r>
              <w:rPr>
                <w:rFonts w:ascii="Arial" w:cs="Arial" w:eastAsia="Arial" w:hAnsi="Arial"/>
                <w:sz w:val="14"/>
                <w:szCs w:val="14"/>
                <w:color w:val="auto"/>
                <w:w w:val="95"/>
              </w:rPr>
              <w:t>Millions of dollars, except per-share amounts</w:t>
            </w:r>
          </w:p>
        </w:tc>
        <w:tc>
          <w:tcPr>
            <w:tcW w:w="34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2002</w:t>
            </w:r>
          </w:p>
        </w:tc>
        <w:tc>
          <w:tcPr>
            <w:tcW w:w="22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1000" w:type="dxa"/>
            <w:vAlign w:val="bottom"/>
          </w:tcPr>
          <w:p>
            <w:pPr>
              <w:ind w:left="20"/>
              <w:spacing w:after="0" w:line="137" w:lineRule="exact"/>
              <w:rPr>
                <w:sz w:val="20"/>
                <w:szCs w:val="20"/>
                <w:color w:val="auto"/>
              </w:rPr>
            </w:pPr>
            <w:r>
              <w:rPr>
                <w:rFonts w:ascii="Arial" w:cs="Arial" w:eastAsia="Arial" w:hAnsi="Arial"/>
                <w:sz w:val="14"/>
                <w:szCs w:val="14"/>
                <w:color w:val="auto"/>
              </w:rPr>
              <w:t>Net Income</w:t>
            </w:r>
          </w:p>
        </w:tc>
        <w:tc>
          <w:tcPr>
            <w:tcW w:w="1700" w:type="dxa"/>
            <w:vAlign w:val="bottom"/>
          </w:tcPr>
          <w:p>
            <w:pPr>
              <w:spacing w:after="0"/>
              <w:rPr>
                <w:sz w:val="11"/>
                <w:szCs w:val="11"/>
                <w:color w:val="auto"/>
              </w:rPr>
            </w:pPr>
          </w:p>
        </w:tc>
        <w:tc>
          <w:tcPr>
            <w:tcW w:w="34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69"/>
              <w:spacing w:after="0" w:line="137" w:lineRule="exact"/>
              <w:rPr>
                <w:sz w:val="20"/>
                <w:szCs w:val="20"/>
                <w:color w:val="auto"/>
              </w:rPr>
            </w:pPr>
            <w:r>
              <w:rPr>
                <w:rFonts w:ascii="Arial" w:cs="Arial" w:eastAsia="Arial" w:hAnsi="Arial"/>
                <w:sz w:val="14"/>
                <w:szCs w:val="14"/>
                <w:b w:val="1"/>
                <w:bCs w:val="1"/>
                <w:color w:val="auto"/>
              </w:rPr>
              <w:t>7,230</w:t>
            </w:r>
          </w:p>
        </w:tc>
        <w:tc>
          <w:tcPr>
            <w:tcW w:w="20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9"/>
              <w:spacing w:after="0" w:line="137" w:lineRule="exact"/>
              <w:rPr>
                <w:sz w:val="20"/>
                <w:szCs w:val="20"/>
                <w:color w:val="auto"/>
              </w:rPr>
            </w:pPr>
            <w:r>
              <w:rPr>
                <w:rFonts w:ascii="Arial" w:cs="Arial" w:eastAsia="Arial" w:hAnsi="Arial"/>
                <w:sz w:val="14"/>
                <w:szCs w:val="14"/>
                <w:color w:val="auto"/>
              </w:rPr>
              <w:t>1,132</w:t>
            </w:r>
          </w:p>
        </w:tc>
        <w:tc>
          <w:tcPr>
            <w:tcW w:w="22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line="137" w:lineRule="exact"/>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Per Share:</w:t>
            </w:r>
          </w:p>
        </w:tc>
        <w:tc>
          <w:tcPr>
            <w:tcW w:w="17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6.97</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00" w:type="dxa"/>
            <w:vAlign w:val="bottom"/>
          </w:tcPr>
          <w:p>
            <w:pPr>
              <w:ind w:left="140"/>
              <w:spacing w:after="0" w:line="145" w:lineRule="exact"/>
              <w:rPr>
                <w:sz w:val="20"/>
                <w:szCs w:val="20"/>
                <w:color w:val="auto"/>
              </w:rPr>
            </w:pPr>
            <w:r>
              <w:rPr>
                <w:rFonts w:ascii="Arial" w:cs="Arial" w:eastAsia="Arial" w:hAnsi="Arial"/>
                <w:sz w:val="14"/>
                <w:szCs w:val="14"/>
                <w:color w:val="auto"/>
              </w:rPr>
              <w:t>Net Income</w:t>
            </w:r>
          </w:p>
        </w:tc>
        <w:tc>
          <w:tcPr>
            <w:tcW w:w="1700" w:type="dxa"/>
            <w:vAlign w:val="bottom"/>
          </w:tcPr>
          <w:p>
            <w:pPr>
              <w:ind w:left="60"/>
              <w:spacing w:after="0" w:line="145" w:lineRule="exact"/>
              <w:rPr>
                <w:sz w:val="20"/>
                <w:szCs w:val="20"/>
                <w:color w:val="auto"/>
              </w:rPr>
            </w:pPr>
            <w:r>
              <w:rPr>
                <w:rFonts w:ascii="Arial" w:cs="Arial" w:eastAsia="Arial" w:hAnsi="Arial"/>
                <w:sz w:val="14"/>
                <w:szCs w:val="14"/>
                <w:color w:val="auto"/>
              </w:rPr>
              <w:t>– Basic</w:t>
            </w:r>
          </w:p>
        </w:tc>
        <w:tc>
          <w:tcPr>
            <w:tcW w:w="3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1.07</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line="145"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 Diluted</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6.96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1.07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53"/>
        </w:trPr>
        <w:tc>
          <w:tcPr>
            <w:tcW w:w="1000" w:type="dxa"/>
            <w:vAlign w:val="bottom"/>
          </w:tcPr>
          <w:p>
            <w:pPr>
              <w:ind w:left="140"/>
              <w:spacing w:after="0" w:line="153" w:lineRule="exact"/>
              <w:rPr>
                <w:sz w:val="20"/>
                <w:szCs w:val="20"/>
                <w:color w:val="auto"/>
              </w:rPr>
            </w:pPr>
            <w:r>
              <w:rPr>
                <w:rFonts w:ascii="Arial" w:cs="Arial" w:eastAsia="Arial" w:hAnsi="Arial"/>
                <w:sz w:val="14"/>
                <w:szCs w:val="14"/>
                <w:color w:val="auto"/>
              </w:rPr>
              <w:t>Dividends*</w:t>
            </w:r>
          </w:p>
        </w:tc>
        <w:tc>
          <w:tcPr>
            <w:tcW w:w="1700" w:type="dxa"/>
            <w:vAlign w:val="bottom"/>
          </w:tcPr>
          <w:p>
            <w:pPr>
              <w:spacing w:after="0"/>
              <w:rPr>
                <w:sz w:val="13"/>
                <w:szCs w:val="13"/>
                <w:color w:val="auto"/>
              </w:rPr>
            </w:pPr>
          </w:p>
        </w:tc>
        <w:tc>
          <w:tcPr>
            <w:tcW w:w="3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69"/>
              <w:spacing w:after="0" w:line="153" w:lineRule="exact"/>
              <w:rPr>
                <w:sz w:val="20"/>
                <w:szCs w:val="20"/>
                <w:color w:val="auto"/>
              </w:rPr>
            </w:pPr>
            <w:r>
              <w:rPr>
                <w:rFonts w:ascii="Arial" w:cs="Arial" w:eastAsia="Arial" w:hAnsi="Arial"/>
                <w:sz w:val="14"/>
                <w:szCs w:val="14"/>
                <w:b w:val="1"/>
                <w:bCs w:val="1"/>
                <w:color w:val="auto"/>
              </w:rPr>
              <w:t>2.86</w:t>
            </w:r>
          </w:p>
        </w:tc>
        <w:tc>
          <w:tcPr>
            <w:tcW w:w="2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2.80</w:t>
            </w:r>
          </w:p>
        </w:tc>
        <w:tc>
          <w:tcPr>
            <w:tcW w:w="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line="153"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Arial" w:cs="Arial" w:eastAsia="Arial" w:hAnsi="Arial"/>
                <w:sz w:val="14"/>
                <w:szCs w:val="14"/>
                <w:color w:val="auto"/>
                <w:w w:val="94"/>
              </w:rPr>
              <w:t>Sales and Other</w:t>
            </w:r>
          </w:p>
        </w:tc>
        <w:tc>
          <w:tcPr>
            <w:tcW w:w="17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4"/>
              </w:rPr>
              <w:t>120,032</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Operating Revenues</w:t>
            </w:r>
          </w:p>
        </w:tc>
        <w:tc>
          <w:tcPr>
            <w:tcW w:w="3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9"/>
              <w:spacing w:after="0" w:line="149" w:lineRule="exact"/>
              <w:rPr>
                <w:sz w:val="20"/>
                <w:szCs w:val="20"/>
                <w:color w:val="auto"/>
              </w:rPr>
            </w:pPr>
            <w:r>
              <w:rPr>
                <w:rFonts w:ascii="Arial" w:cs="Arial" w:eastAsia="Arial" w:hAnsi="Arial"/>
                <w:sz w:val="14"/>
                <w:szCs w:val="14"/>
                <w:color w:val="auto"/>
                <w:w w:val="93"/>
              </w:rPr>
              <w:t>98,691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line="149" w:lineRule="exact"/>
              <w:rPr>
                <w:sz w:val="20"/>
                <w:szCs w:val="20"/>
                <w:color w:val="auto"/>
              </w:rPr>
            </w:pPr>
            <w:r>
              <w:rPr>
                <w:rFonts w:ascii="Arial" w:cs="Arial" w:eastAsia="Arial" w:hAnsi="Arial"/>
                <w:sz w:val="14"/>
                <w:szCs w:val="14"/>
                <w:color w:val="auto"/>
                <w:w w:val="94"/>
              </w:rPr>
              <w:t>104,409</w:t>
            </w:r>
          </w:p>
        </w:tc>
        <w:tc>
          <w:tcPr>
            <w:tcW w:w="0" w:type="dxa"/>
            <w:vAlign w:val="bottom"/>
          </w:tcPr>
          <w:p>
            <w:pPr>
              <w:spacing w:after="0"/>
              <w:rPr>
                <w:sz w:val="1"/>
                <w:szCs w:val="1"/>
                <w:color w:val="auto"/>
              </w:rPr>
            </w:pPr>
          </w:p>
        </w:tc>
      </w:tr>
      <w:tr>
        <w:trPr>
          <w:trHeight w:val="149"/>
        </w:trPr>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Return on:</w:t>
            </w: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15.7%</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70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Average Capital Employed</w:t>
            </w:r>
          </w:p>
        </w:tc>
        <w:tc>
          <w:tcPr>
            <w:tcW w:w="3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9"/>
              <w:spacing w:after="0" w:line="145"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0070FF"/>
            </w:tcBorders>
            <w:gridSpan w:val="2"/>
          </w:tcPr>
          <w:p>
            <w:pPr>
              <w:ind w:left="140"/>
              <w:spacing w:after="0"/>
              <w:rPr>
                <w:sz w:val="20"/>
                <w:szCs w:val="20"/>
                <w:color w:val="auto"/>
              </w:rPr>
            </w:pPr>
            <w:r>
              <w:rPr>
                <w:rFonts w:ascii="Arial" w:cs="Arial" w:eastAsia="Arial" w:hAnsi="Arial"/>
                <w:sz w:val="14"/>
                <w:szCs w:val="14"/>
                <w:color w:val="auto"/>
              </w:rPr>
              <w:t>Average Stockholders’ Equity</w:t>
            </w:r>
          </w:p>
        </w:tc>
        <w:tc>
          <w:tcPr>
            <w:tcW w:w="340" w:type="dxa"/>
            <w:vAlign w:val="bottom"/>
            <w:tcBorders>
              <w:bottom w:val="single" w:sz="8" w:color="0070FF"/>
            </w:tcBorders>
          </w:tcPr>
          <w:p>
            <w:pPr>
              <w:spacing w:after="0"/>
              <w:rPr>
                <w:sz w:val="16"/>
                <w:szCs w:val="16"/>
                <w:color w:val="auto"/>
              </w:rPr>
            </w:pPr>
          </w:p>
        </w:tc>
        <w:tc>
          <w:tcPr>
            <w:tcW w:w="74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b w:val="1"/>
                <w:bCs w:val="1"/>
                <w:color w:val="auto"/>
              </w:rPr>
              <w:t>21.3%</w:t>
            </w:r>
          </w:p>
        </w:tc>
        <w:tc>
          <w:tcPr>
            <w:tcW w:w="200" w:type="dxa"/>
            <w:vAlign w:val="bottom"/>
            <w:tcBorders>
              <w:bottom w:val="single" w:sz="8" w:color="0070FF"/>
            </w:tcBorders>
          </w:tcPr>
          <w:p>
            <w:pPr>
              <w:spacing w:after="0"/>
              <w:rPr>
                <w:sz w:val="16"/>
                <w:szCs w:val="16"/>
                <w:color w:val="auto"/>
              </w:rPr>
            </w:pPr>
          </w:p>
        </w:tc>
        <w:tc>
          <w:tcPr>
            <w:tcW w:w="64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3.5%</w:t>
            </w:r>
          </w:p>
        </w:tc>
        <w:tc>
          <w:tcPr>
            <w:tcW w:w="220" w:type="dxa"/>
            <w:vAlign w:val="bottom"/>
            <w:tcBorders>
              <w:bottom w:val="single" w:sz="8" w:color="0070FF"/>
            </w:tcBorders>
          </w:tcPr>
          <w:p>
            <w:pPr>
              <w:spacing w:after="0"/>
              <w:rPr>
                <w:sz w:val="16"/>
                <w:szCs w:val="16"/>
                <w:color w:val="auto"/>
              </w:rPr>
            </w:pP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*Chevron Corporation dividend pre-merger.</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0070FF"/>
        </w:rPr>
        <w:t>INCOME (LOSS) BY MAJOR OPERATING AREA BEFORE CHANGES IN ACCOUNTING PRINCIPLES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Millions of dollars</w:t>
            </w:r>
          </w:p>
        </w:tc>
        <w:tc>
          <w:tcPr>
            <w:tcW w:w="4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2002</w:t>
            </w: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560" w:type="dxa"/>
            <w:vAlign w:val="bottom"/>
          </w:tcPr>
          <w:p>
            <w:pPr>
              <w:ind w:left="20"/>
              <w:spacing w:after="0" w:line="137" w:lineRule="exact"/>
              <w:rPr>
                <w:sz w:val="20"/>
                <w:szCs w:val="20"/>
                <w:color w:val="auto"/>
              </w:rPr>
            </w:pPr>
            <w:r>
              <w:rPr>
                <w:rFonts w:ascii="Arial" w:cs="Arial" w:eastAsia="Arial" w:hAnsi="Arial"/>
                <w:sz w:val="14"/>
                <w:szCs w:val="14"/>
                <w:color w:val="auto"/>
              </w:rPr>
              <w:t>Exploration and Production</w:t>
            </w:r>
          </w:p>
        </w:tc>
        <w:tc>
          <w:tcPr>
            <w:tcW w:w="4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3,183</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560" w:type="dxa"/>
            <w:vAlign w:val="bottom"/>
          </w:tcPr>
          <w:p>
            <w:pPr>
              <w:ind w:left="140"/>
              <w:spacing w:after="0" w:line="145" w:lineRule="exact"/>
              <w:rPr>
                <w:sz w:val="20"/>
                <w:szCs w:val="20"/>
                <w:color w:val="auto"/>
              </w:rPr>
            </w:pPr>
            <w:r>
              <w:rPr>
                <w:rFonts w:ascii="Arial" w:cs="Arial" w:eastAsia="Arial" w:hAnsi="Arial"/>
                <w:sz w:val="14"/>
                <w:szCs w:val="14"/>
                <w:color w:val="auto"/>
              </w:rPr>
              <w:t>United States</w:t>
            </w:r>
          </w:p>
        </w:tc>
        <w:tc>
          <w:tcPr>
            <w:tcW w:w="4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line="145" w:lineRule="exact"/>
              <w:rPr>
                <w:sz w:val="20"/>
                <w:szCs w:val="20"/>
                <w:color w:val="auto"/>
              </w:rPr>
            </w:pPr>
            <w:r>
              <w:rPr>
                <w:rFonts w:ascii="Arial" w:cs="Arial" w:eastAsia="Arial" w:hAnsi="Arial"/>
                <w:sz w:val="14"/>
                <w:szCs w:val="14"/>
                <w:color w:val="auto"/>
              </w:rPr>
              <w:t>1,717</w:t>
            </w:r>
          </w:p>
        </w:tc>
        <w:tc>
          <w:tcPr>
            <w:tcW w:w="3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line="145" w:lineRule="exact"/>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International</w:t>
            </w:r>
          </w:p>
        </w:tc>
        <w:tc>
          <w:tcPr>
            <w:tcW w:w="4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b w:val="1"/>
                <w:bCs w:val="1"/>
                <w:color w:val="auto"/>
              </w:rPr>
              <w:t>3,220</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2,839</w:t>
            </w: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156"/>
        </w:trPr>
        <w:tc>
          <w:tcPr>
            <w:tcW w:w="25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Exploration and Production</w:t>
            </w:r>
          </w:p>
        </w:tc>
        <w:tc>
          <w:tcPr>
            <w:tcW w:w="42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129"/>
              <w:spacing w:after="0" w:line="155" w:lineRule="exact"/>
              <w:rPr>
                <w:sz w:val="20"/>
                <w:szCs w:val="20"/>
                <w:color w:val="auto"/>
              </w:rPr>
            </w:pPr>
            <w:r>
              <w:rPr>
                <w:rFonts w:ascii="Arial" w:cs="Arial" w:eastAsia="Arial" w:hAnsi="Arial"/>
                <w:sz w:val="14"/>
                <w:szCs w:val="14"/>
                <w:b w:val="1"/>
                <w:bCs w:val="1"/>
                <w:color w:val="auto"/>
              </w:rPr>
              <w:t>6,403</w:t>
            </w:r>
          </w:p>
        </w:tc>
        <w:tc>
          <w:tcPr>
            <w:tcW w:w="32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129"/>
              <w:spacing w:after="0" w:line="155" w:lineRule="exact"/>
              <w:rPr>
                <w:sz w:val="20"/>
                <w:szCs w:val="20"/>
                <w:color w:val="auto"/>
              </w:rPr>
            </w:pPr>
            <w:r>
              <w:rPr>
                <w:rFonts w:ascii="Arial" w:cs="Arial" w:eastAsia="Arial" w:hAnsi="Arial"/>
                <w:sz w:val="14"/>
                <w:szCs w:val="14"/>
                <w:color w:val="auto"/>
              </w:rPr>
              <w:t>4,556</w:t>
            </w:r>
          </w:p>
        </w:tc>
        <w:tc>
          <w:tcPr>
            <w:tcW w:w="32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4,312</w:t>
            </w:r>
          </w:p>
        </w:tc>
        <w:tc>
          <w:tcPr>
            <w:tcW w:w="0" w:type="dxa"/>
            <w:vAlign w:val="bottom"/>
          </w:tcPr>
          <w:p>
            <w:pPr>
              <w:spacing w:after="0"/>
              <w:rPr>
                <w:sz w:val="1"/>
                <w:szCs w:val="1"/>
                <w:color w:val="auto"/>
              </w:rPr>
            </w:pPr>
          </w:p>
        </w:tc>
      </w:tr>
      <w:tr>
        <w:trPr>
          <w:trHeight w:val="137"/>
        </w:trPr>
        <w:tc>
          <w:tcPr>
            <w:tcW w:w="2560" w:type="dxa"/>
            <w:vAlign w:val="bottom"/>
          </w:tcPr>
          <w:p>
            <w:pPr>
              <w:ind w:left="20"/>
              <w:spacing w:after="0" w:line="137" w:lineRule="exact"/>
              <w:rPr>
                <w:sz w:val="20"/>
                <w:szCs w:val="20"/>
                <w:color w:val="auto"/>
              </w:rPr>
            </w:pPr>
            <w:r>
              <w:rPr>
                <w:rFonts w:ascii="Arial" w:cs="Arial" w:eastAsia="Arial" w:hAnsi="Arial"/>
                <w:sz w:val="14"/>
                <w:szCs w:val="14"/>
                <w:color w:val="auto"/>
              </w:rPr>
              <w:t>Refining, Marketing and Transportation</w:t>
            </w:r>
          </w:p>
        </w:tc>
        <w:tc>
          <w:tcPr>
            <w:tcW w:w="420" w:type="dxa"/>
            <w:vAlign w:val="bottom"/>
          </w:tcPr>
          <w:p>
            <w:pPr>
              <w:spacing w:after="0"/>
              <w:rPr>
                <w:sz w:val="11"/>
                <w:szCs w:val="11"/>
                <w:color w:val="auto"/>
              </w:rPr>
            </w:pPr>
          </w:p>
        </w:tc>
        <w:tc>
          <w:tcPr>
            <w:tcW w:w="6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482</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560" w:type="dxa"/>
            <w:vAlign w:val="bottom"/>
          </w:tcPr>
          <w:p>
            <w:pPr>
              <w:ind w:left="140"/>
              <w:spacing w:after="0" w:line="145" w:lineRule="exact"/>
              <w:rPr>
                <w:sz w:val="20"/>
                <w:szCs w:val="20"/>
                <w:color w:val="auto"/>
              </w:rPr>
            </w:pPr>
            <w:r>
              <w:rPr>
                <w:rFonts w:ascii="Arial" w:cs="Arial" w:eastAsia="Arial" w:hAnsi="Arial"/>
                <w:sz w:val="14"/>
                <w:szCs w:val="14"/>
                <w:color w:val="auto"/>
              </w:rPr>
              <w:t>United States</w:t>
            </w:r>
          </w:p>
        </w:tc>
        <w:tc>
          <w:tcPr>
            <w:tcW w:w="4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69"/>
              <w:spacing w:after="0" w:line="145" w:lineRule="exact"/>
              <w:rPr>
                <w:sz w:val="20"/>
                <w:szCs w:val="20"/>
                <w:color w:val="auto"/>
              </w:rPr>
            </w:pPr>
            <w:r>
              <w:rPr>
                <w:rFonts w:ascii="Arial" w:cs="Arial" w:eastAsia="Arial" w:hAnsi="Arial"/>
                <w:sz w:val="14"/>
                <w:szCs w:val="14"/>
                <w:color w:val="auto"/>
              </w:rPr>
              <w:t>(398)</w:t>
            </w:r>
          </w:p>
        </w:tc>
        <w:tc>
          <w:tcPr>
            <w:tcW w:w="320" w:type="dxa"/>
            <w:vAlign w:val="bottom"/>
          </w:tcPr>
          <w:p>
            <w:pPr>
              <w:spacing w:after="0"/>
              <w:rPr>
                <w:sz w:val="12"/>
                <w:szCs w:val="12"/>
                <w:color w:val="auto"/>
              </w:rPr>
            </w:pPr>
          </w:p>
        </w:tc>
        <w:tc>
          <w:tcPr>
            <w:tcW w:w="580" w:type="dxa"/>
            <w:vAlign w:val="bottom"/>
          </w:tcPr>
          <w:p>
            <w:pPr>
              <w:jc w:val="right"/>
              <w:ind w:right="29"/>
              <w:spacing w:after="0" w:line="145" w:lineRule="exact"/>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International</w:t>
            </w:r>
          </w:p>
        </w:tc>
        <w:tc>
          <w:tcPr>
            <w:tcW w:w="4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b w:val="1"/>
                <w:bCs w:val="1"/>
                <w:color w:val="auto"/>
              </w:rPr>
              <w:t>685</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31</w:t>
            </w: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37"/>
        </w:trPr>
        <w:tc>
          <w:tcPr>
            <w:tcW w:w="2560" w:type="dxa"/>
            <w:vAlign w:val="bottom"/>
          </w:tcPr>
          <w:p>
            <w:pPr>
              <w:ind w:left="20"/>
              <w:spacing w:after="0" w:line="137" w:lineRule="exact"/>
              <w:rPr>
                <w:sz w:val="20"/>
                <w:szCs w:val="20"/>
                <w:color w:val="auto"/>
              </w:rPr>
            </w:pPr>
            <w:r>
              <w:rPr>
                <w:rFonts w:ascii="Arial" w:cs="Arial" w:eastAsia="Arial" w:hAnsi="Arial"/>
                <w:sz w:val="14"/>
                <w:szCs w:val="14"/>
                <w:color w:val="auto"/>
              </w:rPr>
              <w:t>Total Refining, Marketing and</w:t>
            </w:r>
          </w:p>
        </w:tc>
        <w:tc>
          <w:tcPr>
            <w:tcW w:w="420" w:type="dxa"/>
            <w:vAlign w:val="bottom"/>
          </w:tcPr>
          <w:p>
            <w:pPr>
              <w:spacing w:after="0"/>
              <w:rPr>
                <w:sz w:val="11"/>
                <w:szCs w:val="11"/>
                <w:color w:val="auto"/>
              </w:rPr>
            </w:pPr>
          </w:p>
        </w:tc>
        <w:tc>
          <w:tcPr>
            <w:tcW w:w="6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1,167</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Transportation</w:t>
            </w:r>
          </w:p>
        </w:tc>
        <w:tc>
          <w:tcPr>
            <w:tcW w:w="4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vMerge w:val="continue"/>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(367)</w:t>
            </w: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33"/>
        </w:trPr>
        <w:tc>
          <w:tcPr>
            <w:tcW w:w="2560" w:type="dxa"/>
            <w:vAlign w:val="bottom"/>
          </w:tcPr>
          <w:p>
            <w:pPr>
              <w:ind w:left="20"/>
              <w:spacing w:after="0" w:line="133" w:lineRule="exact"/>
              <w:rPr>
                <w:sz w:val="20"/>
                <w:szCs w:val="20"/>
                <w:color w:val="auto"/>
              </w:rPr>
            </w:pPr>
            <w:r>
              <w:rPr>
                <w:rFonts w:ascii="Arial" w:cs="Arial" w:eastAsia="Arial" w:hAnsi="Arial"/>
                <w:sz w:val="14"/>
                <w:szCs w:val="14"/>
                <w:color w:val="auto"/>
              </w:rPr>
              <w:t>Chemicals</w:t>
            </w:r>
          </w:p>
        </w:tc>
        <w:tc>
          <w:tcPr>
            <w:tcW w:w="420" w:type="dxa"/>
            <w:vAlign w:val="bottom"/>
          </w:tcPr>
          <w:p>
            <w:pPr>
              <w:spacing w:after="0"/>
              <w:rPr>
                <w:sz w:val="11"/>
                <w:szCs w:val="11"/>
                <w:color w:val="auto"/>
              </w:rPr>
            </w:pPr>
          </w:p>
        </w:tc>
        <w:tc>
          <w:tcPr>
            <w:tcW w:w="620" w:type="dxa"/>
            <w:vAlign w:val="bottom"/>
          </w:tcPr>
          <w:p>
            <w:pPr>
              <w:jc w:val="right"/>
              <w:ind w:right="129"/>
              <w:spacing w:after="0" w:line="133" w:lineRule="exact"/>
              <w:rPr>
                <w:sz w:val="20"/>
                <w:szCs w:val="20"/>
                <w:color w:val="auto"/>
              </w:rPr>
            </w:pPr>
            <w:r>
              <w:rPr>
                <w:rFonts w:ascii="Arial" w:cs="Arial" w:eastAsia="Arial" w:hAnsi="Arial"/>
                <w:sz w:val="14"/>
                <w:szCs w:val="14"/>
                <w:b w:val="1"/>
                <w:bCs w:val="1"/>
                <w:color w:val="auto"/>
              </w:rPr>
              <w:t>69</w:t>
            </w:r>
          </w:p>
        </w:tc>
        <w:tc>
          <w:tcPr>
            <w:tcW w:w="320" w:type="dxa"/>
            <w:vAlign w:val="bottom"/>
          </w:tcPr>
          <w:p>
            <w:pPr>
              <w:spacing w:after="0"/>
              <w:rPr>
                <w:sz w:val="11"/>
                <w:szCs w:val="11"/>
                <w:color w:val="auto"/>
              </w:rPr>
            </w:pPr>
          </w:p>
        </w:tc>
        <w:tc>
          <w:tcPr>
            <w:tcW w:w="660" w:type="dxa"/>
            <w:vAlign w:val="bottom"/>
          </w:tcPr>
          <w:p>
            <w:pPr>
              <w:jc w:val="right"/>
              <w:ind w:right="129"/>
              <w:spacing w:after="0" w:line="133" w:lineRule="exact"/>
              <w:rPr>
                <w:sz w:val="20"/>
                <w:szCs w:val="20"/>
                <w:color w:val="auto"/>
              </w:rPr>
            </w:pPr>
            <w:r>
              <w:rPr>
                <w:rFonts w:ascii="Arial" w:cs="Arial" w:eastAsia="Arial" w:hAnsi="Arial"/>
                <w:sz w:val="14"/>
                <w:szCs w:val="14"/>
                <w:color w:val="auto"/>
              </w:rPr>
              <w:t>86</w:t>
            </w:r>
          </w:p>
        </w:tc>
        <w:tc>
          <w:tcPr>
            <w:tcW w:w="3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1"/>
        </w:trPr>
        <w:tc>
          <w:tcPr>
            <w:tcW w:w="256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All Other</w:t>
            </w:r>
          </w:p>
        </w:tc>
        <w:tc>
          <w:tcPr>
            <w:tcW w:w="4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b w:val="1"/>
                <w:bCs w:val="1"/>
                <w:color w:val="auto"/>
              </w:rPr>
              <w:t>(213)</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(3,143)</w:t>
            </w: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37"/>
        </w:trPr>
        <w:tc>
          <w:tcPr>
            <w:tcW w:w="2560" w:type="dxa"/>
            <w:vAlign w:val="bottom"/>
          </w:tcPr>
          <w:p>
            <w:pPr>
              <w:ind w:left="20"/>
              <w:spacing w:after="0" w:line="137" w:lineRule="exact"/>
              <w:rPr>
                <w:sz w:val="20"/>
                <w:szCs w:val="20"/>
                <w:color w:val="auto"/>
              </w:rPr>
            </w:pPr>
            <w:r>
              <w:rPr>
                <w:rFonts w:ascii="Arial" w:cs="Arial" w:eastAsia="Arial" w:hAnsi="Arial"/>
                <w:sz w:val="14"/>
                <w:szCs w:val="14"/>
                <w:color w:val="auto"/>
              </w:rPr>
              <w:t>Income Before Cumulative Effect of</w:t>
            </w:r>
          </w:p>
        </w:tc>
        <w:tc>
          <w:tcPr>
            <w:tcW w:w="4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7,426</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Changes in Accounting Principles</w:t>
            </w:r>
          </w:p>
        </w:tc>
        <w:tc>
          <w:tcPr>
            <w:tcW w:w="4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1,132</w:t>
            </w: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Cumulative Effect of Changes in</w:t>
            </w:r>
          </w:p>
        </w:tc>
        <w:tc>
          <w:tcPr>
            <w:tcW w:w="420" w:type="dxa"/>
            <w:vAlign w:val="bottom"/>
          </w:tcPr>
          <w:p>
            <w:pPr>
              <w:spacing w:after="0"/>
              <w:rPr>
                <w:sz w:val="12"/>
                <w:szCs w:val="12"/>
                <w:color w:val="auto"/>
              </w:rPr>
            </w:pPr>
          </w:p>
        </w:tc>
        <w:tc>
          <w:tcPr>
            <w:tcW w:w="6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(196)</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Accounting Principles</w:t>
            </w:r>
          </w:p>
        </w:tc>
        <w:tc>
          <w:tcPr>
            <w:tcW w:w="4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vMerge w:val="continue"/>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560" w:type="dxa"/>
            <w:vAlign w:val="bottom"/>
            <w:tcBorders>
              <w:bottom w:val="single" w:sz="8" w:color="0070FF"/>
            </w:tcBorders>
          </w:tcPr>
          <w:p>
            <w:pPr>
              <w:ind w:left="20"/>
              <w:spacing w:after="0" w:line="197" w:lineRule="exact"/>
              <w:rPr>
                <w:sz w:val="20"/>
                <w:szCs w:val="20"/>
                <w:color w:val="auto"/>
              </w:rPr>
            </w:pPr>
            <w:r>
              <w:rPr>
                <w:rFonts w:ascii="Arial" w:cs="Arial" w:eastAsia="Arial" w:hAnsi="Arial"/>
                <w:sz w:val="14"/>
                <w:szCs w:val="14"/>
                <w:color w:val="auto"/>
              </w:rPr>
              <w:t>Net Income</w:t>
            </w:r>
            <w:r>
              <w:rPr>
                <w:rFonts w:ascii="Arial" w:cs="Arial" w:eastAsia="Arial" w:hAnsi="Arial"/>
                <w:sz w:val="22"/>
                <w:szCs w:val="22"/>
                <w:color w:val="auto"/>
                <w:vertAlign w:val="superscript"/>
              </w:rPr>
              <w:t>*</w:t>
            </w:r>
          </w:p>
        </w:tc>
        <w:tc>
          <w:tcPr>
            <w:tcW w:w="420" w:type="dxa"/>
            <w:vAlign w:val="bottom"/>
            <w:tcBorders>
              <w:bottom w:val="single" w:sz="8" w:color="0070FF"/>
            </w:tcBorders>
          </w:tcPr>
          <w:p>
            <w:pPr>
              <w:ind w:left="2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b w:val="1"/>
                <w:bCs w:val="1"/>
                <w:color w:val="auto"/>
              </w:rPr>
              <w:t>7,230</w:t>
            </w:r>
          </w:p>
        </w:tc>
        <w:tc>
          <w:tcPr>
            <w:tcW w:w="32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1,132</w:t>
            </w:r>
          </w:p>
        </w:tc>
        <w:tc>
          <w:tcPr>
            <w:tcW w:w="32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253"/>
        </w:trPr>
        <w:tc>
          <w:tcPr>
            <w:tcW w:w="2560" w:type="dxa"/>
            <w:vAlign w:val="bottom"/>
          </w:tcPr>
          <w:p>
            <w:pPr>
              <w:ind w:left="2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2"/>
                <w:szCs w:val="12"/>
                <w:color w:val="auto"/>
              </w:rPr>
              <w:t>Includes Foreign Currency (Losses) Gains:</w:t>
            </w:r>
          </w:p>
        </w:tc>
        <w:tc>
          <w:tcPr>
            <w:tcW w:w="420" w:type="dxa"/>
            <w:vAlign w:val="bottom"/>
          </w:tcPr>
          <w:p>
            <w:pPr>
              <w:ind w:left="260"/>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89"/>
              <w:spacing w:after="0"/>
              <w:rPr>
                <w:sz w:val="20"/>
                <w:szCs w:val="20"/>
                <w:color w:val="auto"/>
              </w:rPr>
            </w:pPr>
            <w:r>
              <w:rPr>
                <w:rFonts w:ascii="Arial" w:cs="Arial" w:eastAsia="Arial" w:hAnsi="Arial"/>
                <w:sz w:val="12"/>
                <w:szCs w:val="12"/>
                <w:b w:val="1"/>
                <w:bCs w:val="1"/>
                <w:color w:val="auto"/>
              </w:rPr>
              <w:t>(404)</w:t>
            </w:r>
          </w:p>
        </w:tc>
        <w:tc>
          <w:tcPr>
            <w:tcW w:w="320" w:type="dxa"/>
            <w:vAlign w:val="bottom"/>
          </w:tcPr>
          <w:p>
            <w:pPr>
              <w:ind w:left="14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89"/>
              <w:spacing w:after="0"/>
              <w:rPr>
                <w:sz w:val="20"/>
                <w:szCs w:val="20"/>
                <w:color w:val="auto"/>
              </w:rPr>
            </w:pPr>
            <w:r>
              <w:rPr>
                <w:rFonts w:ascii="Arial" w:cs="Arial" w:eastAsia="Arial" w:hAnsi="Arial"/>
                <w:sz w:val="12"/>
                <w:szCs w:val="12"/>
                <w:color w:val="auto"/>
              </w:rPr>
              <w:t>(43)</w:t>
            </w:r>
          </w:p>
        </w:tc>
        <w:tc>
          <w:tcPr>
            <w:tcW w:w="320" w:type="dxa"/>
            <w:vAlign w:val="bottom"/>
          </w:tcPr>
          <w:p>
            <w:pPr>
              <w:ind w:left="14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9"/>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firstLine="203"/>
        <w:spacing w:after="0" w:line="282" w:lineRule="auto"/>
        <w:rPr>
          <w:sz w:val="20"/>
          <w:szCs w:val="20"/>
          <w:color w:val="auto"/>
        </w:rPr>
      </w:pPr>
      <w:r>
        <w:rPr>
          <w:rFonts w:ascii="Arial" w:cs="Arial" w:eastAsia="Arial" w:hAnsi="Arial"/>
          <w:sz w:val="15"/>
          <w:szCs w:val="15"/>
          <w:color w:val="auto"/>
        </w:rPr>
        <w:t>Net income includes net charges of $196 million for the cumulative effect of changes in accounting principles, primarily $200 million for the adoption on January 1, 2003, of the Financial Accounting Standards Board Statement No. 143, “Accounting for Asset Retirement Obligations” (FAS 143). Refer to Note 25 to the Consolidated Financial Statements on page FS-50 for additional discussion. Also in the first quarter of 2003, the company recorded an after-tax gain of $4 million for its share of its affiliate Dynegy’s cumulative effect of adoption of Emerging Issues Task Force Consensus No. 02-3, “Issues Involved in Accounting for Derivative Contracts Held for Trading Purposes and Contracts Involved in Energy Trading and Risk Management Activities,” effective January 1, 2003.</w:t>
      </w:r>
    </w:p>
    <w:p>
      <w:pPr>
        <w:spacing w:after="0" w:line="3" w:lineRule="exact"/>
        <w:rPr>
          <w:sz w:val="20"/>
          <w:szCs w:val="20"/>
          <w:color w:val="auto"/>
        </w:rPr>
      </w:pPr>
    </w:p>
    <w:p>
      <w:pPr>
        <w:ind w:right="200" w:firstLine="203"/>
        <w:spacing w:after="0" w:line="363" w:lineRule="auto"/>
        <w:rPr>
          <w:sz w:val="20"/>
          <w:szCs w:val="20"/>
          <w:color w:val="auto"/>
        </w:rPr>
      </w:pPr>
      <w:r>
        <w:rPr>
          <w:rFonts w:ascii="Arial" w:cs="Arial" w:eastAsia="Arial" w:hAnsi="Arial"/>
          <w:sz w:val="14"/>
          <w:szCs w:val="14"/>
          <w:color w:val="auto"/>
        </w:rPr>
        <w:t>Net income in each period presented includes amounts for matters that management characterizes as “special items,” as described in the following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SPECIAL ITEMS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Millions of dollars – Income (loss)</w:t>
            </w:r>
          </w:p>
        </w:tc>
        <w:tc>
          <w:tcPr>
            <w:tcW w:w="36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2003</w:t>
            </w:r>
          </w:p>
        </w:tc>
        <w:tc>
          <w:tcPr>
            <w:tcW w:w="30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2002</w:t>
            </w:r>
          </w:p>
        </w:tc>
        <w:tc>
          <w:tcPr>
            <w:tcW w:w="3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3"/>
        </w:trPr>
        <w:tc>
          <w:tcPr>
            <w:tcW w:w="2760" w:type="dxa"/>
            <w:vAlign w:val="bottom"/>
            <w:gridSpan w:val="2"/>
          </w:tcPr>
          <w:p>
            <w:pPr>
              <w:spacing w:after="0" w:line="133" w:lineRule="exact"/>
              <w:rPr>
                <w:sz w:val="20"/>
                <w:szCs w:val="20"/>
                <w:color w:val="auto"/>
              </w:rPr>
            </w:pPr>
            <w:r>
              <w:rPr>
                <w:rFonts w:ascii="Arial" w:cs="Arial" w:eastAsia="Arial" w:hAnsi="Arial"/>
                <w:sz w:val="14"/>
                <w:szCs w:val="14"/>
                <w:color w:val="auto"/>
              </w:rPr>
              <w:t>Dynegy-Related</w:t>
            </w:r>
          </w:p>
        </w:tc>
        <w:tc>
          <w:tcPr>
            <w:tcW w:w="36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325</w:t>
            </w:r>
          </w:p>
        </w:tc>
        <w:tc>
          <w:tcPr>
            <w:tcW w:w="300" w:type="dxa"/>
            <w:vAlign w:val="bottom"/>
          </w:tcPr>
          <w:p>
            <w:pPr>
              <w:jc w:val="right"/>
              <w:ind w:right="28"/>
              <w:spacing w:after="0" w:line="133"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line="133" w:lineRule="exact"/>
              <w:rPr>
                <w:sz w:val="20"/>
                <w:szCs w:val="20"/>
                <w:color w:val="auto"/>
              </w:rPr>
            </w:pPr>
            <w:r>
              <w:rPr>
                <w:rFonts w:ascii="Arial" w:cs="Arial" w:eastAsia="Arial" w:hAnsi="Arial"/>
                <w:sz w:val="14"/>
                <w:szCs w:val="14"/>
                <w:color w:val="auto"/>
              </w:rPr>
              <w:t>(2,306)</w:t>
            </w:r>
          </w:p>
        </w:tc>
        <w:tc>
          <w:tcPr>
            <w:tcW w:w="300" w:type="dxa"/>
            <w:vAlign w:val="bottom"/>
          </w:tcPr>
          <w:p>
            <w:pPr>
              <w:jc w:val="right"/>
              <w:ind w:right="8"/>
              <w:spacing w:after="0" w:line="13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Asset Dispositions</w:t>
            </w:r>
          </w:p>
        </w:tc>
        <w:tc>
          <w:tcPr>
            <w:tcW w:w="360" w:type="dxa"/>
            <w:vAlign w:val="bottom"/>
          </w:tcPr>
          <w:p>
            <w:pPr>
              <w:spacing w:after="0"/>
              <w:rPr>
                <w:sz w:val="12"/>
                <w:szCs w:val="12"/>
                <w:color w:val="auto"/>
              </w:rPr>
            </w:pPr>
          </w:p>
        </w:tc>
        <w:tc>
          <w:tcPr>
            <w:tcW w:w="5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122</w:t>
            </w:r>
          </w:p>
        </w:tc>
        <w:tc>
          <w:tcPr>
            <w:tcW w:w="300" w:type="dxa"/>
            <w:vAlign w:val="bottom"/>
          </w:tcPr>
          <w:p>
            <w:pPr>
              <w:spacing w:after="0"/>
              <w:rPr>
                <w:sz w:val="12"/>
                <w:szCs w:val="12"/>
                <w:color w:val="auto"/>
              </w:rPr>
            </w:pP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Tax Adjustments</w:t>
            </w:r>
          </w:p>
        </w:tc>
        <w:tc>
          <w:tcPr>
            <w:tcW w:w="360" w:type="dxa"/>
            <w:vAlign w:val="bottom"/>
          </w:tcPr>
          <w:p>
            <w:pPr>
              <w:spacing w:after="0"/>
              <w:rPr>
                <w:sz w:val="12"/>
                <w:szCs w:val="12"/>
                <w:color w:val="auto"/>
              </w:rPr>
            </w:pPr>
          </w:p>
        </w:tc>
        <w:tc>
          <w:tcPr>
            <w:tcW w:w="5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118</w:t>
            </w:r>
          </w:p>
        </w:tc>
        <w:tc>
          <w:tcPr>
            <w:tcW w:w="300" w:type="dxa"/>
            <w:vAlign w:val="bottom"/>
          </w:tcPr>
          <w:p>
            <w:pPr>
              <w:spacing w:after="0"/>
              <w:rPr>
                <w:sz w:val="12"/>
                <w:szCs w:val="12"/>
                <w:color w:val="auto"/>
              </w:rPr>
            </w:pP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60</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Asset Impairments and Revaluations</w:t>
            </w:r>
          </w:p>
        </w:tc>
        <w:tc>
          <w:tcPr>
            <w:tcW w:w="36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(340)</w:t>
            </w:r>
          </w:p>
        </w:tc>
        <w:tc>
          <w:tcPr>
            <w:tcW w:w="30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(485)</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Restructuring and Reorganizations</w:t>
            </w:r>
          </w:p>
        </w:tc>
        <w:tc>
          <w:tcPr>
            <w:tcW w:w="36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(146)</w:t>
            </w:r>
          </w:p>
        </w:tc>
        <w:tc>
          <w:tcPr>
            <w:tcW w:w="300" w:type="dxa"/>
            <w:vAlign w:val="bottom"/>
          </w:tcPr>
          <w:p>
            <w:pPr>
              <w:spacing w:after="0"/>
              <w:rPr>
                <w:sz w:val="12"/>
                <w:szCs w:val="12"/>
                <w:color w:val="auto"/>
              </w:rPr>
            </w:pP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Remediation Provisions</w:t>
            </w:r>
          </w:p>
        </w:tc>
        <w:tc>
          <w:tcPr>
            <w:tcW w:w="36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(132)</w:t>
            </w:r>
          </w:p>
        </w:tc>
        <w:tc>
          <w:tcPr>
            <w:tcW w:w="30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(160)</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Expenses</w:t>
            </w:r>
          </w:p>
        </w:tc>
        <w:tc>
          <w:tcPr>
            <w:tcW w:w="360" w:type="dxa"/>
            <w:vAlign w:val="bottom"/>
          </w:tcPr>
          <w:p>
            <w:pPr>
              <w:spacing w:after="0"/>
              <w:rPr>
                <w:sz w:val="12"/>
                <w:szCs w:val="12"/>
                <w:color w:val="auto"/>
              </w:rPr>
            </w:pPr>
          </w:p>
        </w:tc>
        <w:tc>
          <w:tcPr>
            <w:tcW w:w="5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(386)</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53"/>
        </w:trPr>
        <w:tc>
          <w:tcPr>
            <w:tcW w:w="2760" w:type="dxa"/>
            <w:vAlign w:val="bottom"/>
            <w:gridSpan w:val="2"/>
          </w:tcPr>
          <w:p>
            <w:pPr>
              <w:spacing w:after="0" w:line="153" w:lineRule="exact"/>
              <w:rPr>
                <w:sz w:val="20"/>
                <w:szCs w:val="20"/>
                <w:color w:val="auto"/>
              </w:rPr>
            </w:pPr>
            <w:r>
              <w:rPr>
                <w:rFonts w:ascii="Arial" w:cs="Arial" w:eastAsia="Arial" w:hAnsi="Arial"/>
                <w:sz w:val="14"/>
                <w:szCs w:val="14"/>
                <w:color w:val="auto"/>
              </w:rPr>
              <w:t>Litigation Provisions</w:t>
            </w:r>
          </w:p>
        </w:tc>
        <w:tc>
          <w:tcPr>
            <w:tcW w:w="360" w:type="dxa"/>
            <w:vAlign w:val="bottom"/>
          </w:tcPr>
          <w:p>
            <w:pPr>
              <w:spacing w:after="0"/>
              <w:rPr>
                <w:sz w:val="13"/>
                <w:szCs w:val="13"/>
                <w:color w:val="auto"/>
              </w:rPr>
            </w:pPr>
          </w:p>
        </w:tc>
        <w:tc>
          <w:tcPr>
            <w:tcW w:w="5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640" w:type="dxa"/>
            <w:vAlign w:val="bottom"/>
          </w:tcPr>
          <w:p>
            <w:pPr>
              <w:jc w:val="right"/>
              <w:ind w:right="68"/>
              <w:spacing w:after="0" w:line="153" w:lineRule="exact"/>
              <w:rPr>
                <w:sz w:val="20"/>
                <w:szCs w:val="20"/>
                <w:color w:val="auto"/>
              </w:rPr>
            </w:pPr>
            <w:r>
              <w:rPr>
                <w:rFonts w:ascii="Arial" w:cs="Arial" w:eastAsia="Arial" w:hAnsi="Arial"/>
                <w:sz w:val="14"/>
                <w:szCs w:val="14"/>
                <w:color w:val="auto"/>
              </w:rPr>
              <w:t>(57)</w:t>
            </w:r>
          </w:p>
        </w:tc>
        <w:tc>
          <w:tcPr>
            <w:tcW w:w="300" w:type="dxa"/>
            <w:vAlign w:val="bottom"/>
          </w:tcPr>
          <w:p>
            <w:pPr>
              <w:spacing w:after="0"/>
              <w:rPr>
                <w:sz w:val="13"/>
                <w:szCs w:val="13"/>
                <w:color w:val="auto"/>
              </w:rPr>
            </w:pPr>
          </w:p>
        </w:tc>
        <w:tc>
          <w:tcPr>
            <w:tcW w:w="5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w w:val="99"/>
              </w:rPr>
              <w:t>Extraordinary Loss on Merger-Related Asset</w:t>
            </w:r>
          </w:p>
        </w:tc>
        <w:tc>
          <w:tcPr>
            <w:tcW w:w="360" w:type="dxa"/>
            <w:vAlign w:val="bottom"/>
          </w:tcPr>
          <w:p>
            <w:pPr>
              <w:spacing w:after="0"/>
              <w:rPr>
                <w:sz w:val="12"/>
                <w:szCs w:val="12"/>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Sales</w:t>
            </w:r>
          </w:p>
        </w:tc>
        <w:tc>
          <w:tcPr>
            <w:tcW w:w="36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vMerge w:val="continue"/>
          </w:tcPr>
          <w:p>
            <w:pPr>
              <w:spacing w:after="0"/>
              <w:rPr>
                <w:sz w:val="14"/>
                <w:szCs w:val="14"/>
                <w:color w:val="auto"/>
              </w:rPr>
            </w:pPr>
          </w:p>
        </w:tc>
        <w:tc>
          <w:tcPr>
            <w:tcW w:w="30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27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auto"/>
              </w:rPr>
              <w:t>Total Special Items</w:t>
            </w:r>
          </w:p>
        </w:tc>
        <w:tc>
          <w:tcPr>
            <w:tcW w:w="3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(53)</w:t>
            </w:r>
          </w:p>
        </w:tc>
        <w:tc>
          <w:tcPr>
            <w:tcW w:w="3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(3,334)</w:t>
            </w:r>
          </w:p>
        </w:tc>
        <w:tc>
          <w:tcPr>
            <w:tcW w:w="30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firstLine="203"/>
        <w:spacing w:after="0" w:line="287" w:lineRule="auto"/>
        <w:rPr>
          <w:sz w:val="20"/>
          <w:szCs w:val="20"/>
          <w:color w:val="auto"/>
        </w:rPr>
      </w:pPr>
      <w:r>
        <w:rPr>
          <w:rFonts w:ascii="Arial" w:cs="Arial" w:eastAsia="Arial" w:hAnsi="Arial"/>
          <w:sz w:val="15"/>
          <w:szCs w:val="15"/>
          <w:color w:val="auto"/>
        </w:rPr>
        <w:t>Because of their nature and amount, these special items are identified separately to help explain the changes in net income and segment income between periods, as well as to help distinguish the underlying trends for the company’s core businesses. Special items are discussed in detail for each major operating area in the “Results of Operations” section beginning on page FS-6. “Restructuring and Reorganizations” is described in detail in Note 12 to the Consolidated Financial Statements on page FS-37. The categories “Merger-Related Expenses” and “Extraordinary Loss on Merger-Related Asset Sales” are described in detail in the “Texaco Merger Transaction” section on page FS-5.</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BUSINESS ENVIRONMENT AND OUTLOOK</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As shown in the “Special Items” table, large net special-item charges adversely affected net income in 2002 and 2001. In 2002, $2.3 billion of the $3.3 billion of net charges related to the company’s investment in its Dynegy Inc. affiliate. Refer to pages FS-10 and FS-11 for a discussion of these matters. Approximately one-half of the $3.5 billion of net charges in 2001 related to asset impairments, primarily the result of downward revisions to crude oil and natural gas reserve quantities.</w:t>
      </w:r>
    </w:p>
    <w:p>
      <w:pPr>
        <w:spacing w:after="0" w:line="4" w:lineRule="exact"/>
        <w:rPr>
          <w:sz w:val="20"/>
          <w:szCs w:val="20"/>
          <w:color w:val="auto"/>
        </w:rPr>
      </w:pPr>
    </w:p>
    <w:p>
      <w:pPr>
        <w:ind w:right="20" w:firstLine="194"/>
        <w:spacing w:after="0" w:line="264" w:lineRule="auto"/>
        <w:rPr>
          <w:sz w:val="20"/>
          <w:szCs w:val="20"/>
          <w:color w:val="auto"/>
        </w:rPr>
      </w:pPr>
      <w:r>
        <w:rPr>
          <w:rFonts w:ascii="Arial" w:cs="Arial" w:eastAsia="Arial" w:hAnsi="Arial"/>
          <w:sz w:val="16"/>
          <w:szCs w:val="16"/>
          <w:color w:val="auto"/>
        </w:rPr>
        <w:t>Apart from the effects of special items, ChevronTexaco’s earnings depend largely on the profitability of its business segments in upstream – exploration and production – and downstream – refining, marketing and transportation. Overall earnings trends are typically less affected by results from the company’s commodity chemicals segment and other investments.</w:t>
      </w:r>
    </w:p>
    <w:p>
      <w:pPr>
        <w:spacing w:after="0" w:line="1" w:lineRule="exact"/>
        <w:rPr>
          <w:sz w:val="20"/>
          <w:szCs w:val="20"/>
          <w:color w:val="auto"/>
        </w:rPr>
      </w:pPr>
    </w:p>
    <w:p>
      <w:pPr>
        <w:ind w:firstLine="200"/>
        <w:spacing w:after="0" w:line="286" w:lineRule="auto"/>
        <w:rPr>
          <w:sz w:val="20"/>
          <w:szCs w:val="20"/>
          <w:color w:val="auto"/>
        </w:rPr>
      </w:pPr>
      <w:r>
        <w:rPr>
          <w:rFonts w:ascii="Arial" w:cs="Arial" w:eastAsia="Arial" w:hAnsi="Arial"/>
          <w:sz w:val="15"/>
          <w:szCs w:val="15"/>
          <w:color w:val="auto"/>
        </w:rPr>
        <w:t>The company’s long-term competitive position, particularly given the capital-intensive and commodity-based nature of the industry, is closely associated with the company’s ability to invest in projects that provide adequate financial returns and to manage operating expenses effectively. The company also continuously evaluates opportunities to dispose of assets that are not key to providing long-term value, or to acquire assets or operations complementary to its asset base to help sustain the company’s growth. In addition to the asset-disposition and restructuring plans announced in 2003, other such plans may occur in future periods and result in significant gains or losses. Refer to the “Operating Developments” section on pages FS-4 and FS-5 for a discussion that includes references to the company’s asset disposition activities.</w:t>
      </w:r>
    </w:p>
    <w:p>
      <w:pPr>
        <w:spacing w:after="0" w:line="200" w:lineRule="exact"/>
        <w:rPr>
          <w:sz w:val="20"/>
          <w:szCs w:val="20"/>
          <w:color w:val="auto"/>
        </w:rPr>
      </w:pPr>
    </w:p>
    <w:p>
      <w:pPr>
        <w:sectPr>
          <w:pgSz w:w="11900" w:h="16838" w:orient="portrait"/>
          <w:cols w:equalWidth="0" w:num="2">
            <w:col w:w="5480" w:space="400"/>
            <w:col w:w="5480"/>
          </w:cols>
          <w:pgMar w:left="240" w:top="419" w:right="299" w:bottom="1440" w:gutter="0" w:footer="0" w:header="0"/>
          <w:type w:val="continuous"/>
        </w:sect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firstLine="203"/>
        <w:spacing w:after="0" w:line="266" w:lineRule="auto"/>
        <w:rPr>
          <w:sz w:val="20"/>
          <w:szCs w:val="20"/>
          <w:color w:val="auto"/>
        </w:rPr>
      </w:pPr>
      <w:r>
        <w:rPr>
          <w:rFonts w:ascii="Arial" w:cs="Arial" w:eastAsia="Arial" w:hAnsi="Arial"/>
          <w:sz w:val="16"/>
          <w:szCs w:val="16"/>
          <w:color w:val="auto"/>
        </w:rPr>
        <w:t>Comments related to earnings trends for the company’s major business areas are as follows:</w:t>
      </w:r>
    </w:p>
    <w:p>
      <w:pPr>
        <w:spacing w:after="0" w:line="1" w:lineRule="exact"/>
        <w:rPr>
          <w:sz w:val="20"/>
          <w:szCs w:val="20"/>
          <w:color w:val="auto"/>
        </w:rPr>
      </w:pPr>
    </w:p>
    <w:p>
      <w:pPr>
        <w:ind w:firstLine="203"/>
        <w:spacing w:after="0" w:line="281" w:lineRule="auto"/>
        <w:rPr>
          <w:sz w:val="20"/>
          <w:szCs w:val="20"/>
          <w:color w:val="auto"/>
        </w:rPr>
      </w:pPr>
      <w:r>
        <w:rPr>
          <w:rFonts w:ascii="Arial" w:cs="Arial" w:eastAsia="Arial" w:hAnsi="Arial"/>
          <w:sz w:val="15"/>
          <w:szCs w:val="15"/>
          <w:i w:val="1"/>
          <w:iCs w:val="1"/>
          <w:color w:val="F20000"/>
        </w:rPr>
        <w:t xml:space="preserve">Upstream </w:t>
      </w:r>
      <w:r>
        <w:rPr>
          <w:rFonts w:ascii="Arial" w:cs="Arial" w:eastAsia="Arial" w:hAnsi="Arial"/>
          <w:sz w:val="15"/>
          <w:szCs w:val="15"/>
          <w:color w:val="000000"/>
        </w:rPr>
        <w:t>Year-to-year changes in exploration and production earnings align</w:t>
      </w:r>
      <w:r>
        <w:rPr>
          <w:rFonts w:ascii="Arial" w:cs="Arial" w:eastAsia="Arial" w:hAnsi="Arial"/>
          <w:sz w:val="15"/>
          <w:szCs w:val="15"/>
          <w:i w:val="1"/>
          <w:iCs w:val="1"/>
          <w:color w:val="F20000"/>
        </w:rPr>
        <w:t xml:space="preserve"> </w:t>
      </w:r>
      <w:r>
        <w:rPr>
          <w:rFonts w:ascii="Arial" w:cs="Arial" w:eastAsia="Arial" w:hAnsi="Arial"/>
          <w:sz w:val="15"/>
          <w:szCs w:val="15"/>
          <w:color w:val="000000"/>
        </w:rPr>
        <w:t>most closely with industry price levels for crude oil and natural gas. Crude oil and natural gas prices are subject to certain external factors over which the company has no control, including product demand connected with global economic conditions, industry inventory levels, production quotas imposed by the Organization of Petroleum Exporting Countries (OPEC), weather-related damages and disruptions, competing fuel prices and regional supply interruptions that may be caused by military conflicts, civil unrest or political uncertainties. The company monitors developments closely in the countries in which it operates.</w:t>
      </w:r>
    </w:p>
    <w:p>
      <w:pPr>
        <w:spacing w:after="0" w:line="6" w:lineRule="exact"/>
        <w:rPr>
          <w:sz w:val="20"/>
          <w:szCs w:val="20"/>
          <w:color w:val="auto"/>
        </w:rPr>
      </w:pPr>
    </w:p>
    <w:p>
      <w:pPr>
        <w:ind w:right="40" w:firstLine="203"/>
        <w:spacing w:after="0" w:line="281" w:lineRule="auto"/>
        <w:rPr>
          <w:sz w:val="20"/>
          <w:szCs w:val="20"/>
          <w:color w:val="auto"/>
        </w:rPr>
      </w:pPr>
      <w:r>
        <w:rPr>
          <w:rFonts w:ascii="Arial" w:cs="Arial" w:eastAsia="Arial" w:hAnsi="Arial"/>
          <w:sz w:val="15"/>
          <w:szCs w:val="15"/>
          <w:color w:val="auto"/>
        </w:rPr>
        <w:t>Longer-term trends in earnings for this segment are also a function of other factors besides price fluctuations, including changes in the company’s oil and gas production levels and the company’s ability to find or acquire and efficiently produce crude oil and natural gas reserves. Most of the company’s overall capital investment is in its upstream businesses, particularly outside the United States. Refer to the “Capital and Exploratory Expenditures” on pages FS-11 and FS-12 for discussion of the types of upstream investments targeted for 2004. Investments in upstream projects oftentimes are made well in advance of the start of the associated crude oil and natural gas production.</w:t>
      </w:r>
    </w:p>
    <w:p>
      <w:pPr>
        <w:spacing w:after="0" w:line="6" w:lineRule="exact"/>
        <w:rPr>
          <w:sz w:val="20"/>
          <w:szCs w:val="20"/>
          <w:color w:val="auto"/>
        </w:rPr>
      </w:pPr>
    </w:p>
    <w:p>
      <w:pPr>
        <w:ind w:right="20" w:firstLine="203"/>
        <w:spacing w:after="0" w:line="288" w:lineRule="auto"/>
        <w:rPr>
          <w:sz w:val="20"/>
          <w:szCs w:val="20"/>
          <w:color w:val="auto"/>
        </w:rPr>
      </w:pPr>
      <w:r>
        <w:rPr>
          <w:rFonts w:ascii="Arial" w:cs="Arial" w:eastAsia="Arial" w:hAnsi="Arial"/>
          <w:sz w:val="15"/>
          <w:szCs w:val="15"/>
          <w:color w:val="auto"/>
        </w:rPr>
        <w:t>Industry price levels for crude oil in early 2003 reached a 12-year high, reaching a peak of about $38 per barrel. Prices for West Texas Intermediate (WTI), a benchmark crude, then averaged about $31 for the year, an increase of about $5 from 2002. The WTI spot prices at the end of December 2003 and at the end of February 2004 were about $32 and $36, respectively. Among other things, these relatively high industry prices reflected increased demand from improved economies in many countries and continued production curtailments by OPEC.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3087370" cy="2178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737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40"/>
        <w:spacing w:after="0" w:line="237" w:lineRule="auto"/>
        <w:rPr>
          <w:sz w:val="20"/>
          <w:szCs w:val="20"/>
          <w:color w:val="auto"/>
        </w:rPr>
      </w:pPr>
      <w:r>
        <w:rPr>
          <w:rFonts w:ascii="Arial" w:cs="Arial" w:eastAsia="Arial" w:hAnsi="Arial"/>
          <w:sz w:val="13"/>
          <w:szCs w:val="13"/>
          <w:color w:val="auto"/>
        </w:rPr>
        <w:t>The average spot price of West Texas Intermediate, a benchmark crude oil, rose 19 percent between 2002 and 2003 and remained above $30 per barrel in early 2004.</w:t>
      </w:r>
    </w:p>
    <w:p>
      <w:pPr>
        <w:spacing w:after="0" w:line="141" w:lineRule="exact"/>
        <w:rPr>
          <w:sz w:val="20"/>
          <w:szCs w:val="20"/>
          <w:color w:val="auto"/>
        </w:rPr>
      </w:pPr>
    </w:p>
    <w:p>
      <w:pPr>
        <w:ind w:firstLine="203"/>
        <w:spacing w:after="0" w:line="288" w:lineRule="auto"/>
        <w:rPr>
          <w:sz w:val="20"/>
          <w:szCs w:val="20"/>
          <w:color w:val="auto"/>
        </w:rPr>
      </w:pPr>
      <w:r>
        <w:rPr>
          <w:rFonts w:ascii="Arial" w:cs="Arial" w:eastAsia="Arial" w:hAnsi="Arial"/>
          <w:sz w:val="15"/>
          <w:szCs w:val="15"/>
          <w:color w:val="auto"/>
        </w:rPr>
        <w:t>Natural gas prices were also higher in 2003 than in 2002. Benchmark prices for Henry Hub U.S. natural gas averaged more than $5 per thousand cubic feet in 2003, versus about $3 in 2002. The 2003 year-end price was nearly $6 per thousand cubic feet, about a dollar higher than the year-earlier level. Prices in the United States are typically highest during the winter period, when demand for heating fuel is greatest. At the end of February 2004, the U.S. benchmark price was about $5 per thousand cubic feet. The trend toward higher U.S. natural gas prices is mainly the result of overall demand based upon the strength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3000" w:val="left"/>
        </w:tabs>
        <w:rPr>
          <w:sz w:val="20"/>
          <w:szCs w:val="20"/>
          <w:color w:val="auto"/>
        </w:rPr>
      </w:pPr>
      <w:r>
        <w:rPr>
          <w:rFonts w:ascii="Arial" w:cs="Arial" w:eastAsia="Arial" w:hAnsi="Arial"/>
          <w:sz w:val="13"/>
          <w:szCs w:val="13"/>
          <w:color w:val="auto"/>
        </w:rPr>
        <w:t>Average prices climbed more than 70 percent during</w:t>
      </w:r>
      <w:r>
        <w:rPr>
          <w:sz w:val="20"/>
          <w:szCs w:val="20"/>
          <w:color w:val="auto"/>
        </w:rPr>
        <w:tab/>
      </w:r>
      <w:r>
        <w:rPr>
          <w:rFonts w:ascii="Arial" w:cs="Arial" w:eastAsia="Arial" w:hAnsi="Arial"/>
          <w:sz w:val="11"/>
          <w:szCs w:val="11"/>
          <w:color w:val="auto"/>
        </w:rPr>
        <w:t>Net liquids production declined about 5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-3023870</wp:posOffset>
            </wp:positionV>
            <wp:extent cx="3155950" cy="7684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55950" cy="7684135"/>
                    </a:xfrm>
                    <a:prstGeom prst="rect">
                      <a:avLst/>
                    </a:prstGeom>
                    <a:noFill/>
                  </pic:spPr>
                </pic:pic>
              </a:graphicData>
            </a:graphic>
          </wp:anchor>
        </w:drawing>
      </w:r>
    </w:p>
    <w:p>
      <w:pPr>
        <w:spacing w:after="0"/>
        <w:tabs>
          <w:tab w:leader="none" w:pos="3000" w:val="left"/>
        </w:tabs>
        <w:rPr>
          <w:sz w:val="20"/>
          <w:szCs w:val="20"/>
          <w:color w:val="auto"/>
        </w:rPr>
      </w:pPr>
      <w:r>
        <w:rPr>
          <w:rFonts w:ascii="Arial" w:cs="Arial" w:eastAsia="Arial" w:hAnsi="Arial"/>
          <w:sz w:val="13"/>
          <w:szCs w:val="13"/>
          <w:color w:val="auto"/>
        </w:rPr>
        <w:t>2003. Production was down more than 7 percent due</w:t>
      </w:r>
      <w:r>
        <w:rPr>
          <w:sz w:val="20"/>
          <w:szCs w:val="20"/>
          <w:color w:val="auto"/>
        </w:rPr>
        <w:tab/>
      </w:r>
      <w:r>
        <w:rPr>
          <w:rFonts w:ascii="Arial" w:cs="Arial" w:eastAsia="Arial" w:hAnsi="Arial"/>
          <w:sz w:val="11"/>
          <w:szCs w:val="11"/>
          <w:color w:val="auto"/>
        </w:rPr>
        <w:t>in 2003, primarily the result of normal field</w:t>
      </w:r>
    </w:p>
    <w:p>
      <w:pPr>
        <w:spacing w:after="0"/>
        <w:tabs>
          <w:tab w:leader="none" w:pos="3000" w:val="left"/>
        </w:tabs>
        <w:rPr>
          <w:sz w:val="20"/>
          <w:szCs w:val="20"/>
          <w:color w:val="auto"/>
        </w:rPr>
      </w:pPr>
      <w:r>
        <w:rPr>
          <w:rFonts w:ascii="Arial" w:cs="Arial" w:eastAsia="Arial" w:hAnsi="Arial"/>
          <w:sz w:val="13"/>
          <w:szCs w:val="13"/>
          <w:color w:val="auto"/>
        </w:rPr>
        <w:t>to normal field declines and production not restored</w:t>
      </w:r>
      <w:r>
        <w:rPr>
          <w:sz w:val="20"/>
          <w:szCs w:val="20"/>
          <w:color w:val="auto"/>
        </w:rPr>
        <w:tab/>
      </w:r>
      <w:r>
        <w:rPr>
          <w:rFonts w:ascii="Arial" w:cs="Arial" w:eastAsia="Arial" w:hAnsi="Arial"/>
          <w:sz w:val="11"/>
          <w:szCs w:val="11"/>
          <w:color w:val="auto"/>
        </w:rPr>
        <w:t>declines in the United States.</w:t>
      </w:r>
    </w:p>
    <w:p>
      <w:pPr>
        <w:spacing w:after="0" w:line="217" w:lineRule="auto"/>
        <w:rPr>
          <w:sz w:val="20"/>
          <w:szCs w:val="20"/>
          <w:color w:val="auto"/>
        </w:rPr>
      </w:pPr>
      <w:r>
        <w:rPr>
          <w:rFonts w:ascii="Arial" w:cs="Arial" w:eastAsia="Arial" w:hAnsi="Arial"/>
          <w:sz w:val="13"/>
          <w:szCs w:val="13"/>
          <w:color w:val="auto"/>
        </w:rPr>
        <w:t>after 2002 storm damage to facilities in the Gulf of</w:t>
      </w:r>
    </w:p>
    <w:p>
      <w:pPr>
        <w:spacing w:after="0"/>
        <w:tabs>
          <w:tab w:leader="none" w:pos="3000" w:val="left"/>
        </w:tabs>
        <w:rPr>
          <w:sz w:val="20"/>
          <w:szCs w:val="20"/>
          <w:color w:val="auto"/>
        </w:rPr>
      </w:pPr>
      <w:r>
        <w:rPr>
          <w:rFonts w:ascii="Arial" w:cs="Arial" w:eastAsia="Arial" w:hAnsi="Arial"/>
          <w:sz w:val="13"/>
          <w:szCs w:val="13"/>
          <w:color w:val="auto"/>
        </w:rPr>
        <w:t>Mexico.</w:t>
      </w:r>
      <w:r>
        <w:rPr>
          <w:sz w:val="20"/>
          <w:szCs w:val="20"/>
          <w:color w:val="auto"/>
        </w:rPr>
        <w:tab/>
      </w:r>
      <w:r>
        <w:rPr>
          <w:rFonts w:ascii="Arial" w:cs="Arial" w:eastAsia="Arial" w:hAnsi="Arial"/>
          <w:sz w:val="13"/>
          <w:szCs w:val="13"/>
          <w:i w:val="1"/>
          <w:iCs w:val="1"/>
          <w:color w:val="auto"/>
        </w:rPr>
        <w:t>* Includes equity in affiliates</w:t>
      </w:r>
    </w:p>
    <w:p>
      <w:pPr>
        <w:spacing w:after="0" w:line="142"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economy and the declining levels of industry reserves and production in the United States.</w:t>
      </w:r>
    </w:p>
    <w:p>
      <w:pPr>
        <w:spacing w:after="0" w:line="118" w:lineRule="exact"/>
        <w:rPr>
          <w:sz w:val="20"/>
          <w:szCs w:val="20"/>
          <w:color w:val="auto"/>
        </w:rPr>
      </w:pPr>
    </w:p>
    <w:p>
      <w:pPr>
        <w:ind w:right="20" w:firstLine="203"/>
        <w:spacing w:after="0" w:line="282" w:lineRule="auto"/>
        <w:rPr>
          <w:sz w:val="20"/>
          <w:szCs w:val="20"/>
          <w:color w:val="auto"/>
        </w:rPr>
      </w:pPr>
      <w:r>
        <w:rPr>
          <w:rFonts w:ascii="Arial" w:cs="Arial" w:eastAsia="Arial" w:hAnsi="Arial"/>
          <w:sz w:val="15"/>
          <w:szCs w:val="15"/>
          <w:color w:val="auto"/>
        </w:rPr>
        <w:t>Partially offsetting the benefit of higher crude oil and natural gas prices in 2003 was a 4 percent decline in the company’s worldwide oil-equivalent production from the prior year. The decrease was largely the result of lower production in the United States due to normal field declines and production deemed uneconomic to restore following storm damages in the Gulf of Mexico in the second half of 2002. International oil-equivalent production was also down slightly — primarily the result of lower liquids production in the company’s Indonesian operations. The reduced net production in Indonesia was mainly due to the effect of higher prices on cost-oil recovery volumes under production-sharing arrangements and the expiration of a production-sharing agreement in the third quarter 2002.</w:t>
      </w:r>
    </w:p>
    <w:p>
      <w:pPr>
        <w:spacing w:after="0" w:line="3" w:lineRule="exact"/>
        <w:rPr>
          <w:sz w:val="20"/>
          <w:szCs w:val="20"/>
          <w:color w:val="auto"/>
        </w:rPr>
      </w:pPr>
    </w:p>
    <w:p>
      <w:pPr>
        <w:ind w:firstLine="200"/>
        <w:spacing w:after="0" w:line="307" w:lineRule="auto"/>
        <w:rPr>
          <w:sz w:val="20"/>
          <w:szCs w:val="20"/>
          <w:color w:val="auto"/>
        </w:rPr>
      </w:pPr>
      <w:r>
        <w:rPr>
          <w:rFonts w:ascii="Arial" w:cs="Arial" w:eastAsia="Arial" w:hAnsi="Arial"/>
          <w:sz w:val="14"/>
          <w:szCs w:val="14"/>
          <w:color w:val="auto"/>
        </w:rPr>
        <w:t>The company’s oil-equivalent production level in future periods is uncertain, in part because of production quotas set by OPEC and the potential for production disruptions from civil unrest and changing geopolitics in the countries in which the company operates and holds interests. Twenty-two percent of the company’s net oil equivalent production in 2003 was in the OPEC-member countries of Indonesia, Nigeria and Venezuela and in the Partitioned Neutral Zone between Saudi Arabia and Kuwait. Although the company’s production levels in these areas were not constrained in 2003 by OPEC quotas, future production could be affected by OPEC-imposed limitations. In Nigeria, about 45,000 barrels per day of the company’s net production capacity has been shut-in in certain onshore areas since March 2003 because of security concerns. The company expects to re-enter this area during 2004 to begin repairing damaged equipment. OPEC production constraints could possibly limit the eventual resumption of a portion or all of this production.</w:t>
      </w:r>
    </w:p>
    <w:p>
      <w:pPr>
        <w:spacing w:after="0" w:line="115" w:lineRule="exact"/>
        <w:rPr>
          <w:sz w:val="20"/>
          <w:szCs w:val="20"/>
          <w:color w:val="auto"/>
        </w:rPr>
      </w:pPr>
    </w:p>
    <w:p>
      <w:pPr>
        <w:ind w:right="120" w:firstLine="203"/>
        <w:spacing w:after="0" w:line="271" w:lineRule="auto"/>
        <w:rPr>
          <w:sz w:val="20"/>
          <w:szCs w:val="20"/>
          <w:color w:val="auto"/>
        </w:rPr>
      </w:pPr>
      <w:r>
        <w:rPr>
          <w:rFonts w:ascii="Arial" w:cs="Arial" w:eastAsia="Arial" w:hAnsi="Arial"/>
          <w:sz w:val="16"/>
          <w:szCs w:val="16"/>
          <w:i w:val="1"/>
          <w:iCs w:val="1"/>
          <w:color w:val="F20000"/>
        </w:rPr>
        <w:t xml:space="preserve">Downstream </w:t>
      </w:r>
      <w:r>
        <w:rPr>
          <w:rFonts w:ascii="Arial" w:cs="Arial" w:eastAsia="Arial" w:hAnsi="Arial"/>
          <w:sz w:val="16"/>
          <w:szCs w:val="16"/>
          <w:color w:val="000000"/>
        </w:rPr>
        <w:t>Refining, marketing and transportation earnings are closely tied to</w:t>
      </w:r>
      <w:r>
        <w:rPr>
          <w:rFonts w:ascii="Arial" w:cs="Arial" w:eastAsia="Arial" w:hAnsi="Arial"/>
          <w:sz w:val="16"/>
          <w:szCs w:val="16"/>
          <w:i w:val="1"/>
          <w:iCs w:val="1"/>
          <w:color w:val="F20000"/>
        </w:rPr>
        <w:t xml:space="preserve"> </w:t>
      </w:r>
      <w:r>
        <w:rPr>
          <w:rFonts w:ascii="Arial" w:cs="Arial" w:eastAsia="Arial" w:hAnsi="Arial"/>
          <w:sz w:val="16"/>
          <w:szCs w:val="16"/>
          <w:color w:val="000000"/>
        </w:rPr>
        <w:t>regional supply and demand for refined products and the associated effects on industry refining and marketing margins. The company’s core marketing areas are the western and southeastern United States, western Canada, the Asia-Pacific, northern Europe, Africa and Latin America.</w:t>
      </w:r>
    </w:p>
    <w:p>
      <w:pPr>
        <w:spacing w:after="0" w:line="200" w:lineRule="exact"/>
        <w:rPr>
          <w:sz w:val="20"/>
          <w:szCs w:val="20"/>
          <w:color w:val="auto"/>
        </w:rPr>
      </w:pPr>
    </w:p>
    <w:p>
      <w:pPr>
        <w:sectPr>
          <w:pgSz w:w="11900" w:h="16838" w:orient="portrait"/>
          <w:cols w:equalWidth="0" w:num="2">
            <w:col w:w="5460" w:space="420"/>
            <w:col w:w="5480"/>
          </w:cols>
          <w:pgMar w:left="240" w:top="419" w:right="2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14"/>
        </w:numPr>
        <w:rPr>
          <w:rFonts w:ascii="Arial" w:cs="Arial" w:eastAsia="Arial" w:hAnsi="Arial"/>
          <w:sz w:val="26"/>
          <w:szCs w:val="26"/>
          <w:b w:val="1"/>
          <w:bCs w:val="1"/>
          <w:color w:val="0070FF"/>
        </w:rPr>
      </w:pPr>
      <w:r>
        <w:rPr>
          <w:rFonts w:ascii="Arial" w:cs="Arial" w:eastAsia="Arial" w:hAnsi="Arial"/>
          <w:sz w:val="21"/>
          <w:szCs w:val="21"/>
          <w:b w:val="1"/>
          <w:bCs w:val="1"/>
          <w:color w:val="0070FF"/>
        </w:rPr>
        <w:t>Management’s Discussion and Analysis of Financial Condition and Results of Operations</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203"/>
        <w:spacing w:after="0" w:line="283" w:lineRule="auto"/>
        <w:rPr>
          <w:sz w:val="20"/>
          <w:szCs w:val="20"/>
          <w:color w:val="auto"/>
        </w:rPr>
      </w:pPr>
      <w:r>
        <w:rPr>
          <w:rFonts w:ascii="Arial" w:cs="Arial" w:eastAsia="Arial" w:hAnsi="Arial"/>
          <w:sz w:val="15"/>
          <w:szCs w:val="15"/>
          <w:color w:val="auto"/>
        </w:rPr>
        <w:t>Company-specific factors influencing the company’s profitability in this segment include the operating efficiencies of the refinery network, including any downtime due to planned maintenance, refinery upgrade projects or operating incidents.</w:t>
      </w:r>
    </w:p>
    <w:p>
      <w:pPr>
        <w:spacing w:after="0" w:line="1" w:lineRule="exact"/>
        <w:rPr>
          <w:sz w:val="20"/>
          <w:szCs w:val="20"/>
          <w:color w:val="auto"/>
        </w:rPr>
      </w:pPr>
    </w:p>
    <w:p>
      <w:pPr>
        <w:ind w:firstLine="203"/>
        <w:spacing w:after="0" w:line="288" w:lineRule="auto"/>
        <w:rPr>
          <w:sz w:val="20"/>
          <w:szCs w:val="20"/>
          <w:color w:val="auto"/>
        </w:rPr>
      </w:pPr>
      <w:r>
        <w:rPr>
          <w:rFonts w:ascii="Arial" w:cs="Arial" w:eastAsia="Arial" w:hAnsi="Arial"/>
          <w:sz w:val="15"/>
          <w:szCs w:val="15"/>
          <w:color w:val="auto"/>
        </w:rPr>
        <w:t>Downstream earnings improved in 2003, compared with the prior year, on higher refined product margins in most of the company’s operating areas. In contrast, margins in the 2002 period were at their lowest levels since the mid-1990s, as weak market conditions did not allow rising feedstock costs to be fully recovered from consumers of refined products. Industry margins may be volatile in the future, depending primarily on price movements for crude oil feedstocks, the strength of the economies in which the company operates and other factors.</w:t>
      </w:r>
    </w:p>
    <w:p>
      <w:pPr>
        <w:spacing w:after="0" w:line="127" w:lineRule="exact"/>
        <w:rPr>
          <w:sz w:val="20"/>
          <w:szCs w:val="20"/>
          <w:color w:val="auto"/>
        </w:rPr>
      </w:pPr>
    </w:p>
    <w:p>
      <w:pPr>
        <w:ind w:right="40" w:firstLine="203"/>
        <w:spacing w:after="0" w:line="271" w:lineRule="auto"/>
        <w:rPr>
          <w:sz w:val="20"/>
          <w:szCs w:val="20"/>
          <w:color w:val="auto"/>
        </w:rPr>
      </w:pPr>
      <w:r>
        <w:rPr>
          <w:rFonts w:ascii="Arial" w:cs="Arial" w:eastAsia="Arial" w:hAnsi="Arial"/>
          <w:sz w:val="16"/>
          <w:szCs w:val="16"/>
          <w:i w:val="1"/>
          <w:iCs w:val="1"/>
          <w:color w:val="F20000"/>
        </w:rPr>
        <w:t xml:space="preserve">Chemicals </w:t>
      </w:r>
      <w:r>
        <w:rPr>
          <w:rFonts w:ascii="Arial" w:cs="Arial" w:eastAsia="Arial" w:hAnsi="Arial"/>
          <w:sz w:val="16"/>
          <w:szCs w:val="16"/>
          <w:color w:val="000000"/>
        </w:rPr>
        <w:t>Earnings of $69 million in 2003 were lower than the year-ago period.</w:t>
      </w:r>
      <w:r>
        <w:rPr>
          <w:rFonts w:ascii="Arial" w:cs="Arial" w:eastAsia="Arial" w:hAnsi="Arial"/>
          <w:sz w:val="16"/>
          <w:szCs w:val="16"/>
          <w:i w:val="1"/>
          <w:iCs w:val="1"/>
          <w:color w:val="F20000"/>
        </w:rPr>
        <w:t xml:space="preserve"> </w:t>
      </w:r>
      <w:r>
        <w:rPr>
          <w:rFonts w:ascii="Arial" w:cs="Arial" w:eastAsia="Arial" w:hAnsi="Arial"/>
          <w:sz w:val="16"/>
          <w:szCs w:val="16"/>
          <w:color w:val="000000"/>
        </w:rPr>
        <w:t>Depressed earnings in both years reflected excess-supply conditions for the commodity chemicals industry that have kept product margins at low levels for a protracted period. A significant improvement in earnings is not expected in the near future.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OPERATING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Key operating developments and events during 2003 and early 2004 included: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Upstream</w:t>
      </w:r>
    </w:p>
    <w:p>
      <w:pPr>
        <w:spacing w:after="0" w:line="22" w:lineRule="exact"/>
        <w:rPr>
          <w:sz w:val="20"/>
          <w:szCs w:val="20"/>
          <w:color w:val="auto"/>
        </w:rPr>
      </w:pPr>
    </w:p>
    <w:p>
      <w:pPr>
        <w:jc w:val="both"/>
        <w:ind w:right="80"/>
        <w:spacing w:after="0" w:line="276" w:lineRule="auto"/>
        <w:rPr>
          <w:sz w:val="20"/>
          <w:szCs w:val="20"/>
          <w:color w:val="auto"/>
        </w:rPr>
      </w:pPr>
      <w:r>
        <w:rPr>
          <w:rFonts w:ascii="Arial" w:cs="Arial" w:eastAsia="Arial" w:hAnsi="Arial"/>
          <w:sz w:val="16"/>
          <w:szCs w:val="16"/>
          <w:i w:val="1"/>
          <w:iCs w:val="1"/>
          <w:color w:val="F20000"/>
        </w:rPr>
        <w:t xml:space="preserve">Worldwide Oil and Gas Reserves </w:t>
      </w:r>
      <w:r>
        <w:rPr>
          <w:rFonts w:ascii="Arial" w:cs="Arial" w:eastAsia="Arial" w:hAnsi="Arial"/>
          <w:sz w:val="16"/>
          <w:szCs w:val="16"/>
          <w:color w:val="000000"/>
        </w:rPr>
        <w:t>Approximately 1 billion barrels of oil-equivalent</w:t>
      </w:r>
      <w:r>
        <w:rPr>
          <w:rFonts w:ascii="Arial" w:cs="Arial" w:eastAsia="Arial" w:hAnsi="Arial"/>
          <w:sz w:val="16"/>
          <w:szCs w:val="16"/>
          <w:i w:val="1"/>
          <w:iCs w:val="1"/>
          <w:color w:val="F20000"/>
        </w:rPr>
        <w:t xml:space="preserve"> </w:t>
      </w:r>
      <w:r>
        <w:rPr>
          <w:rFonts w:ascii="Arial" w:cs="Arial" w:eastAsia="Arial" w:hAnsi="Arial"/>
          <w:sz w:val="16"/>
          <w:szCs w:val="16"/>
          <w:color w:val="000000"/>
        </w:rPr>
        <w:t>reserves were added during 2003, including sales and acquisitions. These additions equated to 108 percent of production for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ChevronTexaco is the operator and holds a 50 percent working interest in both the Perseus and Sturgis prospects. In the non-operated discoveries, the company holds a 30 percent interest in Tubular Bells and a 12.5 percent interest in Saint Malo. Additionally at the Blind Faith discovery, an agreement was reached to assume operatorship and increase the company’s working interest to 50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-679450</wp:posOffset>
            </wp:positionV>
            <wp:extent cx="8890" cy="638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6388735"/>
                    </a:xfrm>
                    <a:prstGeom prst="rect">
                      <a:avLst/>
                    </a:prstGeom>
                    <a:noFill/>
                  </pic:spPr>
                </pic:pic>
              </a:graphicData>
            </a:graphic>
          </wp:anchor>
        </w:drawing>
      </w:r>
    </w:p>
    <w:p>
      <w:pPr>
        <w:ind w:right="440" w:firstLine="194"/>
        <w:spacing w:after="0" w:line="264" w:lineRule="auto"/>
        <w:rPr>
          <w:sz w:val="20"/>
          <w:szCs w:val="20"/>
          <w:color w:val="auto"/>
        </w:rPr>
      </w:pPr>
      <w:r>
        <w:rPr>
          <w:rFonts w:ascii="Arial" w:cs="Arial" w:eastAsia="Arial" w:hAnsi="Arial"/>
          <w:sz w:val="16"/>
          <w:szCs w:val="16"/>
          <w:color w:val="auto"/>
        </w:rPr>
        <w:t>At the Tahiti prospect, a major discovery in the deepwater Gulf of Mexico, appraisal drilling validated the presence of high-quality reservoir sand. ChevronTexaco is the operator of the prospect and has a 58 percent working interest.</w:t>
      </w:r>
    </w:p>
    <w:p>
      <w:pPr>
        <w:spacing w:after="0" w:line="1" w:lineRule="exact"/>
        <w:rPr>
          <w:sz w:val="20"/>
          <w:szCs w:val="20"/>
          <w:color w:val="auto"/>
        </w:rPr>
      </w:pPr>
    </w:p>
    <w:p>
      <w:pPr>
        <w:ind w:right="140" w:firstLine="203"/>
        <w:spacing w:after="0" w:line="264" w:lineRule="auto"/>
        <w:rPr>
          <w:sz w:val="20"/>
          <w:szCs w:val="20"/>
          <w:color w:val="auto"/>
        </w:rPr>
      </w:pPr>
      <w:r>
        <w:rPr>
          <w:rFonts w:ascii="Arial" w:cs="Arial" w:eastAsia="Arial" w:hAnsi="Arial"/>
          <w:sz w:val="16"/>
          <w:szCs w:val="16"/>
          <w:color w:val="auto"/>
        </w:rPr>
        <w:t>In late 2003, an appraisal well was drilled at the Great White discovery, a nonoperated exploratory opportunity in the western Gulf of Mexico. The company has a 33 percent working interest in this prospect.</w:t>
      </w:r>
    </w:p>
    <w:p>
      <w:pPr>
        <w:spacing w:after="0" w:line="1" w:lineRule="exact"/>
        <w:rPr>
          <w:sz w:val="20"/>
          <w:szCs w:val="20"/>
          <w:color w:val="auto"/>
        </w:rPr>
      </w:pPr>
    </w:p>
    <w:p>
      <w:pPr>
        <w:jc w:val="both"/>
        <w:ind w:right="20" w:firstLine="203"/>
        <w:spacing w:after="0" w:line="264" w:lineRule="auto"/>
        <w:rPr>
          <w:sz w:val="20"/>
          <w:szCs w:val="20"/>
          <w:color w:val="auto"/>
        </w:rPr>
      </w:pPr>
      <w:r>
        <w:rPr>
          <w:rFonts w:ascii="Arial" w:cs="Arial" w:eastAsia="Arial" w:hAnsi="Arial"/>
          <w:sz w:val="16"/>
          <w:szCs w:val="16"/>
          <w:i w:val="1"/>
          <w:iCs w:val="1"/>
          <w:color w:val="F20000"/>
        </w:rPr>
        <w:t xml:space="preserve">Australia </w:t>
      </w:r>
      <w:r>
        <w:rPr>
          <w:rFonts w:ascii="Arial" w:cs="Arial" w:eastAsia="Arial" w:hAnsi="Arial"/>
          <w:sz w:val="16"/>
          <w:szCs w:val="16"/>
          <w:color w:val="000000"/>
        </w:rPr>
        <w:t>A well was drilled during 2003 in the Io-Jansz natural gas field, off the</w:t>
      </w:r>
      <w:r>
        <w:rPr>
          <w:rFonts w:ascii="Arial" w:cs="Arial" w:eastAsia="Arial" w:hAnsi="Arial"/>
          <w:sz w:val="16"/>
          <w:szCs w:val="16"/>
          <w:i w:val="1"/>
          <w:iCs w:val="1"/>
          <w:color w:val="F20000"/>
        </w:rPr>
        <w:t xml:space="preserve"> </w:t>
      </w:r>
      <w:r>
        <w:rPr>
          <w:rFonts w:ascii="Arial" w:cs="Arial" w:eastAsia="Arial" w:hAnsi="Arial"/>
          <w:sz w:val="16"/>
          <w:szCs w:val="16"/>
          <w:color w:val="000000"/>
        </w:rPr>
        <w:t>northwest coast of Western Australia. Test results provided verification of the field’s extensive production potential. ChevronTexaco holds a 50 percent equity interest in the WA-18-R permit area.</w:t>
      </w:r>
    </w:p>
    <w:p>
      <w:pPr>
        <w:spacing w:after="0" w:line="1" w:lineRule="exact"/>
        <w:rPr>
          <w:sz w:val="20"/>
          <w:szCs w:val="20"/>
          <w:color w:val="auto"/>
        </w:rPr>
      </w:pPr>
    </w:p>
    <w:p>
      <w:pPr>
        <w:ind w:firstLine="203"/>
        <w:spacing w:after="0" w:line="273" w:lineRule="auto"/>
        <w:rPr>
          <w:sz w:val="20"/>
          <w:szCs w:val="20"/>
          <w:color w:val="auto"/>
        </w:rPr>
      </w:pPr>
      <w:r>
        <w:rPr>
          <w:rFonts w:ascii="Arial" w:cs="Arial" w:eastAsia="Arial" w:hAnsi="Arial"/>
          <w:sz w:val="15"/>
          <w:szCs w:val="15"/>
          <w:i w:val="1"/>
          <w:iCs w:val="1"/>
          <w:color w:val="F20000"/>
        </w:rPr>
        <w:t xml:space="preserve">Nigeria </w:t>
      </w:r>
      <w:r>
        <w:rPr>
          <w:rFonts w:ascii="Arial" w:cs="Arial" w:eastAsia="Arial" w:hAnsi="Arial"/>
          <w:sz w:val="15"/>
          <w:szCs w:val="15"/>
          <w:color w:val="000000"/>
        </w:rPr>
        <w:t>In October 2003, successful results were announced from the Aparo-3</w:t>
      </w:r>
      <w:r>
        <w:rPr>
          <w:rFonts w:ascii="Arial" w:cs="Arial" w:eastAsia="Arial" w:hAnsi="Arial"/>
          <w:sz w:val="15"/>
          <w:szCs w:val="15"/>
          <w:i w:val="1"/>
          <w:iCs w:val="1"/>
          <w:color w:val="F20000"/>
        </w:rPr>
        <w:t xml:space="preserve"> </w:t>
      </w:r>
      <w:r>
        <w:rPr>
          <w:rFonts w:ascii="Arial" w:cs="Arial" w:eastAsia="Arial" w:hAnsi="Arial"/>
          <w:sz w:val="15"/>
          <w:szCs w:val="15"/>
          <w:color w:val="000000"/>
        </w:rPr>
        <w:t>appraisal well and the Nsiko-1 wildcat well in deepwater Block OPL-249, where the company is entitled to a variable equity interest over the life of the field. In addition, the company announced a significant extension of its 30 percent-owned Usan Field discovery. The drilling of the Usan-4 appraisal well, located in deepwater Block OPL-222, confirmed the presence of commercial quantities of oil as well as additional potential in previously untested reservoirs. In early 2003, the company announced a gas discovery in the 46 percent-owned deepwater Block OPL-218, following completion of the Nnwa-2 appraisal well.</w:t>
      </w:r>
    </w:p>
    <w:p>
      <w:pPr>
        <w:spacing w:after="0" w:line="1" w:lineRule="exact"/>
        <w:rPr>
          <w:sz w:val="20"/>
          <w:szCs w:val="20"/>
          <w:color w:val="auto"/>
        </w:rPr>
      </w:pPr>
    </w:p>
    <w:p>
      <w:pPr>
        <w:sectPr>
          <w:pgSz w:w="11900" w:h="16838" w:orient="portrait"/>
          <w:cols w:equalWidth="0" w:num="2">
            <w:col w:w="5480" w:space="400"/>
            <w:col w:w="5480"/>
          </w:cols>
          <w:pgMar w:left="240" w:top="419"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Net proved reserves additions in 2003 equaled 108 percent of oil-equivalent production for the period. This was the 11th consecutive year that reserve additions exceeded 100 percent of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-3041650</wp:posOffset>
            </wp:positionV>
            <wp:extent cx="1149350" cy="2349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49350" cy="2349500"/>
                    </a:xfrm>
                    <a:prstGeom prst="rect">
                      <a:avLst/>
                    </a:prstGeom>
                    <a:noFill/>
                  </pic:spPr>
                </pic:pic>
              </a:graphicData>
            </a:graphic>
          </wp:anchor>
        </w:drawing>
      </w:r>
    </w:p>
    <w:p>
      <w:pPr>
        <w:spacing w:after="0" w:line="86" w:lineRule="exact"/>
        <w:rPr>
          <w:sz w:val="20"/>
          <w:szCs w:val="20"/>
          <w:color w:val="auto"/>
        </w:rPr>
      </w:pPr>
    </w:p>
    <w:p>
      <w:pPr>
        <w:ind w:left="200" w:hanging="97"/>
        <w:spacing w:after="0"/>
        <w:tabs>
          <w:tab w:leader="none" w:pos="200" w:val="left"/>
        </w:tabs>
        <w:numPr>
          <w:ilvl w:val="1"/>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Barrels of oil-equivalent</w:t>
      </w:r>
    </w:p>
    <w:p>
      <w:pPr>
        <w:ind w:left="160" w:hanging="152"/>
        <w:spacing w:after="0"/>
        <w:tabs>
          <w:tab w:leader="none" w:pos="160"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Includes equity in affiliates</w:t>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Arial" w:cs="Arial" w:eastAsia="Arial" w:hAnsi="Arial"/>
          <w:sz w:val="15"/>
          <w:szCs w:val="15"/>
          <w:color w:val="auto"/>
        </w:rPr>
        <w:t>year. Of the 1 billion barrels added, nearly 300 million were the result of discoveries and extensions, including almost 200 million in the United States. Contract extensions in Colombia and Denmark accounted for approximately 200 million additional barrels. About 100 million barrels were added through improved recovery techniques, primarily in Indonesia and the United States. Finally, the largest revisions resulted from reservoir studies and analyses in Kazakhstan, increasing reserves 300 million barrels.</w:t>
      </w:r>
    </w:p>
    <w:p>
      <w:pPr>
        <w:spacing w:after="0" w:line="3" w:lineRule="exact"/>
        <w:rPr>
          <w:sz w:val="20"/>
          <w:szCs w:val="20"/>
          <w:color w:val="auto"/>
        </w:rPr>
      </w:pPr>
    </w:p>
    <w:p>
      <w:pPr>
        <w:ind w:firstLine="203"/>
        <w:spacing w:after="0" w:line="301" w:lineRule="auto"/>
        <w:rPr>
          <w:sz w:val="20"/>
          <w:szCs w:val="20"/>
          <w:color w:val="auto"/>
        </w:rPr>
      </w:pPr>
      <w:r>
        <w:rPr>
          <w:rFonts w:ascii="Arial" w:cs="Arial" w:eastAsia="Arial" w:hAnsi="Arial"/>
          <w:sz w:val="14"/>
          <w:szCs w:val="14"/>
          <w:i w:val="1"/>
          <w:iCs w:val="1"/>
          <w:color w:val="F20000"/>
        </w:rPr>
        <w:t xml:space="preserve">North America </w:t>
      </w:r>
      <w:r>
        <w:rPr>
          <w:rFonts w:ascii="Arial" w:cs="Arial" w:eastAsia="Arial" w:hAnsi="Arial"/>
          <w:sz w:val="14"/>
          <w:szCs w:val="14"/>
          <w:color w:val="000000"/>
        </w:rPr>
        <w:t>Plans were initiated to improve the</w:t>
      </w:r>
      <w:r>
        <w:rPr>
          <w:rFonts w:ascii="Arial" w:cs="Arial" w:eastAsia="Arial" w:hAnsi="Arial"/>
          <w:sz w:val="14"/>
          <w:szCs w:val="14"/>
          <w:i w:val="1"/>
          <w:iCs w:val="1"/>
          <w:color w:val="F20000"/>
        </w:rPr>
        <w:t xml:space="preserve"> </w:t>
      </w:r>
      <w:r>
        <w:rPr>
          <w:rFonts w:ascii="Arial" w:cs="Arial" w:eastAsia="Arial" w:hAnsi="Arial"/>
          <w:sz w:val="14"/>
          <w:szCs w:val="14"/>
          <w:color w:val="000000"/>
        </w:rPr>
        <w:t>competitive performance and operating efficiency of the company’s North America exploration and production portfolio. These plans include the sale of certain nonstrategic producing properties and royalty interests in the United States and possibly western Canada. The company expects to retain about 400 core fields. Additionally, the company expects to consolidate certain business functions and office locations.</w:t>
      </w:r>
    </w:p>
    <w:p>
      <w:pPr>
        <w:spacing w:after="0" w:line="6" w:lineRule="exact"/>
        <w:rPr>
          <w:sz w:val="20"/>
          <w:szCs w:val="20"/>
          <w:color w:val="auto"/>
        </w:rPr>
      </w:pPr>
    </w:p>
    <w:p>
      <w:pPr>
        <w:jc w:val="both"/>
        <w:ind w:right="160" w:firstLine="203"/>
        <w:spacing w:after="0" w:line="276" w:lineRule="auto"/>
        <w:rPr>
          <w:sz w:val="20"/>
          <w:szCs w:val="20"/>
          <w:color w:val="auto"/>
        </w:rPr>
      </w:pPr>
      <w:r>
        <w:rPr>
          <w:rFonts w:ascii="Arial" w:cs="Arial" w:eastAsia="Arial" w:hAnsi="Arial"/>
          <w:sz w:val="16"/>
          <w:szCs w:val="16"/>
          <w:color w:val="auto"/>
        </w:rPr>
        <w:t>In late 2003, four new deepwater discoveries in the Gulf of Mexico — Perseus, Sturgis, Tubular Bells and Saint Malo — were announced.</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40" w:firstLine="203"/>
        <w:spacing w:after="0" w:line="265" w:lineRule="auto"/>
        <w:rPr>
          <w:sz w:val="20"/>
          <w:szCs w:val="20"/>
          <w:color w:val="auto"/>
        </w:rPr>
      </w:pPr>
      <w:r>
        <w:rPr>
          <w:rFonts w:ascii="Arial" w:cs="Arial" w:eastAsia="Arial" w:hAnsi="Arial"/>
          <w:sz w:val="16"/>
          <w:szCs w:val="16"/>
          <w:color w:val="auto"/>
        </w:rPr>
        <w:t>Earlier in the year, the company and its partners reached an agreement that will govern future operations in the offshore Block OPL-216 concession. The agreement is expected to enable the continued advancement of plans to develop the Agbami Field. The company has varying funding obligations and profit entitlement for the Block OPL-216 development according to the terms of two production-sharing contracts in the concession.</w:t>
      </w:r>
    </w:p>
    <w:p>
      <w:pPr>
        <w:ind w:right="160" w:firstLine="203"/>
        <w:spacing w:after="0" w:line="281" w:lineRule="auto"/>
        <w:rPr>
          <w:sz w:val="20"/>
          <w:szCs w:val="20"/>
          <w:color w:val="auto"/>
        </w:rPr>
      </w:pPr>
      <w:r>
        <w:rPr>
          <w:rFonts w:ascii="Arial" w:cs="Arial" w:eastAsia="Arial" w:hAnsi="Arial"/>
          <w:sz w:val="15"/>
          <w:szCs w:val="15"/>
          <w:i w:val="1"/>
          <w:iCs w:val="1"/>
          <w:color w:val="F20000"/>
        </w:rPr>
        <w:t xml:space="preserve">Angola </w:t>
      </w:r>
      <w:r>
        <w:rPr>
          <w:rFonts w:ascii="Arial" w:cs="Arial" w:eastAsia="Arial" w:hAnsi="Arial"/>
          <w:sz w:val="15"/>
          <w:szCs w:val="15"/>
          <w:color w:val="000000"/>
        </w:rPr>
        <w:t>Major contracts were awarded for the first phase of development in the</w:t>
      </w:r>
      <w:r>
        <w:rPr>
          <w:rFonts w:ascii="Arial" w:cs="Arial" w:eastAsia="Arial" w:hAnsi="Arial"/>
          <w:sz w:val="15"/>
          <w:szCs w:val="15"/>
          <w:i w:val="1"/>
          <w:iCs w:val="1"/>
          <w:color w:val="F20000"/>
        </w:rPr>
        <w:t xml:space="preserve"> </w:t>
      </w:r>
      <w:r>
        <w:rPr>
          <w:rFonts w:ascii="Arial" w:cs="Arial" w:eastAsia="Arial" w:hAnsi="Arial"/>
          <w:sz w:val="15"/>
          <w:szCs w:val="15"/>
          <w:color w:val="000000"/>
        </w:rPr>
        <w:t>Benguela, Belize, Lobito and Tomboco fields in deepwater Block 14. The first phase will involve the drilling and completion of more than 30 development wells in the Benguela and Belize fields and the construction and installation of drilling and production facilities that will form a new production hub in Block 14. The company is the operator and holds a 31 percent interest in Block 14.</w:t>
      </w:r>
    </w:p>
    <w:p>
      <w:pPr>
        <w:spacing w:after="0" w:line="4" w:lineRule="exact"/>
        <w:rPr>
          <w:sz w:val="20"/>
          <w:szCs w:val="20"/>
          <w:color w:val="auto"/>
        </w:rPr>
      </w:pPr>
    </w:p>
    <w:p>
      <w:pPr>
        <w:ind w:right="40" w:firstLine="203"/>
        <w:spacing w:after="0" w:line="281" w:lineRule="auto"/>
        <w:rPr>
          <w:sz w:val="20"/>
          <w:szCs w:val="20"/>
          <w:color w:val="auto"/>
        </w:rPr>
      </w:pPr>
      <w:r>
        <w:rPr>
          <w:rFonts w:ascii="Arial" w:cs="Arial" w:eastAsia="Arial" w:hAnsi="Arial"/>
          <w:sz w:val="15"/>
          <w:szCs w:val="15"/>
          <w:i w:val="1"/>
          <w:iCs w:val="1"/>
          <w:color w:val="F20000"/>
        </w:rPr>
        <w:t xml:space="preserve">Chad/Cameroon </w:t>
      </w:r>
      <w:r>
        <w:rPr>
          <w:rFonts w:ascii="Arial" w:cs="Arial" w:eastAsia="Arial" w:hAnsi="Arial"/>
          <w:sz w:val="15"/>
          <w:szCs w:val="15"/>
          <w:color w:val="000000"/>
        </w:rPr>
        <w:t>The company’s first cargo of crude oil from fields in southern</w:t>
      </w:r>
      <w:r>
        <w:rPr>
          <w:rFonts w:ascii="Arial" w:cs="Arial" w:eastAsia="Arial" w:hAnsi="Arial"/>
          <w:sz w:val="15"/>
          <w:szCs w:val="15"/>
          <w:i w:val="1"/>
          <w:iCs w:val="1"/>
          <w:color w:val="F20000"/>
        </w:rPr>
        <w:t xml:space="preserve"> </w:t>
      </w:r>
      <w:r>
        <w:rPr>
          <w:rFonts w:ascii="Arial" w:cs="Arial" w:eastAsia="Arial" w:hAnsi="Arial"/>
          <w:sz w:val="15"/>
          <w:szCs w:val="15"/>
          <w:color w:val="000000"/>
        </w:rPr>
        <w:t>Chad was loaded at facilities offshore Cameroon for export to world markets in late 2003. The crude oil produced in Chad is transported more than 600 miles by pipeline to a floating storage and offloading vessel located several miles offshore. Full production capacity of 225,000 barrels per day is expected to be reached in mid-2004. ChevronTexaco holds a 25 percent equity interest in the Chad-Cameroon upstream operation and about a 23 percent interest in the pipeline.</w:t>
      </w:r>
    </w:p>
    <w:p>
      <w:pPr>
        <w:spacing w:after="0" w:line="4" w:lineRule="exact"/>
        <w:rPr>
          <w:sz w:val="20"/>
          <w:szCs w:val="20"/>
          <w:color w:val="auto"/>
        </w:rPr>
      </w:pPr>
    </w:p>
    <w:p>
      <w:pPr>
        <w:ind w:right="160" w:firstLine="203"/>
        <w:spacing w:after="0" w:line="288" w:lineRule="auto"/>
        <w:rPr>
          <w:sz w:val="20"/>
          <w:szCs w:val="20"/>
          <w:color w:val="auto"/>
        </w:rPr>
      </w:pPr>
      <w:r>
        <w:rPr>
          <w:rFonts w:ascii="Arial" w:cs="Arial" w:eastAsia="Arial" w:hAnsi="Arial"/>
          <w:sz w:val="16"/>
          <w:szCs w:val="16"/>
          <w:i w:val="1"/>
          <w:iCs w:val="1"/>
          <w:color w:val="F20000"/>
        </w:rPr>
        <w:t xml:space="preserve">Kazakhstan </w:t>
      </w:r>
      <w:r>
        <w:rPr>
          <w:rFonts w:ascii="Arial" w:cs="Arial" w:eastAsia="Arial" w:hAnsi="Arial"/>
          <w:sz w:val="16"/>
          <w:szCs w:val="16"/>
          <w:color w:val="000000"/>
        </w:rPr>
        <w:t>The company’s 50 percent-owned affiliate, Tengiz-chevroil (TCO)</w:t>
      </w:r>
      <w:r>
        <w:rPr>
          <w:rFonts w:ascii="Arial" w:cs="Arial" w:eastAsia="Arial" w:hAnsi="Arial"/>
          <w:sz w:val="16"/>
          <w:szCs w:val="16"/>
          <w:i w:val="1"/>
          <w:iCs w:val="1"/>
          <w:color w:val="F20000"/>
        </w:rPr>
        <w:t xml:space="preserve"> </w:t>
      </w:r>
      <w:r>
        <w:rPr>
          <w:rFonts w:ascii="Arial" w:cs="Arial" w:eastAsia="Arial" w:hAnsi="Arial"/>
          <w:sz w:val="16"/>
          <w:szCs w:val="16"/>
          <w:color w:val="000000"/>
        </w:rPr>
        <w:t>reached an agreement with the government of</w:t>
      </w:r>
    </w:p>
    <w:p>
      <w:pPr>
        <w:spacing w:after="0" w:line="1046" w:lineRule="exact"/>
        <w:rPr>
          <w:sz w:val="20"/>
          <w:szCs w:val="20"/>
          <w:color w:val="auto"/>
        </w:rPr>
      </w:pPr>
    </w:p>
    <w:p>
      <w:pPr>
        <w:sectPr>
          <w:pgSz w:w="11900" w:h="16838" w:orient="portrait"/>
          <w:cols w:equalWidth="0" w:num="3">
            <w:col w:w="1600" w:space="200"/>
            <w:col w:w="3680" w:space="400"/>
            <w:col w:w="5480"/>
          </w:cols>
          <w:pgMar w:left="240" w:top="419" w:right="299" w:bottom="1440" w:gutter="0" w:footer="0" w:header="0"/>
          <w:type w:val="continuous"/>
        </w:sectPr>
      </w:pP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Kazakhstan in the third quarter of 2003 to expand operations at the Tengiz and Korolev fields. The Sour Gas Injection/Second Generation project is expected to increase TCO’s oil production capacity from 285,000 barrels per day to between 430,000 and 500,000 barrels per day in the second half of 2006. Also, a 400-mile pipeline was completed that will enable production from the Karachaganak Field to be exported to world markets via the Caspian Pipeline when fully operational in mid-2004.</w:t>
      </w:r>
    </w:p>
    <w:p>
      <w:pPr>
        <w:spacing w:after="0" w:line="5" w:lineRule="exact"/>
        <w:rPr>
          <w:sz w:val="20"/>
          <w:szCs w:val="20"/>
          <w:color w:val="auto"/>
        </w:rPr>
      </w:pPr>
    </w:p>
    <w:p>
      <w:pPr>
        <w:ind w:right="140" w:firstLine="203"/>
        <w:spacing w:after="0" w:line="264" w:lineRule="auto"/>
        <w:rPr>
          <w:sz w:val="20"/>
          <w:szCs w:val="20"/>
          <w:color w:val="auto"/>
        </w:rPr>
      </w:pPr>
      <w:r>
        <w:rPr>
          <w:rFonts w:ascii="Arial" w:cs="Arial" w:eastAsia="Arial" w:hAnsi="Arial"/>
          <w:sz w:val="16"/>
          <w:szCs w:val="16"/>
          <w:i w:val="1"/>
          <w:iCs w:val="1"/>
          <w:color w:val="F20000"/>
        </w:rPr>
        <w:t xml:space="preserve">Colombia </w:t>
      </w:r>
      <w:r>
        <w:rPr>
          <w:rFonts w:ascii="Arial" w:cs="Arial" w:eastAsia="Arial" w:hAnsi="Arial"/>
          <w:sz w:val="16"/>
          <w:szCs w:val="16"/>
          <w:color w:val="000000"/>
        </w:rPr>
        <w:t>An agreement was reached that extends the company’s production</w:t>
      </w:r>
      <w:r>
        <w:rPr>
          <w:rFonts w:ascii="Arial" w:cs="Arial" w:eastAsia="Arial" w:hAnsi="Arial"/>
          <w:sz w:val="16"/>
          <w:szCs w:val="16"/>
          <w:i w:val="1"/>
          <w:iCs w:val="1"/>
          <w:color w:val="F20000"/>
        </w:rPr>
        <w:t xml:space="preserve"> </w:t>
      </w:r>
      <w:r>
        <w:rPr>
          <w:rFonts w:ascii="Arial" w:cs="Arial" w:eastAsia="Arial" w:hAnsi="Arial"/>
          <w:sz w:val="16"/>
          <w:szCs w:val="16"/>
          <w:color w:val="000000"/>
        </w:rPr>
        <w:t>rights in northern natural gas fields. Under the contract extension, ChevronTexaco holds a 43 percent interest with the remaining 57 percent held by the country’s national petroleum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F20000"/>
        </w:rPr>
        <w:t xml:space="preserve">Venezuela </w:t>
      </w:r>
      <w:r>
        <w:rPr>
          <w:rFonts w:ascii="Arial" w:cs="Arial" w:eastAsia="Arial" w:hAnsi="Arial"/>
          <w:sz w:val="14"/>
          <w:szCs w:val="14"/>
          <w:color w:val="000000"/>
        </w:rPr>
        <w:t>ChevronTexaco was awarded the license for the 60 percent-owned and</w:t>
      </w:r>
    </w:p>
    <w:p>
      <w:pPr>
        <w:spacing w:after="0" w:line="42" w:lineRule="exact"/>
        <w:rPr>
          <w:sz w:val="20"/>
          <w:szCs w:val="20"/>
          <w:color w:val="auto"/>
        </w:rPr>
      </w:pPr>
    </w:p>
    <w:p>
      <w:pPr>
        <w:ind w:right="620" w:firstLine="8"/>
        <w:spacing w:after="0" w:line="264" w:lineRule="auto"/>
        <w:tabs>
          <w:tab w:leader="none" w:pos="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-operated Block 2 Plataforma Deltana, a prospective natural gas region in Venezuela’s Atlantic continental shelf.</w:t>
      </w:r>
    </w:p>
    <w:p>
      <w:pPr>
        <w:ind w:firstLine="203"/>
        <w:spacing w:after="0" w:line="264" w:lineRule="auto"/>
        <w:rPr>
          <w:rFonts w:ascii="Arial" w:cs="Arial" w:eastAsia="Arial" w:hAnsi="Arial"/>
          <w:sz w:val="16"/>
          <w:szCs w:val="16"/>
          <w:color w:val="auto"/>
        </w:rPr>
      </w:pPr>
      <w:r>
        <w:rPr>
          <w:rFonts w:ascii="Arial" w:cs="Arial" w:eastAsia="Arial" w:hAnsi="Arial"/>
          <w:sz w:val="16"/>
          <w:szCs w:val="16"/>
          <w:i w:val="1"/>
          <w:iCs w:val="1"/>
          <w:color w:val="F20000"/>
        </w:rPr>
        <w:t xml:space="preserve">Global Natural Gas Projects </w:t>
      </w:r>
      <w:r>
        <w:rPr>
          <w:rFonts w:ascii="Arial" w:cs="Arial" w:eastAsia="Arial" w:hAnsi="Arial"/>
          <w:sz w:val="16"/>
          <w:szCs w:val="16"/>
          <w:color w:val="000000"/>
        </w:rPr>
        <w:t>In the Gulf of Mexico, the company’s permit</w:t>
      </w:r>
      <w:r>
        <w:rPr>
          <w:rFonts w:ascii="Arial" w:cs="Arial" w:eastAsia="Arial" w:hAnsi="Arial"/>
          <w:sz w:val="16"/>
          <w:szCs w:val="16"/>
          <w:i w:val="1"/>
          <w:iCs w:val="1"/>
          <w:color w:val="F20000"/>
        </w:rPr>
        <w:t xml:space="preserve"> </w:t>
      </w:r>
      <w:r>
        <w:rPr>
          <w:rFonts w:ascii="Arial" w:cs="Arial" w:eastAsia="Arial" w:hAnsi="Arial"/>
          <w:sz w:val="16"/>
          <w:szCs w:val="16"/>
          <w:color w:val="000000"/>
        </w:rPr>
        <w:t>application was approved for plans to develop the Port Pelican deepwater LNG facility. The company also filed permits for the construction of a LNG receiving and regasification terminal offshore Baja California, Mexico.</w:t>
      </w:r>
    </w:p>
    <w:p>
      <w:pPr>
        <w:ind w:right="40" w:firstLine="203"/>
        <w:spacing w:after="0" w:line="281" w:lineRule="auto"/>
        <w:rPr>
          <w:rFonts w:ascii="Arial" w:cs="Arial" w:eastAsia="Arial" w:hAnsi="Arial"/>
          <w:sz w:val="16"/>
          <w:szCs w:val="16"/>
          <w:color w:val="auto"/>
        </w:rPr>
      </w:pPr>
      <w:r>
        <w:rPr>
          <w:rFonts w:ascii="Arial" w:cs="Arial" w:eastAsia="Arial" w:hAnsi="Arial"/>
          <w:sz w:val="15"/>
          <w:szCs w:val="15"/>
          <w:color w:val="auto"/>
        </w:rPr>
        <w:t>In September 2003, the Gorgon Joint Venture, in which the company is a 57 percent owner, received in-principle approval from the Western Australian government through an act of parliament to proceed with plans to construct a natural gas processing facility on Barrow Island. The decision represented a significant milestone in the company’s plans to commercialize its large Gorgon natural gas resource base. Also in 2003, the Gorgon Joint Venture announced an agreement with the China National Offshore Oil Corporation (CNOOC) in October to negotiate the sale of Gorgon liquefied natural gas to the People’s Republic of China. The agreement, which is subject to the completion of formal contracts, enables CNOOC to purchase an interest in the Gorgon gas development project and to facilitate the sale of LNG into the Chinese market.</w:t>
      </w:r>
    </w:p>
    <w:p>
      <w:pPr>
        <w:spacing w:after="0" w:line="6" w:lineRule="exact"/>
        <w:rPr>
          <w:rFonts w:ascii="Arial" w:cs="Arial" w:eastAsia="Arial" w:hAnsi="Arial"/>
          <w:sz w:val="16"/>
          <w:szCs w:val="16"/>
          <w:color w:val="auto"/>
        </w:rPr>
      </w:pPr>
    </w:p>
    <w:p>
      <w:pPr>
        <w:jc w:val="both"/>
        <w:ind w:firstLine="203"/>
        <w:spacing w:after="0" w:line="281" w:lineRule="auto"/>
        <w:rPr>
          <w:rFonts w:ascii="Arial" w:cs="Arial" w:eastAsia="Arial" w:hAnsi="Arial"/>
          <w:sz w:val="16"/>
          <w:szCs w:val="16"/>
          <w:color w:val="auto"/>
        </w:rPr>
      </w:pPr>
      <w:r>
        <w:rPr>
          <w:rFonts w:ascii="Arial" w:cs="Arial" w:eastAsia="Arial" w:hAnsi="Arial"/>
          <w:sz w:val="15"/>
          <w:szCs w:val="15"/>
          <w:color w:val="auto"/>
        </w:rPr>
        <w:t>In Nigeria, the company and its partners in the Brass River Consortium agreed to advance plans for the front-end engineering and design work for a new LNG facility at Brass River. The studies are expected to be completed in 2004.</w:t>
      </w:r>
    </w:p>
    <w:p>
      <w:pPr>
        <w:spacing w:after="0" w:line="1" w:lineRule="exact"/>
        <w:rPr>
          <w:rFonts w:ascii="Arial" w:cs="Arial" w:eastAsia="Arial" w:hAnsi="Arial"/>
          <w:sz w:val="16"/>
          <w:szCs w:val="16"/>
          <w:color w:val="auto"/>
        </w:rPr>
      </w:pPr>
    </w:p>
    <w:p>
      <w:pPr>
        <w:ind w:right="140" w:firstLine="194"/>
        <w:spacing w:after="0" w:line="270" w:lineRule="auto"/>
        <w:rPr>
          <w:rFonts w:ascii="Arial" w:cs="Arial" w:eastAsia="Arial" w:hAnsi="Arial"/>
          <w:sz w:val="16"/>
          <w:szCs w:val="16"/>
          <w:color w:val="auto"/>
        </w:rPr>
      </w:pPr>
      <w:r>
        <w:rPr>
          <w:rFonts w:ascii="Arial" w:cs="Arial" w:eastAsia="Arial" w:hAnsi="Arial"/>
          <w:sz w:val="16"/>
          <w:szCs w:val="16"/>
          <w:color w:val="auto"/>
        </w:rPr>
        <w:t>A new U.S. wholesale natural gas marketing unit became fully operational in April 2003. This business unit was established following a decision by the company’s Dynegy affiliate to exit the natural gas marketing and trading business. ChevronTexaco’s natural gas sale and purchase agreements with Dynegy were terminated at the end of January 2003.</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Downstream</w:t>
      </w:r>
    </w:p>
    <w:p>
      <w:pPr>
        <w:spacing w:after="0" w:line="18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 initiated a major restructuring of its global refining, marketing, and supply and trading organizations in order to lower costs, improve efficiency and achieve sustained improvements in its financial performance relative to competitors. The organization was changed from a geographical to a global functional alignment and was implemented at the beginning of 2004.</w:t>
      </w:r>
    </w:p>
    <w:p>
      <w:pPr>
        <w:spacing w:after="0" w:line="1" w:lineRule="exact"/>
        <w:rPr>
          <w:sz w:val="20"/>
          <w:szCs w:val="20"/>
          <w:color w:val="auto"/>
        </w:rPr>
      </w:pPr>
    </w:p>
    <w:p>
      <w:pPr>
        <w:jc w:val="both"/>
        <w:ind w:right="60" w:firstLine="203"/>
        <w:spacing w:after="0" w:line="276" w:lineRule="auto"/>
        <w:rPr>
          <w:sz w:val="20"/>
          <w:szCs w:val="20"/>
          <w:color w:val="auto"/>
        </w:rPr>
      </w:pPr>
      <w:r>
        <w:rPr>
          <w:rFonts w:ascii="Arial" w:cs="Arial" w:eastAsia="Arial" w:hAnsi="Arial"/>
          <w:sz w:val="16"/>
          <w:szCs w:val="16"/>
          <w:color w:val="auto"/>
        </w:rPr>
        <w:t>Downstream asset dispositions, including the sale of the El Paso, Texas, refinery and approximately 400 service stations in various markets, were completed in 2003 to improve returns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200" w:right="320" w:hanging="202"/>
        <w:spacing w:after="0" w:line="304" w:lineRule="auto"/>
        <w:rPr>
          <w:sz w:val="20"/>
          <w:szCs w:val="20"/>
          <w:color w:val="auto"/>
        </w:rPr>
      </w:pPr>
      <w:r>
        <w:rPr>
          <w:rFonts w:ascii="Arial" w:cs="Arial" w:eastAsia="Arial" w:hAnsi="Arial"/>
          <w:sz w:val="14"/>
          <w:szCs w:val="14"/>
          <w:color w:val="auto"/>
        </w:rPr>
        <w:t>focusing investment in areas with the strongest long-term growth and returns. Facility upgrade projects at refineries in Pascagoula, Mississippi; Pembroke,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-295275</wp:posOffset>
            </wp:positionV>
            <wp:extent cx="8890" cy="5634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5634355"/>
                    </a:xfrm>
                    <a:prstGeom prst="rect">
                      <a:avLst/>
                    </a:prstGeom>
                    <a:noFill/>
                  </pic:spPr>
                </pic:pic>
              </a:graphicData>
            </a:graphic>
          </wp:anchor>
        </w:drawing>
      </w:r>
    </w:p>
    <w:p>
      <w:pPr>
        <w:ind w:right="120"/>
        <w:spacing w:after="0" w:line="332" w:lineRule="auto"/>
        <w:rPr>
          <w:sz w:val="20"/>
          <w:szCs w:val="20"/>
          <w:color w:val="auto"/>
        </w:rPr>
      </w:pPr>
      <w:r>
        <w:rPr>
          <w:rFonts w:ascii="Arial" w:cs="Arial" w:eastAsia="Arial" w:hAnsi="Arial"/>
          <w:sz w:val="14"/>
          <w:szCs w:val="14"/>
          <w:color w:val="auto"/>
        </w:rPr>
        <w:t>United Kingdom; and Rotterdam, Netherlands were completed, resulting in increased product yields and enabling the manufacture of low-sulfur fuels. In the Philippines, the Batangas Refinery was converted into a finished-product terminal.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Chemicals</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Qatar, a new olefins and polyolefins complex was commissioned in 2003. The complex is owned and operated through a joint venture between the company’s 50 percent-owned equity affiliate, Chevron Phillips Chemical Company (CPChem), and Qatar General Petroleum. CPChem holds a 49 percent interest in the joint venture.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TEXACO MERGER TRANSACTION</w:t>
      </w:r>
    </w:p>
    <w:p>
      <w:pPr>
        <w:spacing w:after="0" w:line="175"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i w:val="1"/>
          <w:iCs w:val="1"/>
          <w:color w:val="F20000"/>
        </w:rPr>
        <w:t xml:space="preserve">Basis of Presentation </w:t>
      </w:r>
      <w:r>
        <w:rPr>
          <w:rFonts w:ascii="Arial" w:cs="Arial" w:eastAsia="Arial" w:hAnsi="Arial"/>
          <w:sz w:val="14"/>
          <w:szCs w:val="14"/>
          <w:color w:val="000000"/>
        </w:rPr>
        <w:t>In October 2001, Texaco Inc. (Texaco) became a wholly</w:t>
      </w:r>
      <w:r>
        <w:rPr>
          <w:rFonts w:ascii="Arial" w:cs="Arial" w:eastAsia="Arial" w:hAnsi="Arial"/>
          <w:sz w:val="14"/>
          <w:szCs w:val="14"/>
          <w:i w:val="1"/>
          <w:iCs w:val="1"/>
          <w:color w:val="F20000"/>
        </w:rPr>
        <w:t xml:space="preserve"> </w:t>
      </w:r>
      <w:r>
        <w:rPr>
          <w:rFonts w:ascii="Arial" w:cs="Arial" w:eastAsia="Arial" w:hAnsi="Arial"/>
          <w:sz w:val="14"/>
          <w:szCs w:val="14"/>
          <w:color w:val="000000"/>
        </w:rPr>
        <w:t>owned subsidiary of Chevron Corporation (Chevron) pursuant to a merger transaction, and Chevron changed its name to ChevronTexaco Corporation. Certain operations that were jointly owned by the combining companies are consolidated in the accompanying financial statements. These operations are primarily those of the Caltex Group of Companies, which was previously owned 50 percent each by Chevron and Texaco. The combination was accounted for as a pooling of interests, and the accompanying audited consolidated financial statements for all periods are presented as if Chevron and Texaco had always been combined.</w:t>
      </w:r>
    </w:p>
    <w:p>
      <w:pPr>
        <w:spacing w:after="0" w:line="4" w:lineRule="exact"/>
        <w:rPr>
          <w:sz w:val="20"/>
          <w:szCs w:val="20"/>
          <w:color w:val="auto"/>
        </w:rPr>
      </w:pPr>
    </w:p>
    <w:p>
      <w:pPr>
        <w:ind w:firstLine="203"/>
        <w:spacing w:after="0" w:line="281" w:lineRule="auto"/>
        <w:rPr>
          <w:sz w:val="20"/>
          <w:szCs w:val="20"/>
          <w:color w:val="auto"/>
        </w:rPr>
      </w:pPr>
      <w:r>
        <w:rPr>
          <w:rFonts w:ascii="Arial" w:cs="Arial" w:eastAsia="Arial" w:hAnsi="Arial"/>
          <w:sz w:val="15"/>
          <w:szCs w:val="15"/>
          <w:i w:val="1"/>
          <w:iCs w:val="1"/>
          <w:color w:val="F20000"/>
        </w:rPr>
        <w:t xml:space="preserve">Merger Effects </w:t>
      </w:r>
      <w:r>
        <w:rPr>
          <w:rFonts w:ascii="Arial" w:cs="Arial" w:eastAsia="Arial" w:hAnsi="Arial"/>
          <w:sz w:val="15"/>
          <w:szCs w:val="15"/>
          <w:color w:val="000000"/>
        </w:rPr>
        <w:t>Under mandate of the Federal Trade Commission (FTC) as a</w:t>
      </w:r>
      <w:r>
        <w:rPr>
          <w:rFonts w:ascii="Arial" w:cs="Arial" w:eastAsia="Arial" w:hAnsi="Arial"/>
          <w:sz w:val="15"/>
          <w:szCs w:val="15"/>
          <w:i w:val="1"/>
          <w:iCs w:val="1"/>
          <w:color w:val="F20000"/>
        </w:rPr>
        <w:t xml:space="preserve"> </w:t>
      </w:r>
      <w:r>
        <w:rPr>
          <w:rFonts w:ascii="Arial" w:cs="Arial" w:eastAsia="Arial" w:hAnsi="Arial"/>
          <w:sz w:val="15"/>
          <w:szCs w:val="15"/>
          <w:color w:val="000000"/>
        </w:rPr>
        <w:t>condition to its approval of the merger, the company sold its interests in Equilon and Motiva – joint ventures engaged in U.S. downstream businesses – in February 2002, resulting in cash proceeds of $2.2 billion. Indemnification by ChevronTexaco against certain Equilon and Motiva contingent liabilities at the date of sale are discussed in the “Guarantees, Off-Balance-Sheet Arrangements and Contractual Obligations, and Other Contingencies” section beginning on page FS-13. Other mandated asset dispositions were also completed during 2002. Net income and cash proceeds from these other asset sales were not material. All such assets sold as a result of the merger provided net income of approximately $375 million in 2001. The net loss on assets sold under the FTC mandate is presented in the 2001 income statement as an extraordinary item.</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 incurred before-tax merger-related expenses of approximately</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$1.6 billion ($1.1 billion after tax) and $576 million ($386 million after tax) in 2001</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and 2002, respectively. Major expenses included employee severance payments;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incremental pension and medical plan benefit costs associated with workforce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reductions; legal, accounting, Securities and Exchange Commission (SEC) filing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and investment banker fees; employee and office relocations; and costs for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elimination of redundant</w:t>
      </w:r>
    </w:p>
    <w:p>
      <w:pPr>
        <w:spacing w:after="0" w:line="1082" w:lineRule="exact"/>
        <w:rPr>
          <w:sz w:val="20"/>
          <w:szCs w:val="20"/>
          <w:color w:val="auto"/>
        </w:rPr>
      </w:pPr>
    </w:p>
    <w:p>
      <w:pPr>
        <w:sectPr>
          <w:pgSz w:w="11900" w:h="16838" w:orient="portrait"/>
          <w:cols w:equalWidth="0" w:num="2">
            <w:col w:w="5480" w:space="400"/>
            <w:col w:w="5480"/>
          </w:cols>
          <w:pgMar w:left="240" w:top="419" w:right="299" w:bottom="1440" w:gutter="0" w:footer="0" w:header="0"/>
        </w:sectPr>
      </w:pP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17"/>
        </w:numPr>
        <w:rPr>
          <w:rFonts w:ascii="Arial" w:cs="Arial" w:eastAsia="Arial" w:hAnsi="Arial"/>
          <w:sz w:val="26"/>
          <w:szCs w:val="26"/>
          <w:b w:val="1"/>
          <w:bCs w:val="1"/>
          <w:color w:val="0070FF"/>
        </w:rPr>
      </w:pPr>
      <w:r>
        <w:rPr>
          <w:rFonts w:ascii="Arial" w:cs="Arial" w:eastAsia="Arial" w:hAnsi="Arial"/>
          <w:sz w:val="21"/>
          <w:szCs w:val="21"/>
          <w:b w:val="1"/>
          <w:bCs w:val="1"/>
          <w:color w:val="0070FF"/>
        </w:rPr>
        <w:t>Management’s Discussion and Analysis of Financial Condition and Results of Operations</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facilities and operations. No significant merger-related expenses occurred in 2003.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RESULTS OF OPERATIONS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F20000"/>
        </w:rPr>
        <w:t xml:space="preserve">Major Business Areas </w:t>
      </w:r>
      <w:r>
        <w:rPr>
          <w:rFonts w:ascii="Arial" w:cs="Arial" w:eastAsia="Arial" w:hAnsi="Arial"/>
          <w:sz w:val="15"/>
          <w:szCs w:val="15"/>
          <w:color w:val="000000"/>
        </w:rPr>
        <w:t>The following section presents the results of operations for</w:t>
      </w:r>
      <w:r>
        <w:rPr>
          <w:rFonts w:ascii="Arial" w:cs="Arial" w:eastAsia="Arial" w:hAnsi="Arial"/>
          <w:sz w:val="15"/>
          <w:szCs w:val="15"/>
          <w:i w:val="1"/>
          <w:iCs w:val="1"/>
          <w:color w:val="F20000"/>
        </w:rPr>
        <w:t xml:space="preserve"> </w:t>
      </w:r>
      <w:r>
        <w:rPr>
          <w:rFonts w:ascii="Arial" w:cs="Arial" w:eastAsia="Arial" w:hAnsi="Arial"/>
          <w:sz w:val="15"/>
          <w:szCs w:val="15"/>
          <w:color w:val="000000"/>
        </w:rPr>
        <w:t>the company’s business segments, as well as for the departments and companies managed at the corporate level. To aid in the understanding of changes in segment income between periods, the discussion is in two parts — first, relating to the underlying operational trends and second, with respect to special items that tended to obscure the underlying trends. In the following discussions, the term “earnings” is defined as net income or segment income, before the cumulative effect of changes in accounting principles.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Exploration and Production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Millions of dollars</w:t>
            </w:r>
          </w:p>
        </w:tc>
        <w:tc>
          <w:tcPr>
            <w:tcW w:w="2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2002</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3580" w:type="dxa"/>
            <w:vAlign w:val="bottom"/>
          </w:tcPr>
          <w:p>
            <w:pPr>
              <w:ind w:left="20"/>
              <w:spacing w:after="0" w:line="137" w:lineRule="exact"/>
              <w:rPr>
                <w:sz w:val="20"/>
                <w:szCs w:val="20"/>
                <w:color w:val="auto"/>
              </w:rPr>
            </w:pPr>
            <w:r>
              <w:rPr>
                <w:rFonts w:ascii="Arial" w:cs="Arial" w:eastAsia="Arial" w:hAnsi="Arial"/>
                <w:sz w:val="14"/>
                <w:szCs w:val="14"/>
                <w:color w:val="auto"/>
                <w:w w:val="98"/>
              </w:rPr>
              <w:t>Income Before Cumulative Effect of Change in Accounting</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3,183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580" w:type="dxa"/>
            <w:vAlign w:val="bottom"/>
          </w:tcPr>
          <w:p>
            <w:pPr>
              <w:ind w:left="140"/>
              <w:spacing w:after="0" w:line="145" w:lineRule="exact"/>
              <w:rPr>
                <w:sz w:val="20"/>
                <w:szCs w:val="20"/>
                <w:color w:val="auto"/>
              </w:rPr>
            </w:pPr>
            <w:r>
              <w:rPr>
                <w:rFonts w:ascii="Arial" w:cs="Arial" w:eastAsia="Arial" w:hAnsi="Arial"/>
                <w:sz w:val="14"/>
                <w:szCs w:val="14"/>
                <w:color w:val="auto"/>
              </w:rPr>
              <w:t>Principle</w:t>
            </w:r>
          </w:p>
        </w:tc>
        <w:tc>
          <w:tcPr>
            <w:tcW w:w="2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line="145" w:lineRule="exact"/>
              <w:rPr>
                <w:sz w:val="20"/>
                <w:szCs w:val="20"/>
                <w:color w:val="auto"/>
              </w:rPr>
            </w:pPr>
            <w:r>
              <w:rPr>
                <w:rFonts w:ascii="Arial" w:cs="Arial" w:eastAsia="Arial" w:hAnsi="Arial"/>
                <w:sz w:val="14"/>
                <w:szCs w:val="14"/>
                <w:color w:val="auto"/>
                <w:w w:val="91"/>
              </w:rPr>
              <w:t>1,717</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Cumulative Effect of Accounting Change</w:t>
            </w:r>
          </w:p>
        </w:tc>
        <w:tc>
          <w:tcPr>
            <w:tcW w:w="2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b w:val="1"/>
                <w:bCs w:val="1"/>
                <w:color w:val="auto"/>
              </w:rPr>
              <w:t>(350)</w:t>
            </w:r>
          </w:p>
        </w:tc>
        <w:tc>
          <w:tcPr>
            <w:tcW w:w="1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Segment Income</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1"/>
              </w:rPr>
              <w:t>2,833</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w w:val="91"/>
              </w:rPr>
              <w:t>1,717</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37"/>
        </w:trPr>
        <w:tc>
          <w:tcPr>
            <w:tcW w:w="3580" w:type="dxa"/>
            <w:vAlign w:val="bottom"/>
          </w:tcPr>
          <w:p>
            <w:pPr>
              <w:ind w:left="20"/>
              <w:spacing w:after="0" w:line="137" w:lineRule="exact"/>
              <w:rPr>
                <w:sz w:val="20"/>
                <w:szCs w:val="20"/>
                <w:color w:val="auto"/>
              </w:rPr>
            </w:pPr>
            <w:r>
              <w:rPr>
                <w:rFonts w:ascii="Arial" w:cs="Arial" w:eastAsia="Arial" w:hAnsi="Arial"/>
                <w:sz w:val="14"/>
                <w:szCs w:val="14"/>
                <w:i w:val="1"/>
                <w:iCs w:val="1"/>
                <w:color w:val="auto"/>
              </w:rPr>
              <w:t>Special Items Included in Segment Income:</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77</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580" w:type="dxa"/>
            <w:vAlign w:val="bottom"/>
          </w:tcPr>
          <w:p>
            <w:pPr>
              <w:ind w:left="20"/>
              <w:spacing w:after="0" w:line="145" w:lineRule="exact"/>
              <w:rPr>
                <w:sz w:val="20"/>
                <w:szCs w:val="20"/>
                <w:color w:val="auto"/>
              </w:rPr>
            </w:pPr>
            <w:r>
              <w:rPr>
                <w:rFonts w:ascii="Arial" w:cs="Arial" w:eastAsia="Arial" w:hAnsi="Arial"/>
                <w:sz w:val="14"/>
                <w:szCs w:val="14"/>
                <w:color w:val="auto"/>
              </w:rPr>
              <w:t>Asset Dispositions</w:t>
            </w:r>
          </w:p>
        </w:tc>
        <w:tc>
          <w:tcPr>
            <w:tcW w:w="2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3580" w:type="dxa"/>
            <w:vAlign w:val="bottom"/>
          </w:tcPr>
          <w:p>
            <w:pPr>
              <w:ind w:left="20"/>
              <w:spacing w:after="0" w:line="149" w:lineRule="exact"/>
              <w:rPr>
                <w:sz w:val="20"/>
                <w:szCs w:val="20"/>
                <w:color w:val="auto"/>
              </w:rPr>
            </w:pPr>
            <w:r>
              <w:rPr>
                <w:rFonts w:ascii="Arial" w:cs="Arial" w:eastAsia="Arial" w:hAnsi="Arial"/>
                <w:sz w:val="14"/>
                <w:szCs w:val="14"/>
                <w:color w:val="auto"/>
              </w:rPr>
              <w:t>Asset Impairments and Revaluations</w:t>
            </w:r>
          </w:p>
        </w:tc>
        <w:tc>
          <w:tcPr>
            <w:tcW w:w="22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(103)</w:t>
            </w:r>
          </w:p>
        </w:tc>
        <w:tc>
          <w:tcPr>
            <w:tcW w:w="16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(183)</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4"/>
              </w:rPr>
              <w:t>(1,168)</w:t>
            </w:r>
          </w:p>
        </w:tc>
        <w:tc>
          <w:tcPr>
            <w:tcW w:w="0" w:type="dxa"/>
            <w:vAlign w:val="bottom"/>
          </w:tcPr>
          <w:p>
            <w:pPr>
              <w:spacing w:after="0"/>
              <w:rPr>
                <w:sz w:val="1"/>
                <w:szCs w:val="1"/>
                <w:color w:val="auto"/>
              </w:rPr>
            </w:pPr>
          </w:p>
        </w:tc>
      </w:tr>
      <w:tr>
        <w:trPr>
          <w:trHeight w:val="149"/>
        </w:trPr>
        <w:tc>
          <w:tcPr>
            <w:tcW w:w="3580" w:type="dxa"/>
            <w:vAlign w:val="bottom"/>
          </w:tcPr>
          <w:p>
            <w:pPr>
              <w:ind w:left="20"/>
              <w:spacing w:after="0" w:line="149" w:lineRule="exact"/>
              <w:rPr>
                <w:sz w:val="20"/>
                <w:szCs w:val="20"/>
                <w:color w:val="auto"/>
              </w:rPr>
            </w:pPr>
            <w:r>
              <w:rPr>
                <w:rFonts w:ascii="Arial" w:cs="Arial" w:eastAsia="Arial" w:hAnsi="Arial"/>
                <w:sz w:val="14"/>
                <w:szCs w:val="14"/>
                <w:color w:val="auto"/>
              </w:rPr>
              <w:t>Restructuring and Reorganizations</w:t>
            </w:r>
          </w:p>
        </w:tc>
        <w:tc>
          <w:tcPr>
            <w:tcW w:w="22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(38)</w:t>
            </w:r>
          </w:p>
        </w:tc>
        <w:tc>
          <w:tcPr>
            <w:tcW w:w="16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tcPr>
          <w:p>
            <w:pPr>
              <w:ind w:left="20"/>
              <w:spacing w:after="0" w:line="149" w:lineRule="exact"/>
              <w:rPr>
                <w:sz w:val="20"/>
                <w:szCs w:val="20"/>
                <w:color w:val="auto"/>
              </w:rPr>
            </w:pPr>
            <w:r>
              <w:rPr>
                <w:rFonts w:ascii="Arial" w:cs="Arial" w:eastAsia="Arial" w:hAnsi="Arial"/>
                <w:sz w:val="14"/>
                <w:szCs w:val="14"/>
                <w:color w:val="auto"/>
              </w:rPr>
              <w:t>Environmental Remediation Provisions</w:t>
            </w:r>
          </w:p>
        </w:tc>
        <w:tc>
          <w:tcPr>
            <w:tcW w:w="22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Tax Adjustments</w:t>
            </w:r>
          </w:p>
        </w:tc>
        <w:tc>
          <w:tcPr>
            <w:tcW w:w="2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Special Items</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(64)</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(214)</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4"/>
              </w:rPr>
              <w:t>(1,111)</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0" w:firstLine="200"/>
        <w:spacing w:after="0" w:line="293" w:lineRule="auto"/>
        <w:rPr>
          <w:sz w:val="20"/>
          <w:szCs w:val="20"/>
          <w:color w:val="auto"/>
        </w:rPr>
      </w:pPr>
      <w:r>
        <w:rPr>
          <w:rFonts w:ascii="Arial" w:cs="Arial" w:eastAsia="Arial" w:hAnsi="Arial"/>
          <w:sz w:val="16"/>
          <w:szCs w:val="16"/>
          <w:color w:val="auto"/>
        </w:rPr>
        <w:t>The improvement in 2003 segment income from 2002 primarily was the result of higher prices for crude oil and natural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3070225" cy="24701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7022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2620" w:val="left"/>
        </w:tabs>
        <w:rPr>
          <w:sz w:val="20"/>
          <w:szCs w:val="20"/>
          <w:color w:val="auto"/>
        </w:rPr>
      </w:pPr>
      <w:r>
        <w:rPr>
          <w:rFonts w:ascii="Arial" w:cs="Arial" w:eastAsia="Arial" w:hAnsi="Arial"/>
          <w:sz w:val="13"/>
          <w:szCs w:val="13"/>
          <w:color w:val="auto"/>
        </w:rPr>
        <w:t>Exploration expenses declined after the</w:t>
      </w:r>
      <w:r>
        <w:rPr>
          <w:sz w:val="20"/>
          <w:szCs w:val="20"/>
          <w:color w:val="auto"/>
        </w:rPr>
        <w:tab/>
      </w:r>
      <w:r>
        <w:rPr>
          <w:rFonts w:ascii="Arial" w:cs="Arial" w:eastAsia="Arial" w:hAnsi="Arial"/>
          <w:sz w:val="11"/>
          <w:szCs w:val="11"/>
          <w:color w:val="auto"/>
        </w:rPr>
        <w:t>Earnings increased significantly in 2003 on higher</w:t>
      </w:r>
    </w:p>
    <w:p>
      <w:pPr>
        <w:ind w:left="20"/>
        <w:spacing w:after="0"/>
        <w:tabs>
          <w:tab w:leader="none" w:pos="2620" w:val="left"/>
        </w:tabs>
        <w:rPr>
          <w:sz w:val="20"/>
          <w:szCs w:val="20"/>
          <w:color w:val="auto"/>
        </w:rPr>
      </w:pPr>
      <w:r>
        <w:rPr>
          <w:rFonts w:ascii="Arial" w:cs="Arial" w:eastAsia="Arial" w:hAnsi="Arial"/>
          <w:sz w:val="13"/>
          <w:szCs w:val="13"/>
          <w:color w:val="auto"/>
        </w:rPr>
        <w:t>October 2001 merger, reflecting, in part, the</w:t>
      </w:r>
      <w:r>
        <w:rPr>
          <w:sz w:val="20"/>
          <w:szCs w:val="20"/>
          <w:color w:val="auto"/>
        </w:rPr>
        <w:tab/>
      </w:r>
      <w:r>
        <w:rPr>
          <w:rFonts w:ascii="Arial" w:cs="Arial" w:eastAsia="Arial" w:hAnsi="Arial"/>
          <w:sz w:val="11"/>
          <w:szCs w:val="11"/>
          <w:color w:val="auto"/>
        </w:rPr>
        <w:t>prices for crude oil and natural gas. Partially offsetting</w:t>
      </w:r>
    </w:p>
    <w:p>
      <w:pPr>
        <w:ind w:left="20"/>
        <w:spacing w:after="0"/>
        <w:tabs>
          <w:tab w:leader="none" w:pos="2620" w:val="left"/>
        </w:tabs>
        <w:rPr>
          <w:sz w:val="20"/>
          <w:szCs w:val="20"/>
          <w:color w:val="auto"/>
        </w:rPr>
      </w:pPr>
      <w:r>
        <w:rPr>
          <w:rFonts w:ascii="Arial" w:cs="Arial" w:eastAsia="Arial" w:hAnsi="Arial"/>
          <w:sz w:val="13"/>
          <w:szCs w:val="13"/>
          <w:color w:val="auto"/>
        </w:rPr>
        <w:t>high-grading of the combined exploration</w:t>
      </w:r>
      <w:r>
        <w:rPr>
          <w:sz w:val="20"/>
          <w:szCs w:val="20"/>
          <w:color w:val="auto"/>
        </w:rPr>
        <w:tab/>
      </w:r>
      <w:r>
        <w:rPr>
          <w:rFonts w:ascii="Arial" w:cs="Arial" w:eastAsia="Arial" w:hAnsi="Arial"/>
          <w:sz w:val="11"/>
          <w:szCs w:val="11"/>
          <w:color w:val="auto"/>
        </w:rPr>
        <w:t>were the effects of lower production and foreign</w:t>
      </w:r>
    </w:p>
    <w:p>
      <w:pPr>
        <w:ind w:left="20"/>
        <w:spacing w:after="0"/>
        <w:tabs>
          <w:tab w:leader="none" w:pos="2620" w:val="left"/>
        </w:tabs>
        <w:rPr>
          <w:sz w:val="20"/>
          <w:szCs w:val="20"/>
          <w:color w:val="auto"/>
        </w:rPr>
      </w:pPr>
      <w:r>
        <w:rPr>
          <w:rFonts w:ascii="Arial" w:cs="Arial" w:eastAsia="Arial" w:hAnsi="Arial"/>
          <w:sz w:val="13"/>
          <w:szCs w:val="13"/>
          <w:color w:val="auto"/>
        </w:rPr>
        <w:t>portfolio.</w:t>
      </w:r>
      <w:r>
        <w:rPr>
          <w:sz w:val="20"/>
          <w:szCs w:val="20"/>
          <w:color w:val="auto"/>
        </w:rPr>
        <w:tab/>
      </w:r>
      <w:r>
        <w:rPr>
          <w:rFonts w:ascii="Arial" w:cs="Arial" w:eastAsia="Arial" w:hAnsi="Arial"/>
          <w:sz w:val="13"/>
          <w:szCs w:val="13"/>
          <w:color w:val="auto"/>
        </w:rPr>
        <w:t>currency losses.</w:t>
      </w:r>
    </w:p>
    <w:p>
      <w:pPr>
        <w:spacing w:after="0" w:line="111" w:lineRule="exact"/>
        <w:rPr>
          <w:sz w:val="20"/>
          <w:szCs w:val="20"/>
          <w:color w:val="auto"/>
        </w:rPr>
      </w:pPr>
    </w:p>
    <w:p>
      <w:pPr>
        <w:ind w:left="2640"/>
        <w:spacing w:after="0"/>
        <w:rPr>
          <w:sz w:val="20"/>
          <w:szCs w:val="20"/>
          <w:color w:val="auto"/>
        </w:rPr>
      </w:pPr>
      <w:r>
        <w:rPr>
          <w:rFonts w:ascii="Arial" w:cs="Arial" w:eastAsia="Arial" w:hAnsi="Arial"/>
          <w:sz w:val="11"/>
          <w:szCs w:val="11"/>
          <w:i w:val="1"/>
          <w:iCs w:val="1"/>
          <w:color w:val="auto"/>
        </w:rPr>
        <w:t>* Before the cumulative effect of changes in accounting</w:t>
      </w:r>
    </w:p>
    <w:p>
      <w:pPr>
        <w:spacing w:after="0" w:line="19" w:lineRule="exact"/>
        <w:rPr>
          <w:sz w:val="20"/>
          <w:szCs w:val="20"/>
          <w:color w:val="auto"/>
        </w:rPr>
      </w:pPr>
    </w:p>
    <w:p>
      <w:pPr>
        <w:ind w:left="2640"/>
        <w:spacing w:after="0"/>
        <w:rPr>
          <w:sz w:val="20"/>
          <w:szCs w:val="20"/>
          <w:color w:val="auto"/>
        </w:rPr>
      </w:pPr>
      <w:r>
        <w:rPr>
          <w:rFonts w:ascii="Arial" w:cs="Arial" w:eastAsia="Arial" w:hAnsi="Arial"/>
          <w:sz w:val="13"/>
          <w:szCs w:val="13"/>
          <w:i w:val="1"/>
          <w:iCs w:val="1"/>
          <w:color w:val="auto"/>
        </w:rPr>
        <w:t>principles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gas. Partially offsetting this effect was a decline in oil-equivalent production. The change between 2001 and 2002 reflected significantly lower natural gas realizations and lower production in the 2002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-422910</wp:posOffset>
            </wp:positionV>
            <wp:extent cx="8890" cy="6766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6766560"/>
                    </a:xfrm>
                    <a:prstGeom prst="rect">
                      <a:avLst/>
                    </a:prstGeom>
                    <a:noFill/>
                  </pic:spPr>
                </pic:pic>
              </a:graphicData>
            </a:graphic>
          </wp:anchor>
        </w:drawing>
      </w:r>
    </w:p>
    <w:p>
      <w:pPr>
        <w:ind w:right="220" w:firstLine="200"/>
        <w:spacing w:after="0" w:line="264" w:lineRule="auto"/>
        <w:rPr>
          <w:sz w:val="20"/>
          <w:szCs w:val="20"/>
          <w:color w:val="auto"/>
        </w:rPr>
      </w:pPr>
      <w:r>
        <w:rPr>
          <w:rFonts w:ascii="Arial" w:cs="Arial" w:eastAsia="Arial" w:hAnsi="Arial"/>
          <w:sz w:val="16"/>
          <w:szCs w:val="16"/>
          <w:color w:val="auto"/>
        </w:rPr>
        <w:t>The company’s average 2003 U.S. liquids realization was $26.66 per barrel, compared with $21.34 in 2002 and essentially the same in 2001. The average natural gas realization was $5.01 per thousand cubic feet in 2003, compared with $2.89 and $4.38 in 2002 and 2001, respectively.</w:t>
      </w:r>
    </w:p>
    <w:p>
      <w:pPr>
        <w:spacing w:after="0" w:line="1" w:lineRule="exact"/>
        <w:rPr>
          <w:sz w:val="20"/>
          <w:szCs w:val="20"/>
          <w:color w:val="auto"/>
        </w:rPr>
      </w:pPr>
    </w:p>
    <w:p>
      <w:pPr>
        <w:ind w:right="20" w:firstLine="203"/>
        <w:spacing w:after="0" w:line="281" w:lineRule="auto"/>
        <w:rPr>
          <w:sz w:val="20"/>
          <w:szCs w:val="20"/>
          <w:color w:val="auto"/>
        </w:rPr>
      </w:pPr>
      <w:r>
        <w:rPr>
          <w:rFonts w:ascii="Arial" w:cs="Arial" w:eastAsia="Arial" w:hAnsi="Arial"/>
          <w:sz w:val="15"/>
          <w:szCs w:val="15"/>
          <w:color w:val="auto"/>
        </w:rPr>
        <w:t>Net oil-equivalent production averaged 933,000 barrels per day in 2003, down 7 percent from 2002 and 12 percent from 2001. The net liquids component for 2003 averaged 562,000 barrels per day, a decline of 7 percent from 2002 and 8 percent from 2001. Net natural gas production averaged 2.228 billion cubic feet per day in 2003, 7 percent lower than 2002 and 18 percent lower than 2001. The oil-equivalent production decline in 2003 was associated mainly with normal field declines and the absence of about 10,000 to 15,000 barrels per day of production the company deemed uneconomic to restore following storm damages in the Gulf of Mexico in late 2002. The storms reduced the company’s 2002 oil-equivalent production by about 20,000 barrels per day.</w:t>
      </w:r>
    </w:p>
    <w:p>
      <w:pPr>
        <w:spacing w:after="0" w:line="6" w:lineRule="exact"/>
        <w:rPr>
          <w:sz w:val="20"/>
          <w:szCs w:val="20"/>
          <w:color w:val="auto"/>
        </w:rPr>
      </w:pPr>
    </w:p>
    <w:p>
      <w:pPr>
        <w:ind w:right="20" w:firstLine="203"/>
        <w:spacing w:after="0" w:line="266" w:lineRule="auto"/>
        <w:rPr>
          <w:sz w:val="20"/>
          <w:szCs w:val="20"/>
          <w:color w:val="auto"/>
        </w:rPr>
      </w:pPr>
      <w:r>
        <w:rPr>
          <w:rFonts w:ascii="Arial" w:cs="Arial" w:eastAsia="Arial" w:hAnsi="Arial"/>
          <w:sz w:val="16"/>
          <w:szCs w:val="16"/>
          <w:color w:val="auto"/>
        </w:rPr>
        <w:t>Net special-item charges of $64 million in 2003 reflected asset impairments of $103 million — associated mainly with the write-down of assets in anticipation of sale — and restructuring and reorganization charges of $38 million, which mainly were associated with employee severance costs. Offsetting a portion of these charges were gains of $77 million from asset sales. Special items in 2002 and 2001 included asset impairments caused by write-downs in proved oil and gas reserve quantities for a number of fields. The amount in 2001 related primarily to the Midway Sunset Field in California’s San Joaquin Valley, after the determination that lower-than-projected heavy oil recovery would result from the steam-injection process.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Exploration and Production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Millions of dollars</w:t>
            </w:r>
          </w:p>
        </w:tc>
        <w:tc>
          <w:tcPr>
            <w:tcW w:w="24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2002</w:t>
            </w:r>
          </w:p>
        </w:tc>
        <w:tc>
          <w:tcPr>
            <w:tcW w:w="1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3600" w:type="dxa"/>
            <w:vAlign w:val="bottom"/>
          </w:tcPr>
          <w:p>
            <w:pPr>
              <w:spacing w:after="0" w:line="137" w:lineRule="exact"/>
              <w:rPr>
                <w:sz w:val="20"/>
                <w:szCs w:val="20"/>
                <w:color w:val="auto"/>
              </w:rPr>
            </w:pPr>
            <w:r>
              <w:rPr>
                <w:rFonts w:ascii="Arial" w:cs="Arial" w:eastAsia="Arial" w:hAnsi="Arial"/>
                <w:sz w:val="14"/>
                <w:szCs w:val="14"/>
                <w:color w:val="auto"/>
                <w:w w:val="99"/>
              </w:rPr>
              <w:t>Income Before Cumulative Effect of Change in Accounting</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3,220</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0" w:type="dxa"/>
            <w:vAlign w:val="bottom"/>
          </w:tcPr>
          <w:p>
            <w:pPr>
              <w:ind w:left="140"/>
              <w:spacing w:after="0" w:line="145" w:lineRule="exact"/>
              <w:rPr>
                <w:sz w:val="20"/>
                <w:szCs w:val="20"/>
                <w:color w:val="auto"/>
              </w:rPr>
            </w:pPr>
            <w:r>
              <w:rPr>
                <w:rFonts w:ascii="Arial" w:cs="Arial" w:eastAsia="Arial" w:hAnsi="Arial"/>
                <w:sz w:val="14"/>
                <w:szCs w:val="14"/>
                <w:color w:val="auto"/>
              </w:rPr>
              <w:t>Principle*</w:t>
            </w:r>
          </w:p>
        </w:tc>
        <w:tc>
          <w:tcPr>
            <w:tcW w:w="2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line="145" w:lineRule="exact"/>
              <w:rPr>
                <w:sz w:val="20"/>
                <w:szCs w:val="20"/>
                <w:color w:val="auto"/>
              </w:rPr>
            </w:pPr>
            <w:r>
              <w:rPr>
                <w:rFonts w:ascii="Arial" w:cs="Arial" w:eastAsia="Arial" w:hAnsi="Arial"/>
                <w:sz w:val="14"/>
                <w:szCs w:val="14"/>
                <w:color w:val="auto"/>
                <w:w w:val="91"/>
              </w:rPr>
              <w:t>2,839</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w w:val="91"/>
              </w:rPr>
              <w:t>2,533</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Cumulative Effect of Accounting Change</w:t>
            </w:r>
          </w:p>
        </w:tc>
        <w:tc>
          <w:tcPr>
            <w:tcW w:w="24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145</w:t>
            </w:r>
          </w:p>
        </w:tc>
        <w:tc>
          <w:tcPr>
            <w:tcW w:w="1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auto"/>
              </w:rPr>
              <w:t>Segment Income</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1"/>
              </w:rPr>
              <w:t>3,365</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w w:val="91"/>
              </w:rPr>
              <w:t>2,839</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1"/>
              </w:rPr>
              <w:t>2,533</w:t>
            </w:r>
          </w:p>
        </w:tc>
        <w:tc>
          <w:tcPr>
            <w:tcW w:w="0" w:type="dxa"/>
            <w:vAlign w:val="bottom"/>
          </w:tcPr>
          <w:p>
            <w:pPr>
              <w:spacing w:after="0"/>
              <w:rPr>
                <w:sz w:val="1"/>
                <w:szCs w:val="1"/>
                <w:color w:val="auto"/>
              </w:rPr>
            </w:pPr>
          </w:p>
        </w:tc>
      </w:tr>
      <w:tr>
        <w:trPr>
          <w:trHeight w:val="137"/>
        </w:trPr>
        <w:tc>
          <w:tcPr>
            <w:tcW w:w="3600" w:type="dxa"/>
            <w:vAlign w:val="bottom"/>
          </w:tcPr>
          <w:p>
            <w:pPr>
              <w:spacing w:after="0" w:line="137" w:lineRule="exact"/>
              <w:rPr>
                <w:sz w:val="20"/>
                <w:szCs w:val="20"/>
                <w:color w:val="auto"/>
              </w:rPr>
            </w:pPr>
            <w:r>
              <w:rPr>
                <w:rFonts w:ascii="Arial" w:cs="Arial" w:eastAsia="Arial" w:hAnsi="Arial"/>
                <w:sz w:val="14"/>
                <w:szCs w:val="14"/>
                <w:color w:val="auto"/>
              </w:rPr>
              <w:t>*Includes Foreign Currency (Losses) Gains:</w:t>
            </w:r>
          </w:p>
        </w:tc>
        <w:tc>
          <w:tcPr>
            <w:tcW w:w="24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
              <w:spacing w:after="0" w:line="137" w:lineRule="exact"/>
              <w:rPr>
                <w:sz w:val="20"/>
                <w:szCs w:val="20"/>
                <w:color w:val="auto"/>
              </w:rPr>
            </w:pPr>
            <w:r>
              <w:rPr>
                <w:rFonts w:ascii="Arial" w:cs="Arial" w:eastAsia="Arial" w:hAnsi="Arial"/>
                <w:sz w:val="14"/>
                <w:szCs w:val="14"/>
                <w:b w:val="1"/>
                <w:bCs w:val="1"/>
                <w:color w:val="auto"/>
              </w:rPr>
              <w:t>(319)</w:t>
            </w:r>
          </w:p>
        </w:tc>
        <w:tc>
          <w:tcPr>
            <w:tcW w:w="16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line="137" w:lineRule="exact"/>
              <w:rPr>
                <w:sz w:val="20"/>
                <w:szCs w:val="20"/>
                <w:color w:val="auto"/>
              </w:rPr>
            </w:pPr>
            <w:r>
              <w:rPr>
                <w:rFonts w:ascii="Arial" w:cs="Arial" w:eastAsia="Arial" w:hAnsi="Arial"/>
                <w:sz w:val="14"/>
                <w:szCs w:val="14"/>
                <w:color w:val="auto"/>
              </w:rPr>
              <w:t>90</w:t>
            </w:r>
          </w:p>
        </w:tc>
        <w:tc>
          <w:tcPr>
            <w:tcW w:w="16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37"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i w:val="1"/>
                <w:iCs w:val="1"/>
                <w:color w:val="auto"/>
              </w:rPr>
              <w:t>Special Items Included in Segment Income:</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32</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line="145" w:lineRule="exact"/>
              <w:rPr>
                <w:sz w:val="20"/>
                <w:szCs w:val="20"/>
                <w:color w:val="auto"/>
              </w:rPr>
            </w:pPr>
            <w:r>
              <w:rPr>
                <w:rFonts w:ascii="Arial" w:cs="Arial" w:eastAsia="Arial" w:hAnsi="Arial"/>
                <w:sz w:val="14"/>
                <w:szCs w:val="14"/>
                <w:color w:val="auto"/>
              </w:rPr>
              <w:t>Asset Dispositions</w:t>
            </w:r>
          </w:p>
        </w:tc>
        <w:tc>
          <w:tcPr>
            <w:tcW w:w="2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Asset Impairments and Revaluations</w:t>
            </w:r>
          </w:p>
        </w:tc>
        <w:tc>
          <w:tcPr>
            <w:tcW w:w="24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Arial" w:cs="Arial" w:eastAsia="Arial" w:hAnsi="Arial"/>
                <w:sz w:val="14"/>
                <w:szCs w:val="14"/>
                <w:color w:val="auto"/>
              </w:rPr>
              <w:t>Restructuring and Reorganizations</w:t>
            </w:r>
          </w:p>
        </w:tc>
        <w:tc>
          <w:tcPr>
            <w:tcW w:w="24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Tax Adjustments</w:t>
            </w:r>
          </w:p>
        </w:tc>
        <w:tc>
          <w:tcPr>
            <w:tcW w:w="24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118</w:t>
            </w:r>
          </w:p>
        </w:tc>
        <w:tc>
          <w:tcPr>
            <w:tcW w:w="1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(37)</w:t>
            </w:r>
          </w:p>
        </w:tc>
        <w:tc>
          <w:tcPr>
            <w:tcW w:w="1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 Special Items</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98</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(137)</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320" w:firstLine="200"/>
        <w:spacing w:after="0" w:line="293" w:lineRule="auto"/>
        <w:rPr>
          <w:sz w:val="20"/>
          <w:szCs w:val="20"/>
          <w:color w:val="auto"/>
        </w:rPr>
      </w:pPr>
      <w:r>
        <w:rPr>
          <w:rFonts w:ascii="Arial" w:cs="Arial" w:eastAsia="Arial" w:hAnsi="Arial"/>
          <w:sz w:val="15"/>
          <w:szCs w:val="15"/>
          <w:color w:val="auto"/>
        </w:rPr>
        <w:t>The earnings improvement from 2002 to 2003 included the benefit of higher crude oil and natural gas prices. Partially offsetting the improvements were the effects of lower oil-equivalent production and an unfavorable swing in foreign currency effects. Net foreign currency losses of $319 million in 2003 primarily related to a significant weakening of the U.S. dollar against the</w:t>
      </w:r>
    </w:p>
    <w:p>
      <w:pPr>
        <w:spacing w:after="0" w:line="1530" w:lineRule="exact"/>
        <w:rPr>
          <w:sz w:val="20"/>
          <w:szCs w:val="20"/>
          <w:color w:val="auto"/>
        </w:rPr>
      </w:pPr>
    </w:p>
    <w:p>
      <w:pPr>
        <w:sectPr>
          <w:pgSz w:w="11900" w:h="16838" w:orient="portrait"/>
          <w:cols w:equalWidth="0" w:num="2">
            <w:col w:w="5480" w:space="400"/>
            <w:col w:w="5480"/>
          </w:cols>
          <w:pgMar w:left="240" w:top="419" w:right="299" w:bottom="1440" w:gutter="0" w:footer="0" w:header="0"/>
          <w:type w:val="continuous"/>
        </w:sectPr>
      </w:pP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currencies of Canada, Australia and the United Kingdom. Earnings improvement in 2002 vs. 2001 were marginally affected by a combination of factors, including benefits from higher liquids realizations, higher natural gas production, and lower exploration and income tax expenses, which were offset in part by the effects of lower liquids production, lower natural gas realizations and higher depreciation expense.</w:t>
      </w:r>
    </w:p>
    <w:p>
      <w:pPr>
        <w:jc w:val="both"/>
        <w:ind w:firstLine="200"/>
        <w:spacing w:after="0" w:line="264" w:lineRule="auto"/>
        <w:rPr>
          <w:sz w:val="20"/>
          <w:szCs w:val="20"/>
          <w:color w:val="auto"/>
        </w:rPr>
      </w:pPr>
      <w:r>
        <w:rPr>
          <w:rFonts w:ascii="Arial" w:cs="Arial" w:eastAsia="Arial" w:hAnsi="Arial"/>
          <w:sz w:val="16"/>
          <w:szCs w:val="16"/>
          <w:color w:val="auto"/>
        </w:rPr>
        <w:t>The average liquids realization, including equity affiliates, was $26.79 per barrel in 2003, compared with $23.06 in 2002 and $22.17 in 2001. The average natural gas realization was $2.64 per thousand cubic feet in 2003, compared with $2.14 in 2002 and $2.36 in 2001.</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Daily net liquids production of 1.246 million barrels in 2003 decreased about</w:t>
      </w:r>
    </w:p>
    <w:p>
      <w:pPr>
        <w:spacing w:after="0" w:line="30"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4 percent from 1.295 million barrels in 2002 and about 7 percent from 1.345 million barrels in 2001. The 2003 production decline included about 29,000 barrels per day in Indonesia, related primarily to the effect of lower cost-oil recovery volumes under production-sharing terms during 2003, and the expiration of a production-sharing arrangement in the third quarter 2002. New production occurred in Chad in 2003 and higher volumes were produced in the United Kingdom and Venezuela. The 2002 production decline from the prior year included lower output in Indonesia, primarily due to changes in contractual terms, and in Nigeria, which was mainly associated with OPEC constraints. These effects were partially offset by increased production in Kazakhstan.</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Net natural gas production of 2.064 billion cubic feet per day in 2003 was up</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5 percent from 2002 and more than 20 percent from 2001. During 2003, output was higher in Australia, Kazakhstan, the Philippines and the United Kingdom. In 2002, areas with production increases from 2001 included the Philippines, Kazakhstan, Nigeria and Australia.</w:t>
      </w:r>
    </w:p>
    <w:p>
      <w:pPr>
        <w:spacing w:after="0" w:line="1" w:lineRule="exact"/>
        <w:rPr>
          <w:sz w:val="20"/>
          <w:szCs w:val="20"/>
          <w:color w:val="auto"/>
        </w:rPr>
      </w:pPr>
    </w:p>
    <w:p>
      <w:pPr>
        <w:ind w:right="20" w:firstLine="203"/>
        <w:spacing w:after="0" w:line="269" w:lineRule="auto"/>
        <w:rPr>
          <w:sz w:val="20"/>
          <w:szCs w:val="20"/>
          <w:color w:val="auto"/>
        </w:rPr>
      </w:pPr>
      <w:r>
        <w:rPr>
          <w:rFonts w:ascii="Arial" w:cs="Arial" w:eastAsia="Arial" w:hAnsi="Arial"/>
          <w:sz w:val="16"/>
          <w:szCs w:val="16"/>
          <w:color w:val="auto"/>
        </w:rPr>
        <w:t>Special items in 2003 were composed of benefits totaling $150 million related to income taxes and property sales, partially offset by asset impairments and charges for employee termination costs. In 2002, special items included asset impairments connected with write-downs in quantities of proved oil and gas reserves for fields in Africa and Canada. In 2001, special items included a $247 million impairment of the LL-652 Field in Venezuela.</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Refining, Marketing and Transportation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Millions of dollars</w:t>
            </w:r>
          </w:p>
        </w:tc>
        <w:tc>
          <w:tcPr>
            <w:tcW w:w="76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w w:val="76"/>
              </w:rPr>
              <w:t>2002</w:t>
            </w:r>
          </w:p>
        </w:tc>
        <w:tc>
          <w:tcPr>
            <w:tcW w:w="16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96"/>
              </w:rPr>
              <w:t>2001</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Segment Income (Loss)</w:t>
            </w:r>
          </w:p>
        </w:tc>
        <w:tc>
          <w:tcPr>
            <w:tcW w:w="7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482</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w w:val="91"/>
              </w:rPr>
              <w:t>(398)</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1,254</w:t>
            </w:r>
          </w:p>
        </w:tc>
        <w:tc>
          <w:tcPr>
            <w:tcW w:w="0" w:type="dxa"/>
            <w:vAlign w:val="bottom"/>
          </w:tcPr>
          <w:p>
            <w:pPr>
              <w:spacing w:after="0"/>
              <w:rPr>
                <w:sz w:val="1"/>
                <w:szCs w:val="1"/>
                <w:color w:val="auto"/>
              </w:rPr>
            </w:pPr>
          </w:p>
        </w:tc>
      </w:tr>
      <w:tr>
        <w:trPr>
          <w:trHeight w:val="143"/>
        </w:trPr>
        <w:tc>
          <w:tcPr>
            <w:tcW w:w="320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Special Items Included in Segment Income: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20"/>
              <w:spacing w:after="0" w:line="149" w:lineRule="exact"/>
              <w:rPr>
                <w:sz w:val="20"/>
                <w:szCs w:val="20"/>
                <w:color w:val="auto"/>
              </w:rPr>
            </w:pPr>
            <w:r>
              <w:rPr>
                <w:rFonts w:ascii="Arial" w:cs="Arial" w:eastAsia="Arial" w:hAnsi="Arial"/>
                <w:sz w:val="14"/>
                <w:szCs w:val="14"/>
                <w:color w:val="auto"/>
              </w:rPr>
              <w:t>Asset Dispositions</w:t>
            </w:r>
          </w:p>
        </w:tc>
        <w:tc>
          <w:tcPr>
            <w:tcW w:w="7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3200" w:type="dxa"/>
            <w:vAlign w:val="bottom"/>
          </w:tcPr>
          <w:p>
            <w:pPr>
              <w:ind w:left="20"/>
              <w:spacing w:after="0" w:line="145" w:lineRule="exact"/>
              <w:rPr>
                <w:sz w:val="20"/>
                <w:szCs w:val="20"/>
                <w:color w:val="auto"/>
              </w:rPr>
            </w:pPr>
            <w:r>
              <w:rPr>
                <w:rFonts w:ascii="Arial" w:cs="Arial" w:eastAsia="Arial" w:hAnsi="Arial"/>
                <w:sz w:val="14"/>
                <w:szCs w:val="14"/>
                <w:color w:val="auto"/>
              </w:rPr>
              <w:t>Asset Impairments and Revaluations</w:t>
            </w:r>
          </w:p>
        </w:tc>
        <w:tc>
          <w:tcPr>
            <w:tcW w:w="760" w:type="dxa"/>
            <w:vAlign w:val="bottom"/>
          </w:tcPr>
          <w:p>
            <w:pPr>
              <w:spacing w:after="0"/>
              <w:rPr>
                <w:sz w:val="12"/>
                <w:szCs w:val="12"/>
                <w:color w:val="auto"/>
              </w:rPr>
            </w:pPr>
          </w:p>
        </w:tc>
        <w:tc>
          <w:tcPr>
            <w:tcW w:w="420" w:type="dxa"/>
            <w:vAlign w:val="bottom"/>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0" w:type="dxa"/>
            <w:vAlign w:val="bottom"/>
          </w:tcPr>
          <w:p>
            <w:pPr>
              <w:jc w:val="right"/>
              <w:ind w:right="9"/>
              <w:spacing w:after="0" w:line="145"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20"/>
              <w:spacing w:after="0" w:line="149" w:lineRule="exact"/>
              <w:rPr>
                <w:sz w:val="20"/>
                <w:szCs w:val="20"/>
                <w:color w:val="auto"/>
              </w:rPr>
            </w:pPr>
            <w:r>
              <w:rPr>
                <w:rFonts w:ascii="Arial" w:cs="Arial" w:eastAsia="Arial" w:hAnsi="Arial"/>
                <w:sz w:val="14"/>
                <w:szCs w:val="14"/>
                <w:color w:val="auto"/>
              </w:rPr>
              <w:t>Environmental Remediation Provisions</w:t>
            </w:r>
          </w:p>
        </w:tc>
        <w:tc>
          <w:tcPr>
            <w:tcW w:w="760" w:type="dxa"/>
            <w:vAlign w:val="bottom"/>
          </w:tcPr>
          <w:p>
            <w:pPr>
              <w:spacing w:after="0"/>
              <w:rPr>
                <w:sz w:val="12"/>
                <w:szCs w:val="12"/>
                <w:color w:val="auto"/>
              </w:rPr>
            </w:pPr>
          </w:p>
        </w:tc>
        <w:tc>
          <w:tcPr>
            <w:tcW w:w="4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w w:val="91"/>
              </w:rPr>
              <w:t>(132)</w:t>
            </w:r>
          </w:p>
        </w:tc>
        <w:tc>
          <w:tcPr>
            <w:tcW w:w="160" w:type="dxa"/>
            <w:vAlign w:val="bottom"/>
          </w:tcPr>
          <w:p>
            <w:pPr>
              <w:spacing w:after="0"/>
              <w:rPr>
                <w:sz w:val="12"/>
                <w:szCs w:val="12"/>
                <w:color w:val="auto"/>
              </w:rPr>
            </w:pPr>
          </w:p>
        </w:tc>
        <w:tc>
          <w:tcPr>
            <w:tcW w:w="400" w:type="dxa"/>
            <w:vAlign w:val="bottom"/>
          </w:tcPr>
          <w:p>
            <w:pPr>
              <w:jc w:val="right"/>
              <w:ind w:right="9"/>
              <w:spacing w:after="0" w:line="149" w:lineRule="exact"/>
              <w:rPr>
                <w:sz w:val="20"/>
                <w:szCs w:val="20"/>
                <w:color w:val="auto"/>
              </w:rPr>
            </w:pPr>
            <w:r>
              <w:rPr>
                <w:rFonts w:ascii="Arial" w:cs="Arial" w:eastAsia="Arial" w:hAnsi="Arial"/>
                <w:sz w:val="14"/>
                <w:szCs w:val="14"/>
                <w:color w:val="auto"/>
              </w:rPr>
              <w:t>(92)</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3200" w:type="dxa"/>
            <w:vAlign w:val="bottom"/>
          </w:tcPr>
          <w:p>
            <w:pPr>
              <w:ind w:left="20"/>
              <w:spacing w:after="0" w:line="149" w:lineRule="exact"/>
              <w:rPr>
                <w:sz w:val="20"/>
                <w:szCs w:val="20"/>
                <w:color w:val="auto"/>
              </w:rPr>
            </w:pPr>
            <w:r>
              <w:rPr>
                <w:rFonts w:ascii="Arial" w:cs="Arial" w:eastAsia="Arial" w:hAnsi="Arial"/>
                <w:sz w:val="14"/>
                <w:szCs w:val="14"/>
                <w:color w:val="auto"/>
              </w:rPr>
              <w:t>Restructuring and Reorganizations</w:t>
            </w:r>
          </w:p>
        </w:tc>
        <w:tc>
          <w:tcPr>
            <w:tcW w:w="760" w:type="dxa"/>
            <w:vAlign w:val="bottom"/>
          </w:tcPr>
          <w:p>
            <w:pPr>
              <w:spacing w:after="0"/>
              <w:rPr>
                <w:sz w:val="12"/>
                <w:szCs w:val="12"/>
                <w:color w:val="auto"/>
              </w:rPr>
            </w:pPr>
          </w:p>
        </w:tc>
        <w:tc>
          <w:tcPr>
            <w:tcW w:w="4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12"/>
                <w:szCs w:val="12"/>
                <w:color w:val="auto"/>
              </w:rPr>
            </w:pPr>
          </w:p>
        </w:tc>
        <w:tc>
          <w:tcPr>
            <w:tcW w:w="4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Litigation Provisions</w:t>
            </w:r>
          </w:p>
        </w:tc>
        <w:tc>
          <w:tcPr>
            <w:tcW w:w="76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9"/>
              <w:spacing w:after="0"/>
              <w:rPr>
                <w:sz w:val="20"/>
                <w:szCs w:val="20"/>
                <w:color w:val="auto"/>
              </w:rPr>
            </w:pPr>
            <w:r>
              <w:rPr>
                <w:rFonts w:ascii="Arial" w:cs="Arial" w:eastAsia="Arial" w:hAnsi="Arial"/>
                <w:sz w:val="14"/>
                <w:szCs w:val="14"/>
                <w:color w:val="auto"/>
              </w:rPr>
              <w:t>(57)</w:t>
            </w:r>
          </w:p>
        </w:tc>
        <w:tc>
          <w:tcPr>
            <w:tcW w:w="16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Special Items</w:t>
            </w:r>
          </w:p>
        </w:tc>
        <w:tc>
          <w:tcPr>
            <w:tcW w:w="7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b w:val="1"/>
                <w:bCs w:val="1"/>
                <w:color w:val="auto"/>
                <w:w w:val="91"/>
              </w:rPr>
              <w:t>(123)</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w w:val="91"/>
              </w:rPr>
              <w:t>(215)</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0" w:firstLine="200"/>
        <w:spacing w:after="0" w:line="291" w:lineRule="auto"/>
        <w:rPr>
          <w:sz w:val="20"/>
          <w:szCs w:val="20"/>
          <w:color w:val="auto"/>
        </w:rPr>
      </w:pPr>
      <w:r>
        <w:rPr>
          <w:rFonts w:ascii="Arial" w:cs="Arial" w:eastAsia="Arial" w:hAnsi="Arial"/>
          <w:sz w:val="15"/>
          <w:szCs w:val="15"/>
          <w:color w:val="auto"/>
        </w:rPr>
        <w:t>The U.S. refining, marketing and transportation earnings in 2003 reflected primarily a recovery in industry margins for refined products, especially on the West Coast. Margins in 2002 were very depressed and at one point, hovered near their 12-year lows. Results for 2001 included earnings of $375 million associated with assets that were later sold as a condition of the merger, which included the company’s Equilon and Motiva joint ventures.</w:t>
      </w:r>
    </w:p>
    <w:p>
      <w:pPr>
        <w:spacing w:after="0" w:line="123" w:lineRule="exact"/>
        <w:rPr>
          <w:sz w:val="20"/>
          <w:szCs w:val="20"/>
          <w:color w:val="auto"/>
        </w:rPr>
      </w:pPr>
    </w:p>
    <w:p>
      <w:pPr>
        <w:ind w:right="220" w:firstLine="203"/>
        <w:spacing w:after="0" w:line="273" w:lineRule="auto"/>
        <w:rPr>
          <w:sz w:val="20"/>
          <w:szCs w:val="20"/>
          <w:color w:val="auto"/>
        </w:rPr>
      </w:pPr>
      <w:r>
        <w:rPr>
          <w:rFonts w:ascii="Arial" w:cs="Arial" w:eastAsia="Arial" w:hAnsi="Arial"/>
          <w:sz w:val="16"/>
          <w:szCs w:val="16"/>
          <w:color w:val="auto"/>
        </w:rPr>
        <w:t>Sales volumes for refined products of 1.514 million barrels per day in 2003 decreased about 5 percent from 2002. Demand was weaker for branded gasoline, diesel and jet fuels, and there were lower sales under certain supply contracts. Branded gasoline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2820" w:val="left"/>
        </w:tabs>
        <w:rPr>
          <w:sz w:val="20"/>
          <w:szCs w:val="20"/>
          <w:color w:val="auto"/>
        </w:rPr>
      </w:pPr>
      <w:r>
        <w:rPr>
          <w:rFonts w:ascii="Arial" w:cs="Arial" w:eastAsia="Arial" w:hAnsi="Arial"/>
          <w:sz w:val="13"/>
          <w:szCs w:val="13"/>
          <w:color w:val="auto"/>
        </w:rPr>
        <w:t>Refined products sales volumes decreased about</w:t>
      </w:r>
      <w:r>
        <w:rPr>
          <w:sz w:val="20"/>
          <w:szCs w:val="20"/>
          <w:color w:val="auto"/>
        </w:rPr>
        <w:tab/>
      </w:r>
      <w:r>
        <w:rPr>
          <w:rFonts w:ascii="Arial" w:cs="Arial" w:eastAsia="Arial" w:hAnsi="Arial"/>
          <w:sz w:val="11"/>
          <w:szCs w:val="11"/>
          <w:color w:val="auto"/>
        </w:rPr>
        <w:t>U.S. downstream earnings in 2003 rebounded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-2972435</wp:posOffset>
            </wp:positionV>
            <wp:extent cx="3121660" cy="79413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21660" cy="7941310"/>
                    </a:xfrm>
                    <a:prstGeom prst="rect">
                      <a:avLst/>
                    </a:prstGeom>
                    <a:noFill/>
                  </pic:spPr>
                </pic:pic>
              </a:graphicData>
            </a:graphic>
          </wp:anchor>
        </w:drawing>
      </w:r>
    </w:p>
    <w:p>
      <w:pPr>
        <w:spacing w:after="0"/>
        <w:tabs>
          <w:tab w:leader="none" w:pos="2820" w:val="left"/>
        </w:tabs>
        <w:rPr>
          <w:sz w:val="20"/>
          <w:szCs w:val="20"/>
          <w:color w:val="auto"/>
        </w:rPr>
      </w:pPr>
      <w:r>
        <w:rPr>
          <w:rFonts w:ascii="Arial" w:cs="Arial" w:eastAsia="Arial" w:hAnsi="Arial"/>
          <w:sz w:val="13"/>
          <w:szCs w:val="13"/>
          <w:color w:val="auto"/>
        </w:rPr>
        <w:t>5 percent from 2002. The decline partially</w:t>
      </w:r>
      <w:r>
        <w:rPr>
          <w:sz w:val="20"/>
          <w:szCs w:val="20"/>
          <w:color w:val="auto"/>
        </w:rPr>
        <w:tab/>
      </w:r>
      <w:r>
        <w:rPr>
          <w:rFonts w:ascii="Arial" w:cs="Arial" w:eastAsia="Arial" w:hAnsi="Arial"/>
          <w:sz w:val="11"/>
          <w:szCs w:val="11"/>
          <w:color w:val="auto"/>
        </w:rPr>
        <w:t>a loss in 2002, primarily due to a recovery in the</w:t>
      </w:r>
    </w:p>
    <w:p>
      <w:pPr>
        <w:spacing w:after="0"/>
        <w:tabs>
          <w:tab w:leader="none" w:pos="2820" w:val="left"/>
        </w:tabs>
        <w:rPr>
          <w:sz w:val="20"/>
          <w:szCs w:val="20"/>
          <w:color w:val="auto"/>
        </w:rPr>
      </w:pPr>
      <w:r>
        <w:rPr>
          <w:rFonts w:ascii="Arial" w:cs="Arial" w:eastAsia="Arial" w:hAnsi="Arial"/>
          <w:sz w:val="13"/>
          <w:szCs w:val="13"/>
          <w:color w:val="auto"/>
        </w:rPr>
        <w:t>reflected the August 2003 sale of the El Paso,</w:t>
      </w:r>
      <w:r>
        <w:rPr>
          <w:sz w:val="20"/>
          <w:szCs w:val="20"/>
          <w:color w:val="auto"/>
        </w:rPr>
        <w:tab/>
      </w:r>
      <w:r>
        <w:rPr>
          <w:rFonts w:ascii="Arial" w:cs="Arial" w:eastAsia="Arial" w:hAnsi="Arial"/>
          <w:sz w:val="11"/>
          <w:szCs w:val="11"/>
          <w:color w:val="auto"/>
        </w:rPr>
        <w:t>industry margins for refined products.</w:t>
      </w:r>
    </w:p>
    <w:p>
      <w:pPr>
        <w:spacing w:after="0"/>
        <w:rPr>
          <w:sz w:val="20"/>
          <w:szCs w:val="20"/>
          <w:color w:val="auto"/>
        </w:rPr>
      </w:pPr>
      <w:r>
        <w:rPr>
          <w:rFonts w:ascii="Arial" w:cs="Arial" w:eastAsia="Arial" w:hAnsi="Arial"/>
          <w:sz w:val="13"/>
          <w:szCs w:val="13"/>
          <w:color w:val="auto"/>
        </w:rPr>
        <w:t>Texas, refinery.</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Includes equity in affiliates</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sales volumes of 557,000 barrels per day were 4 percent lower than 2002. In 2002, branded gasoline sales increased approximately 4 percent compared with 2001 volumes. The average U.S. refined products sales realization of $39.93 per barrel in 2003 was up from the average of $32.63 per barrel and $36.26 per barrel in 2002 and 2001, respectively.</w:t>
      </w:r>
    </w:p>
    <w:p>
      <w:pPr>
        <w:spacing w:after="0" w:line="136" w:lineRule="exact"/>
        <w:rPr>
          <w:sz w:val="20"/>
          <w:szCs w:val="20"/>
          <w:color w:val="auto"/>
        </w:rPr>
      </w:pPr>
    </w:p>
    <w:p>
      <w:pPr>
        <w:ind w:right="160" w:firstLine="203"/>
        <w:spacing w:after="0" w:line="291" w:lineRule="auto"/>
        <w:rPr>
          <w:sz w:val="20"/>
          <w:szCs w:val="20"/>
          <w:color w:val="auto"/>
        </w:rPr>
      </w:pPr>
      <w:r>
        <w:rPr>
          <w:rFonts w:ascii="Arial" w:cs="Arial" w:eastAsia="Arial" w:hAnsi="Arial"/>
          <w:sz w:val="15"/>
          <w:szCs w:val="15"/>
          <w:color w:val="auto"/>
        </w:rPr>
        <w:t>Special items in 2003 included $160 million for reserves for environmental remediation and employee severance costs associated with the global downstream restructuring and reorganization. These charges were partially offset by gains primarily from the sale of service stations. In 2002, special items included environmental remediation provisions and asset write-downs for certain refining and marketing assets, and a litigation charge.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Refining, Marketing and Transportation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Millions of dollars</w:t>
            </w:r>
          </w:p>
        </w:tc>
        <w:tc>
          <w:tcPr>
            <w:tcW w:w="76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w w:val="76"/>
              </w:rPr>
              <w:t>2002</w:t>
            </w:r>
          </w:p>
        </w:tc>
        <w:tc>
          <w:tcPr>
            <w:tcW w:w="1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83"/>
              </w:rPr>
              <w:t>2001</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auto"/>
              </w:rPr>
              <w:t>Segment Income*</w:t>
            </w:r>
          </w:p>
        </w:tc>
        <w:tc>
          <w:tcPr>
            <w:tcW w:w="7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685</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rPr>
              <w:t>31</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3"/>
        </w:trPr>
        <w:tc>
          <w:tcPr>
            <w:tcW w:w="3240" w:type="dxa"/>
            <w:vAlign w:val="bottom"/>
          </w:tcPr>
          <w:p>
            <w:pPr>
              <w:spacing w:after="0" w:line="143" w:lineRule="exact"/>
              <w:rPr>
                <w:sz w:val="20"/>
                <w:szCs w:val="20"/>
                <w:color w:val="auto"/>
              </w:rPr>
            </w:pPr>
            <w:r>
              <w:rPr>
                <w:rFonts w:ascii="Arial" w:cs="Arial" w:eastAsia="Arial" w:hAnsi="Arial"/>
                <w:sz w:val="14"/>
                <w:szCs w:val="14"/>
                <w:color w:val="auto"/>
              </w:rPr>
              <w:t>*Includes Foreign Currency (Losses) Gains:</w:t>
            </w:r>
          </w:p>
        </w:tc>
        <w:tc>
          <w:tcPr>
            <w:tcW w:w="7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9"/>
              <w:spacing w:after="0" w:line="143" w:lineRule="exact"/>
              <w:rPr>
                <w:sz w:val="20"/>
                <w:szCs w:val="20"/>
                <w:color w:val="auto"/>
              </w:rPr>
            </w:pPr>
            <w:r>
              <w:rPr>
                <w:rFonts w:ascii="Arial" w:cs="Arial" w:eastAsia="Arial" w:hAnsi="Arial"/>
                <w:sz w:val="14"/>
                <w:szCs w:val="14"/>
                <w:b w:val="1"/>
                <w:bCs w:val="1"/>
                <w:color w:val="auto"/>
                <w:w w:val="91"/>
              </w:rPr>
              <w:t>(141)</w:t>
            </w: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9"/>
              <w:spacing w:after="0" w:line="143" w:lineRule="exact"/>
              <w:rPr>
                <w:sz w:val="20"/>
                <w:szCs w:val="20"/>
                <w:color w:val="auto"/>
              </w:rPr>
            </w:pPr>
            <w:r>
              <w:rPr>
                <w:rFonts w:ascii="Arial" w:cs="Arial" w:eastAsia="Arial" w:hAnsi="Arial"/>
                <w:sz w:val="14"/>
                <w:szCs w:val="14"/>
                <w:color w:val="auto"/>
                <w:w w:val="91"/>
              </w:rPr>
              <w:t>(176)</w:t>
            </w: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3"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i w:val="1"/>
                <w:iCs w:val="1"/>
                <w:color w:val="auto"/>
              </w:rPr>
              <w:t>Special Items Included in Segment Income: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(24)</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40" w:type="dxa"/>
            <w:vAlign w:val="bottom"/>
          </w:tcPr>
          <w:p>
            <w:pPr>
              <w:spacing w:after="0" w:line="145" w:lineRule="exact"/>
              <w:rPr>
                <w:sz w:val="20"/>
                <w:szCs w:val="20"/>
                <w:color w:val="auto"/>
              </w:rPr>
            </w:pPr>
            <w:r>
              <w:rPr>
                <w:rFonts w:ascii="Arial" w:cs="Arial" w:eastAsia="Arial" w:hAnsi="Arial"/>
                <w:sz w:val="14"/>
                <w:szCs w:val="14"/>
                <w:color w:val="auto"/>
              </w:rPr>
              <w:t>Asset Dispositions</w:t>
            </w:r>
          </w:p>
        </w:tc>
        <w:tc>
          <w:tcPr>
            <w:tcW w:w="7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Asset Impairments and Revaluations</w:t>
            </w:r>
          </w:p>
        </w:tc>
        <w:tc>
          <w:tcPr>
            <w:tcW w:w="760" w:type="dxa"/>
            <w:vAlign w:val="bottom"/>
          </w:tcPr>
          <w:p>
            <w:pPr>
              <w:spacing w:after="0"/>
              <w:rPr>
                <w:sz w:val="12"/>
                <w:szCs w:val="12"/>
                <w:color w:val="auto"/>
              </w:rPr>
            </w:pPr>
          </w:p>
        </w:tc>
        <w:tc>
          <w:tcPr>
            <w:tcW w:w="4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w w:val="91"/>
              </w:rPr>
              <w:t>(123)</w:t>
            </w:r>
          </w:p>
        </w:tc>
        <w:tc>
          <w:tcPr>
            <w:tcW w:w="160" w:type="dxa"/>
            <w:vAlign w:val="bottom"/>
          </w:tcPr>
          <w:p>
            <w:pPr>
              <w:spacing w:after="0"/>
              <w:rPr>
                <w:sz w:val="12"/>
                <w:szCs w:val="12"/>
                <w:color w:val="auto"/>
              </w:rPr>
            </w:pPr>
          </w:p>
        </w:tc>
        <w:tc>
          <w:tcPr>
            <w:tcW w:w="400" w:type="dxa"/>
            <w:vAlign w:val="bottom"/>
          </w:tcPr>
          <w:p>
            <w:pPr>
              <w:jc w:val="right"/>
              <w:ind w:right="9"/>
              <w:spacing w:after="0" w:line="149" w:lineRule="exact"/>
              <w:rPr>
                <w:sz w:val="20"/>
                <w:szCs w:val="20"/>
                <w:color w:val="auto"/>
              </w:rPr>
            </w:pPr>
            <w:r>
              <w:rPr>
                <w:rFonts w:ascii="Arial" w:cs="Arial" w:eastAsia="Arial" w:hAnsi="Arial"/>
                <w:sz w:val="14"/>
                <w:szCs w:val="14"/>
                <w:color w:val="auto"/>
                <w:w w:val="91"/>
              </w:rPr>
              <w:t>(136)</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Restructuring and Reorganizations</w:t>
            </w:r>
          </w:p>
        </w:tc>
        <w:tc>
          <w:tcPr>
            <w:tcW w:w="760" w:type="dxa"/>
            <w:vAlign w:val="bottom"/>
          </w:tcPr>
          <w:p>
            <w:pPr>
              <w:spacing w:after="0"/>
              <w:rPr>
                <w:sz w:val="12"/>
                <w:szCs w:val="12"/>
                <w:color w:val="auto"/>
              </w:rPr>
            </w:pPr>
          </w:p>
        </w:tc>
        <w:tc>
          <w:tcPr>
            <w:tcW w:w="4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(42)</w:t>
            </w:r>
          </w:p>
        </w:tc>
        <w:tc>
          <w:tcPr>
            <w:tcW w:w="160" w:type="dxa"/>
            <w:vAlign w:val="bottom"/>
          </w:tcPr>
          <w:p>
            <w:pPr>
              <w:spacing w:after="0"/>
              <w:rPr>
                <w:sz w:val="12"/>
                <w:szCs w:val="12"/>
                <w:color w:val="auto"/>
              </w:rPr>
            </w:pPr>
          </w:p>
        </w:tc>
        <w:tc>
          <w:tcPr>
            <w:tcW w:w="4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Tax Adjustments</w:t>
            </w:r>
          </w:p>
        </w:tc>
        <w:tc>
          <w:tcPr>
            <w:tcW w:w="76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 Special Items</w:t>
            </w:r>
          </w:p>
        </w:tc>
        <w:tc>
          <w:tcPr>
            <w:tcW w:w="7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b w:val="1"/>
                <w:bCs w:val="1"/>
                <w:color w:val="auto"/>
                <w:w w:val="91"/>
              </w:rPr>
              <w:t>(189)</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w w:val="91"/>
              </w:rPr>
              <w:t>(136)</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60" w:firstLine="200"/>
        <w:spacing w:after="0" w:line="273" w:lineRule="auto"/>
        <w:rPr>
          <w:sz w:val="20"/>
          <w:szCs w:val="20"/>
          <w:color w:val="auto"/>
        </w:rPr>
      </w:pPr>
      <w:r>
        <w:rPr>
          <w:rFonts w:ascii="Arial" w:cs="Arial" w:eastAsia="Arial" w:hAnsi="Arial"/>
          <w:sz w:val="16"/>
          <w:szCs w:val="16"/>
          <w:color w:val="auto"/>
        </w:rPr>
        <w:t>The international refining, marketing and transportation segment includes the company’s consolidated refining and marketing businesses, international marine operations, international supply and trading activities, and equity earnings of affiliates, primarily in the Asia-Pacific region.</w:t>
      </w:r>
    </w:p>
    <w:p>
      <w:pPr>
        <w:spacing w:after="0" w:line="135" w:lineRule="exact"/>
        <w:rPr>
          <w:sz w:val="20"/>
          <w:szCs w:val="20"/>
          <w:color w:val="auto"/>
        </w:rPr>
      </w:pPr>
    </w:p>
    <w:p>
      <w:pPr>
        <w:ind w:right="20" w:firstLine="194"/>
        <w:spacing w:after="0" w:line="283" w:lineRule="auto"/>
        <w:rPr>
          <w:sz w:val="20"/>
          <w:szCs w:val="20"/>
          <w:color w:val="auto"/>
        </w:rPr>
      </w:pPr>
      <w:r>
        <w:rPr>
          <w:rFonts w:ascii="Arial" w:cs="Arial" w:eastAsia="Arial" w:hAnsi="Arial"/>
          <w:sz w:val="15"/>
          <w:szCs w:val="15"/>
          <w:color w:val="auto"/>
        </w:rPr>
        <w:t>As in the United States, the international downstream earnings increased on improved refined-product margins for the industry. The decline in earnings from 2001 to 2002 reflected not only the trend in refined product margins but also about a $200 million unfavorable shift in foreign currency effects between periods.</w:t>
      </w:r>
    </w:p>
    <w:p>
      <w:pPr>
        <w:spacing w:after="0" w:line="1" w:lineRule="exact"/>
        <w:rPr>
          <w:sz w:val="20"/>
          <w:szCs w:val="20"/>
          <w:color w:val="auto"/>
        </w:rPr>
      </w:pPr>
    </w:p>
    <w:p>
      <w:pPr>
        <w:ind w:right="60" w:firstLine="200"/>
        <w:spacing w:after="0" w:line="288" w:lineRule="auto"/>
        <w:rPr>
          <w:sz w:val="20"/>
          <w:szCs w:val="20"/>
          <w:color w:val="auto"/>
        </w:rPr>
      </w:pPr>
      <w:r>
        <w:rPr>
          <w:rFonts w:ascii="Arial" w:cs="Arial" w:eastAsia="Arial" w:hAnsi="Arial"/>
          <w:sz w:val="16"/>
          <w:szCs w:val="16"/>
          <w:color w:val="auto"/>
        </w:rPr>
        <w:t>Total international refined products sales volumes were 2.224 million barrels per day in 2003, up about 2 percent from</w:t>
      </w:r>
    </w:p>
    <w:p>
      <w:pPr>
        <w:spacing w:after="0" w:line="200" w:lineRule="exact"/>
        <w:rPr>
          <w:sz w:val="20"/>
          <w:szCs w:val="20"/>
          <w:color w:val="auto"/>
        </w:rPr>
      </w:pPr>
    </w:p>
    <w:p>
      <w:pPr>
        <w:sectPr>
          <w:pgSz w:w="11900" w:h="16838" w:orient="portrait"/>
          <w:cols w:equalWidth="0" w:num="2">
            <w:col w:w="5480" w:space="400"/>
            <w:col w:w="5480"/>
          </w:cols>
          <w:pgMar w:left="240" w:top="419" w:right="299" w:bottom="1440" w:gutter="0" w:footer="0" w:header="0"/>
        </w:sect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18"/>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3679190" cy="6165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79190" cy="616585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spacing w:after="0"/>
              <w:rPr>
                <w:sz w:val="20"/>
                <w:szCs w:val="20"/>
                <w:color w:val="auto"/>
              </w:rPr>
            </w:pPr>
            <w:r>
              <w:rPr>
                <w:rFonts w:ascii="Arial" w:cs="Arial" w:eastAsia="Arial" w:hAnsi="Arial"/>
                <w:sz w:val="13"/>
                <w:szCs w:val="13"/>
                <w:color w:val="auto"/>
                <w:w w:val="93"/>
              </w:rPr>
              <w:t>Refined products sales volumes increased</w:t>
            </w:r>
          </w:p>
        </w:tc>
        <w:tc>
          <w:tcPr>
            <w:tcW w:w="3000" w:type="dxa"/>
            <w:vAlign w:val="bottom"/>
          </w:tcPr>
          <w:p>
            <w:pPr>
              <w:ind w:left="220"/>
              <w:spacing w:after="0"/>
              <w:rPr>
                <w:sz w:val="20"/>
                <w:szCs w:val="20"/>
                <w:color w:val="auto"/>
              </w:rPr>
            </w:pPr>
            <w:r>
              <w:rPr>
                <w:rFonts w:ascii="Arial" w:cs="Arial" w:eastAsia="Arial" w:hAnsi="Arial"/>
                <w:sz w:val="13"/>
                <w:szCs w:val="13"/>
                <w:color w:val="auto"/>
                <w:w w:val="87"/>
              </w:rPr>
              <w:t>Protracted weak demand for commodity chemicals and</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Arial" w:cs="Arial" w:eastAsia="Arial" w:hAnsi="Arial"/>
                <w:sz w:val="13"/>
                <w:szCs w:val="13"/>
                <w:color w:val="auto"/>
              </w:rPr>
              <w:t>about 2 percent from 2002.</w:t>
            </w:r>
          </w:p>
        </w:tc>
        <w:tc>
          <w:tcPr>
            <w:tcW w:w="3000" w:type="dxa"/>
            <w:vAlign w:val="bottom"/>
          </w:tcPr>
          <w:p>
            <w:pPr>
              <w:ind w:left="220"/>
              <w:spacing w:after="0" w:line="135" w:lineRule="exact"/>
              <w:rPr>
                <w:sz w:val="20"/>
                <w:szCs w:val="20"/>
                <w:color w:val="auto"/>
              </w:rPr>
            </w:pPr>
            <w:r>
              <w:rPr>
                <w:rFonts w:ascii="Arial" w:cs="Arial" w:eastAsia="Arial" w:hAnsi="Arial"/>
                <w:sz w:val="13"/>
                <w:szCs w:val="13"/>
                <w:color w:val="auto"/>
                <w:w w:val="95"/>
              </w:rPr>
              <w:t>industry oversupply continue to suppress chemical</w:t>
            </w:r>
          </w:p>
        </w:tc>
        <w:tc>
          <w:tcPr>
            <w:tcW w:w="0" w:type="dxa"/>
            <w:vAlign w:val="bottom"/>
          </w:tcPr>
          <w:p>
            <w:pPr>
              <w:spacing w:after="0"/>
              <w:rPr>
                <w:sz w:val="1"/>
                <w:szCs w:val="1"/>
                <w:color w:val="auto"/>
              </w:rPr>
            </w:pPr>
          </w:p>
        </w:tc>
      </w:tr>
      <w:tr>
        <w:trPr>
          <w:trHeight w:val="160"/>
        </w:trPr>
        <w:tc>
          <w:tcPr>
            <w:tcW w:w="2300" w:type="dxa"/>
            <w:vAlign w:val="bottom"/>
            <w:vMerge w:val="restart"/>
          </w:tcPr>
          <w:p>
            <w:pPr>
              <w:spacing w:after="0"/>
              <w:rPr>
                <w:sz w:val="20"/>
                <w:szCs w:val="20"/>
                <w:color w:val="auto"/>
              </w:rPr>
            </w:pPr>
            <w:r>
              <w:rPr>
                <w:rFonts w:ascii="Arial" w:cs="Arial" w:eastAsia="Arial" w:hAnsi="Arial"/>
                <w:sz w:val="13"/>
                <w:szCs w:val="13"/>
                <w:i w:val="1"/>
                <w:iCs w:val="1"/>
                <w:color w:val="auto"/>
              </w:rPr>
              <w:t>*Includes equity in affiliates</w:t>
            </w:r>
          </w:p>
        </w:tc>
        <w:tc>
          <w:tcPr>
            <w:tcW w:w="3000" w:type="dxa"/>
            <w:vAlign w:val="bottom"/>
          </w:tcPr>
          <w:p>
            <w:pPr>
              <w:ind w:left="220"/>
              <w:spacing w:after="0"/>
              <w:rPr>
                <w:sz w:val="20"/>
                <w:szCs w:val="20"/>
                <w:color w:val="auto"/>
              </w:rPr>
            </w:pPr>
            <w:r>
              <w:rPr>
                <w:rFonts w:ascii="Arial" w:cs="Arial" w:eastAsia="Arial" w:hAnsi="Arial"/>
                <w:sz w:val="13"/>
                <w:szCs w:val="13"/>
                <w:color w:val="auto"/>
              </w:rPr>
              <w:t>earnings.</w:t>
            </w: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3000" w:type="dxa"/>
            <w:vAlign w:val="bottom"/>
            <w:vMerge w:val="restart"/>
          </w:tcPr>
          <w:p>
            <w:pPr>
              <w:ind w:left="220"/>
              <w:spacing w:after="0"/>
              <w:rPr>
                <w:sz w:val="20"/>
                <w:szCs w:val="20"/>
                <w:color w:val="auto"/>
              </w:rPr>
            </w:pPr>
            <w:r>
              <w:rPr>
                <w:rFonts w:ascii="Arial" w:cs="Arial" w:eastAsia="Arial" w:hAnsi="Arial"/>
                <w:sz w:val="13"/>
                <w:szCs w:val="13"/>
                <w:i w:val="1"/>
                <w:iCs w:val="1"/>
                <w:color w:val="auto"/>
              </w:rPr>
              <w:t>*Includes equity in affiliates</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2.175 million in 2002 and about 9 percent lower than 2.454 million in 2001. Weak economic conditions dampened demand in 2002.</w:t>
      </w:r>
    </w:p>
    <w:p>
      <w:pPr>
        <w:spacing w:after="0" w:line="1" w:lineRule="exact"/>
        <w:rPr>
          <w:sz w:val="20"/>
          <w:szCs w:val="20"/>
          <w:color w:val="auto"/>
        </w:rPr>
      </w:pPr>
    </w:p>
    <w:p>
      <w:pPr>
        <w:ind w:right="20" w:firstLine="203"/>
        <w:spacing w:after="0" w:line="281" w:lineRule="auto"/>
        <w:rPr>
          <w:sz w:val="20"/>
          <w:szCs w:val="20"/>
          <w:color w:val="auto"/>
        </w:rPr>
      </w:pPr>
      <w:r>
        <w:rPr>
          <w:rFonts w:ascii="Arial" w:cs="Arial" w:eastAsia="Arial" w:hAnsi="Arial"/>
          <w:sz w:val="15"/>
          <w:szCs w:val="15"/>
          <w:color w:val="auto"/>
        </w:rPr>
        <w:t>Special items of $189 million in 2003 included charges for the write-down of the Batangas Refinery in the Philippines in advance of its conversion to a product terminal facility and employee severance benefits associated with the global downstream restructuring and reorganization. In addition, special charges of</w:t>
      </w:r>
    </w:p>
    <w:p>
      <w:pPr>
        <w:spacing w:after="0" w:line="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$70 million were recognized for the impairment of assets in anticipation of their sale and the company’s share of losses from an asset sale and asset impairment by an equity affiliate. The special item in 2002 was for a write-down of the company’s investment in its publicly traded Caltex Australia Limited affiliate to its estimated fair value.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Chemicals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Millions of dollars</w:t>
            </w:r>
          </w:p>
        </w:tc>
        <w:tc>
          <w:tcPr>
            <w:tcW w:w="58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w w:val="83"/>
              </w:rPr>
              <w:t>2002</w:t>
            </w:r>
          </w:p>
        </w:tc>
        <w:tc>
          <w:tcPr>
            <w:tcW w:w="2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w w:val="96"/>
              </w:rPr>
              <w:t>2001</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Segment Income (Loss) *</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69</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86</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37"/>
        </w:trPr>
        <w:tc>
          <w:tcPr>
            <w:tcW w:w="3100" w:type="dxa"/>
            <w:vAlign w:val="bottom"/>
          </w:tcPr>
          <w:p>
            <w:pPr>
              <w:ind w:left="20"/>
              <w:spacing w:after="0" w:line="137" w:lineRule="exact"/>
              <w:rPr>
                <w:sz w:val="20"/>
                <w:szCs w:val="20"/>
                <w:color w:val="auto"/>
              </w:rPr>
            </w:pPr>
            <w:r>
              <w:rPr>
                <w:rFonts w:ascii="Arial" w:cs="Arial" w:eastAsia="Arial" w:hAnsi="Arial"/>
                <w:sz w:val="14"/>
                <w:szCs w:val="14"/>
                <w:color w:val="auto"/>
              </w:rPr>
              <w:t>* Includes Foreign Currency Gains (Losses):</w:t>
            </w:r>
          </w:p>
        </w:tc>
        <w:tc>
          <w:tcPr>
            <w:tcW w:w="58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69"/>
              <w:spacing w:after="0" w:line="137"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89"/>
              <w:spacing w:after="0" w:line="137" w:lineRule="exact"/>
              <w:rPr>
                <w:sz w:val="20"/>
                <w:szCs w:val="20"/>
                <w:color w:val="auto"/>
              </w:rPr>
            </w:pPr>
            <w:r>
              <w:rPr>
                <w:rFonts w:ascii="Arial" w:cs="Arial" w:eastAsia="Arial" w:hAnsi="Arial"/>
                <w:sz w:val="14"/>
                <w:szCs w:val="14"/>
                <w:color w:val="auto"/>
              </w:rPr>
              <w:t>3</w:t>
            </w:r>
          </w:p>
        </w:tc>
        <w:tc>
          <w:tcPr>
            <w:tcW w:w="26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29"/>
              <w:spacing w:after="0" w:line="13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10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Special Items Included in Segment Income:</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Asset Impairments and Revaluations</w:t>
            </w:r>
          </w:p>
        </w:tc>
        <w:tc>
          <w:tcPr>
            <w:tcW w:w="580" w:type="dxa"/>
            <w:vAlign w:val="bottom"/>
            <w:tcBorders>
              <w:bottom w:val="single" w:sz="8" w:color="0070FF"/>
            </w:tcBorders>
            <w:vMerge w:val="continue"/>
          </w:tcPr>
          <w:p>
            <w:pPr>
              <w:spacing w:after="0"/>
              <w:rPr>
                <w:sz w:val="16"/>
                <w:szCs w:val="16"/>
                <w:color w:val="auto"/>
              </w:rPr>
            </w:pPr>
          </w:p>
        </w:tc>
        <w:tc>
          <w:tcPr>
            <w:tcW w:w="420" w:type="dxa"/>
            <w:vAlign w:val="bottom"/>
            <w:tcBorders>
              <w:bottom w:val="single" w:sz="8" w:color="0070FF"/>
            </w:tcBorders>
            <w:vMerge w:val="continue"/>
          </w:tcPr>
          <w:p>
            <w:pPr>
              <w:spacing w:after="0"/>
              <w:rPr>
                <w:sz w:val="16"/>
                <w:szCs w:val="16"/>
                <w:color w:val="auto"/>
              </w:rPr>
            </w:pP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203"/>
        <w:spacing w:after="0" w:line="318" w:lineRule="auto"/>
        <w:rPr>
          <w:sz w:val="20"/>
          <w:szCs w:val="20"/>
          <w:color w:val="auto"/>
        </w:rPr>
      </w:pPr>
      <w:r>
        <w:rPr>
          <w:rFonts w:ascii="Arial" w:cs="Arial" w:eastAsia="Arial" w:hAnsi="Arial"/>
          <w:sz w:val="14"/>
          <w:szCs w:val="14"/>
          <w:color w:val="auto"/>
        </w:rPr>
        <w:t>Chemicals includes the company’s Oronite division and equity earnings from the company’s 50 percent-owned Chevron Phillips Chemical Company LLC (CPChem) affiliate. Protracted weak demand for commodity chemicals and industry oversupply conditions continued to suppress earnings for this sector. Special items in 2001 included write-downs of the CPChem Puerto Rico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Millions of dollars</w:t>
            </w:r>
          </w:p>
        </w:tc>
        <w:tc>
          <w:tcPr>
            <w:tcW w:w="30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2002</w:t>
            </w:r>
          </w:p>
        </w:tc>
        <w:tc>
          <w:tcPr>
            <w:tcW w:w="2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3100" w:type="dxa"/>
            <w:vAlign w:val="bottom"/>
          </w:tcPr>
          <w:p>
            <w:pPr>
              <w:spacing w:after="0" w:line="137" w:lineRule="exact"/>
              <w:rPr>
                <w:sz w:val="20"/>
                <w:szCs w:val="20"/>
                <w:color w:val="auto"/>
              </w:rPr>
            </w:pPr>
            <w:r>
              <w:rPr>
                <w:rFonts w:ascii="Arial" w:cs="Arial" w:eastAsia="Arial" w:hAnsi="Arial"/>
                <w:sz w:val="14"/>
                <w:szCs w:val="14"/>
                <w:color w:val="auto"/>
              </w:rPr>
              <w:t>Charges Before Cumulative Effect of Change in</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7"/>
              </w:rPr>
              <w:t>(213)</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00" w:type="dxa"/>
            <w:vAlign w:val="bottom"/>
          </w:tcPr>
          <w:p>
            <w:pPr>
              <w:ind w:left="140"/>
              <w:spacing w:after="0" w:line="145" w:lineRule="exact"/>
              <w:rPr>
                <w:sz w:val="20"/>
                <w:szCs w:val="20"/>
                <w:color w:val="auto"/>
              </w:rPr>
            </w:pPr>
            <w:r>
              <w:rPr>
                <w:rFonts w:ascii="Arial" w:cs="Arial" w:eastAsia="Arial" w:hAnsi="Arial"/>
                <w:sz w:val="14"/>
                <w:szCs w:val="14"/>
                <w:color w:val="auto"/>
              </w:rPr>
              <w:t>Accounting Principles*</w:t>
            </w:r>
          </w:p>
        </w:tc>
        <w:tc>
          <w:tcPr>
            <w:tcW w:w="3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w w:val="99"/>
              </w:rPr>
              <w:t>(3,143)</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w w:val="99"/>
              </w:rPr>
              <w:t>(2,710)</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Cumulative Effect of Accounting Changes</w:t>
            </w:r>
          </w:p>
        </w:tc>
        <w:tc>
          <w:tcPr>
            <w:tcW w:w="30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24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auto"/>
              </w:rPr>
              <w:t>Segment Charges*</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(204)</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w w:val="99"/>
              </w:rPr>
              <w:t>(3,143)</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w w:val="99"/>
              </w:rPr>
              <w:t>(2,710)</w:t>
            </w:r>
          </w:p>
        </w:tc>
        <w:tc>
          <w:tcPr>
            <w:tcW w:w="0" w:type="dxa"/>
            <w:vAlign w:val="bottom"/>
          </w:tcPr>
          <w:p>
            <w:pPr>
              <w:spacing w:after="0"/>
              <w:rPr>
                <w:sz w:val="1"/>
                <w:szCs w:val="1"/>
                <w:color w:val="auto"/>
              </w:rPr>
            </w:pPr>
          </w:p>
        </w:tc>
      </w:tr>
      <w:tr>
        <w:trPr>
          <w:trHeight w:val="143"/>
        </w:trPr>
        <w:tc>
          <w:tcPr>
            <w:tcW w:w="3100" w:type="dxa"/>
            <w:vAlign w:val="bottom"/>
          </w:tcPr>
          <w:p>
            <w:pPr>
              <w:spacing w:after="0" w:line="143" w:lineRule="exact"/>
              <w:rPr>
                <w:sz w:val="20"/>
                <w:szCs w:val="20"/>
                <w:color w:val="auto"/>
              </w:rPr>
            </w:pPr>
            <w:r>
              <w:rPr>
                <w:rFonts w:ascii="Arial" w:cs="Arial" w:eastAsia="Arial" w:hAnsi="Arial"/>
                <w:sz w:val="14"/>
                <w:szCs w:val="14"/>
                <w:color w:val="auto"/>
              </w:rPr>
              <w:t>* Includes Foreign Currency Gains (Losses):</w:t>
            </w:r>
          </w:p>
        </w:tc>
        <w:tc>
          <w:tcPr>
            <w:tcW w:w="3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43</w:t>
            </w:r>
          </w:p>
        </w:tc>
        <w:tc>
          <w:tcPr>
            <w:tcW w:w="2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40</w:t>
            </w: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i w:val="1"/>
                <w:iCs w:val="1"/>
                <w:color w:val="auto"/>
              </w:rPr>
              <w:t>Special Items Included in Segment Charges:</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325</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line="145" w:lineRule="exact"/>
              <w:rPr>
                <w:sz w:val="20"/>
                <w:szCs w:val="20"/>
                <w:color w:val="auto"/>
              </w:rPr>
            </w:pPr>
            <w:r>
              <w:rPr>
                <w:rFonts w:ascii="Arial" w:cs="Arial" w:eastAsia="Arial" w:hAnsi="Arial"/>
                <w:sz w:val="14"/>
                <w:szCs w:val="14"/>
                <w:color w:val="auto"/>
              </w:rPr>
              <w:t>Dynegy-Related</w:t>
            </w:r>
          </w:p>
        </w:tc>
        <w:tc>
          <w:tcPr>
            <w:tcW w:w="3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w w:val="99"/>
              </w:rPr>
              <w:t>(2,306)</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Asset Impairments and Revaluations</w:t>
            </w:r>
          </w:p>
        </w:tc>
        <w:tc>
          <w:tcPr>
            <w:tcW w:w="30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(84)</w:t>
            </w:r>
          </w:p>
        </w:tc>
        <w:tc>
          <w:tcPr>
            <w:tcW w:w="240" w:type="dxa"/>
            <w:vAlign w:val="bottom"/>
          </w:tcPr>
          <w:p>
            <w:pPr>
              <w:spacing w:after="0"/>
              <w:rPr>
                <w:sz w:val="12"/>
                <w:szCs w:val="12"/>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Restructuring and Reorganizations</w:t>
            </w:r>
          </w:p>
        </w:tc>
        <w:tc>
          <w:tcPr>
            <w:tcW w:w="30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2"/>
                <w:szCs w:val="12"/>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Tax Adjustments</w:t>
            </w:r>
          </w:p>
        </w:tc>
        <w:tc>
          <w:tcPr>
            <w:tcW w:w="300" w:type="dxa"/>
            <w:vAlign w:val="bottom"/>
          </w:tcPr>
          <w:p>
            <w:pPr>
              <w:spacing w:after="0"/>
              <w:rPr>
                <w:sz w:val="12"/>
                <w:szCs w:val="12"/>
                <w:color w:val="auto"/>
              </w:rPr>
            </w:pPr>
          </w:p>
        </w:tc>
        <w:tc>
          <w:tcPr>
            <w:tcW w:w="4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97</w:t>
            </w:r>
          </w:p>
        </w:tc>
        <w:tc>
          <w:tcPr>
            <w:tcW w:w="22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Environmental Remediation Provisions</w:t>
            </w:r>
          </w:p>
        </w:tc>
        <w:tc>
          <w:tcPr>
            <w:tcW w:w="300" w:type="dxa"/>
            <w:vAlign w:val="bottom"/>
          </w:tcPr>
          <w:p>
            <w:pPr>
              <w:spacing w:after="0"/>
              <w:rPr>
                <w:sz w:val="12"/>
                <w:szCs w:val="12"/>
                <w:color w:val="auto"/>
              </w:rPr>
            </w:pPr>
          </w:p>
        </w:tc>
        <w:tc>
          <w:tcPr>
            <w:tcW w:w="4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22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300" w:type="dxa"/>
            <w:vAlign w:val="bottom"/>
          </w:tcPr>
          <w:p>
            <w:pPr>
              <w:spacing w:after="0"/>
              <w:rPr>
                <w:sz w:val="12"/>
                <w:szCs w:val="12"/>
                <w:color w:val="auto"/>
              </w:rPr>
            </w:pPr>
          </w:p>
        </w:tc>
        <w:tc>
          <w:tcPr>
            <w:tcW w:w="4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(386)</w:t>
            </w:r>
          </w:p>
        </w:tc>
        <w:tc>
          <w:tcPr>
            <w:tcW w:w="22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(1,136)</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w w:val="97"/>
              </w:rPr>
              <w:t>Extraordinary Loss on Merger-Related Asset Sales</w:t>
            </w:r>
          </w:p>
        </w:tc>
        <w:tc>
          <w:tcPr>
            <w:tcW w:w="30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 Special Items</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225</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w w:val="99"/>
              </w:rPr>
              <w:t>(2,632)</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w w:val="99"/>
              </w:rPr>
              <w:t>(1,827)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firstLine="194"/>
        <w:spacing w:after="0" w:line="283" w:lineRule="auto"/>
        <w:rPr>
          <w:sz w:val="20"/>
          <w:szCs w:val="20"/>
          <w:color w:val="auto"/>
        </w:rPr>
      </w:pPr>
      <w:r>
        <w:rPr>
          <w:rFonts w:ascii="Arial" w:cs="Arial" w:eastAsia="Arial" w:hAnsi="Arial"/>
          <w:sz w:val="15"/>
          <w:szCs w:val="15"/>
          <w:color w:val="auto"/>
        </w:rPr>
        <w:t>All Other consists of the company’s interest in Dynegy, coal mining operations, power and gasification businesses, worldwide cash management and debt financing activities, corporate administrative functions, insurance operations, real estate activities, and technology companies.</w:t>
      </w:r>
    </w:p>
    <w:p>
      <w:pPr>
        <w:spacing w:after="0" w:line="1" w:lineRule="exact"/>
        <w:rPr>
          <w:sz w:val="20"/>
          <w:szCs w:val="20"/>
          <w:color w:val="auto"/>
        </w:rPr>
      </w:pPr>
    </w:p>
    <w:p>
      <w:pPr>
        <w:ind w:right="40" w:firstLine="200"/>
        <w:spacing w:after="0" w:line="264" w:lineRule="auto"/>
        <w:rPr>
          <w:sz w:val="20"/>
          <w:szCs w:val="20"/>
          <w:color w:val="auto"/>
        </w:rPr>
      </w:pPr>
      <w:r>
        <w:rPr>
          <w:rFonts w:ascii="Arial" w:cs="Arial" w:eastAsia="Arial" w:hAnsi="Arial"/>
          <w:sz w:val="16"/>
          <w:szCs w:val="16"/>
          <w:color w:val="auto"/>
        </w:rPr>
        <w:t>The change in net charges between 2002 and 2003 was largely attributable to the differences in the effects of special items. The 2003 period also included lower interest expense and other corporate charges compared with 2002. Aside from the effect of special items between 2001 and 2002, the net change also reflected lower corporate charges and net interest expense, as well as an increase in favorable tax adjustments of $245 million.</w:t>
      </w:r>
    </w:p>
    <w:p>
      <w:pPr>
        <w:spacing w:after="0" w:line="1" w:lineRule="exact"/>
        <w:rPr>
          <w:sz w:val="20"/>
          <w:szCs w:val="20"/>
          <w:color w:val="auto"/>
        </w:rPr>
      </w:pPr>
    </w:p>
    <w:p>
      <w:pPr>
        <w:ind w:right="100" w:firstLine="203"/>
        <w:spacing w:after="0" w:line="301" w:lineRule="auto"/>
        <w:rPr>
          <w:sz w:val="20"/>
          <w:szCs w:val="20"/>
          <w:color w:val="auto"/>
        </w:rPr>
      </w:pPr>
      <w:r>
        <w:rPr>
          <w:rFonts w:ascii="Arial" w:cs="Arial" w:eastAsia="Arial" w:hAnsi="Arial"/>
          <w:sz w:val="14"/>
          <w:szCs w:val="14"/>
          <w:color w:val="auto"/>
        </w:rPr>
        <w:t>Special items in 2003 included a benefit of $365 million from the exchange of the company’s investment in Dynegy preferred stock for cash and other Dynegy securities. This benefit was partially offset by charges for asset write-downs of $84 million, primarily in the gasification business; $40 million for the company’s share of an asset impairment by Dynegy; and employee severance costs of $16 million.</w:t>
      </w:r>
    </w:p>
    <w:p>
      <w:pPr>
        <w:spacing w:after="0" w:line="3" w:lineRule="exact"/>
        <w:rPr>
          <w:sz w:val="20"/>
          <w:szCs w:val="20"/>
          <w:color w:val="auto"/>
        </w:rPr>
      </w:pPr>
    </w:p>
    <w:p>
      <w:pPr>
        <w:ind w:right="20" w:firstLine="203"/>
        <w:spacing w:after="0" w:line="264" w:lineRule="auto"/>
        <w:rPr>
          <w:sz w:val="20"/>
          <w:szCs w:val="20"/>
          <w:color w:val="auto"/>
        </w:rPr>
      </w:pPr>
      <w:r>
        <w:rPr>
          <w:rFonts w:ascii="Arial" w:cs="Arial" w:eastAsia="Arial" w:hAnsi="Arial"/>
          <w:sz w:val="16"/>
          <w:szCs w:val="16"/>
          <w:color w:val="auto"/>
        </w:rPr>
        <w:t>Special items in 2002 included $2.3 billion related to Dynegy, composed of $1.6 billion for the write-down of the company’s investment in Dynegy common and preferred stock to its estimated fair value and $680 million for the company’s share of Dynegy’s own special items for asset write-downs and revaluations and a loss on an asset sale. Refer also to pages FS-10 and FS-11 for “Information Relating to the Company’s Investment in Dynegy.”</w:t>
      </w:r>
    </w:p>
    <w:p>
      <w:pPr>
        <w:spacing w:after="0" w:line="1" w:lineRule="exact"/>
        <w:rPr>
          <w:sz w:val="20"/>
          <w:szCs w:val="20"/>
          <w:color w:val="auto"/>
        </w:rPr>
      </w:pPr>
    </w:p>
    <w:p>
      <w:pPr>
        <w:ind w:right="40" w:firstLine="203"/>
        <w:spacing w:after="0" w:line="276" w:lineRule="auto"/>
        <w:rPr>
          <w:sz w:val="20"/>
          <w:szCs w:val="20"/>
          <w:color w:val="auto"/>
        </w:rPr>
      </w:pPr>
      <w:r>
        <w:rPr>
          <w:rFonts w:ascii="Arial" w:cs="Arial" w:eastAsia="Arial" w:hAnsi="Arial"/>
          <w:sz w:val="16"/>
          <w:szCs w:val="16"/>
          <w:color w:val="auto"/>
        </w:rPr>
        <w:t>Refer to “Texaco Merger Transaction” on page FS-5 for information related to special items in 2001 for “Merger-Related Expenses” and “Extraordinary Loss from Merger-Related Asset Sales.”</w:t>
      </w:r>
    </w:p>
    <w:p>
      <w:pPr>
        <w:spacing w:after="0" w:line="172" w:lineRule="exact"/>
        <w:rPr>
          <w:sz w:val="20"/>
          <w:szCs w:val="20"/>
          <w:color w:val="auto"/>
        </w:rPr>
      </w:pPr>
    </w:p>
    <w:p>
      <w:pPr>
        <w:ind w:right="120" w:firstLine="203"/>
        <w:spacing w:after="0" w:line="270" w:lineRule="auto"/>
        <w:rPr>
          <w:sz w:val="20"/>
          <w:szCs w:val="20"/>
          <w:color w:val="auto"/>
        </w:rPr>
      </w:pPr>
      <w:r>
        <w:rPr>
          <w:rFonts w:ascii="Arial" w:cs="Arial" w:eastAsia="Arial" w:hAnsi="Arial"/>
          <w:sz w:val="16"/>
          <w:szCs w:val="16"/>
          <w:i w:val="1"/>
          <w:iCs w:val="1"/>
          <w:color w:val="F20000"/>
        </w:rPr>
        <w:t xml:space="preserve">Consolidated Statement of Income </w:t>
      </w:r>
      <w:r>
        <w:rPr>
          <w:rFonts w:ascii="Arial" w:cs="Arial" w:eastAsia="Arial" w:hAnsi="Arial"/>
          <w:sz w:val="16"/>
          <w:szCs w:val="16"/>
          <w:color w:val="000000"/>
        </w:rPr>
        <w:t>In the following table, amounts for special</w:t>
      </w:r>
      <w:r>
        <w:rPr>
          <w:rFonts w:ascii="Arial" w:cs="Arial" w:eastAsia="Arial" w:hAnsi="Arial"/>
          <w:sz w:val="16"/>
          <w:szCs w:val="16"/>
          <w:i w:val="1"/>
          <w:iCs w:val="1"/>
          <w:color w:val="F20000"/>
        </w:rPr>
        <w:t xml:space="preserve"> </w:t>
      </w:r>
      <w:r>
        <w:rPr>
          <w:rFonts w:ascii="Arial" w:cs="Arial" w:eastAsia="Arial" w:hAnsi="Arial"/>
          <w:sz w:val="16"/>
          <w:szCs w:val="16"/>
          <w:color w:val="000000"/>
        </w:rPr>
        <w:t>items by income statement category are shown in order to assist in the explanation of changes in those categories between periods. In addition to the effects of special items shown in the table, separately disclosed on the face of the Consolidated Income Statement are a 2003 gain from the exchange of Dynegy Inc. securities, merger-related expenses,</w:t>
      </w:r>
    </w:p>
    <w:p>
      <w:pPr>
        <w:spacing w:after="0" w:line="362" w:lineRule="exact"/>
        <w:rPr>
          <w:sz w:val="20"/>
          <w:szCs w:val="20"/>
          <w:color w:val="auto"/>
        </w:rPr>
      </w:pPr>
    </w:p>
    <w:p>
      <w:pPr>
        <w:sectPr>
          <w:pgSz w:w="11900" w:h="16838" w:orient="portrait"/>
          <w:cols w:equalWidth="0" w:num="2">
            <w:col w:w="5480" w:space="400"/>
            <w:col w:w="5480"/>
          </w:cols>
          <w:pgMar w:left="240" w:top="419" w:right="299" w:bottom="1440" w:gutter="0" w:footer="0" w:header="0"/>
          <w:type w:val="continuous"/>
        </w:sectPr>
      </w:pP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5" w:name="page46"/>
    <w:bookmarkEnd w:id="45"/>
    <w:p>
      <w:pPr>
        <w:spacing w:after="0" w:line="226" w:lineRule="auto"/>
        <w:framePr w:w="1780" w:h="652" w:wrap="auto" w:vAnchor="page" w:hAnchor="page" w:x="9820" w:y="6605"/>
        <w:rPr>
          <w:rFonts w:ascii="Arial" w:cs="Arial" w:eastAsia="Arial" w:hAnsi="Arial"/>
          <w:sz w:val="12"/>
          <w:szCs w:val="12"/>
          <w:color w:val="auto"/>
        </w:rPr>
      </w:pPr>
      <w:r>
        <w:rPr>
          <w:rFonts w:ascii="Arial" w:cs="Arial" w:eastAsia="Arial" w:hAnsi="Arial"/>
          <w:sz w:val="12"/>
          <w:szCs w:val="12"/>
          <w:color w:val="auto"/>
        </w:rPr>
        <w:t>The 8 percent increase in 2003 resulted primarily from higher costs for transportation, shipping, pension plans and other employee benefits.</w:t>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rFonts w:ascii="Arial" w:cs="Arial" w:eastAsia="Arial" w:hAnsi="Arial"/>
          <w:sz w:val="12"/>
          <w:szCs w:val="12"/>
          <w:color w:val="auto"/>
        </w:rPr>
      </w:pPr>
    </w:p>
    <w:p>
      <w:pPr>
        <w:ind w:right="200"/>
        <w:spacing w:after="0" w:line="271" w:lineRule="auto"/>
        <w:rPr>
          <w:sz w:val="20"/>
          <w:szCs w:val="20"/>
          <w:color w:val="auto"/>
        </w:rPr>
      </w:pPr>
      <w:r>
        <w:rPr>
          <w:rFonts w:ascii="Arial" w:cs="Arial" w:eastAsia="Arial" w:hAnsi="Arial"/>
          <w:sz w:val="16"/>
          <w:szCs w:val="16"/>
          <w:color w:val="auto"/>
        </w:rPr>
        <w:t>write-down of investments in Dynegy Inc., the cumulative effect of changes in accounting principles and the extraordinary after-tax loss on the sale of assets mandated as a condition of the merger. These matters are discussed elsewhere in MD&amp;A and in Notes 2 and 14 to the Consolidated Financial Statements on pages FS-30 and FS-38.</w:t>
      </w:r>
    </w:p>
    <w:p>
      <w:pPr>
        <w:spacing w:after="0" w:line="120" w:lineRule="exact"/>
        <w:rPr>
          <w:rFonts w:ascii="Arial" w:cs="Arial" w:eastAsia="Arial" w:hAnsi="Arial"/>
          <w:sz w:val="12"/>
          <w:szCs w:val="12"/>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Millions of dollars</w:t>
            </w:r>
          </w:p>
        </w:tc>
        <w:tc>
          <w:tcPr>
            <w:tcW w:w="3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2002</w:t>
            </w:r>
          </w:p>
        </w:tc>
        <w:tc>
          <w:tcPr>
            <w:tcW w:w="2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76"/>
        </w:trPr>
        <w:tc>
          <w:tcPr>
            <w:tcW w:w="29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Income (loss) from equity affiliates</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1,029</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(25)</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39"/>
        </w:trPr>
        <w:tc>
          <w:tcPr>
            <w:tcW w:w="2940" w:type="dxa"/>
            <w:vAlign w:val="bottom"/>
          </w:tcPr>
          <w:p>
            <w:pPr>
              <w:ind w:left="20"/>
              <w:spacing w:after="0" w:line="139" w:lineRule="exact"/>
              <w:rPr>
                <w:sz w:val="20"/>
                <w:szCs w:val="20"/>
                <w:color w:val="auto"/>
              </w:rPr>
            </w:pPr>
            <w:r>
              <w:rPr>
                <w:rFonts w:ascii="Arial" w:cs="Arial" w:eastAsia="Arial" w:hAnsi="Arial"/>
                <w:sz w:val="14"/>
                <w:szCs w:val="14"/>
                <w:color w:val="auto"/>
              </w:rPr>
              <w:t>Memo: Special gains (charges), before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179</w:t>
            </w:r>
          </w:p>
        </w:tc>
        <w:tc>
          <w:tcPr>
            <w:tcW w:w="220" w:type="dxa"/>
            <w:vAlign w:val="bottom"/>
          </w:tcPr>
          <w:p>
            <w:pPr>
              <w:spacing w:after="0"/>
              <w:rPr>
                <w:sz w:val="12"/>
                <w:szCs w:val="12"/>
                <w:color w:val="auto"/>
              </w:rPr>
            </w:pPr>
          </w:p>
        </w:tc>
        <w:tc>
          <w:tcPr>
            <w:tcW w:w="6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(829)</w:t>
            </w:r>
          </w:p>
        </w:tc>
        <w:tc>
          <w:tcPr>
            <w:tcW w:w="220" w:type="dxa"/>
            <w:vAlign w:val="bottom"/>
          </w:tcPr>
          <w:p>
            <w:pPr>
              <w:spacing w:after="0"/>
              <w:rPr>
                <w:sz w:val="12"/>
                <w:szCs w:val="12"/>
                <w:color w:val="auto"/>
              </w:rPr>
            </w:pPr>
          </w:p>
        </w:tc>
        <w:tc>
          <w:tcPr>
            <w:tcW w:w="580" w:type="dxa"/>
            <w:vAlign w:val="bottom"/>
          </w:tcPr>
          <w:p>
            <w:pPr>
              <w:jc w:val="right"/>
              <w:ind w:right="8"/>
              <w:spacing w:after="0" w:line="13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rPr>
              <w:t>Other income</w:t>
            </w:r>
          </w:p>
        </w:tc>
        <w:tc>
          <w:tcPr>
            <w:tcW w:w="32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335</w:t>
            </w:r>
          </w:p>
        </w:tc>
        <w:tc>
          <w:tcPr>
            <w:tcW w:w="220" w:type="dxa"/>
            <w:vAlign w:val="bottom"/>
            <w:tcBorders>
              <w:bottom w:val="single" w:sz="8" w:color="0070FF"/>
            </w:tcBorders>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0070FF"/>
            </w:tcBorders>
          </w:tcPr>
          <w:p>
            <w:pPr>
              <w:spacing w:after="0"/>
              <w:rPr>
                <w:sz w:val="16"/>
                <w:szCs w:val="16"/>
                <w:color w:val="auto"/>
              </w:rPr>
            </w:pP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39"/>
        </w:trPr>
        <w:tc>
          <w:tcPr>
            <w:tcW w:w="2940" w:type="dxa"/>
            <w:vAlign w:val="bottom"/>
          </w:tcPr>
          <w:p>
            <w:pPr>
              <w:ind w:left="20"/>
              <w:spacing w:after="0" w:line="139" w:lineRule="exact"/>
              <w:rPr>
                <w:sz w:val="20"/>
                <w:szCs w:val="20"/>
                <w:color w:val="auto"/>
              </w:rPr>
            </w:pPr>
            <w:r>
              <w:rPr>
                <w:rFonts w:ascii="Arial" w:cs="Arial" w:eastAsia="Arial" w:hAnsi="Arial"/>
                <w:sz w:val="14"/>
                <w:szCs w:val="14"/>
                <w:color w:val="auto"/>
              </w:rPr>
              <w:t>Memo: Special gains, before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217</w:t>
            </w:r>
          </w:p>
        </w:tc>
        <w:tc>
          <w:tcPr>
            <w:tcW w:w="220" w:type="dxa"/>
            <w:vAlign w:val="bottom"/>
          </w:tcPr>
          <w:p>
            <w:pPr>
              <w:spacing w:after="0"/>
              <w:rPr>
                <w:sz w:val="12"/>
                <w:szCs w:val="12"/>
                <w:color w:val="auto"/>
              </w:rPr>
            </w:pP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2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8,553</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7,848</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139"/>
        </w:trPr>
        <w:tc>
          <w:tcPr>
            <w:tcW w:w="2940" w:type="dxa"/>
            <w:vAlign w:val="bottom"/>
          </w:tcPr>
          <w:p>
            <w:pPr>
              <w:ind w:left="20"/>
              <w:spacing w:after="0" w:line="139" w:lineRule="exact"/>
              <w:rPr>
                <w:sz w:val="20"/>
                <w:szCs w:val="20"/>
                <w:color w:val="auto"/>
              </w:rPr>
            </w:pPr>
            <w:r>
              <w:rPr>
                <w:rFonts w:ascii="Arial" w:cs="Arial" w:eastAsia="Arial" w:hAnsi="Arial"/>
                <w:sz w:val="14"/>
                <w:szCs w:val="14"/>
                <w:color w:val="auto"/>
              </w:rPr>
              <w:t>Memo: Special charges, before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329</w:t>
            </w:r>
          </w:p>
        </w:tc>
        <w:tc>
          <w:tcPr>
            <w:tcW w:w="220" w:type="dxa"/>
            <w:vAlign w:val="bottom"/>
          </w:tcPr>
          <w:p>
            <w:pPr>
              <w:spacing w:after="0"/>
              <w:rPr>
                <w:sz w:val="12"/>
                <w:szCs w:val="12"/>
                <w:color w:val="auto"/>
              </w:rPr>
            </w:pP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color w:val="auto"/>
              </w:rPr>
              <w:t>259</w:t>
            </w:r>
          </w:p>
        </w:tc>
        <w:tc>
          <w:tcPr>
            <w:tcW w:w="220" w:type="dxa"/>
            <w:vAlign w:val="bottom"/>
          </w:tcPr>
          <w:p>
            <w:pPr>
              <w:spacing w:after="0"/>
              <w:rPr>
                <w:sz w:val="12"/>
                <w:szCs w:val="12"/>
                <w:color w:val="auto"/>
              </w:rPr>
            </w:pPr>
          </w:p>
        </w:tc>
        <w:tc>
          <w:tcPr>
            <w:tcW w:w="5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w w:val="97"/>
              </w:rPr>
              <w:t>Selling, general and administrative expenses</w:t>
            </w:r>
          </w:p>
        </w:tc>
        <w:tc>
          <w:tcPr>
            <w:tcW w:w="32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4,440</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4,155</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139"/>
        </w:trPr>
        <w:tc>
          <w:tcPr>
            <w:tcW w:w="2940" w:type="dxa"/>
            <w:vAlign w:val="bottom"/>
          </w:tcPr>
          <w:p>
            <w:pPr>
              <w:ind w:left="20"/>
              <w:spacing w:after="0" w:line="139" w:lineRule="exact"/>
              <w:rPr>
                <w:sz w:val="20"/>
                <w:szCs w:val="20"/>
                <w:color w:val="auto"/>
              </w:rPr>
            </w:pPr>
            <w:r>
              <w:rPr>
                <w:rFonts w:ascii="Arial" w:cs="Arial" w:eastAsia="Arial" w:hAnsi="Arial"/>
                <w:sz w:val="14"/>
                <w:szCs w:val="14"/>
                <w:color w:val="auto"/>
              </w:rPr>
              <w:t>Memo: Special charges, before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146</w:t>
            </w:r>
          </w:p>
        </w:tc>
        <w:tc>
          <w:tcPr>
            <w:tcW w:w="220" w:type="dxa"/>
            <w:vAlign w:val="bottom"/>
          </w:tcPr>
          <w:p>
            <w:pPr>
              <w:spacing w:after="0"/>
              <w:rPr>
                <w:sz w:val="12"/>
                <w:szCs w:val="12"/>
                <w:color w:val="auto"/>
              </w:rPr>
            </w:pP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color w:val="auto"/>
              </w:rPr>
              <w:t>180</w:t>
            </w:r>
          </w:p>
        </w:tc>
        <w:tc>
          <w:tcPr>
            <w:tcW w:w="220" w:type="dxa"/>
            <w:vAlign w:val="bottom"/>
          </w:tcPr>
          <w:p>
            <w:pPr>
              <w:spacing w:after="0"/>
              <w:rPr>
                <w:sz w:val="12"/>
                <w:szCs w:val="12"/>
                <w:color w:val="auto"/>
              </w:rPr>
            </w:pPr>
          </w:p>
        </w:tc>
        <w:tc>
          <w:tcPr>
            <w:tcW w:w="5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rPr>
              <w:t>Depreciation, depletion and amortization</w:t>
            </w:r>
          </w:p>
        </w:tc>
        <w:tc>
          <w:tcPr>
            <w:tcW w:w="32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5,384</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5,231</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7,059</w:t>
            </w:r>
          </w:p>
        </w:tc>
        <w:tc>
          <w:tcPr>
            <w:tcW w:w="0" w:type="dxa"/>
            <w:vAlign w:val="bottom"/>
          </w:tcPr>
          <w:p>
            <w:pPr>
              <w:spacing w:after="0"/>
              <w:rPr>
                <w:sz w:val="1"/>
                <w:szCs w:val="1"/>
                <w:color w:val="auto"/>
              </w:rPr>
            </w:pPr>
          </w:p>
        </w:tc>
      </w:tr>
      <w:tr>
        <w:trPr>
          <w:trHeight w:val="139"/>
        </w:trPr>
        <w:tc>
          <w:tcPr>
            <w:tcW w:w="2940" w:type="dxa"/>
            <w:vAlign w:val="bottom"/>
          </w:tcPr>
          <w:p>
            <w:pPr>
              <w:ind w:left="20"/>
              <w:spacing w:after="0" w:line="139" w:lineRule="exact"/>
              <w:rPr>
                <w:sz w:val="20"/>
                <w:szCs w:val="20"/>
                <w:color w:val="auto"/>
              </w:rPr>
            </w:pPr>
            <w:r>
              <w:rPr>
                <w:rFonts w:ascii="Arial" w:cs="Arial" w:eastAsia="Arial" w:hAnsi="Arial"/>
                <w:sz w:val="14"/>
                <w:szCs w:val="14"/>
                <w:color w:val="auto"/>
              </w:rPr>
              <w:t>Memo: Special charges, before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286</w:t>
            </w:r>
          </w:p>
        </w:tc>
        <w:tc>
          <w:tcPr>
            <w:tcW w:w="220" w:type="dxa"/>
            <w:vAlign w:val="bottom"/>
          </w:tcPr>
          <w:p>
            <w:pPr>
              <w:spacing w:after="0"/>
              <w:rPr>
                <w:sz w:val="12"/>
                <w:szCs w:val="12"/>
                <w:color w:val="auto"/>
              </w:rPr>
            </w:pP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color w:val="auto"/>
              </w:rPr>
              <w:t>298</w:t>
            </w:r>
          </w:p>
        </w:tc>
        <w:tc>
          <w:tcPr>
            <w:tcW w:w="220" w:type="dxa"/>
            <w:vAlign w:val="bottom"/>
          </w:tcPr>
          <w:p>
            <w:pPr>
              <w:spacing w:after="0"/>
              <w:rPr>
                <w:sz w:val="12"/>
                <w:szCs w:val="12"/>
                <w:color w:val="auto"/>
              </w:rPr>
            </w:pPr>
          </w:p>
        </w:tc>
        <w:tc>
          <w:tcPr>
            <w:tcW w:w="5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rPr>
              <w:t>Interest and debt expense</w:t>
            </w:r>
          </w:p>
        </w:tc>
        <w:tc>
          <w:tcPr>
            <w:tcW w:w="32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474</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565</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39"/>
        </w:trPr>
        <w:tc>
          <w:tcPr>
            <w:tcW w:w="2940" w:type="dxa"/>
            <w:vAlign w:val="bottom"/>
          </w:tcPr>
          <w:p>
            <w:pPr>
              <w:ind w:left="20"/>
              <w:spacing w:after="0" w:line="139" w:lineRule="exact"/>
              <w:rPr>
                <w:sz w:val="20"/>
                <w:szCs w:val="20"/>
                <w:color w:val="auto"/>
              </w:rPr>
            </w:pPr>
            <w:r>
              <w:rPr>
                <w:rFonts w:ascii="Arial" w:cs="Arial" w:eastAsia="Arial" w:hAnsi="Arial"/>
                <w:sz w:val="14"/>
                <w:szCs w:val="14"/>
                <w:color w:val="auto"/>
              </w:rPr>
              <w:t>Memo: Special charges, before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rPr>
              <w:t>Taxes other than on income</w:t>
            </w:r>
          </w:p>
        </w:tc>
        <w:tc>
          <w:tcPr>
            <w:tcW w:w="32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w w:val="97"/>
              </w:rPr>
              <w:t>17,906</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w w:val="97"/>
              </w:rPr>
              <w:t>16,689</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w w:val="97"/>
              </w:rPr>
              <w:t>15,156</w:t>
            </w:r>
          </w:p>
        </w:tc>
        <w:tc>
          <w:tcPr>
            <w:tcW w:w="0" w:type="dxa"/>
            <w:vAlign w:val="bottom"/>
          </w:tcPr>
          <w:p>
            <w:pPr>
              <w:spacing w:after="0"/>
              <w:rPr>
                <w:sz w:val="1"/>
                <w:szCs w:val="1"/>
                <w:color w:val="auto"/>
              </w:rPr>
            </w:pPr>
          </w:p>
        </w:tc>
      </w:tr>
      <w:tr>
        <w:trPr>
          <w:trHeight w:val="139"/>
        </w:trPr>
        <w:tc>
          <w:tcPr>
            <w:tcW w:w="2940" w:type="dxa"/>
            <w:vAlign w:val="bottom"/>
          </w:tcPr>
          <w:p>
            <w:pPr>
              <w:ind w:left="20"/>
              <w:spacing w:after="0" w:line="139" w:lineRule="exact"/>
              <w:rPr>
                <w:sz w:val="20"/>
                <w:szCs w:val="20"/>
                <w:color w:val="auto"/>
              </w:rPr>
            </w:pPr>
            <w:r>
              <w:rPr>
                <w:rFonts w:ascii="Arial" w:cs="Arial" w:eastAsia="Arial" w:hAnsi="Arial"/>
                <w:sz w:val="14"/>
                <w:szCs w:val="14"/>
                <w:color w:val="auto"/>
              </w:rPr>
              <w:t>Memo: Special charges, before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0" w:type="dxa"/>
            <w:vAlign w:val="bottom"/>
          </w:tcPr>
          <w:p>
            <w:pPr>
              <w:jc w:val="right"/>
              <w:ind w:right="88"/>
              <w:spacing w:after="0" w:line="13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rPr>
              <w:t>Income tax expense</w:t>
            </w:r>
          </w:p>
        </w:tc>
        <w:tc>
          <w:tcPr>
            <w:tcW w:w="32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5,344</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3,024</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Memo: Special benefits</w:t>
            </w:r>
          </w:p>
        </w:tc>
        <w:tc>
          <w:tcPr>
            <w:tcW w:w="320" w:type="dxa"/>
            <w:vAlign w:val="bottom"/>
            <w:tcBorders>
              <w:bottom w:val="single" w:sz="8" w:color="0070FF"/>
            </w:tcBorders>
          </w:tcPr>
          <w:p>
            <w:pPr>
              <w:spacing w:after="0"/>
              <w:rPr>
                <w:sz w:val="15"/>
                <w:szCs w:val="15"/>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(312)</w:t>
            </w:r>
          </w:p>
        </w:tc>
        <w:tc>
          <w:tcPr>
            <w:tcW w:w="220" w:type="dxa"/>
            <w:vAlign w:val="bottom"/>
            <w:tcBorders>
              <w:bottom w:val="single" w:sz="8" w:color="0070FF"/>
            </w:tcBorders>
          </w:tcPr>
          <w:p>
            <w:pPr>
              <w:spacing w:after="0"/>
              <w:rPr>
                <w:sz w:val="15"/>
                <w:szCs w:val="15"/>
                <w:color w:val="auto"/>
              </w:rPr>
            </w:pPr>
          </w:p>
        </w:tc>
        <w:tc>
          <w:tcPr>
            <w:tcW w:w="6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(604)</w:t>
            </w:r>
          </w:p>
        </w:tc>
        <w:tc>
          <w:tcPr>
            <w:tcW w:w="220" w:type="dxa"/>
            <w:vAlign w:val="bottom"/>
            <w:tcBorders>
              <w:bottom w:val="single" w:sz="8" w:color="0070FF"/>
            </w:tcBorders>
          </w:tcPr>
          <w:p>
            <w:pPr>
              <w:spacing w:after="0"/>
              <w:rPr>
                <w:sz w:val="15"/>
                <w:szCs w:val="15"/>
                <w:color w:val="auto"/>
              </w:rPr>
            </w:pPr>
          </w:p>
        </w:tc>
        <w:tc>
          <w:tcPr>
            <w:tcW w:w="58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bl>
    <w:p>
      <w:pPr>
        <w:spacing w:after="0" w:line="206" w:lineRule="exact"/>
        <w:rPr>
          <w:rFonts w:ascii="Arial" w:cs="Arial" w:eastAsia="Arial" w:hAnsi="Arial"/>
          <w:sz w:val="12"/>
          <w:szCs w:val="12"/>
          <w:color w:val="auto"/>
        </w:rPr>
      </w:pPr>
    </w:p>
    <w:p>
      <w:pPr>
        <w:ind w:right="220" w:firstLine="203"/>
        <w:spacing w:after="0" w:line="273" w:lineRule="auto"/>
        <w:rPr>
          <w:sz w:val="20"/>
          <w:szCs w:val="20"/>
          <w:color w:val="auto"/>
        </w:rPr>
      </w:pPr>
      <w:r>
        <w:rPr>
          <w:rFonts w:ascii="Arial" w:cs="Arial" w:eastAsia="Arial" w:hAnsi="Arial"/>
          <w:sz w:val="16"/>
          <w:szCs w:val="16"/>
          <w:color w:val="auto"/>
        </w:rPr>
        <w:t>Explanations follow for variations between years for the amounts in the table above — after consideration of the effects of special items — as well as for other income statement categories. Refer to the preceding segment discussions in this section for information relating to special items.</w:t>
      </w:r>
    </w:p>
    <w:p>
      <w:pPr>
        <w:spacing w:after="0" w:line="176" w:lineRule="exact"/>
        <w:rPr>
          <w:rFonts w:ascii="Arial" w:cs="Arial" w:eastAsia="Arial" w:hAnsi="Arial"/>
          <w:sz w:val="12"/>
          <w:szCs w:val="12"/>
          <w:color w:val="auto"/>
        </w:rPr>
      </w:pPr>
    </w:p>
    <w:p>
      <w:pPr>
        <w:ind w:left="220"/>
        <w:spacing w:after="0"/>
        <w:rPr>
          <w:sz w:val="20"/>
          <w:szCs w:val="20"/>
          <w:color w:val="auto"/>
        </w:rPr>
      </w:pPr>
      <w:r>
        <w:rPr>
          <w:rFonts w:ascii="Arial" w:cs="Arial" w:eastAsia="Arial" w:hAnsi="Arial"/>
          <w:sz w:val="15"/>
          <w:szCs w:val="15"/>
          <w:color w:val="F20000"/>
        </w:rPr>
        <w:t xml:space="preserve">Sales and other operating revenues </w:t>
      </w:r>
      <w:r>
        <w:rPr>
          <w:rFonts w:ascii="Arial" w:cs="Arial" w:eastAsia="Arial" w:hAnsi="Arial"/>
          <w:sz w:val="15"/>
          <w:szCs w:val="15"/>
          <w:color w:val="000000"/>
        </w:rPr>
        <w:t>were $120 billion in 2003, compared with</w:t>
      </w:r>
    </w:p>
    <w:p>
      <w:pPr>
        <w:spacing w:after="0" w:line="34"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5"/>
          <w:szCs w:val="15"/>
          <w:color w:val="auto"/>
        </w:rPr>
        <w:t>$99 billion in 2002 and $104 billion in 2001. Revenues increased in 2003 primarily</w:t>
      </w:r>
    </w:p>
    <w:p>
      <w:pPr>
        <w:spacing w:after="0" w:line="30"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from significantly higher prices for crude oil, natural gas and refined products</w:t>
      </w:r>
    </w:p>
    <w:p>
      <w:pPr>
        <w:spacing w:after="0" w:line="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worldwide.</w:t>
      </w:r>
    </w:p>
    <w:p>
      <w:pPr>
        <w:spacing w:after="0" w:line="19" w:lineRule="exact"/>
        <w:rPr>
          <w:rFonts w:ascii="Arial" w:cs="Arial" w:eastAsia="Arial" w:hAnsi="Arial"/>
          <w:sz w:val="12"/>
          <w:szCs w:val="12"/>
          <w:color w:val="auto"/>
        </w:rPr>
      </w:pPr>
    </w:p>
    <w:p>
      <w:pPr>
        <w:ind w:right="140" w:firstLine="200"/>
        <w:spacing w:after="0" w:line="264" w:lineRule="auto"/>
        <w:rPr>
          <w:sz w:val="20"/>
          <w:szCs w:val="20"/>
          <w:color w:val="auto"/>
        </w:rPr>
      </w:pPr>
      <w:r>
        <w:rPr>
          <w:rFonts w:ascii="Arial" w:cs="Arial" w:eastAsia="Arial" w:hAnsi="Arial"/>
          <w:sz w:val="16"/>
          <w:szCs w:val="16"/>
          <w:color w:val="auto"/>
        </w:rPr>
        <w:t>Total sales and operating revenues in 2002 declined from 2001 due to lower average realizations for crude oil and refined products, as well as lower prices and sales volumes for natural gas in the United States.</w:t>
      </w:r>
    </w:p>
    <w:p>
      <w:pPr>
        <w:spacing w:after="0" w:line="1" w:lineRule="exact"/>
        <w:rPr>
          <w:rFonts w:ascii="Arial" w:cs="Arial" w:eastAsia="Arial" w:hAnsi="Arial"/>
          <w:sz w:val="12"/>
          <w:szCs w:val="12"/>
          <w:color w:val="auto"/>
        </w:rPr>
      </w:pPr>
    </w:p>
    <w:p>
      <w:pPr>
        <w:ind w:right="40" w:firstLine="203"/>
        <w:spacing w:after="0" w:line="264" w:lineRule="auto"/>
        <w:rPr>
          <w:sz w:val="20"/>
          <w:szCs w:val="20"/>
          <w:color w:val="auto"/>
        </w:rPr>
      </w:pPr>
      <w:r>
        <w:rPr>
          <w:rFonts w:ascii="Arial" w:cs="Arial" w:eastAsia="Arial" w:hAnsi="Arial"/>
          <w:sz w:val="16"/>
          <w:szCs w:val="16"/>
          <w:color w:val="F20000"/>
        </w:rPr>
        <w:t xml:space="preserve">Income (loss) from equity affiliates </w:t>
      </w:r>
      <w:r>
        <w:rPr>
          <w:rFonts w:ascii="Arial" w:cs="Arial" w:eastAsia="Arial" w:hAnsi="Arial"/>
          <w:sz w:val="16"/>
          <w:szCs w:val="16"/>
          <w:color w:val="000000"/>
        </w:rPr>
        <w:t>increased in 2003, as earnings improved for</w:t>
      </w:r>
      <w:r>
        <w:rPr>
          <w:rFonts w:ascii="Arial" w:cs="Arial" w:eastAsia="Arial" w:hAnsi="Arial"/>
          <w:sz w:val="16"/>
          <w:szCs w:val="16"/>
          <w:color w:val="F20000"/>
        </w:rPr>
        <w:t xml:space="preserve"> </w:t>
      </w:r>
      <w:r>
        <w:rPr>
          <w:rFonts w:ascii="Arial" w:cs="Arial" w:eastAsia="Arial" w:hAnsi="Arial"/>
          <w:sz w:val="16"/>
          <w:szCs w:val="16"/>
          <w:color w:val="000000"/>
        </w:rPr>
        <w:t>a number of affiliates, including Tengiz-chevroil, LG-Caltex and CPChem. In 2001, income from equity affiliates included earnings from assets subsequently sold as a condition of the merger.</w:t>
      </w:r>
    </w:p>
    <w:p>
      <w:pPr>
        <w:spacing w:after="0" w:line="1" w:lineRule="exact"/>
        <w:rPr>
          <w:rFonts w:ascii="Arial" w:cs="Arial" w:eastAsia="Arial" w:hAnsi="Arial"/>
          <w:sz w:val="12"/>
          <w:szCs w:val="12"/>
          <w:color w:val="auto"/>
        </w:rPr>
      </w:pPr>
    </w:p>
    <w:p>
      <w:pPr>
        <w:ind w:firstLine="203"/>
        <w:spacing w:after="0" w:line="287" w:lineRule="auto"/>
        <w:rPr>
          <w:sz w:val="20"/>
          <w:szCs w:val="20"/>
          <w:color w:val="auto"/>
        </w:rPr>
      </w:pPr>
      <w:r>
        <w:rPr>
          <w:rFonts w:ascii="Arial" w:cs="Arial" w:eastAsia="Arial" w:hAnsi="Arial"/>
          <w:sz w:val="15"/>
          <w:szCs w:val="15"/>
          <w:color w:val="F20000"/>
        </w:rPr>
        <w:t xml:space="preserve">Other income </w:t>
      </w:r>
      <w:r>
        <w:rPr>
          <w:rFonts w:ascii="Arial" w:cs="Arial" w:eastAsia="Arial" w:hAnsi="Arial"/>
          <w:sz w:val="15"/>
          <w:szCs w:val="15"/>
          <w:color w:val="000000"/>
        </w:rPr>
        <w:t>in 2003 reflected significantly higher foreign currency losses.</w:t>
      </w:r>
      <w:r>
        <w:rPr>
          <w:rFonts w:ascii="Arial" w:cs="Arial" w:eastAsia="Arial" w:hAnsi="Arial"/>
          <w:sz w:val="15"/>
          <w:szCs w:val="15"/>
          <w:color w:val="F20000"/>
        </w:rPr>
        <w:t xml:space="preserve"> </w:t>
      </w:r>
      <w:r>
        <w:rPr>
          <w:rFonts w:ascii="Arial" w:cs="Arial" w:eastAsia="Arial" w:hAnsi="Arial"/>
          <w:sz w:val="15"/>
          <w:szCs w:val="15"/>
          <w:color w:val="000000"/>
        </w:rPr>
        <w:t>Likewise, foreign currency effects largely contributed to lower “Other income” in 2002 vs. 2001. Foreign currency losses in 2003 — excluding foreign currency gains or losses of affiliates which are included in “Income (loss) from equity affiliates” — were $199 million, compared with a loss of $5 million and a gain of $121 million in 2002 and 2001, respectively. In 2003, losses resulted primarily from the weakening of the U.S. dollar against the currencies of Canada, Australia and the United Kingdom. In 2002, foreign currency losses related to currencies of most countries in which the company has sig-</w:t>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200" w:lineRule="exact"/>
        <w:rPr>
          <w:rFonts w:ascii="Arial" w:cs="Arial" w:eastAsia="Arial" w:hAnsi="Arial"/>
          <w:sz w:val="12"/>
          <w:szCs w:val="12"/>
          <w:color w:val="auto"/>
        </w:rPr>
      </w:pPr>
    </w:p>
    <w:p>
      <w:pPr>
        <w:spacing w:after="0" w:line="369" w:lineRule="exact"/>
        <w:rPr>
          <w:rFonts w:ascii="Arial" w:cs="Arial" w:eastAsia="Arial" w:hAnsi="Arial"/>
          <w:sz w:val="12"/>
          <w:szCs w:val="12"/>
          <w:color w:val="auto"/>
        </w:rPr>
      </w:pPr>
    </w:p>
    <w:p>
      <w:pPr>
        <w:ind w:right="140"/>
        <w:spacing w:after="0" w:line="266" w:lineRule="auto"/>
        <w:rPr>
          <w:sz w:val="20"/>
          <w:szCs w:val="20"/>
          <w:color w:val="auto"/>
        </w:rPr>
      </w:pPr>
      <w:r>
        <w:rPr>
          <w:rFonts w:ascii="Arial" w:cs="Arial" w:eastAsia="Arial" w:hAnsi="Arial"/>
          <w:sz w:val="16"/>
          <w:szCs w:val="16"/>
          <w:color w:val="auto"/>
        </w:rPr>
        <w:t>nificant operations appreciating against the U.S. dollar. Other income in 2002 also reflected lower interest income.</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-57785</wp:posOffset>
            </wp:positionH>
            <wp:positionV relativeFrom="paragraph">
              <wp:posOffset>-295275</wp:posOffset>
            </wp:positionV>
            <wp:extent cx="8890" cy="61829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6182995"/>
                    </a:xfrm>
                    <a:prstGeom prst="rect">
                      <a:avLst/>
                    </a:prstGeom>
                    <a:noFill/>
                  </pic:spPr>
                </pic:pic>
              </a:graphicData>
            </a:graphic>
          </wp:anchor>
        </w:drawing>
      </w:r>
    </w:p>
    <w:p>
      <w:pPr>
        <w:ind w:right="100" w:firstLine="203"/>
        <w:spacing w:after="0" w:line="264" w:lineRule="auto"/>
        <w:rPr>
          <w:sz w:val="20"/>
          <w:szCs w:val="20"/>
          <w:color w:val="auto"/>
        </w:rPr>
      </w:pPr>
      <w:r>
        <w:rPr>
          <w:rFonts w:ascii="Arial" w:cs="Arial" w:eastAsia="Arial" w:hAnsi="Arial"/>
          <w:sz w:val="16"/>
          <w:szCs w:val="16"/>
          <w:color w:val="F20000"/>
        </w:rPr>
        <w:t xml:space="preserve">Purchased crude oil and products </w:t>
      </w:r>
      <w:r>
        <w:rPr>
          <w:rFonts w:ascii="Arial" w:cs="Arial" w:eastAsia="Arial" w:hAnsi="Arial"/>
          <w:sz w:val="16"/>
          <w:szCs w:val="16"/>
          <w:color w:val="000000"/>
        </w:rPr>
        <w:t>costs of $72 billion in 2003 increased about</w:t>
      </w:r>
      <w:r>
        <w:rPr>
          <w:rFonts w:ascii="Arial" w:cs="Arial" w:eastAsia="Arial" w:hAnsi="Arial"/>
          <w:sz w:val="16"/>
          <w:szCs w:val="16"/>
          <w:color w:val="F20000"/>
        </w:rPr>
        <w:t xml:space="preserve"> </w:t>
      </w:r>
      <w:r>
        <w:rPr>
          <w:rFonts w:ascii="Arial" w:cs="Arial" w:eastAsia="Arial" w:hAnsi="Arial"/>
          <w:sz w:val="16"/>
          <w:szCs w:val="16"/>
          <w:color w:val="000000"/>
        </w:rPr>
        <w:t>25 percent from 2002. The increase was the result of significantly higher prices for crude oil, natural gas and refined products. Crude oil and products purchase costs decreased about 5 percent in 2002, primarily due to lower natural gas prices and reduced natural gas volumes.</w:t>
      </w:r>
    </w:p>
    <w:p>
      <w:pPr>
        <w:spacing w:after="0" w:line="1" w:lineRule="exact"/>
        <w:rPr>
          <w:rFonts w:ascii="Arial" w:cs="Arial" w:eastAsia="Arial" w:hAnsi="Arial"/>
          <w:sz w:val="12"/>
          <w:szCs w:val="12"/>
          <w:color w:val="auto"/>
        </w:rPr>
      </w:pPr>
    </w:p>
    <w:p>
      <w:pPr>
        <w:jc w:val="both"/>
        <w:ind w:right="80" w:firstLine="203"/>
        <w:spacing w:after="0" w:line="281" w:lineRule="auto"/>
        <w:rPr>
          <w:sz w:val="20"/>
          <w:szCs w:val="20"/>
          <w:color w:val="auto"/>
        </w:rPr>
      </w:pPr>
      <w:r>
        <w:rPr>
          <w:rFonts w:ascii="Arial" w:cs="Arial" w:eastAsia="Arial" w:hAnsi="Arial"/>
          <w:sz w:val="15"/>
          <w:szCs w:val="15"/>
          <w:color w:val="F20000"/>
        </w:rPr>
        <w:t xml:space="preserve">Operating, selling, general and administrative expenses </w:t>
      </w:r>
      <w:r>
        <w:rPr>
          <w:rFonts w:ascii="Arial" w:cs="Arial" w:eastAsia="Arial" w:hAnsi="Arial"/>
          <w:sz w:val="15"/>
          <w:szCs w:val="15"/>
          <w:color w:val="000000"/>
        </w:rPr>
        <w:t>of $13 billion increased</w:t>
      </w:r>
      <w:r>
        <w:rPr>
          <w:rFonts w:ascii="Arial" w:cs="Arial" w:eastAsia="Arial" w:hAnsi="Arial"/>
          <w:sz w:val="15"/>
          <w:szCs w:val="15"/>
          <w:color w:val="F20000"/>
        </w:rPr>
        <w:t xml:space="preserve"> </w:t>
      </w:r>
      <w:r>
        <w:rPr>
          <w:rFonts w:ascii="Arial" w:cs="Arial" w:eastAsia="Arial" w:hAnsi="Arial"/>
          <w:sz w:val="15"/>
          <w:szCs w:val="15"/>
          <w:color w:val="000000"/>
        </w:rPr>
        <w:t>from $12 billion in 2002. About $800 million of the increase in 2003 resulted from higher freight rates from international shipping operations and higher costs of employee pension plans and other employee-benefit</w:t>
      </w:r>
    </w:p>
    <w:p>
      <w:pPr>
        <w:spacing w:after="0" w:line="3"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expenses. During 2002, operating, selling, general and</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2240280</wp:posOffset>
            </wp:positionH>
            <wp:positionV relativeFrom="paragraph">
              <wp:posOffset>-17780</wp:posOffset>
            </wp:positionV>
            <wp:extent cx="1243330" cy="2040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43330" cy="2040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administrative expenses increased approximately</w:t>
      </w:r>
    </w:p>
    <w:p>
      <w:pPr>
        <w:spacing w:after="0" w:line="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$95 million from 2001, primarily from higher pension</w:t>
      </w:r>
    </w:p>
    <w:p>
      <w:pPr>
        <w:spacing w:after="0" w:line="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expense, payroll and other employee- benefit costs.</w:t>
      </w:r>
    </w:p>
    <w:p>
      <w:pPr>
        <w:spacing w:after="0" w:line="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Refer to Note 21, “Employee Benefit Plans,”</w:t>
      </w:r>
    </w:p>
    <w:p>
      <w:pPr>
        <w:spacing w:after="0" w:line="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beginning on page FS-42 for discussion of the costs</w:t>
      </w:r>
    </w:p>
    <w:p>
      <w:pPr>
        <w:spacing w:after="0" w:line="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associated with the company’s pension plans and</w:t>
      </w:r>
    </w:p>
    <w:p>
      <w:pPr>
        <w:spacing w:after="0" w:line="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6"/>
          <w:szCs w:val="16"/>
          <w:color w:val="auto"/>
        </w:rPr>
        <w:t>other employee benefits in the comparative periods.</w:t>
      </w:r>
    </w:p>
    <w:p>
      <w:pPr>
        <w:spacing w:after="0" w:line="19" w:lineRule="exact"/>
        <w:rPr>
          <w:rFonts w:ascii="Arial" w:cs="Arial" w:eastAsia="Arial" w:hAnsi="Arial"/>
          <w:sz w:val="12"/>
          <w:szCs w:val="12"/>
          <w:color w:val="auto"/>
        </w:rPr>
      </w:pPr>
    </w:p>
    <w:p>
      <w:pPr>
        <w:ind w:right="2080" w:firstLine="203"/>
        <w:spacing w:after="0" w:line="264" w:lineRule="auto"/>
        <w:rPr>
          <w:sz w:val="20"/>
          <w:szCs w:val="20"/>
          <w:color w:val="auto"/>
        </w:rPr>
      </w:pPr>
      <w:r>
        <w:rPr>
          <w:rFonts w:ascii="Arial" w:cs="Arial" w:eastAsia="Arial" w:hAnsi="Arial"/>
          <w:sz w:val="16"/>
          <w:szCs w:val="16"/>
          <w:color w:val="F20000"/>
        </w:rPr>
        <w:t xml:space="preserve">Exploration expenses </w:t>
      </w:r>
      <w:r>
        <w:rPr>
          <w:rFonts w:ascii="Arial" w:cs="Arial" w:eastAsia="Arial" w:hAnsi="Arial"/>
          <w:sz w:val="16"/>
          <w:szCs w:val="16"/>
          <w:color w:val="000000"/>
        </w:rPr>
        <w:t>were $571 million in 2003,</w:t>
      </w:r>
      <w:r>
        <w:rPr>
          <w:rFonts w:ascii="Arial" w:cs="Arial" w:eastAsia="Arial" w:hAnsi="Arial"/>
          <w:sz w:val="16"/>
          <w:szCs w:val="16"/>
          <w:color w:val="F20000"/>
        </w:rPr>
        <w:t xml:space="preserve"> </w:t>
      </w:r>
      <w:r>
        <w:rPr>
          <w:rFonts w:ascii="Arial" w:cs="Arial" w:eastAsia="Arial" w:hAnsi="Arial"/>
          <w:sz w:val="16"/>
          <w:szCs w:val="16"/>
          <w:color w:val="000000"/>
        </w:rPr>
        <w:t>$591 million in 2002 and $1 billion in 2001. Well write-offs were higher in 2001 than in the other comparative periods.</w:t>
      </w:r>
    </w:p>
    <w:p>
      <w:pPr>
        <w:spacing w:after="0" w:line="1" w:lineRule="exact"/>
        <w:rPr>
          <w:rFonts w:ascii="Arial" w:cs="Arial" w:eastAsia="Arial" w:hAnsi="Arial"/>
          <w:sz w:val="12"/>
          <w:szCs w:val="12"/>
          <w:color w:val="auto"/>
        </w:rPr>
      </w:pPr>
    </w:p>
    <w:p>
      <w:pPr>
        <w:ind w:right="1980" w:firstLine="203"/>
        <w:spacing w:after="0" w:line="301" w:lineRule="auto"/>
        <w:rPr>
          <w:sz w:val="20"/>
          <w:szCs w:val="20"/>
          <w:color w:val="auto"/>
        </w:rPr>
      </w:pPr>
      <w:r>
        <w:rPr>
          <w:rFonts w:ascii="Arial" w:cs="Arial" w:eastAsia="Arial" w:hAnsi="Arial"/>
          <w:sz w:val="14"/>
          <w:szCs w:val="14"/>
          <w:color w:val="F20000"/>
        </w:rPr>
        <w:t xml:space="preserve">Depreciation, depletion and amortization expenses </w:t>
      </w:r>
      <w:r>
        <w:rPr>
          <w:rFonts w:ascii="Arial" w:cs="Arial" w:eastAsia="Arial" w:hAnsi="Arial"/>
          <w:sz w:val="14"/>
          <w:szCs w:val="14"/>
          <w:color w:val="000000"/>
        </w:rPr>
        <w:t>did not change materially for the reporting periods after consideration of the effects from special items.</w:t>
      </w:r>
    </w:p>
    <w:p>
      <w:pPr>
        <w:spacing w:after="0" w:line="2" w:lineRule="exact"/>
        <w:rPr>
          <w:rFonts w:ascii="Arial" w:cs="Arial" w:eastAsia="Arial" w:hAnsi="Arial"/>
          <w:sz w:val="12"/>
          <w:szCs w:val="12"/>
          <w:color w:val="auto"/>
        </w:rPr>
      </w:pPr>
    </w:p>
    <w:p>
      <w:pPr>
        <w:ind w:right="1980" w:firstLine="203"/>
        <w:spacing w:after="0" w:line="264" w:lineRule="auto"/>
        <w:rPr>
          <w:sz w:val="20"/>
          <w:szCs w:val="20"/>
          <w:color w:val="auto"/>
        </w:rPr>
      </w:pPr>
      <w:r>
        <w:rPr>
          <w:rFonts w:ascii="Arial" w:cs="Arial" w:eastAsia="Arial" w:hAnsi="Arial"/>
          <w:sz w:val="16"/>
          <w:szCs w:val="16"/>
          <w:color w:val="F20000"/>
        </w:rPr>
        <w:t xml:space="preserve">Merger-related expenses </w:t>
      </w:r>
      <w:r>
        <w:rPr>
          <w:rFonts w:ascii="Arial" w:cs="Arial" w:eastAsia="Arial" w:hAnsi="Arial"/>
          <w:sz w:val="16"/>
          <w:szCs w:val="16"/>
          <w:color w:val="000000"/>
        </w:rPr>
        <w:t>were $576 million and</w:t>
      </w:r>
      <w:r>
        <w:rPr>
          <w:rFonts w:ascii="Arial" w:cs="Arial" w:eastAsia="Arial" w:hAnsi="Arial"/>
          <w:sz w:val="16"/>
          <w:szCs w:val="16"/>
          <w:color w:val="F20000"/>
        </w:rPr>
        <w:t xml:space="preserve"> </w:t>
      </w:r>
      <w:r>
        <w:rPr>
          <w:rFonts w:ascii="Arial" w:cs="Arial" w:eastAsia="Arial" w:hAnsi="Arial"/>
          <w:sz w:val="16"/>
          <w:szCs w:val="16"/>
          <w:color w:val="000000"/>
        </w:rPr>
        <w:t>approximately $1.6 billion in 2002 and 2001, respectively. No merger-related expenses were recorded in 2003, reflecting the completion of merger integration activities in 2002.</w:t>
      </w:r>
    </w:p>
    <w:p>
      <w:pPr>
        <w:spacing w:after="0" w:line="1" w:lineRule="exact"/>
        <w:rPr>
          <w:rFonts w:ascii="Arial" w:cs="Arial" w:eastAsia="Arial" w:hAnsi="Arial"/>
          <w:sz w:val="12"/>
          <w:szCs w:val="12"/>
          <w:color w:val="auto"/>
        </w:rPr>
      </w:pPr>
    </w:p>
    <w:p>
      <w:pPr>
        <w:ind w:left="200"/>
        <w:spacing w:after="0"/>
        <w:rPr>
          <w:sz w:val="20"/>
          <w:szCs w:val="20"/>
          <w:color w:val="auto"/>
        </w:rPr>
      </w:pPr>
      <w:r>
        <w:rPr>
          <w:rFonts w:ascii="Arial" w:cs="Arial" w:eastAsia="Arial" w:hAnsi="Arial"/>
          <w:sz w:val="16"/>
          <w:szCs w:val="16"/>
          <w:color w:val="F20000"/>
        </w:rPr>
        <w:t xml:space="preserve">Taxes other than on income </w:t>
      </w:r>
      <w:r>
        <w:rPr>
          <w:rFonts w:ascii="Arial" w:cs="Arial" w:eastAsia="Arial" w:hAnsi="Arial"/>
          <w:sz w:val="16"/>
          <w:szCs w:val="16"/>
          <w:color w:val="000000"/>
        </w:rPr>
        <w:t>were $17.9 billion,</w:t>
      </w:r>
    </w:p>
    <w:p>
      <w:pPr>
        <w:spacing w:after="0" w:line="19" w:lineRule="exact"/>
        <w:rPr>
          <w:rFonts w:ascii="Arial" w:cs="Arial" w:eastAsia="Arial" w:hAnsi="Arial"/>
          <w:sz w:val="12"/>
          <w:szCs w:val="12"/>
          <w:color w:val="auto"/>
        </w:rPr>
      </w:pPr>
    </w:p>
    <w:p>
      <w:pPr>
        <w:spacing w:after="0" w:line="264" w:lineRule="auto"/>
        <w:rPr>
          <w:sz w:val="20"/>
          <w:szCs w:val="20"/>
          <w:color w:val="auto"/>
        </w:rPr>
      </w:pPr>
      <w:r>
        <w:rPr>
          <w:rFonts w:ascii="Arial" w:cs="Arial" w:eastAsia="Arial" w:hAnsi="Arial"/>
          <w:sz w:val="16"/>
          <w:szCs w:val="16"/>
          <w:color w:val="auto"/>
        </w:rPr>
        <w:t>$16.7 billion and $15.2 billion in 2003, 2002 and 2001, respectively. The increase in 2003 primarily reflected the weakening U.S. dollar in 2003 on foreign-currency-denominated duties in the company’s European downstream operations. In 2002, the increase between periods resulted from higher sales volumes in the United Kingdom along with currency effects of a weaker U.S. dollar in the company’s European downstream operations.</w:t>
      </w:r>
    </w:p>
    <w:p>
      <w:pPr>
        <w:spacing w:after="0" w:line="1" w:lineRule="exact"/>
        <w:rPr>
          <w:rFonts w:ascii="Arial" w:cs="Arial" w:eastAsia="Arial" w:hAnsi="Arial"/>
          <w:sz w:val="12"/>
          <w:szCs w:val="12"/>
          <w:color w:val="auto"/>
        </w:rPr>
      </w:pPr>
    </w:p>
    <w:p>
      <w:pPr>
        <w:ind w:firstLine="203"/>
        <w:spacing w:after="0" w:line="272" w:lineRule="auto"/>
        <w:rPr>
          <w:sz w:val="20"/>
          <w:szCs w:val="20"/>
          <w:color w:val="auto"/>
        </w:rPr>
      </w:pPr>
      <w:r>
        <w:rPr>
          <w:rFonts w:ascii="Arial" w:cs="Arial" w:eastAsia="Arial" w:hAnsi="Arial"/>
          <w:sz w:val="16"/>
          <w:szCs w:val="16"/>
          <w:color w:val="F20000"/>
        </w:rPr>
        <w:t xml:space="preserve">Interest and debt expense </w:t>
      </w:r>
      <w:r>
        <w:rPr>
          <w:rFonts w:ascii="Arial" w:cs="Arial" w:eastAsia="Arial" w:hAnsi="Arial"/>
          <w:sz w:val="16"/>
          <w:szCs w:val="16"/>
          <w:color w:val="000000"/>
        </w:rPr>
        <w:t>was $474 million in 2003, compared with $565 million</w:t>
      </w:r>
      <w:r>
        <w:rPr>
          <w:rFonts w:ascii="Arial" w:cs="Arial" w:eastAsia="Arial" w:hAnsi="Arial"/>
          <w:sz w:val="16"/>
          <w:szCs w:val="16"/>
          <w:color w:val="F20000"/>
        </w:rPr>
        <w:t xml:space="preserve"> </w:t>
      </w:r>
      <w:r>
        <w:rPr>
          <w:rFonts w:ascii="Arial" w:cs="Arial" w:eastAsia="Arial" w:hAnsi="Arial"/>
          <w:sz w:val="16"/>
          <w:szCs w:val="16"/>
          <w:color w:val="000000"/>
        </w:rPr>
        <w:t>in 2002 and $833 million in 2001. The declines between periods reflected lower average interest rates on commercial paper and other variable rate debt and lower average debt levels.</w:t>
      </w:r>
    </w:p>
    <w:p>
      <w:pPr>
        <w:spacing w:after="0" w:line="1100" w:lineRule="exact"/>
        <w:rPr>
          <w:rFonts w:ascii="Arial" w:cs="Arial" w:eastAsia="Arial" w:hAnsi="Arial"/>
          <w:sz w:val="12"/>
          <w:szCs w:val="12"/>
          <w:color w:val="auto"/>
        </w:rPr>
      </w:pPr>
    </w:p>
    <w:p>
      <w:pPr>
        <w:sectPr>
          <w:pgSz w:w="11900" w:h="16838" w:orient="portrait"/>
          <w:cols w:equalWidth="0" w:num="2">
            <w:col w:w="5480" w:space="400"/>
            <w:col w:w="5460"/>
          </w:cols>
          <w:pgMar w:left="240" w:top="419" w:right="319" w:bottom="1440" w:gutter="0" w:footer="0" w:header="0"/>
        </w:sectPr>
      </w:pPr>
    </w:p>
    <w:p>
      <w:pPr>
        <w:spacing w:after="0" w:line="200" w:lineRule="exact"/>
        <w:rPr>
          <w:rFonts w:ascii="Arial" w:cs="Arial" w:eastAsia="Arial" w:hAnsi="Arial"/>
          <w:sz w:val="12"/>
          <w:szCs w:val="12"/>
          <w:color w:val="auto"/>
        </w:rPr>
      </w:pPr>
    </w:p>
    <w:p>
      <w:pPr>
        <w:spacing w:after="0" w:line="239" w:lineRule="exact"/>
        <w:rPr>
          <w:rFonts w:ascii="Arial" w:cs="Arial" w:eastAsia="Arial" w:hAnsi="Arial"/>
          <w:sz w:val="12"/>
          <w:szCs w:val="12"/>
          <w:color w:val="auto"/>
        </w:rPr>
      </w:pPr>
    </w:p>
    <w:p>
      <w:pPr>
        <w:jc w:val="center"/>
        <w:ind w:right="-99"/>
        <w:spacing w:after="0"/>
        <w:rPr>
          <w:sz w:val="20"/>
          <w:szCs w:val="20"/>
          <w:color w:val="auto"/>
        </w:rPr>
      </w:pPr>
      <w:r>
        <w:rPr>
          <w:rFonts w:ascii="Arial" w:cs="Arial" w:eastAsia="Arial" w:hAnsi="Arial"/>
          <w:sz w:val="14"/>
          <w:szCs w:val="14"/>
          <w:color w:val="auto"/>
        </w:rPr>
        <w:t>FS-9</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19"/>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ectPr>
          <w:pgSz w:w="11900" w:h="16838" w:orient="portrait"/>
          <w:cols w:equalWidth="0" w:num="1">
            <w:col w:w="11340"/>
          </w:cols>
          <w:pgMar w:left="240" w:top="41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firstLine="203"/>
        <w:spacing w:after="0" w:line="273" w:lineRule="auto"/>
        <w:rPr>
          <w:sz w:val="20"/>
          <w:szCs w:val="20"/>
          <w:color w:val="auto"/>
        </w:rPr>
      </w:pPr>
      <w:r>
        <w:rPr>
          <w:rFonts w:ascii="Arial" w:cs="Arial" w:eastAsia="Arial" w:hAnsi="Arial"/>
          <w:sz w:val="16"/>
          <w:szCs w:val="16"/>
          <w:color w:val="F20000"/>
        </w:rPr>
        <w:t xml:space="preserve">Income tax expense </w:t>
      </w:r>
      <w:r>
        <w:rPr>
          <w:rFonts w:ascii="Arial" w:cs="Arial" w:eastAsia="Arial" w:hAnsi="Arial"/>
          <w:sz w:val="16"/>
          <w:szCs w:val="16"/>
          <w:color w:val="000000"/>
        </w:rPr>
        <w:t>corresponded to effective tax rates of 43 percent in 2003</w:t>
      </w:r>
      <w:r>
        <w:rPr>
          <w:rFonts w:ascii="Arial" w:cs="Arial" w:eastAsia="Arial" w:hAnsi="Arial"/>
          <w:sz w:val="16"/>
          <w:szCs w:val="16"/>
          <w:color w:val="F20000"/>
        </w:rPr>
        <w:t xml:space="preserve"> </w:t>
      </w:r>
      <w:r>
        <w:rPr>
          <w:rFonts w:ascii="Arial" w:cs="Arial" w:eastAsia="Arial" w:hAnsi="Arial"/>
          <w:sz w:val="16"/>
          <w:szCs w:val="16"/>
          <w:color w:val="000000"/>
        </w:rPr>
        <w:t>and 45 percent in 2002 and 2001, after taking into account the effect of special items. See also Note 16 on pages FS-40 and FS-41, “Taxes,” in the Notes to the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SELECTED OPERATING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2003</w:t>
            </w:r>
          </w:p>
        </w:tc>
        <w:tc>
          <w:tcPr>
            <w:tcW w:w="34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2002</w:t>
            </w:r>
          </w:p>
        </w:tc>
        <w:tc>
          <w:tcPr>
            <w:tcW w:w="3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6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U.S. Exploration and Production</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Net Crude Oil and Natural Gas Liquids</w:t>
            </w:r>
          </w:p>
        </w:tc>
        <w:tc>
          <w:tcPr>
            <w:tcW w:w="400" w:type="dxa"/>
            <w:vAlign w:val="bottom"/>
          </w:tcPr>
          <w:p>
            <w:pPr>
              <w:spacing w:after="0"/>
              <w:rPr>
                <w:sz w:val="12"/>
                <w:szCs w:val="12"/>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562</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60" w:type="dxa"/>
            <w:vAlign w:val="bottom"/>
          </w:tcPr>
          <w:p>
            <w:pPr>
              <w:ind w:left="140"/>
              <w:spacing w:after="0" w:line="159" w:lineRule="exact"/>
              <w:rPr>
                <w:sz w:val="20"/>
                <w:szCs w:val="20"/>
                <w:color w:val="auto"/>
              </w:rPr>
            </w:pPr>
            <w:r>
              <w:rPr>
                <w:rFonts w:ascii="Arial" w:cs="Arial" w:eastAsia="Arial" w:hAnsi="Arial"/>
                <w:sz w:val="14"/>
                <w:szCs w:val="14"/>
                <w:color w:val="auto"/>
              </w:rPr>
              <w:t>Production (MBPD)</w:t>
            </w:r>
          </w:p>
        </w:tc>
        <w:tc>
          <w:tcPr>
            <w:tcW w:w="4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602</w:t>
            </w:r>
          </w:p>
        </w:tc>
        <w:tc>
          <w:tcPr>
            <w:tcW w:w="360" w:type="dxa"/>
            <w:vAlign w:val="bottom"/>
          </w:tcPr>
          <w:p>
            <w:pPr>
              <w:spacing w:after="0"/>
              <w:rPr>
                <w:sz w:val="13"/>
                <w:szCs w:val="13"/>
                <w:color w:val="auto"/>
              </w:rPr>
            </w:pPr>
          </w:p>
        </w:tc>
        <w:tc>
          <w:tcPr>
            <w:tcW w:w="520" w:type="dxa"/>
            <w:vAlign w:val="bottom"/>
          </w:tcPr>
          <w:p>
            <w:pPr>
              <w:jc w:val="right"/>
              <w:ind w:right="28"/>
              <w:spacing w:after="0" w:line="15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5" w:lineRule="exact"/>
              <w:rPr>
                <w:sz w:val="20"/>
                <w:szCs w:val="20"/>
                <w:color w:val="auto"/>
              </w:rPr>
            </w:pPr>
            <w:r>
              <w:rPr>
                <w:rFonts w:ascii="Arial" w:cs="Arial" w:eastAsia="Arial" w:hAnsi="Arial"/>
                <w:sz w:val="13"/>
                <w:szCs w:val="13"/>
                <w:color w:val="auto"/>
              </w:rPr>
              <w:t>Net Natural Gas Production (MMCFPD)</w:t>
            </w:r>
            <w:r>
              <w:rPr>
                <w:rFonts w:ascii="Arial" w:cs="Arial" w:eastAsia="Arial" w:hAnsi="Arial"/>
                <w:sz w:val="20"/>
                <w:szCs w:val="20"/>
                <w:color w:val="auto"/>
                <w:vertAlign w:val="superscript"/>
              </w:rPr>
              <w:t>1</w:t>
            </w:r>
          </w:p>
        </w:tc>
        <w:tc>
          <w:tcPr>
            <w:tcW w:w="40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2,228</w:t>
            </w:r>
          </w:p>
        </w:tc>
        <w:tc>
          <w:tcPr>
            <w:tcW w:w="34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2,405</w:t>
            </w:r>
          </w:p>
        </w:tc>
        <w:tc>
          <w:tcPr>
            <w:tcW w:w="3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2,706</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4"/>
                <w:szCs w:val="14"/>
                <w:color w:val="auto"/>
              </w:rPr>
              <w:t>Net Production (MBOEPD)</w:t>
            </w:r>
          </w:p>
        </w:tc>
        <w:tc>
          <w:tcPr>
            <w:tcW w:w="4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933</w:t>
            </w:r>
          </w:p>
        </w:tc>
        <w:tc>
          <w:tcPr>
            <w:tcW w:w="3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1,003</w:t>
            </w:r>
          </w:p>
        </w:tc>
        <w:tc>
          <w:tcPr>
            <w:tcW w:w="3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line="189" w:lineRule="exact"/>
              <w:rPr>
                <w:sz w:val="20"/>
                <w:szCs w:val="20"/>
                <w:color w:val="auto"/>
              </w:rPr>
            </w:pPr>
            <w:r>
              <w:rPr>
                <w:rFonts w:ascii="Arial" w:cs="Arial" w:eastAsia="Arial" w:hAnsi="Arial"/>
                <w:sz w:val="13"/>
                <w:szCs w:val="13"/>
                <w:color w:val="auto"/>
              </w:rPr>
              <w:t>Natural Gas Sales (MMCFPD)</w:t>
            </w:r>
            <w:r>
              <w:rPr>
                <w:rFonts w:ascii="Arial" w:cs="Arial" w:eastAsia="Arial" w:hAnsi="Arial"/>
                <w:sz w:val="21"/>
                <w:szCs w:val="21"/>
                <w:color w:val="auto"/>
                <w:vertAlign w:val="superscript"/>
              </w:rPr>
              <w:t>2</w:t>
            </w:r>
          </w:p>
        </w:tc>
        <w:tc>
          <w:tcPr>
            <w:tcW w:w="40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3,871</w:t>
            </w:r>
          </w:p>
        </w:tc>
        <w:tc>
          <w:tcPr>
            <w:tcW w:w="34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5,463</w:t>
            </w:r>
          </w:p>
        </w:tc>
        <w:tc>
          <w:tcPr>
            <w:tcW w:w="3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7,830</w:t>
            </w:r>
          </w:p>
        </w:tc>
        <w:tc>
          <w:tcPr>
            <w:tcW w:w="0" w:type="dxa"/>
            <w:vAlign w:val="bottom"/>
          </w:tcPr>
          <w:p>
            <w:pPr>
              <w:spacing w:after="0"/>
              <w:rPr>
                <w:sz w:val="1"/>
                <w:szCs w:val="1"/>
                <w:color w:val="auto"/>
              </w:rPr>
            </w:pPr>
          </w:p>
        </w:tc>
      </w:tr>
      <w:tr>
        <w:trPr>
          <w:trHeight w:val="179"/>
        </w:trPr>
        <w:tc>
          <w:tcPr>
            <w:tcW w:w="2660" w:type="dxa"/>
            <w:vAlign w:val="bottom"/>
          </w:tcPr>
          <w:p>
            <w:pPr>
              <w:ind w:left="20"/>
              <w:spacing w:after="0" w:line="179" w:lineRule="exact"/>
              <w:rPr>
                <w:sz w:val="20"/>
                <w:szCs w:val="20"/>
                <w:color w:val="auto"/>
              </w:rPr>
            </w:pPr>
            <w:r>
              <w:rPr>
                <w:rFonts w:ascii="Arial" w:cs="Arial" w:eastAsia="Arial" w:hAnsi="Arial"/>
                <w:sz w:val="13"/>
                <w:szCs w:val="13"/>
                <w:color w:val="auto"/>
              </w:rPr>
              <w:t>Natural Gas Liquids Sales (MBPD)</w:t>
            </w:r>
            <w:r>
              <w:rPr>
                <w:rFonts w:ascii="Arial" w:cs="Arial" w:eastAsia="Arial" w:hAnsi="Arial"/>
                <w:sz w:val="20"/>
                <w:szCs w:val="20"/>
                <w:color w:val="auto"/>
                <w:vertAlign w:val="superscript"/>
              </w:rPr>
              <w:t>2</w:t>
            </w:r>
          </w:p>
        </w:tc>
        <w:tc>
          <w:tcPr>
            <w:tcW w:w="40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194</w:t>
            </w:r>
          </w:p>
        </w:tc>
        <w:tc>
          <w:tcPr>
            <w:tcW w:w="34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241</w:t>
            </w:r>
          </w:p>
        </w:tc>
        <w:tc>
          <w:tcPr>
            <w:tcW w:w="3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Revenues from Net Production</w:t>
            </w: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26.66</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140"/>
              <w:spacing w:after="0" w:line="145" w:lineRule="exact"/>
              <w:rPr>
                <w:sz w:val="20"/>
                <w:szCs w:val="20"/>
                <w:color w:val="auto"/>
              </w:rPr>
            </w:pPr>
            <w:r>
              <w:rPr>
                <w:rFonts w:ascii="Arial" w:cs="Arial" w:eastAsia="Arial" w:hAnsi="Arial"/>
                <w:sz w:val="14"/>
                <w:szCs w:val="14"/>
                <w:color w:val="auto"/>
              </w:rPr>
              <w:t>Liquids ($/Bbl)</w:t>
            </w:r>
          </w:p>
        </w:tc>
        <w:tc>
          <w:tcPr>
            <w:tcW w:w="4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21.34</w:t>
            </w:r>
          </w:p>
        </w:tc>
        <w:tc>
          <w:tcPr>
            <w:tcW w:w="3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21.33</w:t>
            </w: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Natural Gas ($/MCF)</w:t>
            </w: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5.01</w:t>
            </w:r>
          </w:p>
        </w:tc>
        <w:tc>
          <w:tcPr>
            <w:tcW w:w="3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2.89</w:t>
            </w:r>
          </w:p>
        </w:tc>
        <w:tc>
          <w:tcPr>
            <w:tcW w:w="3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International Exploration and</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60" w:type="dxa"/>
            <w:vAlign w:val="bottom"/>
          </w:tcPr>
          <w:p>
            <w:pPr>
              <w:ind w:left="140"/>
              <w:spacing w:after="0" w:line="179" w:lineRule="exact"/>
              <w:rPr>
                <w:sz w:val="20"/>
                <w:szCs w:val="20"/>
                <w:color w:val="auto"/>
              </w:rPr>
            </w:pPr>
            <w:r>
              <w:rPr>
                <w:rFonts w:ascii="Arial" w:cs="Arial" w:eastAsia="Arial" w:hAnsi="Arial"/>
                <w:sz w:val="13"/>
                <w:szCs w:val="13"/>
                <w:b w:val="1"/>
                <w:bCs w:val="1"/>
                <w:color w:val="auto"/>
              </w:rPr>
              <w:t>Production</w:t>
            </w:r>
            <w:r>
              <w:rPr>
                <w:rFonts w:ascii="Arial" w:cs="Arial" w:eastAsia="Arial" w:hAnsi="Arial"/>
                <w:sz w:val="20"/>
                <w:szCs w:val="20"/>
                <w:color w:val="auto"/>
                <w:vertAlign w:val="superscript"/>
              </w:rPr>
              <w:t>2</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Net Crude and Natural Gas Liquids</w:t>
            </w:r>
          </w:p>
        </w:tc>
        <w:tc>
          <w:tcPr>
            <w:tcW w:w="400" w:type="dxa"/>
            <w:vAlign w:val="bottom"/>
          </w:tcPr>
          <w:p>
            <w:pPr>
              <w:spacing w:after="0"/>
              <w:rPr>
                <w:sz w:val="12"/>
                <w:szCs w:val="12"/>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1,246</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60" w:type="dxa"/>
            <w:vAlign w:val="bottom"/>
          </w:tcPr>
          <w:p>
            <w:pPr>
              <w:ind w:left="140"/>
              <w:spacing w:after="0" w:line="159" w:lineRule="exact"/>
              <w:rPr>
                <w:sz w:val="20"/>
                <w:szCs w:val="20"/>
                <w:color w:val="auto"/>
              </w:rPr>
            </w:pPr>
            <w:r>
              <w:rPr>
                <w:rFonts w:ascii="Arial" w:cs="Arial" w:eastAsia="Arial" w:hAnsi="Arial"/>
                <w:sz w:val="14"/>
                <w:szCs w:val="14"/>
                <w:color w:val="auto"/>
              </w:rPr>
              <w:t>Production (MBPD)</w:t>
            </w:r>
          </w:p>
        </w:tc>
        <w:tc>
          <w:tcPr>
            <w:tcW w:w="4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1,295</w:t>
            </w:r>
          </w:p>
        </w:tc>
        <w:tc>
          <w:tcPr>
            <w:tcW w:w="360" w:type="dxa"/>
            <w:vAlign w:val="bottom"/>
          </w:tcPr>
          <w:p>
            <w:pPr>
              <w:spacing w:after="0"/>
              <w:rPr>
                <w:sz w:val="13"/>
                <w:szCs w:val="13"/>
                <w:color w:val="auto"/>
              </w:rPr>
            </w:pPr>
          </w:p>
        </w:tc>
        <w:tc>
          <w:tcPr>
            <w:tcW w:w="520" w:type="dxa"/>
            <w:vAlign w:val="bottom"/>
          </w:tcPr>
          <w:p>
            <w:pPr>
              <w:jc w:val="right"/>
              <w:ind w:right="28"/>
              <w:spacing w:after="0" w:line="159" w:lineRule="exact"/>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5" w:lineRule="exact"/>
              <w:rPr>
                <w:sz w:val="20"/>
                <w:szCs w:val="20"/>
                <w:color w:val="auto"/>
              </w:rPr>
            </w:pPr>
            <w:r>
              <w:rPr>
                <w:rFonts w:ascii="Arial" w:cs="Arial" w:eastAsia="Arial" w:hAnsi="Arial"/>
                <w:sz w:val="13"/>
                <w:szCs w:val="13"/>
                <w:color w:val="auto"/>
              </w:rPr>
              <w:t>Net Natural Gas Production (MMCFPD)</w:t>
            </w:r>
            <w:r>
              <w:rPr>
                <w:rFonts w:ascii="Arial" w:cs="Arial" w:eastAsia="Arial" w:hAnsi="Arial"/>
                <w:sz w:val="20"/>
                <w:szCs w:val="20"/>
                <w:color w:val="auto"/>
                <w:vertAlign w:val="superscript"/>
              </w:rPr>
              <w:t>1</w:t>
            </w:r>
          </w:p>
        </w:tc>
        <w:tc>
          <w:tcPr>
            <w:tcW w:w="40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2,064</w:t>
            </w:r>
          </w:p>
        </w:tc>
        <w:tc>
          <w:tcPr>
            <w:tcW w:w="34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1,971</w:t>
            </w:r>
          </w:p>
        </w:tc>
        <w:tc>
          <w:tcPr>
            <w:tcW w:w="3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Net Production (MBOEPD)</w:t>
            </w:r>
          </w:p>
        </w:tc>
        <w:tc>
          <w:tcPr>
            <w:tcW w:w="40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1,590</w:t>
            </w:r>
          </w:p>
        </w:tc>
        <w:tc>
          <w:tcPr>
            <w:tcW w:w="34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1,623</w:t>
            </w:r>
          </w:p>
        </w:tc>
        <w:tc>
          <w:tcPr>
            <w:tcW w:w="3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Natural Gas Sales (MMCFPD)</w:t>
            </w:r>
          </w:p>
        </w:tc>
        <w:tc>
          <w:tcPr>
            <w:tcW w:w="40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1,951</w:t>
            </w:r>
          </w:p>
        </w:tc>
        <w:tc>
          <w:tcPr>
            <w:tcW w:w="34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3,131</w:t>
            </w:r>
          </w:p>
        </w:tc>
        <w:tc>
          <w:tcPr>
            <w:tcW w:w="3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2,675</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Natural Gas Liquids Sales (MBPD)</w:t>
            </w:r>
          </w:p>
        </w:tc>
        <w:tc>
          <w:tcPr>
            <w:tcW w:w="400" w:type="dxa"/>
            <w:vAlign w:val="bottom"/>
          </w:tcPr>
          <w:p>
            <w:pPr>
              <w:spacing w:after="0"/>
              <w:rPr>
                <w:sz w:val="13"/>
                <w:szCs w:val="13"/>
                <w:color w:val="auto"/>
              </w:rPr>
            </w:pPr>
          </w:p>
        </w:tc>
        <w:tc>
          <w:tcPr>
            <w:tcW w:w="6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107</w:t>
            </w:r>
          </w:p>
        </w:tc>
        <w:tc>
          <w:tcPr>
            <w:tcW w:w="340" w:type="dxa"/>
            <w:vAlign w:val="bottom"/>
          </w:tcPr>
          <w:p>
            <w:pPr>
              <w:spacing w:after="0"/>
              <w:rPr>
                <w:sz w:val="13"/>
                <w:szCs w:val="13"/>
                <w:color w:val="auto"/>
              </w:rPr>
            </w:pPr>
          </w:p>
        </w:tc>
        <w:tc>
          <w:tcPr>
            <w:tcW w:w="60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131</w:t>
            </w:r>
          </w:p>
        </w:tc>
        <w:tc>
          <w:tcPr>
            <w:tcW w:w="360" w:type="dxa"/>
            <w:vAlign w:val="bottom"/>
          </w:tcPr>
          <w:p>
            <w:pPr>
              <w:spacing w:after="0"/>
              <w:rPr>
                <w:sz w:val="13"/>
                <w:szCs w:val="13"/>
                <w:color w:val="auto"/>
              </w:rPr>
            </w:pPr>
          </w:p>
        </w:tc>
        <w:tc>
          <w:tcPr>
            <w:tcW w:w="52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Revenues from Liftings</w:t>
            </w: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26.79</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140"/>
              <w:spacing w:after="0" w:line="145" w:lineRule="exact"/>
              <w:rPr>
                <w:sz w:val="20"/>
                <w:szCs w:val="20"/>
                <w:color w:val="auto"/>
              </w:rPr>
            </w:pPr>
            <w:r>
              <w:rPr>
                <w:rFonts w:ascii="Arial" w:cs="Arial" w:eastAsia="Arial" w:hAnsi="Arial"/>
                <w:sz w:val="14"/>
                <w:szCs w:val="14"/>
                <w:color w:val="auto"/>
              </w:rPr>
              <w:t>Liquids ($/Bbl)</w:t>
            </w:r>
          </w:p>
        </w:tc>
        <w:tc>
          <w:tcPr>
            <w:tcW w:w="4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23.06</w:t>
            </w:r>
          </w:p>
        </w:tc>
        <w:tc>
          <w:tcPr>
            <w:tcW w:w="3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22.17</w:t>
            </w: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Natural Gas ($/MCF)</w:t>
            </w: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2.64</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2.14</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5" w:lineRule="exact"/>
              <w:rPr>
                <w:sz w:val="20"/>
                <w:szCs w:val="20"/>
                <w:color w:val="auto"/>
              </w:rPr>
            </w:pPr>
            <w:r>
              <w:rPr>
                <w:rFonts w:ascii="Arial" w:cs="Arial" w:eastAsia="Arial" w:hAnsi="Arial"/>
                <w:sz w:val="13"/>
                <w:szCs w:val="13"/>
                <w:color w:val="auto"/>
              </w:rPr>
              <w:t>Other Produced Volumes (MBPD)</w:t>
            </w:r>
            <w:r>
              <w:rPr>
                <w:rFonts w:ascii="Arial" w:cs="Arial" w:eastAsia="Arial" w:hAnsi="Arial"/>
                <w:sz w:val="20"/>
                <w:szCs w:val="20"/>
                <w:color w:val="auto"/>
                <w:vertAlign w:val="superscript"/>
              </w:rPr>
              <w:t>3</w:t>
            </w:r>
          </w:p>
        </w:tc>
        <w:tc>
          <w:tcPr>
            <w:tcW w:w="40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114</w:t>
            </w:r>
          </w:p>
        </w:tc>
        <w:tc>
          <w:tcPr>
            <w:tcW w:w="34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97</w:t>
            </w:r>
          </w:p>
        </w:tc>
        <w:tc>
          <w:tcPr>
            <w:tcW w:w="3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U.S. Refining, Marketing and</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60" w:type="dxa"/>
            <w:vAlign w:val="bottom"/>
          </w:tcPr>
          <w:p>
            <w:pPr>
              <w:ind w:left="140"/>
              <w:spacing w:after="0" w:line="179" w:lineRule="exact"/>
              <w:rPr>
                <w:sz w:val="20"/>
                <w:szCs w:val="20"/>
                <w:color w:val="auto"/>
              </w:rPr>
            </w:pPr>
            <w:r>
              <w:rPr>
                <w:rFonts w:ascii="Arial" w:cs="Arial" w:eastAsia="Arial" w:hAnsi="Arial"/>
                <w:sz w:val="13"/>
                <w:szCs w:val="13"/>
                <w:b w:val="1"/>
                <w:bCs w:val="1"/>
                <w:color w:val="auto"/>
              </w:rPr>
              <w:t>Transportation</w:t>
            </w:r>
            <w:r>
              <w:rPr>
                <w:rFonts w:ascii="Arial" w:cs="Arial" w:eastAsia="Arial" w:hAnsi="Arial"/>
                <w:sz w:val="20"/>
                <w:szCs w:val="20"/>
                <w:color w:val="auto"/>
                <w:vertAlign w:val="superscript"/>
              </w:rPr>
              <w:t>2,4</w:t>
            </w:r>
          </w:p>
        </w:tc>
        <w:tc>
          <w:tcPr>
            <w:tcW w:w="400" w:type="dxa"/>
            <w:vAlign w:val="bottom"/>
          </w:tcPr>
          <w:p>
            <w:pPr>
              <w:spacing w:after="0"/>
              <w:rPr>
                <w:sz w:val="15"/>
                <w:szCs w:val="15"/>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669</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20"/>
              <w:spacing w:after="0" w:line="145" w:lineRule="exact"/>
              <w:rPr>
                <w:sz w:val="20"/>
                <w:szCs w:val="20"/>
                <w:color w:val="auto"/>
              </w:rPr>
            </w:pPr>
            <w:r>
              <w:rPr>
                <w:rFonts w:ascii="Arial" w:cs="Arial" w:eastAsia="Arial" w:hAnsi="Arial"/>
                <w:sz w:val="14"/>
                <w:szCs w:val="14"/>
                <w:color w:val="auto"/>
              </w:rPr>
              <w:t>Gasoline Sales (MBPD)</w:t>
            </w:r>
          </w:p>
        </w:tc>
        <w:tc>
          <w:tcPr>
            <w:tcW w:w="4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680</w:t>
            </w:r>
          </w:p>
        </w:tc>
        <w:tc>
          <w:tcPr>
            <w:tcW w:w="360" w:type="dxa"/>
            <w:vAlign w:val="bottom"/>
          </w:tcPr>
          <w:p>
            <w:pPr>
              <w:spacing w:after="0"/>
              <w:rPr>
                <w:sz w:val="12"/>
                <w:szCs w:val="12"/>
                <w:color w:val="auto"/>
              </w:rPr>
            </w:pPr>
          </w:p>
        </w:tc>
        <w:tc>
          <w:tcPr>
            <w:tcW w:w="5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Other Refined Products Sales (MBPD)</w:t>
            </w:r>
          </w:p>
        </w:tc>
        <w:tc>
          <w:tcPr>
            <w:tcW w:w="40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845</w:t>
            </w:r>
          </w:p>
        </w:tc>
        <w:tc>
          <w:tcPr>
            <w:tcW w:w="34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920</w:t>
            </w:r>
          </w:p>
        </w:tc>
        <w:tc>
          <w:tcPr>
            <w:tcW w:w="3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Refinery Input (MBPD)</w:t>
            </w:r>
          </w:p>
        </w:tc>
        <w:tc>
          <w:tcPr>
            <w:tcW w:w="400" w:type="dxa"/>
            <w:vAlign w:val="bottom"/>
          </w:tcPr>
          <w:p>
            <w:pPr>
              <w:spacing w:after="0"/>
              <w:rPr>
                <w:sz w:val="13"/>
                <w:szCs w:val="13"/>
                <w:color w:val="auto"/>
              </w:rPr>
            </w:pPr>
          </w:p>
        </w:tc>
        <w:tc>
          <w:tcPr>
            <w:tcW w:w="6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951</w:t>
            </w:r>
          </w:p>
        </w:tc>
        <w:tc>
          <w:tcPr>
            <w:tcW w:w="340" w:type="dxa"/>
            <w:vAlign w:val="bottom"/>
          </w:tcPr>
          <w:p>
            <w:pPr>
              <w:spacing w:after="0"/>
              <w:rPr>
                <w:sz w:val="13"/>
                <w:szCs w:val="13"/>
                <w:color w:val="auto"/>
              </w:rPr>
            </w:pPr>
          </w:p>
        </w:tc>
        <w:tc>
          <w:tcPr>
            <w:tcW w:w="60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979</w:t>
            </w:r>
          </w:p>
        </w:tc>
        <w:tc>
          <w:tcPr>
            <w:tcW w:w="360" w:type="dxa"/>
            <w:vAlign w:val="bottom"/>
          </w:tcPr>
          <w:p>
            <w:pPr>
              <w:spacing w:after="0"/>
              <w:rPr>
                <w:sz w:val="13"/>
                <w:szCs w:val="13"/>
                <w:color w:val="auto"/>
              </w:rPr>
            </w:pPr>
          </w:p>
        </w:tc>
        <w:tc>
          <w:tcPr>
            <w:tcW w:w="520" w:type="dxa"/>
            <w:vAlign w:val="bottom"/>
          </w:tcPr>
          <w:p>
            <w:pPr>
              <w:jc w:val="right"/>
              <w:ind w:right="28"/>
              <w:spacing w:after="0" w:line="153" w:lineRule="exact"/>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Average Refined Products Sales Price</w:t>
            </w: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39.93</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140"/>
              <w:spacing w:after="0" w:line="145" w:lineRule="exact"/>
              <w:rPr>
                <w:sz w:val="20"/>
                <w:szCs w:val="20"/>
                <w:color w:val="auto"/>
              </w:rPr>
            </w:pPr>
            <w:r>
              <w:rPr>
                <w:rFonts w:ascii="Arial" w:cs="Arial" w:eastAsia="Arial" w:hAnsi="Arial"/>
                <w:sz w:val="14"/>
                <w:szCs w:val="14"/>
                <w:color w:val="auto"/>
              </w:rPr>
              <w:t>($/Bbl)</w:t>
            </w:r>
          </w:p>
        </w:tc>
        <w:tc>
          <w:tcPr>
            <w:tcW w:w="4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32.63</w:t>
            </w:r>
          </w:p>
        </w:tc>
        <w:tc>
          <w:tcPr>
            <w:tcW w:w="3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International Refining, Marketing and</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60" w:type="dxa"/>
            <w:vAlign w:val="bottom"/>
          </w:tcPr>
          <w:p>
            <w:pPr>
              <w:ind w:left="140"/>
              <w:spacing w:after="0" w:line="179" w:lineRule="exact"/>
              <w:rPr>
                <w:sz w:val="20"/>
                <w:szCs w:val="20"/>
                <w:color w:val="auto"/>
              </w:rPr>
            </w:pPr>
            <w:r>
              <w:rPr>
                <w:rFonts w:ascii="Arial" w:cs="Arial" w:eastAsia="Arial" w:hAnsi="Arial"/>
                <w:sz w:val="13"/>
                <w:szCs w:val="13"/>
                <w:b w:val="1"/>
                <w:bCs w:val="1"/>
                <w:color w:val="auto"/>
              </w:rPr>
              <w:t>Transportation</w:t>
            </w:r>
            <w:r>
              <w:rPr>
                <w:rFonts w:ascii="Arial" w:cs="Arial" w:eastAsia="Arial" w:hAnsi="Arial"/>
                <w:sz w:val="20"/>
                <w:szCs w:val="20"/>
                <w:color w:val="auto"/>
                <w:vertAlign w:val="superscript"/>
              </w:rPr>
              <w:t>2</w:t>
            </w:r>
          </w:p>
        </w:tc>
        <w:tc>
          <w:tcPr>
            <w:tcW w:w="400" w:type="dxa"/>
            <w:vAlign w:val="bottom"/>
          </w:tcPr>
          <w:p>
            <w:pPr>
              <w:spacing w:after="0"/>
              <w:rPr>
                <w:sz w:val="15"/>
                <w:szCs w:val="15"/>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543</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20"/>
              <w:spacing w:after="0" w:line="145" w:lineRule="exact"/>
              <w:rPr>
                <w:sz w:val="20"/>
                <w:szCs w:val="20"/>
                <w:color w:val="auto"/>
              </w:rPr>
            </w:pPr>
            <w:r>
              <w:rPr>
                <w:rFonts w:ascii="Arial" w:cs="Arial" w:eastAsia="Arial" w:hAnsi="Arial"/>
                <w:sz w:val="14"/>
                <w:szCs w:val="14"/>
                <w:color w:val="auto"/>
              </w:rPr>
              <w:t>Gasoline Sales (MBPD)</w:t>
            </w:r>
          </w:p>
        </w:tc>
        <w:tc>
          <w:tcPr>
            <w:tcW w:w="4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519</w:t>
            </w:r>
          </w:p>
        </w:tc>
        <w:tc>
          <w:tcPr>
            <w:tcW w:w="360" w:type="dxa"/>
            <w:vAlign w:val="bottom"/>
          </w:tcPr>
          <w:p>
            <w:pPr>
              <w:spacing w:after="0"/>
              <w:rPr>
                <w:sz w:val="12"/>
                <w:szCs w:val="12"/>
                <w:color w:val="auto"/>
              </w:rPr>
            </w:pPr>
          </w:p>
        </w:tc>
        <w:tc>
          <w:tcPr>
            <w:tcW w:w="5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Other Refined Products Sales (MBPD)</w:t>
            </w:r>
          </w:p>
        </w:tc>
        <w:tc>
          <w:tcPr>
            <w:tcW w:w="40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1,681</w:t>
            </w:r>
          </w:p>
        </w:tc>
        <w:tc>
          <w:tcPr>
            <w:tcW w:w="34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1,656</w:t>
            </w:r>
          </w:p>
        </w:tc>
        <w:tc>
          <w:tcPr>
            <w:tcW w:w="3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Refinery Input (MBPD)</w:t>
            </w:r>
          </w:p>
        </w:tc>
        <w:tc>
          <w:tcPr>
            <w:tcW w:w="400" w:type="dxa"/>
            <w:vAlign w:val="bottom"/>
          </w:tcPr>
          <w:p>
            <w:pPr>
              <w:spacing w:after="0"/>
              <w:rPr>
                <w:sz w:val="13"/>
                <w:szCs w:val="13"/>
                <w:color w:val="auto"/>
              </w:rPr>
            </w:pPr>
          </w:p>
        </w:tc>
        <w:tc>
          <w:tcPr>
            <w:tcW w:w="6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1,040</w:t>
            </w:r>
          </w:p>
        </w:tc>
        <w:tc>
          <w:tcPr>
            <w:tcW w:w="340" w:type="dxa"/>
            <w:vAlign w:val="bottom"/>
          </w:tcPr>
          <w:p>
            <w:pPr>
              <w:spacing w:after="0"/>
              <w:rPr>
                <w:sz w:val="13"/>
                <w:szCs w:val="13"/>
                <w:color w:val="auto"/>
              </w:rPr>
            </w:pPr>
          </w:p>
        </w:tc>
        <w:tc>
          <w:tcPr>
            <w:tcW w:w="60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1,100</w:t>
            </w:r>
          </w:p>
        </w:tc>
        <w:tc>
          <w:tcPr>
            <w:tcW w:w="360" w:type="dxa"/>
            <w:vAlign w:val="bottom"/>
          </w:tcPr>
          <w:p>
            <w:pPr>
              <w:spacing w:after="0"/>
              <w:rPr>
                <w:sz w:val="13"/>
                <w:szCs w:val="13"/>
                <w:color w:val="auto"/>
              </w:rPr>
            </w:pPr>
          </w:p>
        </w:tc>
        <w:tc>
          <w:tcPr>
            <w:tcW w:w="52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4"/>
                <w:szCs w:val="14"/>
                <w:color w:val="auto"/>
              </w:rPr>
              <w:t>Average Refined Products Sales Price</w:t>
            </w: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46.64</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($/Bbl)</w:t>
            </w:r>
          </w:p>
        </w:tc>
        <w:tc>
          <w:tcPr>
            <w:tcW w:w="40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vMerge w:val="continue"/>
          </w:tcPr>
          <w:p>
            <w:pPr>
              <w:spacing w:after="0"/>
              <w:rPr>
                <w:sz w:val="16"/>
                <w:szCs w:val="16"/>
                <w:color w:val="auto"/>
              </w:rPr>
            </w:pPr>
          </w:p>
        </w:tc>
        <w:tc>
          <w:tcPr>
            <w:tcW w:w="3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37.18</w:t>
            </w:r>
          </w:p>
        </w:tc>
        <w:tc>
          <w:tcPr>
            <w:tcW w:w="3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48.90</w:t>
            </w:r>
          </w:p>
        </w:tc>
        <w:tc>
          <w:tcPr>
            <w:tcW w:w="0" w:type="dxa"/>
            <w:vAlign w:val="bottom"/>
          </w:tcPr>
          <w:p>
            <w:pPr>
              <w:spacing w:after="0"/>
              <w:rPr>
                <w:sz w:val="1"/>
                <w:szCs w:val="1"/>
                <w:color w:val="auto"/>
              </w:rPr>
            </w:pPr>
          </w:p>
        </w:tc>
      </w:tr>
    </w:tbl>
    <w:p>
      <w:pPr>
        <w:ind w:left="100" w:hanging="88"/>
        <w:spacing w:after="0" w:line="187" w:lineRule="auto"/>
        <w:tabs>
          <w:tab w:leader="none" w:pos="100" w:val="left"/>
        </w:tabs>
        <w:numPr>
          <w:ilvl w:val="0"/>
          <w:numId w:val="20"/>
        </w:numPr>
        <w:rPr>
          <w:rFonts w:ascii="Arial" w:cs="Arial" w:eastAsia="Arial" w:hAnsi="Arial"/>
          <w:sz w:val="20"/>
          <w:szCs w:val="20"/>
          <w:color w:val="auto"/>
          <w:vertAlign w:val="superscript"/>
        </w:rPr>
      </w:pPr>
      <w:r>
        <w:rPr>
          <w:rFonts w:ascii="Arial" w:cs="Arial" w:eastAsia="Arial" w:hAnsi="Arial"/>
          <w:sz w:val="12"/>
          <w:szCs w:val="12"/>
          <w:color w:val="auto"/>
        </w:rPr>
        <w:t>Includes natural gas consumed on lease:</w:t>
      </w:r>
    </w:p>
    <w:tbl>
      <w:tblPr>
        <w:tblLayout w:type="fixed"/>
        <w:tblInd w:w="140" w:type="dxa"/>
        <w:tblCellMar>
          <w:top w:w="0" w:type="dxa"/>
          <w:left w:w="0" w:type="dxa"/>
          <w:bottom w:w="0" w:type="dxa"/>
          <w:right w:w="0" w:type="dxa"/>
        </w:tblCellMar>
      </w:tblPr>
      <w:tr>
        <w:trPr>
          <w:trHeight w:val="123"/>
        </w:trPr>
        <w:tc>
          <w:tcPr>
            <w:tcW w:w="1900" w:type="dxa"/>
            <w:vAlign w:val="bottom"/>
          </w:tcPr>
          <w:p>
            <w:pPr>
              <w:spacing w:after="0" w:line="124" w:lineRule="exact"/>
              <w:rPr>
                <w:sz w:val="20"/>
                <w:szCs w:val="20"/>
                <w:color w:val="auto"/>
              </w:rPr>
            </w:pPr>
            <w:r>
              <w:rPr>
                <w:rFonts w:ascii="Arial" w:cs="Arial" w:eastAsia="Arial" w:hAnsi="Arial"/>
                <w:sz w:val="12"/>
                <w:szCs w:val="12"/>
                <w:color w:val="auto"/>
              </w:rPr>
              <w:t>United States</w:t>
            </w:r>
          </w:p>
        </w:tc>
        <w:tc>
          <w:tcPr>
            <w:tcW w:w="1820" w:type="dxa"/>
            <w:vAlign w:val="bottom"/>
          </w:tcPr>
          <w:p>
            <w:pPr>
              <w:jc w:val="right"/>
              <w:ind w:right="322"/>
              <w:spacing w:after="0" w:line="124" w:lineRule="exact"/>
              <w:rPr>
                <w:sz w:val="20"/>
                <w:szCs w:val="20"/>
                <w:color w:val="auto"/>
              </w:rPr>
            </w:pPr>
            <w:r>
              <w:rPr>
                <w:rFonts w:ascii="Arial" w:cs="Arial" w:eastAsia="Arial" w:hAnsi="Arial"/>
                <w:sz w:val="12"/>
                <w:szCs w:val="12"/>
                <w:b w:val="1"/>
                <w:bCs w:val="1"/>
                <w:color w:val="auto"/>
              </w:rPr>
              <w:t>65</w:t>
            </w:r>
          </w:p>
        </w:tc>
        <w:tc>
          <w:tcPr>
            <w:tcW w:w="960" w:type="dxa"/>
            <w:vAlign w:val="bottom"/>
          </w:tcPr>
          <w:p>
            <w:pPr>
              <w:jc w:val="right"/>
              <w:ind w:right="342"/>
              <w:spacing w:after="0" w:line="124" w:lineRule="exact"/>
              <w:rPr>
                <w:sz w:val="20"/>
                <w:szCs w:val="20"/>
                <w:color w:val="auto"/>
              </w:rPr>
            </w:pPr>
            <w:r>
              <w:rPr>
                <w:rFonts w:ascii="Arial" w:cs="Arial" w:eastAsia="Arial" w:hAnsi="Arial"/>
                <w:sz w:val="12"/>
                <w:szCs w:val="12"/>
                <w:color w:val="auto"/>
              </w:rPr>
              <w:t>64</w:t>
            </w:r>
          </w:p>
        </w:tc>
        <w:tc>
          <w:tcPr>
            <w:tcW w:w="560" w:type="dxa"/>
            <w:vAlign w:val="bottom"/>
          </w:tcPr>
          <w:p>
            <w:pPr>
              <w:jc w:val="right"/>
              <w:spacing w:after="0" w:line="124" w:lineRule="exact"/>
              <w:rPr>
                <w:sz w:val="20"/>
                <w:szCs w:val="20"/>
                <w:color w:val="auto"/>
              </w:rPr>
            </w:pPr>
            <w:r>
              <w:rPr>
                <w:rFonts w:ascii="Arial" w:cs="Arial" w:eastAsia="Arial" w:hAnsi="Arial"/>
                <w:sz w:val="12"/>
                <w:szCs w:val="12"/>
                <w:color w:val="auto"/>
              </w:rPr>
              <w:t>64</w:t>
            </w:r>
          </w:p>
        </w:tc>
      </w:tr>
      <w:tr>
        <w:trPr>
          <w:trHeight w:val="137"/>
        </w:trPr>
        <w:tc>
          <w:tcPr>
            <w:tcW w:w="1900" w:type="dxa"/>
            <w:vAlign w:val="bottom"/>
          </w:tcPr>
          <w:p>
            <w:pPr>
              <w:spacing w:after="0"/>
              <w:rPr>
                <w:sz w:val="20"/>
                <w:szCs w:val="20"/>
                <w:color w:val="auto"/>
              </w:rPr>
            </w:pPr>
            <w:r>
              <w:rPr>
                <w:rFonts w:ascii="Arial" w:cs="Arial" w:eastAsia="Arial" w:hAnsi="Arial"/>
                <w:sz w:val="12"/>
                <w:szCs w:val="12"/>
                <w:color w:val="auto"/>
              </w:rPr>
              <w:t>International</w:t>
            </w:r>
          </w:p>
        </w:tc>
        <w:tc>
          <w:tcPr>
            <w:tcW w:w="1820" w:type="dxa"/>
            <w:vAlign w:val="bottom"/>
          </w:tcPr>
          <w:p>
            <w:pPr>
              <w:jc w:val="right"/>
              <w:ind w:right="322"/>
              <w:spacing w:after="0"/>
              <w:rPr>
                <w:sz w:val="20"/>
                <w:szCs w:val="20"/>
                <w:color w:val="auto"/>
              </w:rPr>
            </w:pPr>
            <w:r>
              <w:rPr>
                <w:rFonts w:ascii="Arial" w:cs="Arial" w:eastAsia="Arial" w:hAnsi="Arial"/>
                <w:sz w:val="12"/>
                <w:szCs w:val="12"/>
                <w:b w:val="1"/>
                <w:bCs w:val="1"/>
                <w:color w:val="auto"/>
              </w:rPr>
              <w:t>262</w:t>
            </w:r>
          </w:p>
        </w:tc>
        <w:tc>
          <w:tcPr>
            <w:tcW w:w="960" w:type="dxa"/>
            <w:vAlign w:val="bottom"/>
          </w:tcPr>
          <w:p>
            <w:pPr>
              <w:jc w:val="right"/>
              <w:ind w:right="342"/>
              <w:spacing w:after="0"/>
              <w:rPr>
                <w:sz w:val="20"/>
                <w:szCs w:val="20"/>
                <w:color w:val="auto"/>
              </w:rPr>
            </w:pPr>
            <w:r>
              <w:rPr>
                <w:rFonts w:ascii="Arial" w:cs="Arial" w:eastAsia="Arial" w:hAnsi="Arial"/>
                <w:sz w:val="12"/>
                <w:szCs w:val="12"/>
                <w:color w:val="auto"/>
              </w:rPr>
              <w:t>256</w:t>
            </w:r>
          </w:p>
        </w:tc>
        <w:tc>
          <w:tcPr>
            <w:tcW w:w="560" w:type="dxa"/>
            <w:vAlign w:val="bottom"/>
          </w:tcPr>
          <w:p>
            <w:pPr>
              <w:jc w:val="right"/>
              <w:spacing w:after="0"/>
              <w:rPr>
                <w:sz w:val="20"/>
                <w:szCs w:val="20"/>
                <w:color w:val="auto"/>
              </w:rPr>
            </w:pPr>
            <w:r>
              <w:rPr>
                <w:rFonts w:ascii="Arial" w:cs="Arial" w:eastAsia="Arial" w:hAnsi="Arial"/>
                <w:sz w:val="12"/>
                <w:szCs w:val="12"/>
                <w:color w:val="auto"/>
              </w:rPr>
              <w:t>262</w:t>
            </w:r>
          </w:p>
        </w:tc>
      </w:tr>
    </w:tbl>
    <w:p>
      <w:pPr>
        <w:spacing w:after="0" w:line="27" w:lineRule="exact"/>
        <w:rPr>
          <w:sz w:val="20"/>
          <w:szCs w:val="20"/>
          <w:color w:val="auto"/>
        </w:rPr>
      </w:pPr>
    </w:p>
    <w:p>
      <w:pPr>
        <w:ind w:left="140" w:right="3020" w:hanging="128"/>
        <w:spacing w:after="0" w:line="194" w:lineRule="auto"/>
        <w:tabs>
          <w:tab w:leader="none" w:pos="83" w:val="left"/>
        </w:tabs>
        <w:numPr>
          <w:ilvl w:val="0"/>
          <w:numId w:val="21"/>
        </w:numPr>
        <w:rPr>
          <w:rFonts w:ascii="Arial" w:cs="Arial" w:eastAsia="Arial" w:hAnsi="Arial"/>
          <w:sz w:val="18"/>
          <w:szCs w:val="18"/>
          <w:color w:val="auto"/>
          <w:vertAlign w:val="superscript"/>
        </w:rPr>
      </w:pPr>
      <w:r>
        <w:rPr>
          <w:rFonts w:ascii="Arial" w:cs="Arial" w:eastAsia="Arial" w:hAnsi="Arial"/>
          <w:sz w:val="11"/>
          <w:szCs w:val="11"/>
          <w:color w:val="auto"/>
        </w:rPr>
        <w:t>Includes equity in affiliates, except as explained in footnote 4.</w:t>
      </w:r>
    </w:p>
    <w:p>
      <w:pPr>
        <w:ind w:left="100" w:hanging="88"/>
        <w:spacing w:after="0" w:line="180" w:lineRule="auto"/>
        <w:tabs>
          <w:tab w:leader="none" w:pos="10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Other produced volumes includes:</w:t>
      </w:r>
    </w:p>
    <w:tbl>
      <w:tblPr>
        <w:tblLayout w:type="fixed"/>
        <w:tblInd w:w="140" w:type="dxa"/>
        <w:tblCellMar>
          <w:top w:w="0" w:type="dxa"/>
          <w:left w:w="0" w:type="dxa"/>
          <w:bottom w:w="0" w:type="dxa"/>
          <w:right w:w="0" w:type="dxa"/>
        </w:tblCellMar>
      </w:tblPr>
      <w:tr>
        <w:trPr>
          <w:trHeight w:val="123"/>
        </w:trPr>
        <w:tc>
          <w:tcPr>
            <w:tcW w:w="2500" w:type="dxa"/>
            <w:vAlign w:val="bottom"/>
          </w:tcPr>
          <w:p>
            <w:pPr>
              <w:spacing w:after="0" w:line="124" w:lineRule="exact"/>
              <w:rPr>
                <w:sz w:val="20"/>
                <w:szCs w:val="20"/>
                <w:color w:val="auto"/>
              </w:rPr>
            </w:pPr>
            <w:r>
              <w:rPr>
                <w:rFonts w:ascii="Arial" w:cs="Arial" w:eastAsia="Arial" w:hAnsi="Arial"/>
                <w:sz w:val="12"/>
                <w:szCs w:val="12"/>
                <w:color w:val="auto"/>
              </w:rPr>
              <w:t>Athabasca Oil Sands – net</w:t>
            </w:r>
          </w:p>
        </w:tc>
        <w:tc>
          <w:tcPr>
            <w:tcW w:w="1260" w:type="dxa"/>
            <w:vAlign w:val="bottom"/>
          </w:tcPr>
          <w:p>
            <w:pPr>
              <w:jc w:val="right"/>
              <w:ind w:right="362"/>
              <w:spacing w:after="0" w:line="124" w:lineRule="exact"/>
              <w:rPr>
                <w:sz w:val="20"/>
                <w:szCs w:val="20"/>
                <w:color w:val="auto"/>
              </w:rPr>
            </w:pPr>
            <w:r>
              <w:rPr>
                <w:rFonts w:ascii="Arial" w:cs="Arial" w:eastAsia="Arial" w:hAnsi="Arial"/>
                <w:sz w:val="12"/>
                <w:szCs w:val="12"/>
                <w:b w:val="1"/>
                <w:bCs w:val="1"/>
                <w:color w:val="auto"/>
              </w:rPr>
              <w:t>15</w:t>
            </w:r>
          </w:p>
        </w:tc>
        <w:tc>
          <w:tcPr>
            <w:tcW w:w="920" w:type="dxa"/>
            <w:vAlign w:val="bottom"/>
          </w:tcPr>
          <w:p>
            <w:pPr>
              <w:jc w:val="right"/>
              <w:ind w:right="342"/>
              <w:spacing w:after="0" w:line="124"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r>
      <w:tr>
        <w:trPr>
          <w:trHeight w:val="137"/>
        </w:trPr>
        <w:tc>
          <w:tcPr>
            <w:tcW w:w="2500" w:type="dxa"/>
            <w:vAlign w:val="bottom"/>
          </w:tcPr>
          <w:p>
            <w:pPr>
              <w:spacing w:after="0"/>
              <w:rPr>
                <w:sz w:val="20"/>
                <w:szCs w:val="20"/>
                <w:color w:val="auto"/>
              </w:rPr>
            </w:pPr>
            <w:r>
              <w:rPr>
                <w:rFonts w:ascii="Arial" w:cs="Arial" w:eastAsia="Arial" w:hAnsi="Arial"/>
                <w:sz w:val="12"/>
                <w:szCs w:val="12"/>
                <w:color w:val="auto"/>
              </w:rPr>
              <w:t>Boscan Operating Service Agreement</w:t>
            </w:r>
          </w:p>
        </w:tc>
        <w:tc>
          <w:tcPr>
            <w:tcW w:w="1260" w:type="dxa"/>
            <w:vAlign w:val="bottom"/>
          </w:tcPr>
          <w:p>
            <w:pPr>
              <w:jc w:val="right"/>
              <w:ind w:right="362"/>
              <w:spacing w:after="0"/>
              <w:rPr>
                <w:sz w:val="20"/>
                <w:szCs w:val="20"/>
                <w:color w:val="auto"/>
              </w:rPr>
            </w:pPr>
            <w:r>
              <w:rPr>
                <w:rFonts w:ascii="Arial" w:cs="Arial" w:eastAsia="Arial" w:hAnsi="Arial"/>
                <w:sz w:val="12"/>
                <w:szCs w:val="12"/>
                <w:b w:val="1"/>
                <w:bCs w:val="1"/>
                <w:color w:val="auto"/>
              </w:rPr>
              <w:t>99</w:t>
            </w:r>
          </w:p>
        </w:tc>
        <w:tc>
          <w:tcPr>
            <w:tcW w:w="920" w:type="dxa"/>
            <w:vAlign w:val="bottom"/>
          </w:tcPr>
          <w:p>
            <w:pPr>
              <w:jc w:val="right"/>
              <w:ind w:right="342"/>
              <w:spacing w:after="0"/>
              <w:rPr>
                <w:sz w:val="20"/>
                <w:szCs w:val="20"/>
                <w:color w:val="auto"/>
              </w:rPr>
            </w:pPr>
            <w:r>
              <w:rPr>
                <w:rFonts w:ascii="Arial" w:cs="Arial" w:eastAsia="Arial" w:hAnsi="Arial"/>
                <w:sz w:val="12"/>
                <w:szCs w:val="12"/>
                <w:color w:val="auto"/>
              </w:rPr>
              <w:t>97</w:t>
            </w:r>
          </w:p>
        </w:tc>
        <w:tc>
          <w:tcPr>
            <w:tcW w:w="560" w:type="dxa"/>
            <w:vAlign w:val="bottom"/>
          </w:tcPr>
          <w:p>
            <w:pPr>
              <w:jc w:val="right"/>
              <w:spacing w:after="0"/>
              <w:rPr>
                <w:sz w:val="20"/>
                <w:szCs w:val="20"/>
                <w:color w:val="auto"/>
              </w:rPr>
            </w:pPr>
            <w:r>
              <w:rPr>
                <w:rFonts w:ascii="Arial" w:cs="Arial" w:eastAsia="Arial" w:hAnsi="Arial"/>
                <w:sz w:val="12"/>
                <w:szCs w:val="12"/>
                <w:color w:val="auto"/>
              </w:rPr>
              <w:t>105</w:t>
            </w:r>
          </w:p>
        </w:tc>
      </w:tr>
    </w:tbl>
    <w:p>
      <w:pPr>
        <w:ind w:left="20"/>
        <w:spacing w:after="0"/>
        <w:rPr>
          <w:sz w:val="20"/>
          <w:szCs w:val="20"/>
          <w:color w:val="auto"/>
        </w:rPr>
      </w:pPr>
      <w:r>
        <w:rPr>
          <w:rFonts w:ascii="Arial" w:cs="Arial" w:eastAsia="Arial" w:hAnsi="Arial"/>
          <w:sz w:val="19"/>
          <w:szCs w:val="19"/>
          <w:color w:val="auto"/>
          <w:vertAlign w:val="superscript"/>
        </w:rPr>
        <w:t>4</w:t>
      </w:r>
      <w:r>
        <w:rPr>
          <w:rFonts w:ascii="Arial" w:cs="Arial" w:eastAsia="Arial" w:hAnsi="Arial"/>
          <w:sz w:val="12"/>
          <w:szCs w:val="12"/>
          <w:color w:val="auto"/>
        </w:rPr>
        <w:t xml:space="preserve"> Excludes Equilon and Motiva.</w:t>
      </w:r>
    </w:p>
    <w:p>
      <w:pPr>
        <w:spacing w:after="0" w:line="165" w:lineRule="exact"/>
        <w:rPr>
          <w:sz w:val="20"/>
          <w:szCs w:val="20"/>
          <w:color w:val="auto"/>
        </w:rPr>
      </w:pPr>
    </w:p>
    <w:p>
      <w:pPr>
        <w:ind w:right="600"/>
        <w:spacing w:after="0" w:line="221" w:lineRule="auto"/>
        <w:rPr>
          <w:sz w:val="20"/>
          <w:szCs w:val="20"/>
          <w:color w:val="auto"/>
        </w:rPr>
      </w:pPr>
      <w:r>
        <w:rPr>
          <w:rFonts w:ascii="Arial" w:cs="Arial" w:eastAsia="Arial" w:hAnsi="Arial"/>
          <w:sz w:val="14"/>
          <w:szCs w:val="14"/>
          <w:color w:val="auto"/>
        </w:rPr>
        <w:t>MBPD = Thousands of barrels per day; MMCFPD = Millions of cubic feet per day; MBOEPD = Thousands of barrels of oil equivalents per day; Bbl = Barrel; MCF = Thousands of cubic feet.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Oil-equivalent gas (OEG) conversion ratio is 6,000 cubic feet of gas = 1 barrel of oil.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INFORMATION RELATED TO INVESTMENT IN DYNEGY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-250190</wp:posOffset>
            </wp:positionV>
            <wp:extent cx="8890" cy="6766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6766560"/>
                    </a:xfrm>
                    <a:prstGeom prst="rect">
                      <a:avLst/>
                    </a:prstGeom>
                    <a:noFill/>
                  </pic:spPr>
                </pic:pic>
              </a:graphicData>
            </a:graphic>
          </wp:anchor>
        </w:drawing>
      </w:r>
    </w:p>
    <w:p>
      <w:pPr>
        <w:spacing w:after="0" w:line="155"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ChevronTexaco owns an approximate 26 percent equity interest in the common stock of Dynegy – an energy merchant engaged in power generation, natural gas liquids processing and marketing, and regulated energy delivery. The company also holds investments in Dynegy notes and preferred stock.</w:t>
      </w:r>
    </w:p>
    <w:p>
      <w:pPr>
        <w:spacing w:after="0" w:line="1" w:lineRule="exact"/>
        <w:rPr>
          <w:sz w:val="20"/>
          <w:szCs w:val="20"/>
          <w:color w:val="auto"/>
        </w:rPr>
      </w:pPr>
    </w:p>
    <w:p>
      <w:pPr>
        <w:ind w:right="80" w:firstLine="203"/>
        <w:spacing w:after="0" w:line="281" w:lineRule="auto"/>
        <w:rPr>
          <w:sz w:val="20"/>
          <w:szCs w:val="20"/>
          <w:color w:val="auto"/>
        </w:rPr>
      </w:pPr>
      <w:r>
        <w:rPr>
          <w:rFonts w:ascii="Arial" w:cs="Arial" w:eastAsia="Arial" w:hAnsi="Arial"/>
          <w:sz w:val="15"/>
          <w:szCs w:val="15"/>
          <w:i w:val="1"/>
          <w:iCs w:val="1"/>
          <w:color w:val="F20000"/>
        </w:rPr>
        <w:t xml:space="preserve">Investment in Dynegy Common Stock </w:t>
      </w:r>
      <w:r>
        <w:rPr>
          <w:rFonts w:ascii="Arial" w:cs="Arial" w:eastAsia="Arial" w:hAnsi="Arial"/>
          <w:sz w:val="15"/>
          <w:szCs w:val="15"/>
          <w:color w:val="000000"/>
        </w:rPr>
        <w:t>At December 31, 2003, the carrying value</w:t>
      </w:r>
      <w:r>
        <w:rPr>
          <w:rFonts w:ascii="Arial" w:cs="Arial" w:eastAsia="Arial" w:hAnsi="Arial"/>
          <w:sz w:val="15"/>
          <w:szCs w:val="15"/>
          <w:i w:val="1"/>
          <w:iCs w:val="1"/>
          <w:color w:val="F20000"/>
        </w:rPr>
        <w:t xml:space="preserve"> </w:t>
      </w:r>
      <w:r>
        <w:rPr>
          <w:rFonts w:ascii="Arial" w:cs="Arial" w:eastAsia="Arial" w:hAnsi="Arial"/>
          <w:sz w:val="15"/>
          <w:szCs w:val="15"/>
          <w:color w:val="000000"/>
        </w:rPr>
        <w:t>of the company’s investment in Dynegy common stock was approximately</w:t>
      </w:r>
    </w:p>
    <w:p>
      <w:pPr>
        <w:spacing w:after="0" w:line="1" w:lineRule="exact"/>
        <w:rPr>
          <w:sz w:val="20"/>
          <w:szCs w:val="20"/>
          <w:color w:val="auto"/>
        </w:rPr>
      </w:pPr>
    </w:p>
    <w:p>
      <w:pPr>
        <w:ind w:right="100"/>
        <w:spacing w:after="0" w:line="301" w:lineRule="auto"/>
        <w:rPr>
          <w:sz w:val="20"/>
          <w:szCs w:val="20"/>
          <w:color w:val="auto"/>
        </w:rPr>
      </w:pPr>
      <w:r>
        <w:rPr>
          <w:rFonts w:ascii="Arial" w:cs="Arial" w:eastAsia="Arial" w:hAnsi="Arial"/>
          <w:sz w:val="14"/>
          <w:szCs w:val="14"/>
          <w:color w:val="auto"/>
        </w:rPr>
        <w:t>$150 million. This amount was about $425 million below the company’s proportionate interest in Dynegy’s underlying net assets. This difference resulted from write-downs of the investment in 2002 for declines in the market value of the common shares below the company’s carrying value that were deemed to be other than temporary. The approximate $425 million difference has been assigned to the extent practicable to specific Dynegy assets and liabilities, based upon the company’s analysis of the various factors giving rise to the decline in value of the Dynegy shares. The company’s equity share of Dynegy’s reported earnings is adjusted quarterly to reflect the difference between these allocated values and Dynegy’s historical book values. The market value of the company’s investment in Dynegy’s common stock at December 31, 2003, was $415 million.</w:t>
      </w:r>
    </w:p>
    <w:p>
      <w:pPr>
        <w:spacing w:after="0" w:line="7" w:lineRule="exact"/>
        <w:rPr>
          <w:sz w:val="20"/>
          <w:szCs w:val="20"/>
          <w:color w:val="auto"/>
        </w:rPr>
      </w:pPr>
    </w:p>
    <w:p>
      <w:pPr>
        <w:ind w:firstLine="203"/>
        <w:spacing w:after="0" w:line="264" w:lineRule="auto"/>
        <w:rPr>
          <w:sz w:val="20"/>
          <w:szCs w:val="20"/>
          <w:color w:val="auto"/>
        </w:rPr>
      </w:pPr>
      <w:r>
        <w:rPr>
          <w:rFonts w:ascii="Arial" w:cs="Arial" w:eastAsia="Arial" w:hAnsi="Arial"/>
          <w:sz w:val="16"/>
          <w:szCs w:val="16"/>
          <w:i w:val="1"/>
          <w:iCs w:val="1"/>
          <w:color w:val="F20000"/>
        </w:rPr>
        <w:t xml:space="preserve">Investments in Dynegy Notes and Preferred Stock </w:t>
      </w:r>
      <w:r>
        <w:rPr>
          <w:rFonts w:ascii="Arial" w:cs="Arial" w:eastAsia="Arial" w:hAnsi="Arial"/>
          <w:sz w:val="16"/>
          <w:szCs w:val="16"/>
          <w:color w:val="000000"/>
        </w:rPr>
        <w:t>At the beginning of 2003, the</w:t>
      </w:r>
      <w:r>
        <w:rPr>
          <w:rFonts w:ascii="Arial" w:cs="Arial" w:eastAsia="Arial" w:hAnsi="Arial"/>
          <w:sz w:val="16"/>
          <w:szCs w:val="16"/>
          <w:i w:val="1"/>
          <w:iCs w:val="1"/>
          <w:color w:val="F20000"/>
        </w:rPr>
        <w:t xml:space="preserve"> </w:t>
      </w:r>
      <w:r>
        <w:rPr>
          <w:rFonts w:ascii="Arial" w:cs="Arial" w:eastAsia="Arial" w:hAnsi="Arial"/>
          <w:sz w:val="16"/>
          <w:szCs w:val="16"/>
          <w:color w:val="000000"/>
        </w:rPr>
        <w:t>company held $1.5 billion aggregate principal amount of Dynegy Series B Preferred Stock, which was due for redemption at par value in November 2003. In August, the company exchanged its preferred stock for $225 million in cash, $225 million face value of Dynegy Junior Unsecured Subordinated Notes due 2016 and $400 million face value of Dynegy Series C Convertible Preferred Stock with a stated maturity of 2033.</w:t>
      </w:r>
    </w:p>
    <w:p>
      <w:pPr>
        <w:spacing w:after="0" w:line="1" w:lineRule="exact"/>
        <w:rPr>
          <w:sz w:val="20"/>
          <w:szCs w:val="20"/>
          <w:color w:val="auto"/>
        </w:rPr>
      </w:pPr>
    </w:p>
    <w:p>
      <w:pPr>
        <w:ind w:firstLine="200"/>
        <w:spacing w:after="0" w:line="264" w:lineRule="auto"/>
        <w:rPr>
          <w:sz w:val="20"/>
          <w:szCs w:val="20"/>
          <w:color w:val="auto"/>
        </w:rPr>
      </w:pPr>
      <w:r>
        <w:rPr>
          <w:rFonts w:ascii="Arial" w:cs="Arial" w:eastAsia="Arial" w:hAnsi="Arial"/>
          <w:sz w:val="16"/>
          <w:szCs w:val="16"/>
          <w:color w:val="auto"/>
        </w:rPr>
        <w:t>The company recorded the Junior Notes and Series C Preferred Stock on the date of exchange at their fair values of $170 million and $270 million, respectively, for a total of $440 million. Together with the $225 million cash, the total amount recorded on the date of exchange was $665 million. A gain of $365 million was included in net income at that date for the difference between the $665 million fair value received and the net balance sheet amount of $300 million associated with the Series B shares.</w:t>
      </w:r>
    </w:p>
    <w:p>
      <w:pPr>
        <w:spacing w:after="0" w:line="1" w:lineRule="exact"/>
        <w:rPr>
          <w:sz w:val="20"/>
          <w:szCs w:val="20"/>
          <w:color w:val="auto"/>
        </w:rPr>
      </w:pPr>
    </w:p>
    <w:p>
      <w:pPr>
        <w:ind w:firstLine="194"/>
        <w:spacing w:after="0" w:line="281" w:lineRule="auto"/>
        <w:rPr>
          <w:sz w:val="20"/>
          <w:szCs w:val="20"/>
          <w:color w:val="auto"/>
        </w:rPr>
      </w:pPr>
      <w:r>
        <w:rPr>
          <w:rFonts w:ascii="Arial" w:cs="Arial" w:eastAsia="Arial" w:hAnsi="Arial"/>
          <w:sz w:val="15"/>
          <w:szCs w:val="15"/>
          <w:color w:val="auto"/>
        </w:rPr>
        <w:t>At December 31, 2003, the estimated fair values of the Junior Notes and Series C shares totaled $530 million. The $90 million increase from the $440 million recorded in August was recorded to “Investments and Advances,” with an offsetting amount in “Other Comprehensive Income.” Future temporary changes in the estimated fair values of the new securities likewise will be reported in “Other Comprehensive Income.” However, if any future decline in fair value is deemed to be other than temporary, a charge against income in the period would be recorded. Interest that accrues on the notes and dividends payable on the preferred stock is recognized in income each period.</w:t>
      </w:r>
    </w:p>
    <w:p>
      <w:pPr>
        <w:spacing w:after="0" w:line="6" w:lineRule="exact"/>
        <w:rPr>
          <w:sz w:val="20"/>
          <w:szCs w:val="20"/>
          <w:color w:val="auto"/>
        </w:rPr>
      </w:pPr>
    </w:p>
    <w:p>
      <w:pPr>
        <w:ind w:firstLine="203"/>
        <w:spacing w:after="0" w:line="270" w:lineRule="auto"/>
        <w:rPr>
          <w:sz w:val="20"/>
          <w:szCs w:val="20"/>
          <w:color w:val="auto"/>
        </w:rPr>
      </w:pPr>
      <w:r>
        <w:rPr>
          <w:rFonts w:ascii="Arial" w:cs="Arial" w:eastAsia="Arial" w:hAnsi="Arial"/>
          <w:sz w:val="16"/>
          <w:szCs w:val="16"/>
          <w:color w:val="auto"/>
        </w:rPr>
        <w:t>In addition to the $365 million gain recorded in income in the third quarter 2003, the company recorded $170 million directly to “Retained Earnings.” The latter amount represented the company’s approximate 26 percent equity share of a gain recorded by Dynegy in connection with the Series B exchange transaction. Under the accounting rules applicable to preferred</w:t>
      </w:r>
    </w:p>
    <w:p>
      <w:pPr>
        <w:spacing w:after="0" w:line="200" w:lineRule="exact"/>
        <w:rPr>
          <w:sz w:val="20"/>
          <w:szCs w:val="20"/>
          <w:color w:val="auto"/>
        </w:rPr>
      </w:pPr>
    </w:p>
    <w:p>
      <w:pPr>
        <w:sectPr>
          <w:pgSz w:w="11900" w:h="16838" w:orient="portrait"/>
          <w:cols w:equalWidth="0" w:num="2">
            <w:col w:w="5480" w:space="400"/>
            <w:col w:w="5460"/>
          </w:cols>
          <w:pgMar w:left="240" w:top="41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stock redemptions, ChevronTexaco increased its earnings per share in the third quarter 2003 by $0.16 for the effect of the $170 million recorded directly to “Retained Earnings.”</w:t>
      </w:r>
    </w:p>
    <w:p>
      <w:pPr>
        <w:spacing w:after="0" w:line="2" w:lineRule="exact"/>
        <w:rPr>
          <w:sz w:val="20"/>
          <w:szCs w:val="20"/>
          <w:color w:val="auto"/>
        </w:rPr>
      </w:pPr>
    </w:p>
    <w:p>
      <w:pPr>
        <w:ind w:right="20" w:firstLine="203"/>
        <w:spacing w:after="0" w:line="281" w:lineRule="auto"/>
        <w:rPr>
          <w:sz w:val="20"/>
          <w:szCs w:val="20"/>
          <w:color w:val="auto"/>
        </w:rPr>
      </w:pPr>
      <w:r>
        <w:rPr>
          <w:rFonts w:ascii="Arial" w:cs="Arial" w:eastAsia="Arial" w:hAnsi="Arial"/>
          <w:sz w:val="15"/>
          <w:szCs w:val="15"/>
          <w:color w:val="auto"/>
        </w:rPr>
        <w:t>In February 2004, Dynegy announced agreement to sell its Illinois Power subsidiary to Ameren Corporation. The sale is conditioned upon, among other things, the receipt of approvals from governmental and regulatory agencies. Pending these approvals, the acquisition is expected to close in the fourth quarter of 2004. The sale of Illinois Power triggers a mandatory prepayment provision in the Dynegy Junior Notes held by the company. Under the terms of that provision,</w:t>
      </w:r>
    </w:p>
    <w:p>
      <w:pPr>
        <w:spacing w:after="0" w:line="4"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75 percent of the net proceeds, not including any amounts used for the payment of any debt associated with Illinois Power, are to be used to retire at par, plus accrued interest, the $225 million face value notes.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0070FF"/>
        </w:rPr>
        <w:t>LIQUIDITY AND CAPITAL RESOURCES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F20000"/>
        </w:rPr>
        <w:t xml:space="preserve">Cash, cash equivalents and marketable securities </w:t>
      </w:r>
      <w:r>
        <w:rPr>
          <w:rFonts w:ascii="Arial" w:cs="Arial" w:eastAsia="Arial" w:hAnsi="Arial"/>
          <w:sz w:val="16"/>
          <w:szCs w:val="16"/>
          <w:color w:val="000000"/>
        </w:rPr>
        <w:t>totaled $5.3 billion and</w:t>
      </w:r>
    </w:p>
    <w:p>
      <w:pPr>
        <w:spacing w:after="0" w:line="22"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$3.8 billion at December 31, 2003 and 2002, respectively. Cash provided by operating activities in 2003 was $12.3 billion, compared with $9.9 billion in 2002 and $11.5 billion in 2001. The 2003 increase in cash provided by operating activities mainly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761615" cy="22212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6161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360" w:val="left"/>
        </w:tabs>
        <w:rPr>
          <w:sz w:val="20"/>
          <w:szCs w:val="20"/>
          <w:color w:val="auto"/>
        </w:rPr>
      </w:pPr>
      <w:r>
        <w:rPr>
          <w:rFonts w:ascii="Arial" w:cs="Arial" w:eastAsia="Arial" w:hAnsi="Arial"/>
          <w:sz w:val="13"/>
          <w:szCs w:val="13"/>
          <w:color w:val="auto"/>
        </w:rPr>
        <w:t>Higher earnings helped boost the</w:t>
      </w:r>
      <w:r>
        <w:rPr>
          <w:sz w:val="20"/>
          <w:szCs w:val="20"/>
          <w:color w:val="auto"/>
        </w:rPr>
        <w:tab/>
      </w:r>
      <w:r>
        <w:rPr>
          <w:rFonts w:ascii="Arial" w:cs="Arial" w:eastAsia="Arial" w:hAnsi="Arial"/>
          <w:sz w:val="11"/>
          <w:szCs w:val="11"/>
          <w:color w:val="auto"/>
        </w:rPr>
        <w:t>Interest expense fell 16 percent on</w:t>
      </w:r>
    </w:p>
    <w:p>
      <w:pPr>
        <w:spacing w:after="0"/>
        <w:tabs>
          <w:tab w:leader="none" w:pos="2360" w:val="left"/>
        </w:tabs>
        <w:rPr>
          <w:sz w:val="20"/>
          <w:szCs w:val="20"/>
          <w:color w:val="auto"/>
        </w:rPr>
      </w:pPr>
      <w:r>
        <w:rPr>
          <w:rFonts w:ascii="Arial" w:cs="Arial" w:eastAsia="Arial" w:hAnsi="Arial"/>
          <w:sz w:val="13"/>
          <w:szCs w:val="13"/>
          <w:color w:val="auto"/>
        </w:rPr>
        <w:t>company’s operating cash flow by</w:t>
      </w:r>
      <w:r>
        <w:rPr>
          <w:sz w:val="20"/>
          <w:szCs w:val="20"/>
          <w:color w:val="auto"/>
        </w:rPr>
        <w:tab/>
      </w:r>
      <w:r>
        <w:rPr>
          <w:rFonts w:ascii="Arial" w:cs="Arial" w:eastAsia="Arial" w:hAnsi="Arial"/>
          <w:sz w:val="11"/>
          <w:szCs w:val="11"/>
          <w:color w:val="auto"/>
        </w:rPr>
        <w:t>significantly lower debt levels.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24 percent.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reflected higher earnings in the U.S. upstream and worldwide downstream</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businesses. Cash provided by asset sales was $1.1 billion in 2003, $2.3 billion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2002 and about $300 million in 2001. In 2002, the company received proceeds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$2.2 billion, including dividends due, from the FTC-mandated sale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company’s investments in Equilon and Motiva. Cash provided by operating</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activities during 2003 generated sufficient funds for the company’s capital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exploratory expenditure program and the payment of dividends to stockholders as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well as contributing significantly to a reduction of $3.7 billion in debt levels,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$1.4 billion funding of the company’s pension plans and the increase in cash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and marketable securities.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F20000"/>
        </w:rPr>
        <w:t xml:space="preserve">Dividends </w:t>
      </w:r>
      <w:r>
        <w:rPr>
          <w:rFonts w:ascii="Arial" w:cs="Arial" w:eastAsia="Arial" w:hAnsi="Arial"/>
          <w:sz w:val="16"/>
          <w:szCs w:val="16"/>
          <w:color w:val="000000"/>
        </w:rPr>
        <w:t>Payments of approximately $3 billion in 2003 and 2002 and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$2.9 billion in 2001 were made for dividends or distributions for common stock,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and minority interests.</w:t>
      </w:r>
    </w:p>
    <w:p>
      <w:pPr>
        <w:spacing w:after="0" w:line="19" w:lineRule="exact"/>
        <w:rPr>
          <w:sz w:val="20"/>
          <w:szCs w:val="20"/>
          <w:color w:val="auto"/>
        </w:rPr>
      </w:pPr>
    </w:p>
    <w:p>
      <w:pPr>
        <w:jc w:val="both"/>
        <w:ind w:firstLine="203"/>
        <w:spacing w:after="0" w:line="295" w:lineRule="auto"/>
        <w:rPr>
          <w:sz w:val="20"/>
          <w:szCs w:val="20"/>
          <w:color w:val="auto"/>
        </w:rPr>
      </w:pPr>
      <w:r>
        <w:rPr>
          <w:rFonts w:ascii="Arial" w:cs="Arial" w:eastAsia="Arial" w:hAnsi="Arial"/>
          <w:sz w:val="15"/>
          <w:szCs w:val="15"/>
          <w:color w:val="F20000"/>
        </w:rPr>
        <w:t xml:space="preserve">Debt, capital lease and minority interest obligations </w:t>
      </w:r>
      <w:r>
        <w:rPr>
          <w:rFonts w:ascii="Arial" w:cs="Arial" w:eastAsia="Arial" w:hAnsi="Arial"/>
          <w:sz w:val="15"/>
          <w:szCs w:val="15"/>
          <w:color w:val="000000"/>
        </w:rPr>
        <w:t>Chevron-Texaco’s total debt</w:t>
      </w:r>
      <w:r>
        <w:rPr>
          <w:rFonts w:ascii="Arial" w:cs="Arial" w:eastAsia="Arial" w:hAnsi="Arial"/>
          <w:sz w:val="15"/>
          <w:szCs w:val="15"/>
          <w:color w:val="F20000"/>
        </w:rPr>
        <w:t xml:space="preserve"> </w:t>
      </w:r>
      <w:r>
        <w:rPr>
          <w:rFonts w:ascii="Arial" w:cs="Arial" w:eastAsia="Arial" w:hAnsi="Arial"/>
          <w:sz w:val="15"/>
          <w:szCs w:val="15"/>
          <w:color w:val="000000"/>
        </w:rPr>
        <w:t>and capital lease obligations totaled $12.6 billion at December 31, 2003, down from $16.3 billion at year-end 2002. The company also had minority interest obligations of $268 million, down from $303 million at December 31,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company’s debt and capital lease obligations due within one year, consisting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-138430</wp:posOffset>
            </wp:positionV>
            <wp:extent cx="8890" cy="7031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70319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primarily of commercial paper and the current portion of long-term debt, totaled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$6 billion at December 31, 2003, down from $9.5 billion at December 31, 2002.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these amounts, $4.3 billion and $4.1 billion, respectively, were reclassified to long-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term at the end of each period. Settlement of the obligations at year-end 2003 was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not expected to require the use of working capital in 2004, as the company had the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intent and the ability, as evidenced by committed credit facilities, to refinance them</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on a long-term basis. The company’s practice has been to continually refinance its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maintaining levels it believes appropriate.</w:t>
      </w:r>
    </w:p>
    <w:p>
      <w:pPr>
        <w:spacing w:after="0" w:line="19" w:lineRule="exact"/>
        <w:rPr>
          <w:sz w:val="20"/>
          <w:szCs w:val="20"/>
          <w:color w:val="auto"/>
        </w:rPr>
      </w:pPr>
    </w:p>
    <w:p>
      <w:pPr>
        <w:ind w:firstLine="194"/>
        <w:spacing w:after="0" w:line="281" w:lineRule="auto"/>
        <w:rPr>
          <w:sz w:val="20"/>
          <w:szCs w:val="20"/>
          <w:color w:val="auto"/>
        </w:rPr>
      </w:pPr>
      <w:r>
        <w:rPr>
          <w:rFonts w:ascii="Arial" w:cs="Arial" w:eastAsia="Arial" w:hAnsi="Arial"/>
          <w:sz w:val="15"/>
          <w:szCs w:val="15"/>
          <w:color w:val="auto"/>
        </w:rPr>
        <w:t>At year-end 2003, ChevronTexaco had $4.3 billion in committed credit facilities with various major banks, which permit the refinancing of short-term obligations on a long-term basis. These facilities support commercial paper borrowings and also can be used for other general credit requirements. No borrowings were outstanding under these facilities during the year or at year-end 2003. In addition, the company had three existing effective “shelf” registrations on file with the Securities and Exchange Commission (SEC) that together would permit additional registered debt offerings up to an aggregate of $3.8 billion of debt securities.</w:t>
      </w:r>
    </w:p>
    <w:p>
      <w:pPr>
        <w:spacing w:after="0" w:line="5" w:lineRule="exact"/>
        <w:rPr>
          <w:sz w:val="20"/>
          <w:szCs w:val="20"/>
          <w:color w:val="auto"/>
        </w:rPr>
      </w:pPr>
    </w:p>
    <w:p>
      <w:pPr>
        <w:ind w:right="40" w:firstLine="203"/>
        <w:spacing w:after="0" w:line="281" w:lineRule="auto"/>
        <w:rPr>
          <w:sz w:val="20"/>
          <w:szCs w:val="20"/>
          <w:color w:val="auto"/>
        </w:rPr>
      </w:pPr>
      <w:r>
        <w:rPr>
          <w:rFonts w:ascii="Arial" w:cs="Arial" w:eastAsia="Arial" w:hAnsi="Arial"/>
          <w:sz w:val="15"/>
          <w:szCs w:val="15"/>
          <w:color w:val="auto"/>
        </w:rPr>
        <w:t>In 2003, the company issued $1 billion of new long-term debt and other financing obligations, including $750 million of 3.375 percent ChevronTexaco Capital notes due in February 2008, $265 million of new Philippine debt and $19 million of individually smaller issues. Proceeds from the ChevronTexaco Capital Company note issue were used to retire commercial paper. Repayments of long-term debt included $665 million of Texaco Capital Inc. bonds, $143 million of Philippine debt, $110 million of ChevronTexaco Corporation 8.11 percent notes, $128 million of Nigerian debt and $91 million of individually smaller issues. Additionally, a $210 million payment was made to the Republic of Kazakhstan relating to the company’s 1993 acquisition of its interest in the TCO joint venture. Also included in the company’s long-term debt levels was a noncash reduction of $50 million of ESOP debt.</w:t>
      </w:r>
    </w:p>
    <w:p>
      <w:pPr>
        <w:spacing w:after="0" w:line="8" w:lineRule="exact"/>
        <w:rPr>
          <w:sz w:val="20"/>
          <w:szCs w:val="20"/>
          <w:color w:val="auto"/>
        </w:rPr>
      </w:pPr>
    </w:p>
    <w:p>
      <w:pPr>
        <w:ind w:firstLine="203"/>
        <w:spacing w:after="0" w:line="281" w:lineRule="auto"/>
        <w:rPr>
          <w:sz w:val="20"/>
          <w:szCs w:val="20"/>
          <w:color w:val="auto"/>
        </w:rPr>
      </w:pPr>
      <w:r>
        <w:rPr>
          <w:rFonts w:ascii="Arial" w:cs="Arial" w:eastAsia="Arial" w:hAnsi="Arial"/>
          <w:sz w:val="15"/>
          <w:szCs w:val="15"/>
          <w:color w:val="auto"/>
        </w:rPr>
        <w:t>ChevronTexaco’s senior debt is rated AA by Standard and Poor’s Corporation and Aa2 by Moody’s Investor Service, except for senior debt of Texaco Capital Inc., which is rated Aa3. ChevronTexaco’s U.S. commercial paper is rated A-1+ by Standard and Poor’s and Prime 1 by Moody’s, and the company’s Canadian commercial paper is rated R-1 (middle) by Dominion Bond Rating Service. All of these ratings denote high-quality, investment-grade securities.</w:t>
      </w:r>
    </w:p>
    <w:p>
      <w:pPr>
        <w:spacing w:after="0" w:line="4" w:lineRule="exact"/>
        <w:rPr>
          <w:sz w:val="20"/>
          <w:szCs w:val="20"/>
          <w:color w:val="auto"/>
        </w:rPr>
      </w:pPr>
    </w:p>
    <w:p>
      <w:pPr>
        <w:ind w:right="40" w:firstLine="200"/>
        <w:spacing w:after="0" w:line="287" w:lineRule="auto"/>
        <w:rPr>
          <w:sz w:val="20"/>
          <w:szCs w:val="20"/>
          <w:color w:val="auto"/>
        </w:rPr>
      </w:pPr>
      <w:r>
        <w:rPr>
          <w:rFonts w:ascii="Arial" w:cs="Arial" w:eastAsia="Arial" w:hAnsi="Arial"/>
          <w:sz w:val="15"/>
          <w:szCs w:val="15"/>
          <w:color w:val="auto"/>
        </w:rPr>
        <w:t>The company’s future debt level is dependent primarily on results of operations, the capital-spending program and cash that may be generated from asset dispositions. The company believes it has substantial borrowing capacity to meet unanticipated cash requirements and, for periods of low prices for crude oil and natural gas and narrow margins for refined products and commodity chemicals, the company believes that it has the flexibility to increase borrowings and/or modify capital-spending plans to continue paying the common stock dividend and maintain the company’s high-quality debt ratings.</w:t>
      </w:r>
    </w:p>
    <w:p>
      <w:pPr>
        <w:spacing w:after="0" w:line="169" w:lineRule="exact"/>
        <w:rPr>
          <w:sz w:val="20"/>
          <w:szCs w:val="20"/>
          <w:color w:val="auto"/>
        </w:rPr>
      </w:pPr>
    </w:p>
    <w:p>
      <w:pPr>
        <w:ind w:right="20" w:firstLine="203"/>
        <w:spacing w:after="0" w:line="270" w:lineRule="auto"/>
        <w:rPr>
          <w:sz w:val="20"/>
          <w:szCs w:val="20"/>
          <w:color w:val="auto"/>
        </w:rPr>
      </w:pPr>
      <w:r>
        <w:rPr>
          <w:rFonts w:ascii="Arial" w:cs="Arial" w:eastAsia="Arial" w:hAnsi="Arial"/>
          <w:sz w:val="16"/>
          <w:szCs w:val="16"/>
          <w:color w:val="F20000"/>
        </w:rPr>
        <w:t xml:space="preserve">Capital and exploratory expenditures </w:t>
      </w:r>
      <w:r>
        <w:rPr>
          <w:rFonts w:ascii="Arial" w:cs="Arial" w:eastAsia="Arial" w:hAnsi="Arial"/>
          <w:sz w:val="16"/>
          <w:szCs w:val="16"/>
          <w:color w:val="000000"/>
        </w:rPr>
        <w:t>for 2003 totaled $7.4 billion, including the</w:t>
      </w:r>
      <w:r>
        <w:rPr>
          <w:rFonts w:ascii="Arial" w:cs="Arial" w:eastAsia="Arial" w:hAnsi="Arial"/>
          <w:sz w:val="16"/>
          <w:szCs w:val="16"/>
          <w:color w:val="F20000"/>
        </w:rPr>
        <w:t xml:space="preserve"> </w:t>
      </w:r>
      <w:r>
        <w:rPr>
          <w:rFonts w:ascii="Arial" w:cs="Arial" w:eastAsia="Arial" w:hAnsi="Arial"/>
          <w:sz w:val="16"/>
          <w:szCs w:val="16"/>
          <w:color w:val="000000"/>
        </w:rPr>
        <w:t>company’s equity share of affiliates’ expenditures. Capital and exploratory expenditures were $9.3 billion in 2002 and $12 billion in 2001. ChevronTexaco’s equity share of affiliates’ expenditures were $1.1 billion, $1.4 billion and $1.7 billion in 2003, 2002 and 2001, respectively, and did not require cash outlays by the company. Expenditures of $5.7 billion in</w:t>
      </w:r>
    </w:p>
    <w:p>
      <w:pPr>
        <w:spacing w:after="0" w:line="1849" w:lineRule="exact"/>
        <w:rPr>
          <w:sz w:val="20"/>
          <w:szCs w:val="20"/>
          <w:color w:val="auto"/>
        </w:rPr>
      </w:pPr>
    </w:p>
    <w:p>
      <w:pPr>
        <w:sectPr>
          <w:pgSz w:w="11900" w:h="16838" w:orient="portrait"/>
          <w:cols w:equalWidth="0" w:num="2">
            <w:col w:w="5460" w:space="420"/>
            <w:col w:w="5460"/>
          </w:cols>
          <w:pgMar w:left="240" w:top="419" w:right="319" w:bottom="1440" w:gutter="0" w:footer="0" w:header="0"/>
        </w:sectPr>
      </w:pP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23"/>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right="60"/>
        <w:spacing w:after="0" w:line="288" w:lineRule="auto"/>
        <w:rPr>
          <w:sz w:val="20"/>
          <w:szCs w:val="20"/>
          <w:color w:val="auto"/>
        </w:rPr>
      </w:pPr>
      <w:r>
        <w:rPr>
          <w:rFonts w:ascii="Arial" w:cs="Arial" w:eastAsia="Arial" w:hAnsi="Arial"/>
          <w:sz w:val="11"/>
          <w:szCs w:val="11"/>
          <w:color w:val="auto"/>
        </w:rPr>
        <w:t>International projects accounted for 71 percent of worldwide exploration and production expenditures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-2500630</wp:posOffset>
            </wp:positionV>
            <wp:extent cx="1303655" cy="22212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2221230"/>
                    </a:xfrm>
                    <a:prstGeom prst="rect">
                      <a:avLst/>
                    </a:prstGeom>
                    <a:noFill/>
                  </pic:spPr>
                </pic:pic>
              </a:graphicData>
            </a:graphic>
          </wp:anchor>
        </w:drawing>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*Includes equity in affiliates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additional investments in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both"/>
        <w:ind w:right="120"/>
        <w:spacing w:after="0" w:line="303" w:lineRule="auto"/>
        <w:rPr>
          <w:sz w:val="20"/>
          <w:szCs w:val="20"/>
          <w:color w:val="auto"/>
        </w:rPr>
      </w:pPr>
      <w:r>
        <w:rPr>
          <w:rFonts w:ascii="Arial" w:cs="Arial" w:eastAsia="Arial" w:hAnsi="Arial"/>
          <w:sz w:val="14"/>
          <w:szCs w:val="14"/>
          <w:color w:val="auto"/>
        </w:rPr>
        <w:t>2003 for exploration and production activities represented 77 percent of total outlays for the year, compared with 68 percent in 2002 and</w:t>
      </w:r>
    </w:p>
    <w:p>
      <w:pPr>
        <w:spacing w:after="0" w:line="2" w:lineRule="exact"/>
        <w:rPr>
          <w:sz w:val="20"/>
          <w:szCs w:val="20"/>
          <w:color w:val="auto"/>
        </w:rPr>
      </w:pPr>
    </w:p>
    <w:p>
      <w:pPr>
        <w:ind w:right="200"/>
        <w:spacing w:after="0" w:line="301" w:lineRule="auto"/>
        <w:rPr>
          <w:sz w:val="20"/>
          <w:szCs w:val="20"/>
          <w:color w:val="auto"/>
        </w:rPr>
      </w:pPr>
      <w:r>
        <w:rPr>
          <w:rFonts w:ascii="Arial" w:cs="Arial" w:eastAsia="Arial" w:hAnsi="Arial"/>
          <w:sz w:val="14"/>
          <w:szCs w:val="14"/>
          <w:color w:val="auto"/>
        </w:rPr>
        <w:t>59 percent in 2001. International exploration and production spending of $4.0 billion was 71 percent of worldwide exploration and production expenditures in 2003, compared with 70 percent in 2002 and 66 percent in 2001, reflecting the company’s continuing focus on international exploration and production activities.</w:t>
      </w:r>
    </w:p>
    <w:p>
      <w:pPr>
        <w:spacing w:after="0" w:line="5" w:lineRule="exact"/>
        <w:rPr>
          <w:sz w:val="20"/>
          <w:szCs w:val="20"/>
          <w:color w:val="auto"/>
        </w:rPr>
      </w:pPr>
    </w:p>
    <w:p>
      <w:pPr>
        <w:ind w:firstLine="203"/>
        <w:spacing w:after="0" w:line="308" w:lineRule="auto"/>
        <w:rPr>
          <w:sz w:val="20"/>
          <w:szCs w:val="20"/>
          <w:color w:val="auto"/>
        </w:rPr>
      </w:pPr>
      <w:r>
        <w:rPr>
          <w:rFonts w:ascii="Arial" w:cs="Arial" w:eastAsia="Arial" w:hAnsi="Arial"/>
          <w:sz w:val="14"/>
          <w:szCs w:val="14"/>
          <w:color w:val="auto"/>
        </w:rPr>
        <w:t>Expenditures in 2003 were $1.9 billion lower than the prior year, primarily due to amounts spent in 2002 for large lease acquisitions in the North Sea and the Gulf of Mexico, the Athabasca Oil Sands Project in western Canada, and additional common stock investments in Dynegy. The largest expenditures in 2003 included upstream projects in Eurasia, West Africa and the Gulf of Mexico. Expenditures in 2002 included lower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affiliates than in 2001 due to the absence of the company’s share of expenditures for its Equilon and Motiva investments, which were sold as a condition of the merger. The 2001 expenditures included additional investments in TCO and Dynegy, including the purchase of $1.5 billion of Dynegy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-552450</wp:posOffset>
            </wp:positionV>
            <wp:extent cx="8890" cy="3044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3044190"/>
                    </a:xfrm>
                    <a:prstGeom prst="rect">
                      <a:avLst/>
                    </a:prstGeom>
                    <a:noFill/>
                  </pic:spPr>
                </pic:pic>
              </a:graphicData>
            </a:graphic>
          </wp:anchor>
        </w:drawing>
      </w:r>
    </w:p>
    <w:p>
      <w:pPr>
        <w:ind w:right="100" w:firstLine="203"/>
        <w:spacing w:after="0" w:line="281" w:lineRule="auto"/>
        <w:rPr>
          <w:sz w:val="20"/>
          <w:szCs w:val="20"/>
          <w:color w:val="auto"/>
        </w:rPr>
      </w:pPr>
      <w:r>
        <w:rPr>
          <w:rFonts w:ascii="Arial" w:cs="Arial" w:eastAsia="Arial" w:hAnsi="Arial"/>
          <w:sz w:val="15"/>
          <w:szCs w:val="15"/>
          <w:color w:val="auto"/>
        </w:rPr>
        <w:t>Including the share of spending by affiliates, the company estimates 2004 capital and exploratory expenditures at $8.5 billion, which is about 15 percent higher than spending in 2003. About $6.4 billion, or 75 percent of the total, is targeted for exploration and production activities, with $4.5 billion of that outside the United States. The upstream spending is targeted for the most promising exploratory prospects in Nigeria, Angola and deepwater Gulf of Mexico and major development projects in Kazakhstan, Venezuela and Africa. Included in the upstream expenditures is about $400 million to commercialize the company’s international natural gas resource base, including the construction of additional liquefied natural gas (LNG) facilities to help meet future demand for natural gas. Additional LNG expenditures of about $100 million are included in other segments of the 2004 capital program.</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Worldwide downstream spending is estimated to be $1.4 billion, with about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 billion of the amount on refining and marketing and $400 million on supply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transportation projects. Investments in chemicals are budgeted at $200 million.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Estimates for power and related businesses are $150 million. The remaining</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$300 million is primarily for emerging technologies and information technology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infrastructure.</w:t>
      </w:r>
    </w:p>
    <w:p>
      <w:pPr>
        <w:spacing w:after="0" w:line="200" w:lineRule="exact"/>
        <w:rPr>
          <w:sz w:val="20"/>
          <w:szCs w:val="20"/>
          <w:color w:val="auto"/>
        </w:rPr>
      </w:pPr>
    </w:p>
    <w:p>
      <w:pPr>
        <w:sectPr>
          <w:pgSz w:w="11900" w:h="16838" w:orient="portrait"/>
          <w:cols w:equalWidth="0" w:num="3">
            <w:col w:w="2080" w:space="300"/>
            <w:col w:w="3100" w:space="400"/>
            <w:col w:w="5540"/>
          </w:cols>
          <w:pgMar w:left="240" w:top="419" w:right="2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and Exploratory Expenditures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w:t>
            </w:r>
          </w:p>
        </w:tc>
        <w:tc>
          <w:tcPr>
            <w:tcW w:w="12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spacing w:after="0"/>
              <w:rPr>
                <w:sz w:val="14"/>
                <w:szCs w:val="14"/>
                <w:color w:val="auto"/>
              </w:rPr>
            </w:pPr>
          </w:p>
        </w:tc>
        <w:tc>
          <w:tcPr>
            <w:tcW w:w="30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b w:val="1"/>
                <w:bCs w:val="1"/>
                <w:color w:val="auto"/>
              </w:rPr>
              <w:t>2003</w:t>
            </w:r>
          </w:p>
        </w:tc>
        <w:tc>
          <w:tcPr>
            <w:tcW w:w="30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rPr>
              <w:t>2002</w:t>
            </w:r>
          </w:p>
        </w:tc>
        <w:tc>
          <w:tcPr>
            <w:tcW w:w="32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209"/>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9"/>
              <w:spacing w:after="0" w:line="142" w:lineRule="exact"/>
              <w:rPr>
                <w:sz w:val="20"/>
                <w:szCs w:val="20"/>
                <w:color w:val="auto"/>
              </w:rPr>
            </w:pPr>
            <w:r>
              <w:rPr>
                <w:rFonts w:ascii="Arial" w:cs="Arial" w:eastAsia="Arial" w:hAnsi="Arial"/>
                <w:sz w:val="14"/>
                <w:szCs w:val="14"/>
                <w:color w:val="auto"/>
              </w:rPr>
              <w:t>U.S.</w:t>
            </w:r>
          </w:p>
        </w:tc>
        <w:tc>
          <w:tcPr>
            <w:tcW w:w="300" w:type="dxa"/>
            <w:vAlign w:val="bottom"/>
          </w:tcPr>
          <w:p>
            <w:pPr>
              <w:spacing w:after="0"/>
              <w:rPr>
                <w:sz w:val="12"/>
                <w:szCs w:val="12"/>
                <w:color w:val="auto"/>
              </w:rPr>
            </w:pPr>
          </w:p>
        </w:tc>
        <w:tc>
          <w:tcPr>
            <w:tcW w:w="560" w:type="dxa"/>
            <w:vAlign w:val="bottom"/>
          </w:tcPr>
          <w:p>
            <w:pPr>
              <w:jc w:val="right"/>
              <w:ind w:right="89"/>
              <w:spacing w:after="0" w:line="142" w:lineRule="exact"/>
              <w:rPr>
                <w:sz w:val="20"/>
                <w:szCs w:val="20"/>
                <w:color w:val="auto"/>
              </w:rPr>
            </w:pPr>
            <w:r>
              <w:rPr>
                <w:rFonts w:ascii="Arial" w:cs="Arial" w:eastAsia="Arial" w:hAnsi="Arial"/>
                <w:sz w:val="14"/>
                <w:szCs w:val="14"/>
                <w:color w:val="auto"/>
              </w:rPr>
              <w:t>Int'l.</w:t>
            </w:r>
          </w:p>
        </w:tc>
        <w:tc>
          <w:tcPr>
            <w:tcW w:w="320" w:type="dxa"/>
            <w:vAlign w:val="bottom"/>
          </w:tcPr>
          <w:p>
            <w:pPr>
              <w:spacing w:after="0"/>
              <w:rPr>
                <w:sz w:val="12"/>
                <w:szCs w:val="12"/>
                <w:color w:val="auto"/>
              </w:rPr>
            </w:pPr>
          </w:p>
        </w:tc>
        <w:tc>
          <w:tcPr>
            <w:tcW w:w="560" w:type="dxa"/>
            <w:vAlign w:val="bottom"/>
          </w:tcPr>
          <w:p>
            <w:pPr>
              <w:jc w:val="right"/>
              <w:ind w:right="109"/>
              <w:spacing w:after="0" w:line="142"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2"/>
                <w:szCs w:val="12"/>
                <w:color w:val="auto"/>
              </w:rPr>
            </w:pPr>
          </w:p>
        </w:tc>
        <w:tc>
          <w:tcPr>
            <w:tcW w:w="600" w:type="dxa"/>
            <w:vAlign w:val="bottom"/>
          </w:tcPr>
          <w:p>
            <w:pPr>
              <w:jc w:val="right"/>
              <w:ind w:right="149"/>
              <w:spacing w:after="0" w:line="142" w:lineRule="exact"/>
              <w:rPr>
                <w:sz w:val="20"/>
                <w:szCs w:val="20"/>
                <w:color w:val="auto"/>
              </w:rPr>
            </w:pPr>
            <w:r>
              <w:rPr>
                <w:rFonts w:ascii="Arial" w:cs="Arial" w:eastAsia="Arial" w:hAnsi="Arial"/>
                <w:sz w:val="14"/>
                <w:szCs w:val="14"/>
                <w:color w:val="auto"/>
              </w:rPr>
              <w:t>U.S.</w:t>
            </w:r>
          </w:p>
        </w:tc>
        <w:tc>
          <w:tcPr>
            <w:tcW w:w="280" w:type="dxa"/>
            <w:vAlign w:val="bottom"/>
          </w:tcPr>
          <w:p>
            <w:pPr>
              <w:spacing w:after="0"/>
              <w:rPr>
                <w:sz w:val="12"/>
                <w:szCs w:val="12"/>
                <w:color w:val="auto"/>
              </w:rPr>
            </w:pPr>
          </w:p>
        </w:tc>
        <w:tc>
          <w:tcPr>
            <w:tcW w:w="600" w:type="dxa"/>
            <w:vAlign w:val="bottom"/>
          </w:tcPr>
          <w:p>
            <w:pPr>
              <w:jc w:val="right"/>
              <w:ind w:right="149"/>
              <w:spacing w:after="0" w:line="142" w:lineRule="exact"/>
              <w:rPr>
                <w:sz w:val="20"/>
                <w:szCs w:val="20"/>
                <w:color w:val="auto"/>
              </w:rPr>
            </w:pPr>
            <w:r>
              <w:rPr>
                <w:rFonts w:ascii="Arial" w:cs="Arial" w:eastAsia="Arial" w:hAnsi="Arial"/>
                <w:sz w:val="14"/>
                <w:szCs w:val="14"/>
                <w:color w:val="auto"/>
              </w:rPr>
              <w:t>Int'l.</w:t>
            </w:r>
          </w:p>
        </w:tc>
        <w:tc>
          <w:tcPr>
            <w:tcW w:w="280" w:type="dxa"/>
            <w:vAlign w:val="bottom"/>
          </w:tcPr>
          <w:p>
            <w:pPr>
              <w:spacing w:after="0"/>
              <w:rPr>
                <w:sz w:val="12"/>
                <w:szCs w:val="12"/>
                <w:color w:val="auto"/>
              </w:rPr>
            </w:pPr>
          </w:p>
        </w:tc>
        <w:tc>
          <w:tcPr>
            <w:tcW w:w="560" w:type="dxa"/>
            <w:vAlign w:val="bottom"/>
          </w:tcPr>
          <w:p>
            <w:pPr>
              <w:jc w:val="right"/>
              <w:ind w:right="109"/>
              <w:spacing w:after="0" w:line="142" w:lineRule="exact"/>
              <w:rPr>
                <w:sz w:val="20"/>
                <w:szCs w:val="20"/>
                <w:color w:val="auto"/>
              </w:rPr>
            </w:pPr>
            <w:r>
              <w:rPr>
                <w:rFonts w:ascii="Arial" w:cs="Arial" w:eastAsia="Arial" w:hAnsi="Arial"/>
                <w:sz w:val="14"/>
                <w:szCs w:val="14"/>
                <w:color w:val="auto"/>
              </w:rPr>
              <w:t>Total</w:t>
            </w:r>
          </w:p>
        </w:tc>
        <w:tc>
          <w:tcPr>
            <w:tcW w:w="320" w:type="dxa"/>
            <w:vAlign w:val="bottom"/>
          </w:tcPr>
          <w:p>
            <w:pPr>
              <w:spacing w:after="0"/>
              <w:rPr>
                <w:sz w:val="12"/>
                <w:szCs w:val="12"/>
                <w:color w:val="auto"/>
              </w:rPr>
            </w:pPr>
          </w:p>
        </w:tc>
        <w:tc>
          <w:tcPr>
            <w:tcW w:w="560" w:type="dxa"/>
            <w:vAlign w:val="bottom"/>
          </w:tcPr>
          <w:p>
            <w:pPr>
              <w:jc w:val="right"/>
              <w:ind w:right="109"/>
              <w:spacing w:after="0" w:line="142" w:lineRule="exact"/>
              <w:rPr>
                <w:sz w:val="20"/>
                <w:szCs w:val="20"/>
                <w:color w:val="auto"/>
              </w:rPr>
            </w:pPr>
            <w:r>
              <w:rPr>
                <w:rFonts w:ascii="Arial" w:cs="Arial" w:eastAsia="Arial" w:hAnsi="Arial"/>
                <w:sz w:val="14"/>
                <w:szCs w:val="14"/>
                <w:color w:val="auto"/>
              </w:rPr>
              <w:t>U.S.</w:t>
            </w:r>
          </w:p>
        </w:tc>
        <w:tc>
          <w:tcPr>
            <w:tcW w:w="320" w:type="dxa"/>
            <w:vAlign w:val="bottom"/>
          </w:tcPr>
          <w:p>
            <w:pPr>
              <w:spacing w:after="0"/>
              <w:rPr>
                <w:sz w:val="12"/>
                <w:szCs w:val="12"/>
                <w:color w:val="auto"/>
              </w:rPr>
            </w:pPr>
          </w:p>
        </w:tc>
        <w:tc>
          <w:tcPr>
            <w:tcW w:w="580" w:type="dxa"/>
            <w:vAlign w:val="bottom"/>
          </w:tcPr>
          <w:p>
            <w:pPr>
              <w:jc w:val="right"/>
              <w:ind w:right="129"/>
              <w:spacing w:after="0" w:line="142" w:lineRule="exact"/>
              <w:rPr>
                <w:sz w:val="20"/>
                <w:szCs w:val="20"/>
                <w:color w:val="auto"/>
              </w:rPr>
            </w:pPr>
            <w:r>
              <w:rPr>
                <w:rFonts w:ascii="Arial" w:cs="Arial" w:eastAsia="Arial" w:hAnsi="Arial"/>
                <w:sz w:val="14"/>
                <w:szCs w:val="14"/>
                <w:color w:val="auto"/>
              </w:rPr>
              <w:t>Int'l.</w:t>
            </w:r>
          </w:p>
        </w:tc>
        <w:tc>
          <w:tcPr>
            <w:tcW w:w="320" w:type="dxa"/>
            <w:vAlign w:val="bottom"/>
          </w:tcPr>
          <w:p>
            <w:pPr>
              <w:spacing w:after="0"/>
              <w:rPr>
                <w:sz w:val="12"/>
                <w:szCs w:val="12"/>
                <w:color w:val="auto"/>
              </w:rPr>
            </w:pPr>
          </w:p>
        </w:tc>
        <w:tc>
          <w:tcPr>
            <w:tcW w:w="740" w:type="dxa"/>
            <w:vAlign w:val="bottom"/>
          </w:tcPr>
          <w:p>
            <w:pPr>
              <w:jc w:val="right"/>
              <w:ind w:right="209"/>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Borders>
              <w:top w:val="single" w:sz="8" w:color="0070FF"/>
            </w:tcBorders>
          </w:tcPr>
          <w:p>
            <w:pPr>
              <w:spacing w:after="0" w:line="133" w:lineRule="exact"/>
              <w:rPr>
                <w:sz w:val="20"/>
                <w:szCs w:val="20"/>
                <w:color w:val="auto"/>
              </w:rPr>
            </w:pPr>
            <w:r>
              <w:rPr>
                <w:rFonts w:ascii="Arial" w:cs="Arial" w:eastAsia="Arial" w:hAnsi="Arial"/>
                <w:sz w:val="14"/>
                <w:szCs w:val="14"/>
                <w:color w:val="auto"/>
              </w:rPr>
              <w:t>Exploration and Production</w:t>
            </w:r>
          </w:p>
        </w:tc>
        <w:tc>
          <w:tcPr>
            <w:tcW w:w="120" w:type="dxa"/>
            <w:vAlign w:val="bottom"/>
            <w:tcBorders>
              <w:top w:val="single" w:sz="8" w:color="0070FF"/>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0070FF"/>
            </w:tcBorders>
          </w:tcPr>
          <w:p>
            <w:pPr>
              <w:jc w:val="right"/>
              <w:ind w:right="109"/>
              <w:spacing w:after="0" w:line="133" w:lineRule="exact"/>
              <w:rPr>
                <w:sz w:val="20"/>
                <w:szCs w:val="20"/>
                <w:color w:val="auto"/>
              </w:rPr>
            </w:pPr>
            <w:r>
              <w:rPr>
                <w:rFonts w:ascii="Arial" w:cs="Arial" w:eastAsia="Arial" w:hAnsi="Arial"/>
                <w:sz w:val="14"/>
                <w:szCs w:val="14"/>
                <w:b w:val="1"/>
                <w:bCs w:val="1"/>
                <w:color w:val="auto"/>
              </w:rPr>
              <w:t>1,641</w:t>
            </w:r>
          </w:p>
        </w:tc>
        <w:tc>
          <w:tcPr>
            <w:tcW w:w="30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0070FF"/>
            </w:tcBorders>
          </w:tcPr>
          <w:p>
            <w:pPr>
              <w:jc w:val="right"/>
              <w:ind w:right="89"/>
              <w:spacing w:after="0" w:line="133" w:lineRule="exact"/>
              <w:rPr>
                <w:sz w:val="20"/>
                <w:szCs w:val="20"/>
                <w:color w:val="auto"/>
              </w:rPr>
            </w:pPr>
            <w:r>
              <w:rPr>
                <w:rFonts w:ascii="Arial" w:cs="Arial" w:eastAsia="Arial" w:hAnsi="Arial"/>
                <w:sz w:val="14"/>
                <w:szCs w:val="14"/>
                <w:b w:val="1"/>
                <w:bCs w:val="1"/>
                <w:color w:val="auto"/>
              </w:rPr>
              <w:t>4,034</w:t>
            </w:r>
          </w:p>
        </w:tc>
        <w:tc>
          <w:tcPr>
            <w:tcW w:w="32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0070FF"/>
            </w:tcBorders>
          </w:tcPr>
          <w:p>
            <w:pPr>
              <w:jc w:val="right"/>
              <w:ind w:right="109"/>
              <w:spacing w:after="0" w:line="133" w:lineRule="exact"/>
              <w:rPr>
                <w:sz w:val="20"/>
                <w:szCs w:val="20"/>
                <w:color w:val="auto"/>
              </w:rPr>
            </w:pPr>
            <w:r>
              <w:rPr>
                <w:rFonts w:ascii="Arial" w:cs="Arial" w:eastAsia="Arial" w:hAnsi="Arial"/>
                <w:sz w:val="14"/>
                <w:szCs w:val="14"/>
                <w:b w:val="1"/>
                <w:bCs w:val="1"/>
                <w:color w:val="auto"/>
              </w:rPr>
              <w:t>5,675</w:t>
            </w:r>
          </w:p>
        </w:tc>
        <w:tc>
          <w:tcPr>
            <w:tcW w:w="30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0070FF"/>
            </w:tcBorders>
          </w:tcPr>
          <w:p>
            <w:pPr>
              <w:jc w:val="right"/>
              <w:ind w:right="149"/>
              <w:spacing w:after="0" w:line="133" w:lineRule="exact"/>
              <w:rPr>
                <w:sz w:val="20"/>
                <w:szCs w:val="20"/>
                <w:color w:val="auto"/>
              </w:rPr>
            </w:pPr>
            <w:r>
              <w:rPr>
                <w:rFonts w:ascii="Arial" w:cs="Arial" w:eastAsia="Arial" w:hAnsi="Arial"/>
                <w:sz w:val="14"/>
                <w:szCs w:val="14"/>
                <w:color w:val="auto"/>
              </w:rPr>
              <w:t>1,888</w:t>
            </w:r>
          </w:p>
        </w:tc>
        <w:tc>
          <w:tcPr>
            <w:tcW w:w="28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0070FF"/>
            </w:tcBorders>
          </w:tcPr>
          <w:p>
            <w:pPr>
              <w:jc w:val="right"/>
              <w:ind w:right="149"/>
              <w:spacing w:after="0" w:line="133" w:lineRule="exact"/>
              <w:rPr>
                <w:sz w:val="20"/>
                <w:szCs w:val="20"/>
                <w:color w:val="auto"/>
              </w:rPr>
            </w:pPr>
            <w:r>
              <w:rPr>
                <w:rFonts w:ascii="Arial" w:cs="Arial" w:eastAsia="Arial" w:hAnsi="Arial"/>
                <w:sz w:val="14"/>
                <w:szCs w:val="14"/>
                <w:color w:val="auto"/>
              </w:rPr>
              <w:t>4,395</w:t>
            </w:r>
          </w:p>
        </w:tc>
        <w:tc>
          <w:tcPr>
            <w:tcW w:w="28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0070FF"/>
            </w:tcBorders>
          </w:tcPr>
          <w:p>
            <w:pPr>
              <w:jc w:val="right"/>
              <w:ind w:right="109"/>
              <w:spacing w:after="0" w:line="133" w:lineRule="exact"/>
              <w:rPr>
                <w:sz w:val="20"/>
                <w:szCs w:val="20"/>
                <w:color w:val="auto"/>
              </w:rPr>
            </w:pPr>
            <w:r>
              <w:rPr>
                <w:rFonts w:ascii="Arial" w:cs="Arial" w:eastAsia="Arial" w:hAnsi="Arial"/>
                <w:sz w:val="14"/>
                <w:szCs w:val="14"/>
                <w:color w:val="auto"/>
              </w:rPr>
              <w:t>6,283</w:t>
            </w:r>
          </w:p>
        </w:tc>
        <w:tc>
          <w:tcPr>
            <w:tcW w:w="32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0070FF"/>
            </w:tcBorders>
          </w:tcPr>
          <w:p>
            <w:pPr>
              <w:jc w:val="right"/>
              <w:ind w:right="109"/>
              <w:spacing w:after="0" w:line="133" w:lineRule="exact"/>
              <w:rPr>
                <w:sz w:val="20"/>
                <w:szCs w:val="20"/>
                <w:color w:val="auto"/>
              </w:rPr>
            </w:pPr>
            <w:r>
              <w:rPr>
                <w:rFonts w:ascii="Arial" w:cs="Arial" w:eastAsia="Arial" w:hAnsi="Arial"/>
                <w:sz w:val="14"/>
                <w:szCs w:val="14"/>
                <w:color w:val="auto"/>
              </w:rPr>
              <w:t>2,420</w:t>
            </w:r>
          </w:p>
        </w:tc>
        <w:tc>
          <w:tcPr>
            <w:tcW w:w="32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0070FF"/>
            </w:tcBorders>
          </w:tcPr>
          <w:p>
            <w:pPr>
              <w:jc w:val="right"/>
              <w:ind w:right="129"/>
              <w:spacing w:after="0" w:line="133" w:lineRule="exact"/>
              <w:rPr>
                <w:sz w:val="20"/>
                <w:szCs w:val="20"/>
                <w:color w:val="auto"/>
              </w:rPr>
            </w:pPr>
            <w:r>
              <w:rPr>
                <w:rFonts w:ascii="Arial" w:cs="Arial" w:eastAsia="Arial" w:hAnsi="Arial"/>
                <w:sz w:val="14"/>
                <w:szCs w:val="14"/>
                <w:color w:val="auto"/>
              </w:rPr>
              <w:t>4,709</w:t>
            </w:r>
          </w:p>
        </w:tc>
        <w:tc>
          <w:tcPr>
            <w:tcW w:w="32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0070FF"/>
            </w:tcBorders>
          </w:tcPr>
          <w:p>
            <w:pPr>
              <w:jc w:val="right"/>
              <w:ind w:right="209"/>
              <w:spacing w:after="0" w:line="133" w:lineRule="exact"/>
              <w:rPr>
                <w:sz w:val="20"/>
                <w:szCs w:val="20"/>
                <w:color w:val="auto"/>
              </w:rPr>
            </w:pPr>
            <w:r>
              <w:rPr>
                <w:rFonts w:ascii="Arial" w:cs="Arial" w:eastAsia="Arial" w:hAnsi="Arial"/>
                <w:sz w:val="14"/>
                <w:szCs w:val="14"/>
                <w:color w:val="auto"/>
              </w:rPr>
              <w:t>7,129</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Refining, Marketing and Transportation</w:t>
            </w:r>
          </w:p>
        </w:tc>
        <w:tc>
          <w:tcPr>
            <w:tcW w:w="12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403</w:t>
            </w:r>
          </w:p>
        </w:tc>
        <w:tc>
          <w:tcPr>
            <w:tcW w:w="300" w:type="dxa"/>
            <w:vAlign w:val="bottom"/>
          </w:tcPr>
          <w:p>
            <w:pPr>
              <w:spacing w:after="0"/>
              <w:rPr>
                <w:sz w:val="12"/>
                <w:szCs w:val="12"/>
                <w:color w:val="auto"/>
              </w:rPr>
            </w:pPr>
          </w:p>
        </w:tc>
        <w:tc>
          <w:tcPr>
            <w:tcW w:w="56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697</w:t>
            </w:r>
          </w:p>
        </w:tc>
        <w:tc>
          <w:tcPr>
            <w:tcW w:w="32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1,100</w:t>
            </w:r>
          </w:p>
        </w:tc>
        <w:tc>
          <w:tcPr>
            <w:tcW w:w="30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750</w:t>
            </w:r>
          </w:p>
        </w:tc>
        <w:tc>
          <w:tcPr>
            <w:tcW w:w="28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882</w:t>
            </w:r>
          </w:p>
        </w:tc>
        <w:tc>
          <w:tcPr>
            <w:tcW w:w="28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1,632</w:t>
            </w:r>
          </w:p>
        </w:tc>
        <w:tc>
          <w:tcPr>
            <w:tcW w:w="32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873</w:t>
            </w:r>
          </w:p>
        </w:tc>
        <w:tc>
          <w:tcPr>
            <w:tcW w:w="320" w:type="dxa"/>
            <w:vAlign w:val="bottom"/>
          </w:tcPr>
          <w:p>
            <w:pPr>
              <w:spacing w:after="0"/>
              <w:rPr>
                <w:sz w:val="12"/>
                <w:szCs w:val="12"/>
                <w:color w:val="auto"/>
              </w:rPr>
            </w:pPr>
          </w:p>
        </w:tc>
        <w:tc>
          <w:tcPr>
            <w:tcW w:w="5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1,271</w:t>
            </w:r>
          </w:p>
        </w:tc>
        <w:tc>
          <w:tcPr>
            <w:tcW w:w="320" w:type="dxa"/>
            <w:vAlign w:val="bottom"/>
          </w:tcPr>
          <w:p>
            <w:pPr>
              <w:spacing w:after="0"/>
              <w:rPr>
                <w:sz w:val="12"/>
                <w:szCs w:val="12"/>
                <w:color w:val="auto"/>
              </w:rPr>
            </w:pPr>
          </w:p>
        </w:tc>
        <w:tc>
          <w:tcPr>
            <w:tcW w:w="74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Chemicals</w:t>
            </w:r>
          </w:p>
        </w:tc>
        <w:tc>
          <w:tcPr>
            <w:tcW w:w="12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173</w:t>
            </w:r>
          </w:p>
        </w:tc>
        <w:tc>
          <w:tcPr>
            <w:tcW w:w="300" w:type="dxa"/>
            <w:vAlign w:val="bottom"/>
          </w:tcPr>
          <w:p>
            <w:pPr>
              <w:spacing w:after="0"/>
              <w:rPr>
                <w:sz w:val="12"/>
                <w:szCs w:val="12"/>
                <w:color w:val="auto"/>
              </w:rPr>
            </w:pPr>
          </w:p>
        </w:tc>
        <w:tc>
          <w:tcPr>
            <w:tcW w:w="56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24</w:t>
            </w:r>
          </w:p>
        </w:tc>
        <w:tc>
          <w:tcPr>
            <w:tcW w:w="32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197</w:t>
            </w:r>
          </w:p>
        </w:tc>
        <w:tc>
          <w:tcPr>
            <w:tcW w:w="30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272</w:t>
            </w:r>
          </w:p>
        </w:tc>
        <w:tc>
          <w:tcPr>
            <w:tcW w:w="28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37</w:t>
            </w:r>
          </w:p>
        </w:tc>
        <w:tc>
          <w:tcPr>
            <w:tcW w:w="28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309</w:t>
            </w:r>
          </w:p>
        </w:tc>
        <w:tc>
          <w:tcPr>
            <w:tcW w:w="320" w:type="dxa"/>
            <w:vAlign w:val="bottom"/>
          </w:tcPr>
          <w:p>
            <w:pPr>
              <w:spacing w:after="0"/>
              <w:rPr>
                <w:sz w:val="12"/>
                <w:szCs w:val="12"/>
                <w:color w:val="auto"/>
              </w:rPr>
            </w:pPr>
          </w:p>
        </w:tc>
        <w:tc>
          <w:tcPr>
            <w:tcW w:w="56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145</w:t>
            </w:r>
          </w:p>
        </w:tc>
        <w:tc>
          <w:tcPr>
            <w:tcW w:w="320" w:type="dxa"/>
            <w:vAlign w:val="bottom"/>
          </w:tcPr>
          <w:p>
            <w:pPr>
              <w:spacing w:after="0"/>
              <w:rPr>
                <w:sz w:val="12"/>
                <w:szCs w:val="12"/>
                <w:color w:val="auto"/>
              </w:rPr>
            </w:pPr>
          </w:p>
        </w:tc>
        <w:tc>
          <w:tcPr>
            <w:tcW w:w="5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34</w:t>
            </w:r>
          </w:p>
        </w:tc>
        <w:tc>
          <w:tcPr>
            <w:tcW w:w="320" w:type="dxa"/>
            <w:vAlign w:val="bottom"/>
          </w:tcPr>
          <w:p>
            <w:pPr>
              <w:spacing w:after="0"/>
              <w:rPr>
                <w:sz w:val="12"/>
                <w:szCs w:val="12"/>
                <w:color w:val="auto"/>
              </w:rPr>
            </w:pPr>
          </w:p>
        </w:tc>
        <w:tc>
          <w:tcPr>
            <w:tcW w:w="74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All Other</w:t>
            </w:r>
          </w:p>
        </w:tc>
        <w:tc>
          <w:tcPr>
            <w:tcW w:w="12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b w:val="1"/>
                <w:bCs w:val="1"/>
                <w:color w:val="auto"/>
              </w:rPr>
              <w:t>371</w:t>
            </w:r>
          </w:p>
        </w:tc>
        <w:tc>
          <w:tcPr>
            <w:tcW w:w="30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b w:val="1"/>
                <w:bCs w:val="1"/>
                <w:color w:val="auto"/>
              </w:rPr>
              <w:t>20</w:t>
            </w:r>
          </w:p>
        </w:tc>
        <w:tc>
          <w:tcPr>
            <w:tcW w:w="32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b w:val="1"/>
                <w:bCs w:val="1"/>
                <w:color w:val="auto"/>
              </w:rPr>
              <w:t>391</w:t>
            </w:r>
          </w:p>
        </w:tc>
        <w:tc>
          <w:tcPr>
            <w:tcW w:w="30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855*</w:t>
            </w:r>
          </w:p>
        </w:tc>
        <w:tc>
          <w:tcPr>
            <w:tcW w:w="2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176*</w:t>
            </w:r>
          </w:p>
        </w:tc>
        <w:tc>
          <w:tcPr>
            <w:tcW w:w="2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rPr>
              <w:t>1,031</w:t>
            </w:r>
          </w:p>
        </w:tc>
        <w:tc>
          <w:tcPr>
            <w:tcW w:w="32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rPr>
              <w:t>2,570</w:t>
            </w:r>
          </w:p>
        </w:tc>
        <w:tc>
          <w:tcPr>
            <w:tcW w:w="32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209"/>
              <w:spacing w:after="0"/>
              <w:rPr>
                <w:sz w:val="20"/>
                <w:szCs w:val="20"/>
                <w:color w:val="auto"/>
              </w:rPr>
            </w:pPr>
            <w:r>
              <w:rPr>
                <w:rFonts w:ascii="Arial" w:cs="Arial" w:eastAsia="Arial" w:hAnsi="Arial"/>
                <w:sz w:val="14"/>
                <w:szCs w:val="14"/>
                <w:color w:val="auto"/>
              </w:rPr>
              <w:t>2,576</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0070FF"/>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b w:val="1"/>
                <w:bCs w:val="1"/>
                <w:color w:val="auto"/>
              </w:rPr>
              <w:t>2,588</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b w:val="1"/>
                <w:bCs w:val="1"/>
                <w:color w:val="auto"/>
              </w:rPr>
              <w:t>4,775</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b w:val="1"/>
                <w:bCs w:val="1"/>
                <w:color w:val="auto"/>
              </w:rPr>
              <w:t>7,363</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3,765</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5,490</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color w:val="auto"/>
              </w:rPr>
              <w:t>9,255</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color w:val="auto"/>
              </w:rPr>
              <w:t>6,008</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129"/>
              <w:spacing w:after="0" w:line="155" w:lineRule="exact"/>
              <w:rPr>
                <w:sz w:val="20"/>
                <w:szCs w:val="20"/>
                <w:color w:val="auto"/>
              </w:rPr>
            </w:pPr>
            <w:r>
              <w:rPr>
                <w:rFonts w:ascii="Arial" w:cs="Arial" w:eastAsia="Arial" w:hAnsi="Arial"/>
                <w:sz w:val="14"/>
                <w:szCs w:val="14"/>
                <w:color w:val="auto"/>
              </w:rPr>
              <w:t>6,020</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209"/>
              <w:spacing w:after="0" w:line="155" w:lineRule="exact"/>
              <w:rPr>
                <w:sz w:val="20"/>
                <w:szCs w:val="20"/>
                <w:color w:val="auto"/>
              </w:rPr>
            </w:pPr>
            <w:r>
              <w:rPr>
                <w:rFonts w:ascii="Arial" w:cs="Arial" w:eastAsia="Arial" w:hAnsi="Arial"/>
                <w:sz w:val="14"/>
                <w:szCs w:val="14"/>
                <w:color w:val="auto"/>
              </w:rPr>
              <w:t>12,028</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Total, Excluding Equity in Affiliates</w:t>
            </w:r>
          </w:p>
        </w:tc>
        <w:tc>
          <w:tcPr>
            <w:tcW w:w="120" w:type="dxa"/>
            <w:vAlign w:val="bottom"/>
            <w:tcBorders>
              <w:bottom w:val="single" w:sz="8" w:color="0070FF"/>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b w:val="1"/>
                <w:bCs w:val="1"/>
                <w:color w:val="auto"/>
              </w:rPr>
              <w:t>2,306</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b w:val="1"/>
                <w:bCs w:val="1"/>
                <w:color w:val="auto"/>
              </w:rPr>
              <w:t>3,920</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b w:val="1"/>
                <w:bCs w:val="1"/>
                <w:color w:val="auto"/>
              </w:rPr>
              <w:t>6,226</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3,312</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4,590</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color w:val="auto"/>
              </w:rPr>
              <w:t>7,902</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color w:val="auto"/>
              </w:rPr>
              <w:t>4,934</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129"/>
              <w:spacing w:after="0" w:line="155" w:lineRule="exact"/>
              <w:rPr>
                <w:sz w:val="20"/>
                <w:szCs w:val="20"/>
                <w:color w:val="auto"/>
              </w:rPr>
            </w:pPr>
            <w:r>
              <w:rPr>
                <w:rFonts w:ascii="Arial" w:cs="Arial" w:eastAsia="Arial" w:hAnsi="Arial"/>
                <w:sz w:val="14"/>
                <w:szCs w:val="14"/>
                <w:color w:val="auto"/>
              </w:rPr>
              <w:t>5,382</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209"/>
              <w:spacing w:after="0" w:line="155" w:lineRule="exact"/>
              <w:rPr>
                <w:sz w:val="20"/>
                <w:szCs w:val="20"/>
                <w:color w:val="auto"/>
              </w:rPr>
            </w:pPr>
            <w:r>
              <w:rPr>
                <w:rFonts w:ascii="Arial" w:cs="Arial" w:eastAsia="Arial" w:hAnsi="Arial"/>
                <w:sz w:val="14"/>
                <w:szCs w:val="14"/>
                <w:color w:val="auto"/>
              </w:rPr>
              <w:t>10,316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 2002 conformed to the 2003 presentation.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9" w:name="page50"/>
    <w:bookmarkEnd w:id="49"/>
    <w:p>
      <w:pPr>
        <w:spacing w:after="0" w:line="234" w:lineRule="auto"/>
        <w:framePr w:w="1860" w:h="247" w:wrap="auto" w:vAnchor="page" w:hAnchor="page" w:x="340" w:y="8333"/>
        <w:rPr>
          <w:rFonts w:ascii="Arial" w:cs="Arial" w:eastAsia="Arial" w:hAnsi="Arial"/>
          <w:sz w:val="11"/>
          <w:szCs w:val="11"/>
          <w:color w:val="auto"/>
        </w:rPr>
      </w:pPr>
      <w:r>
        <w:rPr>
          <w:rFonts w:ascii="Arial" w:cs="Arial" w:eastAsia="Arial" w:hAnsi="Arial"/>
          <w:sz w:val="11"/>
          <w:szCs w:val="11"/>
          <w:color w:val="auto"/>
        </w:rPr>
        <w:t>ChevronTexaco’s ratio of total debt to total debt plus equity fell to</w:t>
      </w:r>
    </w:p>
    <w:p>
      <w:pPr>
        <w:spacing w:after="0" w:line="204" w:lineRule="auto"/>
        <w:framePr w:w="1800" w:h="382" w:wrap="auto" w:vAnchor="page" w:hAnchor="page" w:x="340" w:y="8604"/>
        <w:rPr>
          <w:rFonts w:ascii="Arial" w:cs="Arial" w:eastAsia="Arial" w:hAnsi="Arial"/>
          <w:sz w:val="13"/>
          <w:szCs w:val="13"/>
          <w:color w:val="auto"/>
        </w:rPr>
      </w:pPr>
      <w:r>
        <w:rPr>
          <w:rFonts w:ascii="Arial" w:cs="Arial" w:eastAsia="Arial" w:hAnsi="Arial"/>
          <w:sz w:val="13"/>
          <w:szCs w:val="13"/>
          <w:color w:val="auto"/>
        </w:rPr>
        <w:t>25.8 percent at year-end 2003 as the company’s debt level declined by $3.7 billion.</w:t>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rFonts w:ascii="Arial" w:cs="Arial" w:eastAsia="Arial" w:hAnsi="Arial"/>
          <w:sz w:val="13"/>
          <w:szCs w:val="13"/>
          <w:color w:val="auto"/>
        </w:rPr>
      </w:pPr>
    </w:p>
    <w:p>
      <w:pPr>
        <w:ind w:right="20" w:firstLine="203"/>
        <w:spacing w:after="0" w:line="285" w:lineRule="auto"/>
        <w:rPr>
          <w:sz w:val="20"/>
          <w:szCs w:val="20"/>
          <w:color w:val="auto"/>
        </w:rPr>
      </w:pPr>
      <w:r>
        <w:rPr>
          <w:rFonts w:ascii="Arial" w:cs="Arial" w:eastAsia="Arial" w:hAnsi="Arial"/>
          <w:sz w:val="15"/>
          <w:szCs w:val="15"/>
          <w:i w:val="1"/>
          <w:iCs w:val="1"/>
          <w:color w:val="F20000"/>
        </w:rPr>
        <w:t xml:space="preserve">Pension Obligations </w:t>
      </w:r>
      <w:r>
        <w:rPr>
          <w:rFonts w:ascii="Arial" w:cs="Arial" w:eastAsia="Arial" w:hAnsi="Arial"/>
          <w:sz w:val="15"/>
          <w:szCs w:val="15"/>
          <w:color w:val="000000"/>
        </w:rPr>
        <w:t>In 2003, contributions to the U.S. plans totaled $1.2 billion.</w:t>
      </w:r>
      <w:r>
        <w:rPr>
          <w:rFonts w:ascii="Arial" w:cs="Arial" w:eastAsia="Arial" w:hAnsi="Arial"/>
          <w:sz w:val="15"/>
          <w:szCs w:val="15"/>
          <w:i w:val="1"/>
          <w:iCs w:val="1"/>
          <w:color w:val="F20000"/>
        </w:rPr>
        <w:t xml:space="preserve"> </w:t>
      </w:r>
      <w:r>
        <w:rPr>
          <w:rFonts w:ascii="Arial" w:cs="Arial" w:eastAsia="Arial" w:hAnsi="Arial"/>
          <w:sz w:val="15"/>
          <w:szCs w:val="15"/>
          <w:color w:val="000000"/>
        </w:rPr>
        <w:t>In early 2004, the company contributed $535 million to the U.S. pension plans. Additionally, the company anticipates contributing about $50 million to the U.S. plans during the remainder of the year. In years subsequent to 2004, the company expects contributions to the U.S. pension plans of about $250 million per year, approximately equal to the cost of benefits earned in each year. In 2003, contributions to the international pension plans were $214 million and contributions of $200 million are anticipated in 2004. The actual contribution amounts are dependent upon investment returns, changes in pension obligations, regulatory environments and other economic factors. Additional funding may ultimately be required if investment returns are insufficient to offset increases in plan obligations. Refer also to the discussion of pension accounting in “Critical Accounting Estimates and Assumptions” beginning on page FS-18.</w:t>
      </w:r>
    </w:p>
    <w:p>
      <w:pPr>
        <w:spacing w:after="0" w:line="145"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6"/>
          <w:szCs w:val="16"/>
          <w:color w:val="0070FF"/>
        </w:rPr>
        <w:t>FINANCIAL RATIOS</w:t>
      </w:r>
    </w:p>
    <w:p>
      <w:pPr>
        <w:spacing w:after="0" w:line="155" w:lineRule="exact"/>
        <w:rPr>
          <w:rFonts w:ascii="Arial" w:cs="Arial" w:eastAsia="Arial" w:hAnsi="Arial"/>
          <w:sz w:val="13"/>
          <w:szCs w:val="13"/>
          <w:color w:val="auto"/>
        </w:rPr>
      </w:pPr>
    </w:p>
    <w:p>
      <w:pPr>
        <w:jc w:val="both"/>
        <w:ind w:right="100"/>
        <w:spacing w:after="0" w:line="265" w:lineRule="auto"/>
        <w:rPr>
          <w:sz w:val="20"/>
          <w:szCs w:val="20"/>
          <w:color w:val="auto"/>
        </w:rPr>
      </w:pPr>
      <w:r>
        <w:rPr>
          <w:rFonts w:ascii="Arial" w:cs="Arial" w:eastAsia="Arial" w:hAnsi="Arial"/>
          <w:sz w:val="16"/>
          <w:szCs w:val="16"/>
          <w:i w:val="1"/>
          <w:iCs w:val="1"/>
          <w:color w:val="F20000"/>
        </w:rPr>
        <w:t xml:space="preserve">Current Ratio </w:t>
      </w:r>
      <w:r>
        <w:rPr>
          <w:rFonts w:ascii="Arial" w:cs="Arial" w:eastAsia="Arial" w:hAnsi="Arial"/>
          <w:sz w:val="16"/>
          <w:szCs w:val="16"/>
          <w:color w:val="000000"/>
        </w:rPr>
        <w:t>— current assets divided by current liabilities. Generally, two items</w:t>
      </w:r>
      <w:r>
        <w:rPr>
          <w:rFonts w:ascii="Arial" w:cs="Arial" w:eastAsia="Arial" w:hAnsi="Arial"/>
          <w:sz w:val="16"/>
          <w:szCs w:val="16"/>
          <w:i w:val="1"/>
          <w:iCs w:val="1"/>
          <w:color w:val="F20000"/>
        </w:rPr>
        <w:t xml:space="preserve"> </w:t>
      </w:r>
      <w:r>
        <w:rPr>
          <w:rFonts w:ascii="Arial" w:cs="Arial" w:eastAsia="Arial" w:hAnsi="Arial"/>
          <w:sz w:val="16"/>
          <w:szCs w:val="16"/>
          <w:color w:val="000000"/>
        </w:rPr>
        <w:t>adversely affected ChevronTexaco’s current ratio, but in the company’s opinion do not affect its liquidity. First, current assets in all</w:t>
      </w:r>
    </w:p>
    <w:p>
      <w:pPr>
        <w:spacing w:after="0" w:line="2" w:lineRule="exact"/>
        <w:rPr>
          <w:rFonts w:ascii="Arial" w:cs="Arial" w:eastAsia="Arial" w:hAnsi="Arial"/>
          <w:sz w:val="13"/>
          <w:szCs w:val="13"/>
          <w:color w:val="auto"/>
        </w:rPr>
      </w:pPr>
    </w:p>
    <w:p>
      <w:pPr>
        <w:ind w:left="2260" w:right="120"/>
        <w:spacing w:after="0" w:line="301" w:lineRule="auto"/>
        <w:rPr>
          <w:sz w:val="20"/>
          <w:szCs w:val="20"/>
          <w:color w:val="auto"/>
        </w:rPr>
      </w:pPr>
      <w:r>
        <w:rPr>
          <w:rFonts w:ascii="Arial" w:cs="Arial" w:eastAsia="Arial" w:hAnsi="Arial"/>
          <w:sz w:val="14"/>
          <w:szCs w:val="14"/>
          <w:color w:val="auto"/>
        </w:rPr>
        <w:t>years included inventories valued on a LIFO basis, which at year-end 2003 were lower than replacement costs, based on average acquisition costs during the year, by approximately</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1243330" cy="2212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43330" cy="2212340"/>
                    </a:xfrm>
                    <a:prstGeom prst="rect">
                      <a:avLst/>
                    </a:prstGeom>
                    <a:noFill/>
                  </pic:spPr>
                </pic:pic>
              </a:graphicData>
            </a:graphic>
          </wp:anchor>
        </w:drawing>
      </w:r>
    </w:p>
    <w:p>
      <w:pPr>
        <w:ind w:left="2260" w:right="20"/>
        <w:spacing w:after="0" w:line="281" w:lineRule="auto"/>
        <w:rPr>
          <w:sz w:val="20"/>
          <w:szCs w:val="20"/>
          <w:color w:val="auto"/>
        </w:rPr>
      </w:pPr>
      <w:r>
        <w:rPr>
          <w:rFonts w:ascii="Arial" w:cs="Arial" w:eastAsia="Arial" w:hAnsi="Arial"/>
          <w:sz w:val="15"/>
          <w:szCs w:val="15"/>
          <w:color w:val="auto"/>
        </w:rPr>
        <w:t>$2.1 billion. Second, the company benefits from lower interest rates available on short-term debt by continually refinancing its commercial paper; however, the company’s proportionately large amount of short-term debt in 2002 and 2001 kept its current ratio at relatively low levels.</w:t>
      </w:r>
    </w:p>
    <w:p>
      <w:pPr>
        <w:spacing w:after="0" w:line="4" w:lineRule="exact"/>
        <w:rPr>
          <w:rFonts w:ascii="Arial" w:cs="Arial" w:eastAsia="Arial" w:hAnsi="Arial"/>
          <w:sz w:val="13"/>
          <w:szCs w:val="13"/>
          <w:color w:val="auto"/>
        </w:rPr>
      </w:pPr>
    </w:p>
    <w:p>
      <w:pPr>
        <w:ind w:left="2260" w:right="40" w:firstLine="203"/>
        <w:spacing w:after="0" w:line="264" w:lineRule="auto"/>
        <w:rPr>
          <w:sz w:val="20"/>
          <w:szCs w:val="20"/>
          <w:color w:val="auto"/>
        </w:rPr>
      </w:pPr>
      <w:r>
        <w:rPr>
          <w:rFonts w:ascii="Arial" w:cs="Arial" w:eastAsia="Arial" w:hAnsi="Arial"/>
          <w:sz w:val="16"/>
          <w:szCs w:val="16"/>
          <w:i w:val="1"/>
          <w:iCs w:val="1"/>
          <w:color w:val="F20000"/>
        </w:rPr>
        <w:t xml:space="preserve">Interest Coverage Ratio </w:t>
      </w:r>
      <w:r>
        <w:rPr>
          <w:rFonts w:ascii="Arial" w:cs="Arial" w:eastAsia="Arial" w:hAnsi="Arial"/>
          <w:sz w:val="16"/>
          <w:szCs w:val="16"/>
          <w:color w:val="000000"/>
        </w:rPr>
        <w:t>— income before</w:t>
      </w:r>
      <w:r>
        <w:rPr>
          <w:rFonts w:ascii="Arial" w:cs="Arial" w:eastAsia="Arial" w:hAnsi="Arial"/>
          <w:sz w:val="16"/>
          <w:szCs w:val="16"/>
          <w:i w:val="1"/>
          <w:iCs w:val="1"/>
          <w:color w:val="F20000"/>
        </w:rPr>
        <w:t xml:space="preserve"> </w:t>
      </w:r>
      <w:r>
        <w:rPr>
          <w:rFonts w:ascii="Arial" w:cs="Arial" w:eastAsia="Arial" w:hAnsi="Arial"/>
          <w:sz w:val="16"/>
          <w:szCs w:val="16"/>
          <w:color w:val="000000"/>
        </w:rPr>
        <w:t>income tax expense, plus interest and debt expense and amortization of capitalized interest, divided by before-tax interest costs. The company’s interest coverage ratio was higher in 2003, primarily due to higher before-tax income, lower average debt balances and lower market interest rates.</w:t>
      </w:r>
    </w:p>
    <w:p>
      <w:pPr>
        <w:spacing w:after="0" w:line="2" w:lineRule="exact"/>
        <w:rPr>
          <w:rFonts w:ascii="Arial" w:cs="Arial" w:eastAsia="Arial" w:hAnsi="Arial"/>
          <w:sz w:val="13"/>
          <w:szCs w:val="13"/>
          <w:color w:val="auto"/>
        </w:rPr>
      </w:pPr>
    </w:p>
    <w:p>
      <w:pPr>
        <w:ind w:left="2260" w:right="80" w:firstLine="203"/>
        <w:spacing w:after="0" w:line="281" w:lineRule="auto"/>
        <w:rPr>
          <w:sz w:val="20"/>
          <w:szCs w:val="20"/>
          <w:color w:val="auto"/>
        </w:rPr>
      </w:pPr>
      <w:r>
        <w:rPr>
          <w:rFonts w:ascii="Arial" w:cs="Arial" w:eastAsia="Arial" w:hAnsi="Arial"/>
          <w:sz w:val="15"/>
          <w:szCs w:val="15"/>
          <w:i w:val="1"/>
          <w:iCs w:val="1"/>
          <w:color w:val="F20000"/>
        </w:rPr>
        <w:t xml:space="preserve">Debt Ratio </w:t>
      </w:r>
      <w:r>
        <w:rPr>
          <w:rFonts w:ascii="Arial" w:cs="Arial" w:eastAsia="Arial" w:hAnsi="Arial"/>
          <w:sz w:val="15"/>
          <w:szCs w:val="15"/>
          <w:color w:val="000000"/>
        </w:rPr>
        <w:t>— total debt divided by total debt</w:t>
      </w:r>
      <w:r>
        <w:rPr>
          <w:rFonts w:ascii="Arial" w:cs="Arial" w:eastAsia="Arial" w:hAnsi="Arial"/>
          <w:sz w:val="15"/>
          <w:szCs w:val="15"/>
          <w:i w:val="1"/>
          <w:iCs w:val="1"/>
          <w:color w:val="F20000"/>
        </w:rPr>
        <w:t xml:space="preserve"> </w:t>
      </w:r>
      <w:r>
        <w:rPr>
          <w:rFonts w:ascii="Arial" w:cs="Arial" w:eastAsia="Arial" w:hAnsi="Arial"/>
          <w:sz w:val="15"/>
          <w:szCs w:val="15"/>
          <w:color w:val="000000"/>
        </w:rPr>
        <w:t>plus equity. This ratio was approximately</w:t>
      </w:r>
    </w:p>
    <w:p>
      <w:pPr>
        <w:spacing w:after="0" w:line="1" w:lineRule="exact"/>
        <w:rPr>
          <w:rFonts w:ascii="Arial" w:cs="Arial" w:eastAsia="Arial" w:hAnsi="Arial"/>
          <w:sz w:val="13"/>
          <w:szCs w:val="13"/>
          <w:color w:val="auto"/>
        </w:rPr>
      </w:pPr>
    </w:p>
    <w:p>
      <w:pPr>
        <w:ind w:left="2260"/>
        <w:spacing w:after="0"/>
        <w:rPr>
          <w:sz w:val="20"/>
          <w:szCs w:val="20"/>
          <w:color w:val="auto"/>
        </w:rPr>
      </w:pPr>
      <w:r>
        <w:rPr>
          <w:rFonts w:ascii="Arial" w:cs="Arial" w:eastAsia="Arial" w:hAnsi="Arial"/>
          <w:sz w:val="14"/>
          <w:szCs w:val="14"/>
          <w:color w:val="auto"/>
        </w:rPr>
        <w:t>26 percent at December 31, 2003, compared with</w:t>
      </w:r>
    </w:p>
    <w:p>
      <w:pPr>
        <w:spacing w:after="0" w:line="42" w:lineRule="exact"/>
        <w:rPr>
          <w:rFonts w:ascii="Arial" w:cs="Arial" w:eastAsia="Arial" w:hAnsi="Arial"/>
          <w:sz w:val="13"/>
          <w:szCs w:val="13"/>
          <w:color w:val="auto"/>
        </w:rPr>
      </w:pPr>
    </w:p>
    <w:p>
      <w:pPr>
        <w:ind w:left="2260"/>
        <w:spacing w:after="0"/>
        <w:rPr>
          <w:sz w:val="20"/>
          <w:szCs w:val="20"/>
          <w:color w:val="auto"/>
        </w:rPr>
      </w:pPr>
      <w:r>
        <w:rPr>
          <w:rFonts w:ascii="Arial" w:cs="Arial" w:eastAsia="Arial" w:hAnsi="Arial"/>
          <w:sz w:val="16"/>
          <w:szCs w:val="16"/>
          <w:color w:val="auto"/>
        </w:rPr>
        <w:t>34 percent a year earlier.</w:t>
      </w:r>
    </w:p>
    <w:p>
      <w:pPr>
        <w:spacing w:after="0" w:line="177"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6"/>
          <w:szCs w:val="16"/>
          <w:i w:val="1"/>
          <w:iCs w:val="1"/>
          <w:color w:val="auto"/>
        </w:rPr>
        <w:t>Financial Ratios</w:t>
      </w:r>
    </w:p>
    <w:p>
      <w:pPr>
        <w:spacing w:after="0" w:line="327" w:lineRule="exact"/>
        <w:rPr>
          <w:rFonts w:ascii="Arial" w:cs="Arial" w:eastAsia="Arial" w:hAnsi="Arial"/>
          <w:sz w:val="13"/>
          <w:szCs w:val="13"/>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00" w:type="dxa"/>
            <w:vAlign w:val="bottom"/>
            <w:tcBorders>
              <w:bottom w:val="single" w:sz="8" w:color="0070FF"/>
            </w:tcBorders>
          </w:tcPr>
          <w:p>
            <w:pPr>
              <w:spacing w:after="0"/>
              <w:rPr>
                <w:sz w:val="14"/>
                <w:szCs w:val="14"/>
                <w:color w:val="auto"/>
              </w:rPr>
            </w:pPr>
          </w:p>
        </w:tc>
        <w:tc>
          <w:tcPr>
            <w:tcW w:w="1300" w:type="dxa"/>
            <w:vAlign w:val="bottom"/>
            <w:tcBorders>
              <w:bottom w:val="single" w:sz="8" w:color="0070FF"/>
            </w:tcBorders>
            <w:gridSpan w:val="2"/>
          </w:tcPr>
          <w:p>
            <w:pPr>
              <w:jc w:val="right"/>
              <w:ind w:right="89"/>
              <w:spacing w:after="0"/>
              <w:rPr>
                <w:sz w:val="20"/>
                <w:szCs w:val="20"/>
                <w:color w:val="auto"/>
              </w:rPr>
            </w:pPr>
            <w:r>
              <w:rPr>
                <w:rFonts w:ascii="Arial" w:cs="Arial" w:eastAsia="Arial" w:hAnsi="Arial"/>
                <w:sz w:val="14"/>
                <w:szCs w:val="14"/>
                <w:color w:val="auto"/>
              </w:rPr>
              <w:t>At December 31</w:t>
            </w:r>
          </w:p>
        </w:tc>
      </w:tr>
      <w:tr>
        <w:trPr>
          <w:trHeight w:val="142"/>
        </w:trPr>
        <w:tc>
          <w:tcPr>
            <w:tcW w:w="3480" w:type="dxa"/>
            <w:vAlign w:val="bottom"/>
            <w:tcBorders>
              <w:bottom w:val="single" w:sz="8" w:color="0070FF"/>
            </w:tcBorders>
          </w:tcPr>
          <w:p>
            <w:pPr>
              <w:spacing w:after="0"/>
              <w:rPr>
                <w:sz w:val="12"/>
                <w:szCs w:val="12"/>
                <w:color w:val="auto"/>
              </w:rPr>
            </w:pPr>
          </w:p>
        </w:tc>
        <w:tc>
          <w:tcPr>
            <w:tcW w:w="700" w:type="dxa"/>
            <w:vAlign w:val="bottom"/>
            <w:tcBorders>
              <w:bottom w:val="single" w:sz="8" w:color="0070FF"/>
            </w:tcBorders>
          </w:tcPr>
          <w:p>
            <w:pPr>
              <w:jc w:val="right"/>
              <w:ind w:right="229"/>
              <w:spacing w:after="0" w:line="142" w:lineRule="exact"/>
              <w:rPr>
                <w:sz w:val="20"/>
                <w:szCs w:val="20"/>
                <w:color w:val="auto"/>
              </w:rPr>
            </w:pPr>
            <w:r>
              <w:rPr>
                <w:rFonts w:ascii="Arial" w:cs="Arial" w:eastAsia="Arial" w:hAnsi="Arial"/>
                <w:sz w:val="14"/>
                <w:szCs w:val="14"/>
                <w:b w:val="1"/>
                <w:bCs w:val="1"/>
                <w:color w:val="auto"/>
              </w:rPr>
              <w:t>2003</w:t>
            </w:r>
          </w:p>
        </w:tc>
        <w:tc>
          <w:tcPr>
            <w:tcW w:w="700" w:type="dxa"/>
            <w:vAlign w:val="bottom"/>
            <w:tcBorders>
              <w:bottom w:val="single" w:sz="8" w:color="0070FF"/>
            </w:tcBorders>
          </w:tcPr>
          <w:p>
            <w:pPr>
              <w:jc w:val="right"/>
              <w:ind w:right="210"/>
              <w:spacing w:after="0" w:line="142" w:lineRule="exact"/>
              <w:rPr>
                <w:sz w:val="20"/>
                <w:szCs w:val="20"/>
                <w:color w:val="auto"/>
              </w:rPr>
            </w:pPr>
            <w:r>
              <w:rPr>
                <w:rFonts w:ascii="Arial" w:cs="Arial" w:eastAsia="Arial" w:hAnsi="Arial"/>
                <w:sz w:val="14"/>
                <w:szCs w:val="14"/>
                <w:color w:val="auto"/>
              </w:rPr>
              <w:t>2002</w:t>
            </w:r>
          </w:p>
        </w:tc>
        <w:tc>
          <w:tcPr>
            <w:tcW w:w="600" w:type="dxa"/>
            <w:vAlign w:val="bottom"/>
            <w:tcBorders>
              <w:bottom w:val="single" w:sz="8" w:color="0070FF"/>
            </w:tcBorders>
          </w:tcPr>
          <w:p>
            <w:pPr>
              <w:jc w:val="right"/>
              <w:ind w:right="89"/>
              <w:spacing w:after="0" w:line="142" w:lineRule="exact"/>
              <w:rPr>
                <w:sz w:val="20"/>
                <w:szCs w:val="20"/>
                <w:color w:val="auto"/>
              </w:rPr>
            </w:pPr>
            <w:r>
              <w:rPr>
                <w:rFonts w:ascii="Arial" w:cs="Arial" w:eastAsia="Arial" w:hAnsi="Arial"/>
                <w:sz w:val="14"/>
                <w:szCs w:val="14"/>
                <w:color w:val="auto"/>
              </w:rPr>
              <w:t>2001</w:t>
            </w:r>
          </w:p>
        </w:tc>
      </w:tr>
      <w:tr>
        <w:trPr>
          <w:trHeight w:val="133"/>
        </w:trPr>
        <w:tc>
          <w:tcPr>
            <w:tcW w:w="3480" w:type="dxa"/>
            <w:vAlign w:val="bottom"/>
          </w:tcPr>
          <w:p>
            <w:pPr>
              <w:ind w:left="20"/>
              <w:spacing w:after="0" w:line="133" w:lineRule="exact"/>
              <w:rPr>
                <w:sz w:val="20"/>
                <w:szCs w:val="20"/>
                <w:color w:val="auto"/>
              </w:rPr>
            </w:pPr>
            <w:r>
              <w:rPr>
                <w:rFonts w:ascii="Arial" w:cs="Arial" w:eastAsia="Arial" w:hAnsi="Arial"/>
                <w:sz w:val="14"/>
                <w:szCs w:val="14"/>
                <w:color w:val="auto"/>
              </w:rPr>
              <w:t>Current Ratio</w:t>
            </w:r>
          </w:p>
        </w:tc>
        <w:tc>
          <w:tcPr>
            <w:tcW w:w="700" w:type="dxa"/>
            <w:vAlign w:val="bottom"/>
          </w:tcPr>
          <w:p>
            <w:pPr>
              <w:jc w:val="right"/>
              <w:ind w:right="229"/>
              <w:spacing w:after="0" w:line="133" w:lineRule="exact"/>
              <w:rPr>
                <w:sz w:val="20"/>
                <w:szCs w:val="20"/>
                <w:color w:val="auto"/>
              </w:rPr>
            </w:pPr>
            <w:r>
              <w:rPr>
                <w:rFonts w:ascii="Arial" w:cs="Arial" w:eastAsia="Arial" w:hAnsi="Arial"/>
                <w:sz w:val="14"/>
                <w:szCs w:val="14"/>
                <w:b w:val="1"/>
                <w:bCs w:val="1"/>
                <w:color w:val="auto"/>
              </w:rPr>
              <w:t>1.2</w:t>
            </w:r>
          </w:p>
        </w:tc>
        <w:tc>
          <w:tcPr>
            <w:tcW w:w="700" w:type="dxa"/>
            <w:vAlign w:val="bottom"/>
          </w:tcPr>
          <w:p>
            <w:pPr>
              <w:jc w:val="right"/>
              <w:ind w:right="210"/>
              <w:spacing w:after="0" w:line="133" w:lineRule="exact"/>
              <w:rPr>
                <w:sz w:val="20"/>
                <w:szCs w:val="20"/>
                <w:color w:val="auto"/>
              </w:rPr>
            </w:pPr>
            <w:r>
              <w:rPr>
                <w:rFonts w:ascii="Arial" w:cs="Arial" w:eastAsia="Arial" w:hAnsi="Arial"/>
                <w:sz w:val="14"/>
                <w:szCs w:val="14"/>
                <w:color w:val="auto"/>
              </w:rPr>
              <w:t>0.9</w:t>
            </w:r>
          </w:p>
        </w:tc>
        <w:tc>
          <w:tcPr>
            <w:tcW w:w="600" w:type="dxa"/>
            <w:vAlign w:val="bottom"/>
          </w:tcPr>
          <w:p>
            <w:pPr>
              <w:jc w:val="right"/>
              <w:ind w:right="89"/>
              <w:spacing w:after="0" w:line="133" w:lineRule="exact"/>
              <w:rPr>
                <w:sz w:val="20"/>
                <w:szCs w:val="20"/>
                <w:color w:val="auto"/>
              </w:rPr>
            </w:pPr>
            <w:r>
              <w:rPr>
                <w:rFonts w:ascii="Arial" w:cs="Arial" w:eastAsia="Arial" w:hAnsi="Arial"/>
                <w:sz w:val="14"/>
                <w:szCs w:val="14"/>
                <w:color w:val="auto"/>
              </w:rPr>
              <w:t>0.9</w:t>
            </w:r>
          </w:p>
        </w:tc>
      </w:tr>
      <w:tr>
        <w:trPr>
          <w:trHeight w:val="149"/>
        </w:trPr>
        <w:tc>
          <w:tcPr>
            <w:tcW w:w="3480" w:type="dxa"/>
            <w:vAlign w:val="bottom"/>
          </w:tcPr>
          <w:p>
            <w:pPr>
              <w:ind w:left="20"/>
              <w:spacing w:after="0" w:line="149" w:lineRule="exact"/>
              <w:rPr>
                <w:sz w:val="20"/>
                <w:szCs w:val="20"/>
                <w:color w:val="auto"/>
              </w:rPr>
            </w:pPr>
            <w:r>
              <w:rPr>
                <w:rFonts w:ascii="Arial" w:cs="Arial" w:eastAsia="Arial" w:hAnsi="Arial"/>
                <w:sz w:val="14"/>
                <w:szCs w:val="14"/>
                <w:color w:val="auto"/>
              </w:rPr>
              <w:t>Interest Coverage Ratio</w:t>
            </w:r>
          </w:p>
        </w:tc>
        <w:tc>
          <w:tcPr>
            <w:tcW w:w="700" w:type="dxa"/>
            <w:vAlign w:val="bottom"/>
          </w:tcPr>
          <w:p>
            <w:pPr>
              <w:jc w:val="right"/>
              <w:ind w:right="229"/>
              <w:spacing w:after="0" w:line="149" w:lineRule="exact"/>
              <w:rPr>
                <w:sz w:val="20"/>
                <w:szCs w:val="20"/>
                <w:color w:val="auto"/>
              </w:rPr>
            </w:pPr>
            <w:r>
              <w:rPr>
                <w:rFonts w:ascii="Arial" w:cs="Arial" w:eastAsia="Arial" w:hAnsi="Arial"/>
                <w:sz w:val="14"/>
                <w:szCs w:val="14"/>
                <w:b w:val="1"/>
                <w:bCs w:val="1"/>
                <w:color w:val="auto"/>
              </w:rPr>
              <w:t>24.3</w:t>
            </w:r>
          </w:p>
        </w:tc>
        <w:tc>
          <w:tcPr>
            <w:tcW w:w="70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7.6</w:t>
            </w:r>
          </w:p>
        </w:tc>
        <w:tc>
          <w:tcPr>
            <w:tcW w:w="6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9.6</w:t>
            </w:r>
          </w:p>
        </w:tc>
      </w:tr>
      <w:tr>
        <w:trPr>
          <w:trHeight w:val="192"/>
        </w:trPr>
        <w:tc>
          <w:tcPr>
            <w:tcW w:w="348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Total Debt/Total Debt Plus Equity</w:t>
            </w:r>
          </w:p>
        </w:tc>
        <w:tc>
          <w:tcPr>
            <w:tcW w:w="7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25.8%</w:t>
            </w:r>
          </w:p>
        </w:tc>
        <w:tc>
          <w:tcPr>
            <w:tcW w:w="700" w:type="dxa"/>
            <w:vAlign w:val="bottom"/>
            <w:tcBorders>
              <w:bottom w:val="single" w:sz="8" w:color="0070FF"/>
            </w:tcBorders>
          </w:tcPr>
          <w:p>
            <w:pPr>
              <w:jc w:val="right"/>
              <w:ind w:right="90"/>
              <w:spacing w:after="0"/>
              <w:rPr>
                <w:sz w:val="20"/>
                <w:szCs w:val="20"/>
                <w:color w:val="auto"/>
              </w:rPr>
            </w:pPr>
            <w:r>
              <w:rPr>
                <w:rFonts w:ascii="Arial" w:cs="Arial" w:eastAsia="Arial" w:hAnsi="Arial"/>
                <w:sz w:val="14"/>
                <w:szCs w:val="14"/>
                <w:color w:val="auto"/>
              </w:rPr>
              <w:t>34.0%</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33.9%</w:t>
            </w: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42" w:lineRule="exact"/>
        <w:rPr>
          <w:rFonts w:ascii="Arial" w:cs="Arial" w:eastAsia="Arial" w:hAnsi="Arial"/>
          <w:sz w:val="13"/>
          <w:szCs w:val="13"/>
          <w:color w:val="auto"/>
        </w:rPr>
      </w:pPr>
    </w:p>
    <w:p>
      <w:pPr>
        <w:ind w:left="1" w:right="700"/>
        <w:spacing w:after="0" w:line="260" w:lineRule="auto"/>
        <w:rPr>
          <w:sz w:val="20"/>
          <w:szCs w:val="20"/>
          <w:color w:val="auto"/>
        </w:rPr>
      </w:pPr>
      <w:r>
        <w:rPr>
          <w:rFonts w:ascii="Arial" w:cs="Arial" w:eastAsia="Arial" w:hAnsi="Arial"/>
          <w:sz w:val="16"/>
          <w:szCs w:val="16"/>
          <w:color w:val="0070FF"/>
        </w:rPr>
        <w:t>GUARANTEES, OFF-BALANCE-SHEET ARRANGEMENTS AND CONTRACTUAL OBLIGATIONS, AND OTHER CONTINGENCIES</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-57150</wp:posOffset>
            </wp:positionH>
            <wp:positionV relativeFrom="paragraph">
              <wp:posOffset>-399415</wp:posOffset>
            </wp:positionV>
            <wp:extent cx="8890" cy="69551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6955155"/>
                    </a:xfrm>
                    <a:prstGeom prst="rect">
                      <a:avLst/>
                    </a:prstGeom>
                    <a:noFill/>
                  </pic:spPr>
                </pic:pic>
              </a:graphicData>
            </a:graphic>
          </wp:anchor>
        </w:drawing>
      </w:r>
    </w:p>
    <w:p>
      <w:pPr>
        <w:spacing w:after="0" w:line="110" w:lineRule="exact"/>
        <w:rPr>
          <w:rFonts w:ascii="Arial" w:cs="Arial" w:eastAsia="Arial" w:hAnsi="Arial"/>
          <w:sz w:val="13"/>
          <w:szCs w:val="13"/>
          <w:color w:val="auto"/>
        </w:rPr>
      </w:pPr>
    </w:p>
    <w:p>
      <w:pPr>
        <w:ind w:left="1"/>
        <w:spacing w:after="0"/>
        <w:rPr>
          <w:sz w:val="20"/>
          <w:szCs w:val="20"/>
          <w:color w:val="auto"/>
        </w:rPr>
      </w:pPr>
      <w:r>
        <w:rPr>
          <w:rFonts w:ascii="Arial" w:cs="Arial" w:eastAsia="Arial" w:hAnsi="Arial"/>
          <w:sz w:val="16"/>
          <w:szCs w:val="16"/>
          <w:i w:val="1"/>
          <w:iCs w:val="1"/>
          <w:color w:val="auto"/>
        </w:rPr>
        <w:t>Direct or Indirect Guarantees*</w:t>
      </w:r>
    </w:p>
    <w:p>
      <w:pPr>
        <w:spacing w:after="0" w:line="327" w:lineRule="exact"/>
        <w:rPr>
          <w:rFonts w:ascii="Arial" w:cs="Arial" w:eastAsia="Arial" w:hAnsi="Arial"/>
          <w:sz w:val="13"/>
          <w:szCs w:val="13"/>
          <w:color w:val="auto"/>
        </w:rPr>
      </w:pPr>
    </w:p>
    <w:tbl>
      <w:tblPr>
        <w:tblLayout w:type="fixed"/>
        <w:tblInd w:w="1" w:type="dxa"/>
        <w:tblCellMar>
          <w:top w:w="0" w:type="dxa"/>
          <w:left w:w="0" w:type="dxa"/>
          <w:bottom w:w="0" w:type="dxa"/>
          <w:right w:w="0" w:type="dxa"/>
        </w:tblCellMar>
      </w:tblPr>
      <w:tr>
        <w:trPr>
          <w:trHeight w:val="161"/>
        </w:trPr>
        <w:tc>
          <w:tcPr>
            <w:tcW w:w="2360" w:type="dxa"/>
            <w:vAlign w:val="bottom"/>
            <w:gridSpan w:val="2"/>
          </w:tcPr>
          <w:p>
            <w:pPr>
              <w:spacing w:after="0"/>
              <w:rPr>
                <w:sz w:val="20"/>
                <w:szCs w:val="20"/>
                <w:color w:val="auto"/>
              </w:rPr>
            </w:pPr>
            <w:r>
              <w:rPr>
                <w:rFonts w:ascii="Arial" w:cs="Arial" w:eastAsia="Arial" w:hAnsi="Arial"/>
                <w:sz w:val="14"/>
                <w:szCs w:val="14"/>
                <w:color w:val="auto"/>
              </w:rPr>
              <w:t>Millions of dollars</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4"/>
                <w:szCs w:val="14"/>
                <w:color w:val="auto"/>
                <w:w w:val="89"/>
              </w:rPr>
              <w:t>Commitment Expiration by Period</w:t>
            </w:r>
          </w:p>
        </w:tc>
      </w:tr>
      <w:tr>
        <w:trPr>
          <w:trHeight w:val="131"/>
        </w:trPr>
        <w:tc>
          <w:tcPr>
            <w:tcW w:w="20" w:type="dxa"/>
            <w:vAlign w:val="bottom"/>
          </w:tcPr>
          <w:p>
            <w:pPr>
              <w:spacing w:after="0"/>
              <w:rPr>
                <w:sz w:val="11"/>
                <w:szCs w:val="11"/>
                <w:color w:val="auto"/>
              </w:rPr>
            </w:pPr>
          </w:p>
        </w:tc>
        <w:tc>
          <w:tcPr>
            <w:tcW w:w="2340" w:type="dxa"/>
            <w:vAlign w:val="bottom"/>
            <w:tcBorders>
              <w:top w:val="single" w:sz="8" w:color="0070FF"/>
            </w:tcBorders>
          </w:tcPr>
          <w:p>
            <w:pPr>
              <w:spacing w:after="0"/>
              <w:rPr>
                <w:sz w:val="11"/>
                <w:szCs w:val="11"/>
                <w:color w:val="auto"/>
              </w:rPr>
            </w:pPr>
          </w:p>
        </w:tc>
        <w:tc>
          <w:tcPr>
            <w:tcW w:w="600" w:type="dxa"/>
            <w:vAlign w:val="bottom"/>
            <w:tcBorders>
              <w:top w:val="single" w:sz="8" w:color="0070FF"/>
            </w:tcBorders>
          </w:tcPr>
          <w:p>
            <w:pPr>
              <w:spacing w:after="0"/>
              <w:rPr>
                <w:sz w:val="11"/>
                <w:szCs w:val="11"/>
                <w:color w:val="auto"/>
              </w:rPr>
            </w:pPr>
          </w:p>
        </w:tc>
        <w:tc>
          <w:tcPr>
            <w:tcW w:w="500" w:type="dxa"/>
            <w:vAlign w:val="bottom"/>
            <w:tcBorders>
              <w:top w:val="single" w:sz="8" w:color="0070FF"/>
            </w:tcBorders>
          </w:tcPr>
          <w:p>
            <w:pPr>
              <w:spacing w:after="0"/>
              <w:rPr>
                <w:sz w:val="11"/>
                <w:szCs w:val="11"/>
                <w:color w:val="auto"/>
              </w:rPr>
            </w:pPr>
          </w:p>
        </w:tc>
        <w:tc>
          <w:tcPr>
            <w:tcW w:w="760" w:type="dxa"/>
            <w:vAlign w:val="bottom"/>
            <w:tcBorders>
              <w:top w:val="single" w:sz="8" w:color="0070FF"/>
            </w:tcBorders>
          </w:tcPr>
          <w:p>
            <w:pPr>
              <w:jc w:val="right"/>
              <w:ind w:right="70"/>
              <w:spacing w:after="0" w:line="131" w:lineRule="exact"/>
              <w:rPr>
                <w:sz w:val="20"/>
                <w:szCs w:val="20"/>
                <w:color w:val="auto"/>
              </w:rPr>
            </w:pPr>
            <w:r>
              <w:rPr>
                <w:rFonts w:ascii="Arial" w:cs="Arial" w:eastAsia="Arial" w:hAnsi="Arial"/>
                <w:sz w:val="14"/>
                <w:szCs w:val="14"/>
                <w:color w:val="auto"/>
              </w:rPr>
              <w:t>2005-</w:t>
            </w:r>
          </w:p>
        </w:tc>
        <w:tc>
          <w:tcPr>
            <w:tcW w:w="620" w:type="dxa"/>
            <w:vAlign w:val="bottom"/>
            <w:tcBorders>
              <w:top w:val="single" w:sz="8" w:color="0070FF"/>
            </w:tcBorders>
          </w:tcPr>
          <w:p>
            <w:pPr>
              <w:spacing w:after="0"/>
              <w:rPr>
                <w:sz w:val="11"/>
                <w:szCs w:val="11"/>
                <w:color w:val="auto"/>
              </w:rPr>
            </w:pPr>
          </w:p>
        </w:tc>
        <w:tc>
          <w:tcPr>
            <w:tcW w:w="640" w:type="dxa"/>
            <w:vAlign w:val="bottom"/>
            <w:tcBorders>
              <w:top w:val="single" w:sz="8" w:color="0070FF"/>
            </w:tcBorders>
          </w:tcPr>
          <w:p>
            <w:pPr>
              <w:jc w:val="right"/>
              <w:ind w:right="70"/>
              <w:spacing w:after="0" w:line="131" w:lineRule="exact"/>
              <w:rPr>
                <w:sz w:val="20"/>
                <w:szCs w:val="20"/>
                <w:color w:val="auto"/>
              </w:rPr>
            </w:pPr>
            <w:r>
              <w:rPr>
                <w:rFonts w:ascii="Arial" w:cs="Arial" w:eastAsia="Arial" w:hAnsi="Arial"/>
                <w:sz w:val="14"/>
                <w:szCs w:val="14"/>
                <w:color w:val="auto"/>
              </w:rPr>
              <w:t>After</w:t>
            </w:r>
          </w:p>
        </w:tc>
      </w:tr>
      <w:tr>
        <w:trPr>
          <w:trHeight w:val="159"/>
        </w:trPr>
        <w:tc>
          <w:tcPr>
            <w:tcW w:w="20" w:type="dxa"/>
            <w:vAlign w:val="bottom"/>
          </w:tcPr>
          <w:p>
            <w:pPr>
              <w:spacing w:after="0"/>
              <w:rPr>
                <w:sz w:val="13"/>
                <w:szCs w:val="13"/>
                <w:color w:val="auto"/>
              </w:rPr>
            </w:pPr>
          </w:p>
        </w:tc>
        <w:tc>
          <w:tcPr>
            <w:tcW w:w="234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69"/>
              <w:spacing w:after="0" w:line="159"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0070FF"/>
            </w:tcBorders>
          </w:tcPr>
          <w:p>
            <w:pPr>
              <w:jc w:val="right"/>
              <w:spacing w:after="0" w:line="159" w:lineRule="exact"/>
              <w:rPr>
                <w:sz w:val="20"/>
                <w:szCs w:val="20"/>
                <w:color w:val="auto"/>
              </w:rPr>
            </w:pPr>
            <w:r>
              <w:rPr>
                <w:rFonts w:ascii="Arial" w:cs="Arial" w:eastAsia="Arial" w:hAnsi="Arial"/>
                <w:sz w:val="14"/>
                <w:szCs w:val="14"/>
                <w:color w:val="auto"/>
              </w:rPr>
              <w:t>2004</w:t>
            </w:r>
          </w:p>
        </w:tc>
        <w:tc>
          <w:tcPr>
            <w:tcW w:w="760" w:type="dxa"/>
            <w:vAlign w:val="bottom"/>
            <w:tcBorders>
              <w:bottom w:val="single" w:sz="8" w:color="0070FF"/>
            </w:tcBorders>
          </w:tcPr>
          <w:p>
            <w:pPr>
              <w:jc w:val="right"/>
              <w:ind w:right="70"/>
              <w:spacing w:after="0" w:line="159"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0070FF"/>
            </w:tcBorders>
          </w:tcPr>
          <w:p>
            <w:pPr>
              <w:jc w:val="right"/>
              <w:ind w:right="69"/>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0070FF"/>
            </w:tcBorders>
          </w:tcPr>
          <w:p>
            <w:pPr>
              <w:jc w:val="right"/>
              <w:ind w:right="70"/>
              <w:spacing w:after="0" w:line="159" w:lineRule="exact"/>
              <w:rPr>
                <w:sz w:val="20"/>
                <w:szCs w:val="20"/>
                <w:color w:val="auto"/>
              </w:rPr>
            </w:pPr>
            <w:r>
              <w:rPr>
                <w:rFonts w:ascii="Arial" w:cs="Arial" w:eastAsia="Arial" w:hAnsi="Arial"/>
                <w:sz w:val="14"/>
                <w:szCs w:val="14"/>
                <w:color w:val="auto"/>
              </w:rPr>
              <w:t>2008</w:t>
            </w:r>
          </w:p>
        </w:tc>
      </w:tr>
      <w:tr>
        <w:trPr>
          <w:trHeight w:val="137"/>
        </w:trPr>
        <w:tc>
          <w:tcPr>
            <w:tcW w:w="20" w:type="dxa"/>
            <w:vAlign w:val="bottom"/>
          </w:tcPr>
          <w:p>
            <w:pPr>
              <w:spacing w:after="0"/>
              <w:rPr>
                <w:sz w:val="11"/>
                <w:szCs w:val="11"/>
                <w:color w:val="auto"/>
              </w:rPr>
            </w:pPr>
          </w:p>
        </w:tc>
        <w:tc>
          <w:tcPr>
            <w:tcW w:w="2340" w:type="dxa"/>
            <w:vAlign w:val="bottom"/>
          </w:tcPr>
          <w:p>
            <w:pPr>
              <w:spacing w:after="0" w:line="137" w:lineRule="exact"/>
              <w:rPr>
                <w:sz w:val="20"/>
                <w:szCs w:val="20"/>
                <w:color w:val="auto"/>
              </w:rPr>
            </w:pPr>
            <w:r>
              <w:rPr>
                <w:rFonts w:ascii="Arial" w:cs="Arial" w:eastAsia="Arial" w:hAnsi="Arial"/>
                <w:sz w:val="14"/>
                <w:szCs w:val="14"/>
                <w:color w:val="auto"/>
              </w:rPr>
              <w:t>Guarantees of Non-Consolidated</w:t>
            </w: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Affiliates or Joint Venture</w:t>
            </w: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Obligations</w:t>
            </w:r>
          </w:p>
        </w:tc>
        <w:tc>
          <w:tcPr>
            <w:tcW w:w="6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$ 917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$ 703</w:t>
            </w:r>
          </w:p>
        </w:tc>
        <w:tc>
          <w:tcPr>
            <w:tcW w:w="760" w:type="dxa"/>
            <w:vAlign w:val="bottom"/>
          </w:tcPr>
          <w:p>
            <w:pPr>
              <w:jc w:val="right"/>
              <w:ind w:right="70"/>
              <w:spacing w:after="0" w:line="149" w:lineRule="exact"/>
              <w:rPr>
                <w:sz w:val="20"/>
                <w:szCs w:val="20"/>
                <w:color w:val="auto"/>
              </w:rPr>
            </w:pPr>
            <w:r>
              <w:rPr>
                <w:rFonts w:ascii="Arial" w:cs="Arial" w:eastAsia="Arial" w:hAnsi="Arial"/>
                <w:sz w:val="14"/>
                <w:szCs w:val="14"/>
                <w:color w:val="auto"/>
              </w:rPr>
              <w:t>$  93</w:t>
            </w:r>
          </w:p>
        </w:tc>
        <w:tc>
          <w:tcPr>
            <w:tcW w:w="6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   6</w:t>
            </w:r>
          </w:p>
        </w:tc>
        <w:tc>
          <w:tcPr>
            <w:tcW w:w="640" w:type="dxa"/>
            <w:vAlign w:val="bottom"/>
          </w:tcPr>
          <w:p>
            <w:pPr>
              <w:jc w:val="right"/>
              <w:ind w:right="70"/>
              <w:spacing w:after="0" w:line="149" w:lineRule="exact"/>
              <w:rPr>
                <w:sz w:val="20"/>
                <w:szCs w:val="20"/>
                <w:color w:val="auto"/>
              </w:rPr>
            </w:pPr>
            <w:r>
              <w:rPr>
                <w:rFonts w:ascii="Arial" w:cs="Arial" w:eastAsia="Arial" w:hAnsi="Arial"/>
                <w:sz w:val="14"/>
                <w:szCs w:val="14"/>
                <w:color w:val="auto"/>
              </w:rPr>
              <w:t>$ 115</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Guarantees of Obligations of Third</w:t>
            </w: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20"/>
              <w:spacing w:after="0" w:line="149" w:lineRule="exact"/>
              <w:rPr>
                <w:sz w:val="20"/>
                <w:szCs w:val="20"/>
                <w:color w:val="auto"/>
              </w:rPr>
            </w:pPr>
            <w:r>
              <w:rPr>
                <w:rFonts w:ascii="Arial" w:cs="Arial" w:eastAsia="Arial" w:hAnsi="Arial"/>
                <w:sz w:val="14"/>
                <w:szCs w:val="14"/>
                <w:color w:val="auto"/>
              </w:rPr>
              <w:t>Parties</w:t>
            </w:r>
          </w:p>
        </w:tc>
        <w:tc>
          <w:tcPr>
            <w:tcW w:w="6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256</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760" w:type="dxa"/>
            <w:vAlign w:val="bottom"/>
          </w:tcPr>
          <w:p>
            <w:pPr>
              <w:jc w:val="right"/>
              <w:ind w:right="70"/>
              <w:spacing w:after="0" w:line="149" w:lineRule="exact"/>
              <w:rPr>
                <w:sz w:val="20"/>
                <w:szCs w:val="20"/>
                <w:color w:val="auto"/>
              </w:rPr>
            </w:pPr>
            <w:r>
              <w:rPr>
                <w:rFonts w:ascii="Arial" w:cs="Arial" w:eastAsia="Arial" w:hAnsi="Arial"/>
                <w:sz w:val="14"/>
                <w:szCs w:val="14"/>
                <w:color w:val="auto"/>
              </w:rPr>
              <w:t>36</w:t>
            </w:r>
          </w:p>
        </w:tc>
        <w:tc>
          <w:tcPr>
            <w:tcW w:w="6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70"/>
              <w:spacing w:after="0" w:line="149" w:lineRule="exact"/>
              <w:rPr>
                <w:sz w:val="20"/>
                <w:szCs w:val="20"/>
                <w:color w:val="auto"/>
              </w:rPr>
            </w:pPr>
            <w:r>
              <w:rPr>
                <w:rFonts w:ascii="Arial" w:cs="Arial" w:eastAsia="Arial" w:hAnsi="Arial"/>
                <w:sz w:val="14"/>
                <w:szCs w:val="14"/>
                <w:color w:val="auto"/>
              </w:rPr>
              <w:t>26</w:t>
            </w:r>
          </w:p>
        </w:tc>
      </w:tr>
      <w:tr>
        <w:trPr>
          <w:trHeight w:val="188"/>
        </w:trPr>
        <w:tc>
          <w:tcPr>
            <w:tcW w:w="23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w w:val="93"/>
              </w:rPr>
              <w:t>Guarantees of Equilon Debt and Leases</w:t>
            </w:r>
          </w:p>
        </w:tc>
        <w:tc>
          <w:tcPr>
            <w:tcW w:w="6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238</w:t>
            </w: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41</w:t>
            </w:r>
          </w:p>
        </w:tc>
        <w:tc>
          <w:tcPr>
            <w:tcW w:w="760" w:type="dxa"/>
            <w:vAlign w:val="bottom"/>
            <w:tcBorders>
              <w:bottom w:val="single" w:sz="8" w:color="0070FF"/>
            </w:tcBorders>
          </w:tcPr>
          <w:p>
            <w:pPr>
              <w:jc w:val="right"/>
              <w:ind w:right="70"/>
              <w:spacing w:after="0"/>
              <w:rPr>
                <w:sz w:val="20"/>
                <w:szCs w:val="20"/>
                <w:color w:val="auto"/>
              </w:rPr>
            </w:pPr>
            <w:r>
              <w:rPr>
                <w:rFonts w:ascii="Arial" w:cs="Arial" w:eastAsia="Arial" w:hAnsi="Arial"/>
                <w:sz w:val="14"/>
                <w:szCs w:val="14"/>
                <w:color w:val="auto"/>
              </w:rPr>
              <w:t>60</w:t>
            </w:r>
          </w:p>
        </w:tc>
        <w:tc>
          <w:tcPr>
            <w:tcW w:w="6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18</w:t>
            </w:r>
          </w:p>
        </w:tc>
        <w:tc>
          <w:tcPr>
            <w:tcW w:w="640" w:type="dxa"/>
            <w:vAlign w:val="bottom"/>
            <w:tcBorders>
              <w:bottom w:val="single" w:sz="8" w:color="0070FF"/>
            </w:tcBorders>
          </w:tcPr>
          <w:p>
            <w:pPr>
              <w:jc w:val="right"/>
              <w:ind w:right="70"/>
              <w:spacing w:after="0"/>
              <w:rPr>
                <w:sz w:val="20"/>
                <w:szCs w:val="20"/>
                <w:color w:val="auto"/>
              </w:rPr>
            </w:pPr>
            <w:r>
              <w:rPr>
                <w:rFonts w:ascii="Arial" w:cs="Arial" w:eastAsia="Arial" w:hAnsi="Arial"/>
                <w:sz w:val="14"/>
                <w:szCs w:val="14"/>
                <w:color w:val="auto"/>
              </w:rPr>
              <w:t>119</w:t>
            </w:r>
          </w:p>
        </w:tc>
      </w:tr>
    </w:tbl>
    <w:p>
      <w:pPr>
        <w:ind w:left="121" w:right="20" w:hanging="121"/>
        <w:spacing w:after="0" w:line="318" w:lineRule="auto"/>
        <w:tabs>
          <w:tab w:leader="none" w:pos="121"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amounts exclude indemnifications of contingencies associated with the sale of the company’s interest in Equilon and Motiva in 2002, as discussed in the “Indemnifications” section on page FS-14.</w:t>
      </w:r>
    </w:p>
    <w:p>
      <w:pPr>
        <w:spacing w:after="0" w:line="141" w:lineRule="exact"/>
        <w:rPr>
          <w:rFonts w:ascii="Arial" w:cs="Arial" w:eastAsia="Arial" w:hAnsi="Arial"/>
          <w:sz w:val="13"/>
          <w:szCs w:val="13"/>
          <w:color w:val="auto"/>
        </w:rPr>
      </w:pPr>
    </w:p>
    <w:p>
      <w:pPr>
        <w:ind w:left="1" w:right="20" w:firstLine="194"/>
        <w:spacing w:after="0" w:line="282" w:lineRule="auto"/>
        <w:rPr>
          <w:sz w:val="20"/>
          <w:szCs w:val="20"/>
          <w:color w:val="auto"/>
        </w:rPr>
      </w:pPr>
      <w:r>
        <w:rPr>
          <w:rFonts w:ascii="Arial" w:cs="Arial" w:eastAsia="Arial" w:hAnsi="Arial"/>
          <w:sz w:val="15"/>
          <w:szCs w:val="15"/>
          <w:color w:val="auto"/>
        </w:rPr>
        <w:t>At December 31, 2003, the company and its subsidiaries provided guarantees, either directly or indirectly, of $917 million in guarantees for notes and other contractual obligations of affiliated companies and $256 million for third parties as described, by major category, below. There are no amounts being carried as liabilities for the company’s obligations under these guarantees. Of the $917 million in guarantees provided to affiliates, $716 million relate to borrowings for capital projects or general corporate purposes. These guarantees were undertaken to achieve lower interest rates and generally cover the construction period of the capital projects. Approximately 75 percent of the amounts guaranteed will expire in 2004, with the remaining guarantees expiring by the end of 2015. Under the terms of the guarantees, the company would be required to fulfill the guarantee should an affiliate be in default of its loan terms, generally for the full amounts disclosed. There are no recourse provisions, and no assets are held as collateral for these guarantees.</w:t>
      </w:r>
    </w:p>
    <w:p>
      <w:pPr>
        <w:spacing w:after="0" w:line="3" w:lineRule="exact"/>
        <w:rPr>
          <w:rFonts w:ascii="Arial" w:cs="Arial" w:eastAsia="Arial" w:hAnsi="Arial"/>
          <w:sz w:val="13"/>
          <w:szCs w:val="13"/>
          <w:color w:val="auto"/>
        </w:rPr>
      </w:pPr>
    </w:p>
    <w:p>
      <w:pPr>
        <w:ind w:left="1" w:right="60" w:firstLine="200"/>
        <w:spacing w:after="0" w:line="281" w:lineRule="auto"/>
        <w:rPr>
          <w:sz w:val="20"/>
          <w:szCs w:val="20"/>
          <w:color w:val="auto"/>
        </w:rPr>
      </w:pPr>
      <w:r>
        <w:rPr>
          <w:rFonts w:ascii="Arial" w:cs="Arial" w:eastAsia="Arial" w:hAnsi="Arial"/>
          <w:sz w:val="15"/>
          <w:szCs w:val="15"/>
          <w:color w:val="auto"/>
        </w:rPr>
        <w:t>The company provides guarantees of $201 million relating to obligations in connection with pricing of power purchase agreements for certain of its cogeneration affiliates. Under the terms of these guarantees, the company may be required to make payments under certain conditions if the affiliate does not perform under the agreements. There are no recourse provisions to third parties, and no assets are held as collateral for these pricing guarantees.</w:t>
      </w:r>
    </w:p>
    <w:p>
      <w:pPr>
        <w:spacing w:after="0" w:line="4" w:lineRule="exact"/>
        <w:rPr>
          <w:rFonts w:ascii="Arial" w:cs="Arial" w:eastAsia="Arial" w:hAnsi="Arial"/>
          <w:sz w:val="13"/>
          <w:szCs w:val="13"/>
          <w:color w:val="auto"/>
        </w:rPr>
      </w:pPr>
    </w:p>
    <w:p>
      <w:pPr>
        <w:ind w:left="1" w:right="20" w:firstLine="203"/>
        <w:spacing w:after="0" w:line="301" w:lineRule="auto"/>
        <w:rPr>
          <w:sz w:val="20"/>
          <w:szCs w:val="20"/>
          <w:color w:val="auto"/>
        </w:rPr>
      </w:pPr>
      <w:r>
        <w:rPr>
          <w:rFonts w:ascii="Arial" w:cs="Arial" w:eastAsia="Arial" w:hAnsi="Arial"/>
          <w:sz w:val="14"/>
          <w:szCs w:val="14"/>
          <w:color w:val="auto"/>
        </w:rPr>
        <w:t>Guarantees of $256 million have been provided to third parties, including guarantees of approximately $110 million of construction loans to host governments in the company’s international upstream operations. The remaining guarantees of $146 million were provided principally as conditions of sale of the company’s interest in certain operations, to provide a source of liquidity to the guaranteed parties and in connection with company marketing programs. No amounts of the company’s obligations under these guarantees are recorded as liabilities. About</w:t>
      </w:r>
    </w:p>
    <w:p>
      <w:pPr>
        <w:spacing w:after="0" w:line="5" w:lineRule="exact"/>
        <w:rPr>
          <w:rFonts w:ascii="Arial" w:cs="Arial" w:eastAsia="Arial" w:hAnsi="Arial"/>
          <w:sz w:val="13"/>
          <w:szCs w:val="13"/>
          <w:color w:val="auto"/>
        </w:rPr>
      </w:pPr>
    </w:p>
    <w:p>
      <w:pPr>
        <w:ind w:left="1" w:right="100"/>
        <w:spacing w:after="0" w:line="264" w:lineRule="auto"/>
        <w:rPr>
          <w:sz w:val="20"/>
          <w:szCs w:val="20"/>
          <w:color w:val="auto"/>
        </w:rPr>
      </w:pPr>
      <w:r>
        <w:rPr>
          <w:rFonts w:ascii="Arial" w:cs="Arial" w:eastAsia="Arial" w:hAnsi="Arial"/>
          <w:sz w:val="16"/>
          <w:szCs w:val="16"/>
          <w:color w:val="auto"/>
        </w:rPr>
        <w:t>75 percent of the total amounts guaranteed will expire in 2004, with the remainder expiring after 2004. The company would be required to perform under the terms of the guarantees should an entity be in default of its loan or contract terms, generally for the full amounts disclosed. Approximately $100 million of the guarantees have recourse provisions, which enable the company to recover any payments made under the terms of the guarantees from securities held over the guaranteed parties’ assets.</w:t>
      </w:r>
    </w:p>
    <w:p>
      <w:pPr>
        <w:spacing w:after="0" w:line="1" w:lineRule="exact"/>
        <w:rPr>
          <w:rFonts w:ascii="Arial" w:cs="Arial" w:eastAsia="Arial" w:hAnsi="Arial"/>
          <w:sz w:val="13"/>
          <w:szCs w:val="13"/>
          <w:color w:val="auto"/>
        </w:rPr>
      </w:pPr>
    </w:p>
    <w:p>
      <w:pPr>
        <w:ind w:left="1" w:right="480" w:firstLine="194"/>
        <w:spacing w:after="0" w:line="272" w:lineRule="auto"/>
        <w:rPr>
          <w:sz w:val="20"/>
          <w:szCs w:val="20"/>
          <w:color w:val="auto"/>
        </w:rPr>
      </w:pPr>
      <w:r>
        <w:rPr>
          <w:rFonts w:ascii="Arial" w:cs="Arial" w:eastAsia="Arial" w:hAnsi="Arial"/>
          <w:sz w:val="16"/>
          <w:szCs w:val="16"/>
          <w:color w:val="auto"/>
        </w:rPr>
        <w:t>At December 31, 2003, ChevronTexaco had outstanding guarantees for approximately $238 million of Equilon debt and leases. Following the February 2002 disposition of its interest in Equilon, the company received an indemnification from Shell</w:t>
      </w:r>
    </w:p>
    <w:p>
      <w:pPr>
        <w:spacing w:after="0" w:line="200" w:lineRule="exact"/>
        <w:rPr>
          <w:rFonts w:ascii="Arial" w:cs="Arial" w:eastAsia="Arial" w:hAnsi="Arial"/>
          <w:sz w:val="13"/>
          <w:szCs w:val="13"/>
          <w:color w:val="auto"/>
        </w:rPr>
      </w:pPr>
    </w:p>
    <w:p>
      <w:pPr>
        <w:sectPr>
          <w:pgSz w:w="11900" w:h="16838" w:orient="portrait"/>
          <w:cols w:equalWidth="0" w:num="2">
            <w:col w:w="5480" w:space="399"/>
            <w:col w:w="5481"/>
          </w:cols>
          <w:pgMar w:left="240" w:top="419" w:right="299" w:bottom="1440" w:gutter="0" w:footer="0" w:header="0"/>
        </w:sectPr>
      </w:pPr>
    </w:p>
    <w:p>
      <w:pPr>
        <w:spacing w:after="0" w:line="246" w:lineRule="exact"/>
        <w:rPr>
          <w:rFonts w:ascii="Arial" w:cs="Arial" w:eastAsia="Arial" w:hAnsi="Arial"/>
          <w:sz w:val="13"/>
          <w:szCs w:val="13"/>
          <w:color w:val="auto"/>
        </w:rPr>
      </w:pPr>
    </w:p>
    <w:p>
      <w:pPr>
        <w:jc w:val="center"/>
        <w:ind w:right="-59"/>
        <w:spacing w:after="0"/>
        <w:rPr>
          <w:sz w:val="20"/>
          <w:szCs w:val="20"/>
          <w:color w:val="auto"/>
        </w:rPr>
      </w:pPr>
      <w:r>
        <w:rPr>
          <w:rFonts w:ascii="Arial" w:cs="Arial" w:eastAsia="Arial" w:hAnsi="Arial"/>
          <w:sz w:val="13"/>
          <w:szCs w:val="13"/>
          <w:color w:val="auto"/>
        </w:rPr>
        <w:t>FS-13</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25"/>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ectPr>
          <w:pgSz w:w="11900" w:h="16838" w:orient="portrait"/>
          <w:cols w:equalWidth="0" w:num="1">
            <w:col w:w="11340"/>
          </w:cols>
          <w:pgMar w:left="240" w:top="41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Oil Company (Shell) for any claims arising from the guarantees. Accordingly, the company has not recorded a liability for these guarantees. Approximately</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50 percent of the amounts guaranteed will expire within the 2004–2008 period, with the guarantees of the remaining amounts expiring by 2019.</w:t>
      </w:r>
    </w:p>
    <w:p>
      <w:pPr>
        <w:ind w:firstLine="203"/>
        <w:spacing w:after="0" w:line="281" w:lineRule="auto"/>
        <w:rPr>
          <w:sz w:val="20"/>
          <w:szCs w:val="20"/>
          <w:color w:val="auto"/>
        </w:rPr>
      </w:pPr>
      <w:r>
        <w:rPr>
          <w:rFonts w:ascii="Arial" w:cs="Arial" w:eastAsia="Arial" w:hAnsi="Arial"/>
          <w:sz w:val="15"/>
          <w:szCs w:val="15"/>
          <w:i w:val="1"/>
          <w:iCs w:val="1"/>
          <w:color w:val="F20000"/>
        </w:rPr>
        <w:t xml:space="preserve">Indemnifications </w:t>
      </w:r>
      <w:r>
        <w:rPr>
          <w:rFonts w:ascii="Arial" w:cs="Arial" w:eastAsia="Arial" w:hAnsi="Arial"/>
          <w:sz w:val="15"/>
          <w:szCs w:val="15"/>
          <w:color w:val="000000"/>
        </w:rPr>
        <w:t>The company also provided certain indemnities of contingent</w:t>
      </w:r>
      <w:r>
        <w:rPr>
          <w:rFonts w:ascii="Arial" w:cs="Arial" w:eastAsia="Arial" w:hAnsi="Arial"/>
          <w:sz w:val="15"/>
          <w:szCs w:val="15"/>
          <w:i w:val="1"/>
          <w:iCs w:val="1"/>
          <w:color w:val="F20000"/>
        </w:rPr>
        <w:t xml:space="preserve"> </w:t>
      </w:r>
      <w:r>
        <w:rPr>
          <w:rFonts w:ascii="Arial" w:cs="Arial" w:eastAsia="Arial" w:hAnsi="Arial"/>
          <w:sz w:val="15"/>
          <w:szCs w:val="15"/>
          <w:color w:val="000000"/>
        </w:rPr>
        <w:t>liabilities of Equilon and Motiva to Shell and Saudi Refining Inc. in connection with the February 2002 sale of the company’s interests in those investments. The indemnities cover certain contingent liabilities, including those associated with the Unocal patent litigation. The company would be required to perform should the indemnified liabilities become actual losses and could be required to make maximum future payments of $300 million. The company has paid approximately $28 million under these contingencies and has disputed approximately $34 million in claims submitted by Shell under these indemnities. Shell has requested arbitration of this dispute, which is expected to occur in mid-2004. There are no recourse provisions enabling recovery of any amounts from third parties nor are any assets held as collateral. Within five years of the February 2002 sale, at the buyer’s option, the company also may be required to purchase certain assets from Shell for their respective net book values, as determined at the time of the company’s purchase. Under these terms, the company purchased two lubricant facilities in late 2003 for immaterial amounts.</w:t>
      </w:r>
    </w:p>
    <w:p>
      <w:pPr>
        <w:spacing w:after="0" w:line="10" w:lineRule="exact"/>
        <w:rPr>
          <w:sz w:val="20"/>
          <w:szCs w:val="20"/>
          <w:color w:val="auto"/>
        </w:rPr>
      </w:pPr>
    </w:p>
    <w:p>
      <w:pPr>
        <w:ind w:right="20" w:firstLine="200"/>
        <w:spacing w:after="0" w:line="281" w:lineRule="auto"/>
        <w:rPr>
          <w:sz w:val="20"/>
          <w:szCs w:val="20"/>
          <w:color w:val="auto"/>
        </w:rPr>
      </w:pPr>
      <w:r>
        <w:rPr>
          <w:rFonts w:ascii="Arial" w:cs="Arial" w:eastAsia="Arial" w:hAnsi="Arial"/>
          <w:sz w:val="15"/>
          <w:szCs w:val="15"/>
          <w:color w:val="auto"/>
        </w:rPr>
        <w:t>The company has also provided indemnities relating to contingent environmental liabilities related to assets originally contributed by Texaco to the Equilon and Motiva joint ventures and environmental conditions that existed prior to the formation of Equilon and Motiva or that occurred during the periods of ChevronTexaco’s ownership interests in the joint ventures. In general, the environmental conditions or events that are subject to these indemnities must have arisen prior to December 2001. Claims relating to Equilon must be asserted no later than February 2009, and claims relating to Motiva must be asserted no later than February 2012. Under the terms of the indemnities, there is no maximum limit on the amount of potential future payments. The company has not recorded any liabilities for possible claims under these indemnities. The company holds no assets as collateral and has made no payments under the indemnities.</w:t>
      </w:r>
    </w:p>
    <w:p>
      <w:pPr>
        <w:spacing w:after="0" w:line="8" w:lineRule="exact"/>
        <w:rPr>
          <w:sz w:val="20"/>
          <w:szCs w:val="20"/>
          <w:color w:val="auto"/>
        </w:rPr>
      </w:pPr>
    </w:p>
    <w:p>
      <w:pPr>
        <w:ind w:right="40" w:firstLine="200"/>
        <w:spacing w:after="0" w:line="332" w:lineRule="auto"/>
        <w:rPr>
          <w:sz w:val="20"/>
          <w:szCs w:val="20"/>
          <w:color w:val="auto"/>
        </w:rPr>
      </w:pPr>
      <w:r>
        <w:rPr>
          <w:rFonts w:ascii="Arial" w:cs="Arial" w:eastAsia="Arial" w:hAnsi="Arial"/>
          <w:sz w:val="14"/>
          <w:szCs w:val="14"/>
          <w:color w:val="auto"/>
        </w:rPr>
        <w:t>The amounts payable for the indemnities described above are to be net of amounts recovered from insurance carriers and others and net of liabilities recorded by Equilon or Motiva prior to September 30, 2001, for any specific incident.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203"/>
        <w:spacing w:after="0" w:line="282" w:lineRule="auto"/>
        <w:rPr>
          <w:sz w:val="20"/>
          <w:szCs w:val="20"/>
          <w:color w:val="auto"/>
        </w:rPr>
      </w:pPr>
      <w:r>
        <w:rPr>
          <w:rFonts w:ascii="Arial" w:cs="Arial" w:eastAsia="Arial" w:hAnsi="Arial"/>
          <w:sz w:val="15"/>
          <w:szCs w:val="15"/>
          <w:i w:val="1"/>
          <w:iCs w:val="1"/>
          <w:color w:val="F20000"/>
        </w:rPr>
        <w:t xml:space="preserve">Securitization </w:t>
      </w:r>
      <w:r>
        <w:rPr>
          <w:rFonts w:ascii="Arial" w:cs="Arial" w:eastAsia="Arial" w:hAnsi="Arial"/>
          <w:sz w:val="15"/>
          <w:szCs w:val="15"/>
          <w:color w:val="000000"/>
        </w:rPr>
        <w:t>In other off-balance-sheet arrangements, the company securitizes</w:t>
      </w:r>
      <w:r>
        <w:rPr>
          <w:rFonts w:ascii="Arial" w:cs="Arial" w:eastAsia="Arial" w:hAnsi="Arial"/>
          <w:sz w:val="15"/>
          <w:szCs w:val="15"/>
          <w:i w:val="1"/>
          <w:iCs w:val="1"/>
          <w:color w:val="F20000"/>
        </w:rPr>
        <w:t xml:space="preserve"> </w:t>
      </w:r>
      <w:r>
        <w:rPr>
          <w:rFonts w:ascii="Arial" w:cs="Arial" w:eastAsia="Arial" w:hAnsi="Arial"/>
          <w:sz w:val="15"/>
          <w:szCs w:val="15"/>
          <w:color w:val="000000"/>
        </w:rPr>
        <w:t>certain retail and trade accounts receivable in its downstream business through the use of qualifying special purpose entities (SPEs). At December 31, 2003, approximately $1 billion, representing about 11 percent of ChevronTexaco’s total current accounts receivable balance, were securitized. ChevronTexaco’s total estimated financial exposure under these arrangements at December 31, 2003, was approximately $75 million. These arrangements have the effect of accelerating ChevronTexaco’s collection of the securitized amounts. In the event the SPEs experienced major defaults in the collection of receivables, ChevronTexaco believes that it would have no loss exposure connected with third-party investments in these securitization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-1451610</wp:posOffset>
            </wp:positionV>
            <wp:extent cx="8890" cy="4973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4973955"/>
                    </a:xfrm>
                    <a:prstGeom prst="rect">
                      <a:avLst/>
                    </a:prstGeom>
                    <a:noFill/>
                  </pic:spPr>
                </pic:pic>
              </a:graphicData>
            </a:graphic>
          </wp:anchor>
        </w:drawing>
      </w:r>
    </w:p>
    <w:p>
      <w:pPr>
        <w:ind w:right="20" w:firstLine="203"/>
        <w:spacing w:after="0" w:line="301" w:lineRule="auto"/>
        <w:rPr>
          <w:sz w:val="20"/>
          <w:szCs w:val="20"/>
          <w:color w:val="auto"/>
        </w:rPr>
      </w:pPr>
      <w:r>
        <w:rPr>
          <w:rFonts w:ascii="Arial" w:cs="Arial" w:eastAsia="Arial" w:hAnsi="Arial"/>
          <w:sz w:val="14"/>
          <w:szCs w:val="14"/>
          <w:i w:val="1"/>
          <w:iCs w:val="1"/>
          <w:color w:val="F20000"/>
        </w:rPr>
        <w:t xml:space="preserve">Long-Term Unconditional Purchase Obligations and Commitments, Throughput Agreements, and Take-or-Pay Agreements </w:t>
      </w:r>
      <w:r>
        <w:rPr>
          <w:rFonts w:ascii="Arial" w:cs="Arial" w:eastAsia="Arial" w:hAnsi="Arial"/>
          <w:sz w:val="14"/>
          <w:szCs w:val="14"/>
          <w:color w:val="000000"/>
        </w:rPr>
        <w:t>The company and its subsidiaries have</w:t>
      </w:r>
      <w:r>
        <w:rPr>
          <w:rFonts w:ascii="Arial" w:cs="Arial" w:eastAsia="Arial" w:hAnsi="Arial"/>
          <w:sz w:val="14"/>
          <w:szCs w:val="14"/>
          <w:i w:val="1"/>
          <w:iCs w:val="1"/>
          <w:color w:val="F20000"/>
        </w:rPr>
        <w:t xml:space="preserve"> </w:t>
      </w:r>
      <w:r>
        <w:rPr>
          <w:rFonts w:ascii="Arial" w:cs="Arial" w:eastAsia="Arial" w:hAnsi="Arial"/>
          <w:sz w:val="14"/>
          <w:szCs w:val="14"/>
          <w:color w:val="000000"/>
        </w:rPr>
        <w:t>certain other contingent liabilities relating to long-term unconditional purchase obligations and commitments, throughput agreements, and take-or-pay agreements, some of which relate to suppliers’ financing arrangements. The agreements typically provide goods and services, such as pipeline and storage capacity, utilities, and petroleum products, to be used or sold in the ordinary course of the company’s business. The aggregate amounts of required payments under these various commitments are: 2004 – $1.2 billion; 2005 – $1.1 billion; 2006 – $1 billion; 2007</w:t>
      </w:r>
    </w:p>
    <w:p>
      <w:pPr>
        <w:spacing w:after="0" w:line="6"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 $1 billion; 2008 – $1 billion; 2009 and after – $1.9 billion. Total payments under the agreements were approximately $1.4 billion in 2003, $1.2 billion in 2002 and $1.5 billion in 2001. The most significant take-or-pay agreement calls for the company to purchase approximately 55,000 barrels per day of refined products from an equity affiliate refiner in Thailand. This purchase agreement is in conjunction with the financing of a refinery owned by the affiliate and expires in 2009. The future estimated commitments under this contract are: 2004 – $700 million; 2005 – $800 million; 2006 – $800 million; 2007 – $800 million; 2008 – $800 million; 2009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$800 million.</w:t>
      </w:r>
    </w:p>
    <w:p>
      <w:pPr>
        <w:spacing w:after="0" w:line="19" w:lineRule="exact"/>
        <w:rPr>
          <w:sz w:val="20"/>
          <w:szCs w:val="20"/>
          <w:color w:val="auto"/>
        </w:rPr>
      </w:pPr>
    </w:p>
    <w:p>
      <w:pPr>
        <w:ind w:right="20" w:firstLine="203"/>
        <w:spacing w:after="0" w:line="287" w:lineRule="auto"/>
        <w:rPr>
          <w:sz w:val="20"/>
          <w:szCs w:val="20"/>
          <w:color w:val="auto"/>
        </w:rPr>
      </w:pPr>
      <w:r>
        <w:rPr>
          <w:rFonts w:ascii="Arial" w:cs="Arial" w:eastAsia="Arial" w:hAnsi="Arial"/>
          <w:sz w:val="15"/>
          <w:szCs w:val="15"/>
          <w:i w:val="1"/>
          <w:iCs w:val="1"/>
          <w:color w:val="F20000"/>
        </w:rPr>
        <w:t xml:space="preserve">Minority Interests </w:t>
      </w:r>
      <w:r>
        <w:rPr>
          <w:rFonts w:ascii="Arial" w:cs="Arial" w:eastAsia="Arial" w:hAnsi="Arial"/>
          <w:sz w:val="15"/>
          <w:szCs w:val="15"/>
          <w:color w:val="000000"/>
        </w:rPr>
        <w:t>The company has commitments related to preferred shares of</w:t>
      </w:r>
      <w:r>
        <w:rPr>
          <w:rFonts w:ascii="Arial" w:cs="Arial" w:eastAsia="Arial" w:hAnsi="Arial"/>
          <w:sz w:val="15"/>
          <w:szCs w:val="15"/>
          <w:i w:val="1"/>
          <w:iCs w:val="1"/>
          <w:color w:val="F20000"/>
        </w:rPr>
        <w:t xml:space="preserve"> </w:t>
      </w:r>
      <w:r>
        <w:rPr>
          <w:rFonts w:ascii="Arial" w:cs="Arial" w:eastAsia="Arial" w:hAnsi="Arial"/>
          <w:sz w:val="15"/>
          <w:szCs w:val="15"/>
          <w:color w:val="000000"/>
        </w:rPr>
        <w:t>subsidiary companies that are accounted for as minority interest. Texaco Capital LLC, a wholly owned finance subsidiary, has issued $65 million of Deferred Preferred Shares Series C. Dividends of approximately $60 million on Series C, at a rate of 7.17 percent compounded annually, will be paid at the redemption date in February 2005 unless earlier redemption occurs. Early redemption may result upon the occurrence of certain specific events. MVP Production Inc., a subsidiary, redeemed variable rate cumulative preferred shares of $75 million owned by one minority holder during 2003.</w:t>
      </w:r>
    </w:p>
    <w:p>
      <w:pPr>
        <w:spacing w:after="0" w:line="200" w:lineRule="exact"/>
        <w:rPr>
          <w:sz w:val="20"/>
          <w:szCs w:val="20"/>
          <w:color w:val="auto"/>
        </w:rPr>
      </w:pPr>
    </w:p>
    <w:p>
      <w:pPr>
        <w:sectPr>
          <w:pgSz w:w="11900" w:h="16838" w:orient="portrait"/>
          <w:cols w:equalWidth="0" w:num="2">
            <w:col w:w="5480" w:space="400"/>
            <w:col w:w="5460"/>
          </w:cols>
          <w:pgMar w:left="240" w:top="419" w:right="319" w:bottom="1440" w:gutter="0" w:footer="0" w:header="0"/>
          <w:type w:val="continuous"/>
        </w:sect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720" w:firstLine="200"/>
        <w:spacing w:after="0" w:line="293" w:lineRule="auto"/>
        <w:rPr>
          <w:sz w:val="20"/>
          <w:szCs w:val="20"/>
          <w:color w:val="auto"/>
        </w:rPr>
      </w:pPr>
      <w:r>
        <w:rPr>
          <w:rFonts w:ascii="Arial" w:cs="Arial" w:eastAsia="Arial" w:hAnsi="Arial"/>
          <w:sz w:val="16"/>
          <w:szCs w:val="16"/>
          <w:color w:val="auto"/>
        </w:rPr>
        <w:t>The following table summarizes the company’s significant contractual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Contractual Obligations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ind w:left="20"/>
              <w:spacing w:after="0"/>
              <w:rPr>
                <w:sz w:val="20"/>
                <w:szCs w:val="20"/>
                <w:color w:val="auto"/>
              </w:rPr>
            </w:pPr>
            <w:r>
              <w:rPr>
                <w:rFonts w:ascii="Arial" w:cs="Arial" w:eastAsia="Arial" w:hAnsi="Arial"/>
                <w:sz w:val="14"/>
                <w:szCs w:val="14"/>
                <w:color w:val="auto"/>
              </w:rPr>
              <w:t>Millions of dollars</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5"/>
          </w:tcPr>
          <w:p>
            <w:pPr>
              <w:ind w:left="100"/>
              <w:spacing w:after="0"/>
              <w:rPr>
                <w:sz w:val="20"/>
                <w:szCs w:val="20"/>
                <w:color w:val="auto"/>
              </w:rPr>
            </w:pPr>
            <w:r>
              <w:rPr>
                <w:rFonts w:ascii="Arial" w:cs="Arial" w:eastAsia="Arial" w:hAnsi="Arial"/>
                <w:sz w:val="14"/>
                <w:szCs w:val="14"/>
                <w:color w:val="auto"/>
                <w:w w:val="86"/>
              </w:rPr>
              <w:t>Payments Due by Period</w:t>
            </w:r>
          </w:p>
        </w:tc>
      </w:tr>
      <w:tr>
        <w:trPr>
          <w:trHeight w:val="131"/>
        </w:trPr>
        <w:tc>
          <w:tcPr>
            <w:tcW w:w="1960" w:type="dxa"/>
            <w:vAlign w:val="bottom"/>
            <w:tcBorders>
              <w:top w:val="single" w:sz="8" w:color="0070FF"/>
            </w:tcBorders>
          </w:tcPr>
          <w:p>
            <w:pPr>
              <w:spacing w:after="0"/>
              <w:rPr>
                <w:sz w:val="11"/>
                <w:szCs w:val="11"/>
                <w:color w:val="auto"/>
              </w:rPr>
            </w:pPr>
          </w:p>
        </w:tc>
        <w:tc>
          <w:tcPr>
            <w:tcW w:w="740" w:type="dxa"/>
            <w:vAlign w:val="bottom"/>
            <w:tcBorders>
              <w:top w:val="single" w:sz="8" w:color="0070FF"/>
            </w:tcBorders>
          </w:tcPr>
          <w:p>
            <w:pPr>
              <w:spacing w:after="0"/>
              <w:rPr>
                <w:sz w:val="11"/>
                <w:szCs w:val="11"/>
                <w:color w:val="auto"/>
              </w:rPr>
            </w:pPr>
          </w:p>
        </w:tc>
        <w:tc>
          <w:tcPr>
            <w:tcW w:w="680" w:type="dxa"/>
            <w:vAlign w:val="bottom"/>
            <w:tcBorders>
              <w:top w:val="single" w:sz="8" w:color="0070FF"/>
            </w:tcBorders>
          </w:tcPr>
          <w:p>
            <w:pPr>
              <w:spacing w:after="0"/>
              <w:rPr>
                <w:sz w:val="11"/>
                <w:szCs w:val="11"/>
                <w:color w:val="auto"/>
              </w:rPr>
            </w:pPr>
          </w:p>
        </w:tc>
        <w:tc>
          <w:tcPr>
            <w:tcW w:w="220" w:type="dxa"/>
            <w:vAlign w:val="bottom"/>
            <w:tcBorders>
              <w:top w:val="single" w:sz="8" w:color="0070FF"/>
            </w:tcBorders>
          </w:tcPr>
          <w:p>
            <w:pPr>
              <w:spacing w:after="0"/>
              <w:rPr>
                <w:sz w:val="11"/>
                <w:szCs w:val="11"/>
                <w:color w:val="auto"/>
              </w:rPr>
            </w:pPr>
          </w:p>
        </w:tc>
        <w:tc>
          <w:tcPr>
            <w:tcW w:w="440" w:type="dxa"/>
            <w:vAlign w:val="bottom"/>
            <w:tcBorders>
              <w:top w:val="single" w:sz="8" w:color="0070FF"/>
            </w:tcBorders>
          </w:tcPr>
          <w:p>
            <w:pPr>
              <w:jc w:val="right"/>
              <w:ind w:right="9"/>
              <w:spacing w:after="0" w:line="131" w:lineRule="exact"/>
              <w:rPr>
                <w:sz w:val="20"/>
                <w:szCs w:val="20"/>
                <w:color w:val="auto"/>
              </w:rPr>
            </w:pPr>
            <w:r>
              <w:rPr>
                <w:rFonts w:ascii="Arial" w:cs="Arial" w:eastAsia="Arial" w:hAnsi="Arial"/>
                <w:sz w:val="14"/>
                <w:szCs w:val="14"/>
                <w:color w:val="auto"/>
                <w:w w:val="87"/>
              </w:rPr>
              <w:t>2005–</w:t>
            </w:r>
          </w:p>
        </w:tc>
        <w:tc>
          <w:tcPr>
            <w:tcW w:w="260" w:type="dxa"/>
            <w:vAlign w:val="bottom"/>
            <w:tcBorders>
              <w:top w:val="single" w:sz="8" w:color="0070FF"/>
            </w:tcBorders>
          </w:tcPr>
          <w:p>
            <w:pPr>
              <w:spacing w:after="0"/>
              <w:rPr>
                <w:sz w:val="11"/>
                <w:szCs w:val="11"/>
                <w:color w:val="auto"/>
              </w:rPr>
            </w:pPr>
          </w:p>
        </w:tc>
        <w:tc>
          <w:tcPr>
            <w:tcW w:w="500" w:type="dxa"/>
            <w:vAlign w:val="bottom"/>
            <w:tcBorders>
              <w:top w:val="single" w:sz="8" w:color="0070FF"/>
            </w:tcBorders>
          </w:tcPr>
          <w:p>
            <w:pPr>
              <w:spacing w:after="0"/>
              <w:rPr>
                <w:sz w:val="11"/>
                <w:szCs w:val="11"/>
                <w:color w:val="auto"/>
              </w:rPr>
            </w:pPr>
          </w:p>
        </w:tc>
        <w:tc>
          <w:tcPr>
            <w:tcW w:w="240" w:type="dxa"/>
            <w:vAlign w:val="bottom"/>
            <w:tcBorders>
              <w:top w:val="single" w:sz="8" w:color="0070FF"/>
            </w:tcBorders>
          </w:tcPr>
          <w:p>
            <w:pPr>
              <w:spacing w:after="0"/>
              <w:rPr>
                <w:sz w:val="11"/>
                <w:szCs w:val="11"/>
                <w:color w:val="auto"/>
              </w:rPr>
            </w:pPr>
          </w:p>
        </w:tc>
        <w:tc>
          <w:tcPr>
            <w:tcW w:w="440" w:type="dxa"/>
            <w:vAlign w:val="bottom"/>
            <w:tcBorders>
              <w:top w:val="single" w:sz="8" w:color="0070FF"/>
            </w:tcBorders>
          </w:tcPr>
          <w:p>
            <w:pPr>
              <w:jc w:val="right"/>
              <w:spacing w:after="0" w:line="131" w:lineRule="exact"/>
              <w:rPr>
                <w:sz w:val="20"/>
                <w:szCs w:val="20"/>
                <w:color w:val="auto"/>
              </w:rPr>
            </w:pPr>
            <w:r>
              <w:rPr>
                <w:rFonts w:ascii="Arial" w:cs="Arial" w:eastAsia="Arial" w:hAnsi="Arial"/>
                <w:sz w:val="14"/>
                <w:szCs w:val="14"/>
                <w:color w:val="auto"/>
              </w:rPr>
              <w:t>After</w:t>
            </w:r>
          </w:p>
        </w:tc>
        <w:tc>
          <w:tcPr>
            <w:tcW w:w="20" w:type="dxa"/>
            <w:vAlign w:val="bottom"/>
          </w:tcPr>
          <w:p>
            <w:pPr>
              <w:spacing w:after="0"/>
              <w:rPr>
                <w:sz w:val="11"/>
                <w:szCs w:val="11"/>
                <w:color w:val="auto"/>
              </w:rPr>
            </w:pPr>
          </w:p>
        </w:tc>
      </w:tr>
      <w:tr>
        <w:trPr>
          <w:trHeight w:val="159"/>
        </w:trPr>
        <w:tc>
          <w:tcPr>
            <w:tcW w:w="196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29"/>
              <w:spacing w:after="0" w:line="159" w:lineRule="exact"/>
              <w:rPr>
                <w:sz w:val="20"/>
                <w:szCs w:val="20"/>
                <w:color w:val="auto"/>
              </w:rPr>
            </w:pPr>
            <w:r>
              <w:rPr>
                <w:rFonts w:ascii="Arial" w:cs="Arial" w:eastAsia="Arial" w:hAnsi="Arial"/>
                <w:sz w:val="14"/>
                <w:szCs w:val="14"/>
                <w:color w:val="auto"/>
              </w:rPr>
              <w:t>Total</w:t>
            </w:r>
          </w:p>
        </w:tc>
        <w:tc>
          <w:tcPr>
            <w:tcW w:w="680" w:type="dxa"/>
            <w:vAlign w:val="bottom"/>
            <w:tcBorders>
              <w:bottom w:val="single" w:sz="8" w:color="0070FF"/>
            </w:tcBorders>
          </w:tcPr>
          <w:p>
            <w:pPr>
              <w:jc w:val="right"/>
              <w:ind w:right="49"/>
              <w:spacing w:after="0" w:line="159" w:lineRule="exact"/>
              <w:rPr>
                <w:sz w:val="20"/>
                <w:szCs w:val="20"/>
                <w:color w:val="auto"/>
              </w:rPr>
            </w:pPr>
            <w:r>
              <w:rPr>
                <w:rFonts w:ascii="Arial" w:cs="Arial" w:eastAsia="Arial" w:hAnsi="Arial"/>
                <w:sz w:val="14"/>
                <w:szCs w:val="14"/>
                <w:color w:val="auto"/>
              </w:rPr>
              <w:t>2004</w:t>
            </w:r>
          </w:p>
        </w:tc>
        <w:tc>
          <w:tcPr>
            <w:tcW w:w="22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ind w:right="9"/>
              <w:spacing w:after="0" w:line="159" w:lineRule="exact"/>
              <w:rPr>
                <w:sz w:val="20"/>
                <w:szCs w:val="20"/>
                <w:color w:val="auto"/>
              </w:rPr>
            </w:pPr>
            <w:r>
              <w:rPr>
                <w:rFonts w:ascii="Arial" w:cs="Arial" w:eastAsia="Arial" w:hAnsi="Arial"/>
                <w:sz w:val="14"/>
                <w:szCs w:val="14"/>
                <w:color w:val="auto"/>
              </w:rPr>
              <w:t>2007</w:t>
            </w:r>
          </w:p>
        </w:tc>
        <w:tc>
          <w:tcPr>
            <w:tcW w:w="260" w:type="dxa"/>
            <w:vAlign w:val="bottom"/>
            <w:tcBorders>
              <w:bottom w:val="single" w:sz="8" w:color="0070FF"/>
            </w:tcBorders>
          </w:tcPr>
          <w:p>
            <w:pPr>
              <w:spacing w:after="0"/>
              <w:rPr>
                <w:sz w:val="13"/>
                <w:szCs w:val="13"/>
                <w:color w:val="auto"/>
              </w:rPr>
            </w:pPr>
          </w:p>
        </w:tc>
        <w:tc>
          <w:tcPr>
            <w:tcW w:w="500" w:type="dxa"/>
            <w:vAlign w:val="bottom"/>
            <w:tcBorders>
              <w:bottom w:val="single" w:sz="8" w:color="0070FF"/>
            </w:tcBorders>
          </w:tcPr>
          <w:p>
            <w:pPr>
              <w:jc w:val="right"/>
              <w:ind w:right="69"/>
              <w:spacing w:after="0" w:line="159" w:lineRule="exact"/>
              <w:rPr>
                <w:sz w:val="20"/>
                <w:szCs w:val="20"/>
                <w:color w:val="auto"/>
              </w:rPr>
            </w:pPr>
            <w:r>
              <w:rPr>
                <w:rFonts w:ascii="Arial" w:cs="Arial" w:eastAsia="Arial" w:hAnsi="Arial"/>
                <w:sz w:val="14"/>
                <w:szCs w:val="14"/>
                <w:color w:val="auto"/>
              </w:rPr>
              <w:t>2008</w:t>
            </w:r>
          </w:p>
        </w:tc>
        <w:tc>
          <w:tcPr>
            <w:tcW w:w="24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9"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3"/>
                <w:szCs w:val="13"/>
                <w:color w:val="auto"/>
              </w:rPr>
            </w:pPr>
          </w:p>
        </w:tc>
      </w:tr>
      <w:tr>
        <w:trPr>
          <w:trHeight w:val="147"/>
        </w:trPr>
        <w:tc>
          <w:tcPr>
            <w:tcW w:w="1960" w:type="dxa"/>
            <w:vAlign w:val="bottom"/>
          </w:tcPr>
          <w:p>
            <w:pPr>
              <w:ind w:left="20"/>
              <w:spacing w:after="0" w:line="147" w:lineRule="exact"/>
              <w:rPr>
                <w:sz w:val="20"/>
                <w:szCs w:val="20"/>
                <w:color w:val="auto"/>
              </w:rPr>
            </w:pPr>
            <w:r>
              <w:rPr>
                <w:rFonts w:ascii="Arial" w:cs="Arial" w:eastAsia="Arial" w:hAnsi="Arial"/>
                <w:sz w:val="14"/>
                <w:szCs w:val="14"/>
                <w:color w:val="auto"/>
              </w:rPr>
              <w:t>On Balance Sheet:</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1960" w:type="dxa"/>
            <w:vAlign w:val="bottom"/>
          </w:tcPr>
          <w:p>
            <w:pPr>
              <w:ind w:left="140"/>
              <w:spacing w:after="0" w:line="189" w:lineRule="exact"/>
              <w:rPr>
                <w:sz w:val="20"/>
                <w:szCs w:val="20"/>
                <w:color w:val="auto"/>
              </w:rPr>
            </w:pPr>
            <w:r>
              <w:rPr>
                <w:rFonts w:ascii="Arial" w:cs="Arial" w:eastAsia="Arial" w:hAnsi="Arial"/>
                <w:sz w:val="13"/>
                <w:szCs w:val="13"/>
                <w:color w:val="auto"/>
              </w:rPr>
              <w:t>Short-Term Debt</w:t>
            </w:r>
            <w:r>
              <w:rPr>
                <w:rFonts w:ascii="Arial" w:cs="Arial" w:eastAsia="Arial" w:hAnsi="Arial"/>
                <w:sz w:val="21"/>
                <w:szCs w:val="21"/>
                <w:color w:val="auto"/>
                <w:vertAlign w:val="superscript"/>
              </w:rPr>
              <w:t>1</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  1,703</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$ 1,703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9"/>
        </w:trPr>
        <w:tc>
          <w:tcPr>
            <w:tcW w:w="1960" w:type="dxa"/>
            <w:vAlign w:val="bottom"/>
          </w:tcPr>
          <w:p>
            <w:pPr>
              <w:ind w:left="140"/>
              <w:spacing w:after="0" w:line="179" w:lineRule="exact"/>
              <w:rPr>
                <w:sz w:val="20"/>
                <w:szCs w:val="20"/>
                <w:color w:val="auto"/>
              </w:rPr>
            </w:pPr>
            <w:r>
              <w:rPr>
                <w:rFonts w:ascii="Arial" w:cs="Arial" w:eastAsia="Arial" w:hAnsi="Arial"/>
                <w:sz w:val="13"/>
                <w:szCs w:val="13"/>
                <w:color w:val="auto"/>
              </w:rPr>
              <w:t>Long-Term Debt</w:t>
            </w:r>
            <w:r>
              <w:rPr>
                <w:rFonts w:ascii="Arial" w:cs="Arial" w:eastAsia="Arial" w:hAnsi="Arial"/>
                <w:sz w:val="20"/>
                <w:szCs w:val="20"/>
                <w:color w:val="auto"/>
                <w:vertAlign w:val="superscript"/>
              </w:rPr>
              <w:t>1,2</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10,651</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w w:val="96"/>
              </w:rPr>
              <w:t>5,012</w:t>
            </w:r>
          </w:p>
        </w:tc>
        <w:tc>
          <w:tcPr>
            <w:tcW w:w="26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w w:val="96"/>
              </w:rPr>
              <w:t>1,044</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4,595</w:t>
            </w:r>
          </w:p>
        </w:tc>
        <w:tc>
          <w:tcPr>
            <w:tcW w:w="20" w:type="dxa"/>
            <w:vAlign w:val="bottom"/>
          </w:tcPr>
          <w:p>
            <w:pPr>
              <w:spacing w:after="0"/>
              <w:rPr>
                <w:sz w:val="15"/>
                <w:szCs w:val="15"/>
                <w:color w:val="auto"/>
              </w:rPr>
            </w:pPr>
          </w:p>
        </w:tc>
      </w:tr>
      <w:tr>
        <w:trPr>
          <w:trHeight w:val="149"/>
        </w:trPr>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w w:val="98"/>
              </w:rPr>
              <w:t>Noncancelable Capital Lease</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Obligations</w:t>
            </w:r>
          </w:p>
        </w:tc>
        <w:tc>
          <w:tcPr>
            <w:tcW w:w="7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243</w:t>
            </w:r>
          </w:p>
        </w:tc>
        <w:tc>
          <w:tcPr>
            <w:tcW w:w="6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jc w:val="right"/>
              <w:ind w:right="9"/>
              <w:spacing w:after="0" w:line="149" w:lineRule="exact"/>
              <w:rPr>
                <w:sz w:val="20"/>
                <w:szCs w:val="20"/>
                <w:color w:val="auto"/>
              </w:rPr>
            </w:pPr>
            <w:r>
              <w:rPr>
                <w:rFonts w:ascii="Arial" w:cs="Arial" w:eastAsia="Arial" w:hAnsi="Arial"/>
                <w:sz w:val="14"/>
                <w:szCs w:val="14"/>
                <w:color w:val="auto"/>
              </w:rPr>
              <w:t>64</w:t>
            </w:r>
          </w:p>
        </w:tc>
        <w:tc>
          <w:tcPr>
            <w:tcW w:w="2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179</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rPr>
              <w:t>Redemption of Subsidiary’s</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Preferred Shares</w:t>
            </w:r>
          </w:p>
        </w:tc>
        <w:tc>
          <w:tcPr>
            <w:tcW w:w="7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160</w:t>
            </w:r>
          </w:p>
        </w:tc>
        <w:tc>
          <w:tcPr>
            <w:tcW w:w="6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125</w:t>
            </w:r>
          </w:p>
        </w:tc>
        <w:tc>
          <w:tcPr>
            <w:tcW w:w="2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r>
      <w:tr>
        <w:trPr>
          <w:trHeight w:val="149"/>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Off Balance Sheet:</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rPr>
              <w:t>Noncancelable Operating</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Lease Obligations</w:t>
            </w:r>
          </w:p>
        </w:tc>
        <w:tc>
          <w:tcPr>
            <w:tcW w:w="7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2,034</w:t>
            </w:r>
          </w:p>
        </w:tc>
        <w:tc>
          <w:tcPr>
            <w:tcW w:w="6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299</w:t>
            </w:r>
          </w:p>
        </w:tc>
        <w:tc>
          <w:tcPr>
            <w:tcW w:w="220" w:type="dxa"/>
            <w:vAlign w:val="bottom"/>
          </w:tcPr>
          <w:p>
            <w:pPr>
              <w:spacing w:after="0"/>
              <w:rPr>
                <w:sz w:val="12"/>
                <w:szCs w:val="12"/>
                <w:color w:val="auto"/>
              </w:rPr>
            </w:pPr>
          </w:p>
        </w:tc>
        <w:tc>
          <w:tcPr>
            <w:tcW w:w="440" w:type="dxa"/>
            <w:vAlign w:val="bottom"/>
          </w:tcPr>
          <w:p>
            <w:pPr>
              <w:jc w:val="right"/>
              <w:ind w:right="9"/>
              <w:spacing w:after="0" w:line="149" w:lineRule="exact"/>
              <w:rPr>
                <w:sz w:val="20"/>
                <w:szCs w:val="20"/>
                <w:color w:val="auto"/>
              </w:rPr>
            </w:pPr>
            <w:r>
              <w:rPr>
                <w:rFonts w:ascii="Arial" w:cs="Arial" w:eastAsia="Arial" w:hAnsi="Arial"/>
                <w:sz w:val="14"/>
                <w:szCs w:val="14"/>
                <w:color w:val="auto"/>
              </w:rPr>
              <w:t>754</w:t>
            </w:r>
          </w:p>
        </w:tc>
        <w:tc>
          <w:tcPr>
            <w:tcW w:w="2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181</w:t>
            </w:r>
          </w:p>
        </w:tc>
        <w:tc>
          <w:tcPr>
            <w:tcW w:w="2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20" w:type="dxa"/>
            <w:vAlign w:val="bottom"/>
          </w:tcPr>
          <w:p>
            <w:pPr>
              <w:spacing w:after="0"/>
              <w:rPr>
                <w:sz w:val="12"/>
                <w:szCs w:val="12"/>
                <w:color w:val="auto"/>
              </w:rPr>
            </w:pPr>
          </w:p>
        </w:tc>
      </w:tr>
      <w:tr>
        <w:trPr>
          <w:trHeight w:val="149"/>
        </w:trPr>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rPr>
              <w:t>Unconditional Purchase</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960" w:type="dxa"/>
            <w:vAlign w:val="bottom"/>
          </w:tcPr>
          <w:p>
            <w:pPr>
              <w:ind w:left="280"/>
              <w:spacing w:after="0" w:line="149" w:lineRule="exact"/>
              <w:rPr>
                <w:sz w:val="20"/>
                <w:szCs w:val="20"/>
                <w:color w:val="auto"/>
              </w:rPr>
            </w:pPr>
            <w:r>
              <w:rPr>
                <w:rFonts w:ascii="Arial" w:cs="Arial" w:eastAsia="Arial" w:hAnsi="Arial"/>
                <w:sz w:val="14"/>
                <w:szCs w:val="14"/>
                <w:color w:val="auto"/>
              </w:rPr>
              <w:t>Obligations</w:t>
            </w:r>
          </w:p>
        </w:tc>
        <w:tc>
          <w:tcPr>
            <w:tcW w:w="7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700</w:t>
            </w:r>
          </w:p>
        </w:tc>
        <w:tc>
          <w:tcPr>
            <w:tcW w:w="6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440" w:type="dxa"/>
            <w:vAlign w:val="bottom"/>
          </w:tcPr>
          <w:p>
            <w:pPr>
              <w:jc w:val="right"/>
              <w:ind w:right="9"/>
              <w:spacing w:after="0" w:line="149" w:lineRule="exact"/>
              <w:rPr>
                <w:sz w:val="20"/>
                <w:szCs w:val="20"/>
                <w:color w:val="auto"/>
              </w:rPr>
            </w:pPr>
            <w:r>
              <w:rPr>
                <w:rFonts w:ascii="Arial" w:cs="Arial" w:eastAsia="Arial" w:hAnsi="Arial"/>
                <w:sz w:val="14"/>
                <w:szCs w:val="14"/>
                <w:color w:val="auto"/>
              </w:rPr>
              <w:t>300</w:t>
            </w:r>
          </w:p>
        </w:tc>
        <w:tc>
          <w:tcPr>
            <w:tcW w:w="2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tcPr>
          <w:p>
            <w:pPr>
              <w:ind w:left="140"/>
              <w:spacing w:after="0" w:line="149" w:lineRule="exact"/>
              <w:rPr>
                <w:sz w:val="20"/>
                <w:szCs w:val="20"/>
                <w:color w:val="auto"/>
              </w:rPr>
            </w:pPr>
            <w:r>
              <w:rPr>
                <w:rFonts w:ascii="Arial" w:cs="Arial" w:eastAsia="Arial" w:hAnsi="Arial"/>
                <w:sz w:val="14"/>
                <w:szCs w:val="14"/>
                <w:color w:val="auto"/>
                <w:w w:val="96"/>
              </w:rPr>
              <w:t>Through-Put and Take-or-Pay</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8"/>
        </w:trPr>
        <w:tc>
          <w:tcPr>
            <w:tcW w:w="1960" w:type="dxa"/>
            <w:vAlign w:val="bottom"/>
            <w:tcBorders>
              <w:bottom w:val="single" w:sz="8" w:color="0070FF"/>
            </w:tcBorders>
          </w:tcPr>
          <w:p>
            <w:pPr>
              <w:ind w:left="280"/>
              <w:spacing w:after="0"/>
              <w:rPr>
                <w:sz w:val="20"/>
                <w:szCs w:val="20"/>
                <w:color w:val="auto"/>
              </w:rPr>
            </w:pPr>
            <w:r>
              <w:rPr>
                <w:rFonts w:ascii="Arial" w:cs="Arial" w:eastAsia="Arial" w:hAnsi="Arial"/>
                <w:sz w:val="14"/>
                <w:szCs w:val="14"/>
                <w:color w:val="auto"/>
              </w:rPr>
              <w:t>Agreements</w:t>
            </w:r>
          </w:p>
        </w:tc>
        <w:tc>
          <w:tcPr>
            <w:tcW w:w="74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6,500</w:t>
            </w:r>
          </w:p>
        </w:tc>
        <w:tc>
          <w:tcPr>
            <w:tcW w:w="68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900</w:t>
            </w:r>
          </w:p>
        </w:tc>
        <w:tc>
          <w:tcPr>
            <w:tcW w:w="220" w:type="dxa"/>
            <w:vAlign w:val="bottom"/>
            <w:tcBorders>
              <w:bottom w:val="single" w:sz="8" w:color="0070FF"/>
            </w:tcBorders>
          </w:tcPr>
          <w:p>
            <w:pPr>
              <w:spacing w:after="0"/>
              <w:rPr>
                <w:sz w:val="16"/>
                <w:szCs w:val="16"/>
                <w:color w:val="auto"/>
              </w:rPr>
            </w:pPr>
          </w:p>
        </w:tc>
        <w:tc>
          <w:tcPr>
            <w:tcW w:w="440" w:type="dxa"/>
            <w:vAlign w:val="bottom"/>
            <w:tcBorders>
              <w:bottom w:val="single" w:sz="8" w:color="0070FF"/>
            </w:tcBorders>
          </w:tcPr>
          <w:p>
            <w:pPr>
              <w:jc w:val="right"/>
              <w:ind w:right="9"/>
              <w:spacing w:after="0"/>
              <w:rPr>
                <w:sz w:val="20"/>
                <w:szCs w:val="20"/>
                <w:color w:val="auto"/>
              </w:rPr>
            </w:pPr>
            <w:r>
              <w:rPr>
                <w:rFonts w:ascii="Arial" w:cs="Arial" w:eastAsia="Arial" w:hAnsi="Arial"/>
                <w:sz w:val="14"/>
                <w:szCs w:val="14"/>
                <w:color w:val="auto"/>
                <w:w w:val="96"/>
              </w:rPr>
              <w:t>2,800</w:t>
            </w:r>
          </w:p>
        </w:tc>
        <w:tc>
          <w:tcPr>
            <w:tcW w:w="260" w:type="dxa"/>
            <w:vAlign w:val="bottom"/>
            <w:tcBorders>
              <w:bottom w:val="single" w:sz="8" w:color="0070FF"/>
            </w:tcBorders>
          </w:tcPr>
          <w:p>
            <w:pPr>
              <w:spacing w:after="0"/>
              <w:rPr>
                <w:sz w:val="16"/>
                <w:szCs w:val="16"/>
                <w:color w:val="auto"/>
              </w:rPr>
            </w:pPr>
          </w:p>
        </w:tc>
        <w:tc>
          <w:tcPr>
            <w:tcW w:w="5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900</w:t>
            </w:r>
          </w:p>
        </w:tc>
        <w:tc>
          <w:tcPr>
            <w:tcW w:w="240" w:type="dxa"/>
            <w:vAlign w:val="bottom"/>
            <w:tcBorders>
              <w:bottom w:val="single" w:sz="8" w:color="0070FF"/>
            </w:tcBorders>
          </w:tcPr>
          <w:p>
            <w:pPr>
              <w:spacing w:after="0"/>
              <w:rPr>
                <w:sz w:val="16"/>
                <w:szCs w:val="16"/>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1,900</w:t>
            </w:r>
          </w:p>
        </w:tc>
        <w:tc>
          <w:tcPr>
            <w:tcW w:w="20" w:type="dxa"/>
            <w:vAlign w:val="bottom"/>
          </w:tcPr>
          <w:p>
            <w:pPr>
              <w:spacing w:after="0"/>
              <w:rPr>
                <w:sz w:val="16"/>
                <w:szCs w:val="16"/>
                <w:color w:val="auto"/>
              </w:rPr>
            </w:pPr>
          </w:p>
        </w:tc>
      </w:tr>
    </w:tbl>
    <w:p>
      <w:pPr>
        <w:spacing w:after="0" w:line="56" w:lineRule="exact"/>
        <w:rPr>
          <w:sz w:val="20"/>
          <w:szCs w:val="20"/>
          <w:color w:val="auto"/>
        </w:rPr>
      </w:pPr>
    </w:p>
    <w:p>
      <w:pPr>
        <w:ind w:left="140" w:right="180" w:hanging="132"/>
        <w:spacing w:after="0" w:line="194" w:lineRule="auto"/>
        <w:tabs>
          <w:tab w:leader="none" w:pos="92" w:val="left"/>
        </w:tabs>
        <w:numPr>
          <w:ilvl w:val="0"/>
          <w:numId w:val="27"/>
        </w:numPr>
        <w:rPr>
          <w:rFonts w:ascii="Arial" w:cs="Arial" w:eastAsia="Arial" w:hAnsi="Arial"/>
          <w:sz w:val="20"/>
          <w:szCs w:val="20"/>
          <w:color w:val="auto"/>
          <w:vertAlign w:val="superscript"/>
        </w:rPr>
      </w:pPr>
      <w:r>
        <w:rPr>
          <w:rFonts w:ascii="Arial" w:cs="Arial" w:eastAsia="Arial" w:hAnsi="Arial"/>
          <w:sz w:val="12"/>
          <w:szCs w:val="12"/>
          <w:color w:val="auto"/>
        </w:rPr>
        <w:t>$4,285 of short-term debt that the company expects to refinance is included in long-term debt. The repayment schedule reflects the expiration of the company’s committed credit facilities, although the facilities may be renewed upon expiration.</w:t>
      </w:r>
    </w:p>
    <w:p>
      <w:pPr>
        <w:ind w:left="100" w:hanging="92"/>
        <w:spacing w:after="0" w:line="184" w:lineRule="auto"/>
        <w:tabs>
          <w:tab w:leader="none" w:pos="100" w:val="left"/>
        </w:tabs>
        <w:numPr>
          <w:ilvl w:val="0"/>
          <w:numId w:val="28"/>
        </w:numPr>
        <w:rPr>
          <w:rFonts w:ascii="Arial" w:cs="Arial" w:eastAsia="Arial" w:hAnsi="Arial"/>
          <w:sz w:val="20"/>
          <w:szCs w:val="20"/>
          <w:color w:val="auto"/>
          <w:vertAlign w:val="superscript"/>
        </w:rPr>
      </w:pPr>
      <w:r>
        <w:rPr>
          <w:rFonts w:ascii="Arial" w:cs="Arial" w:eastAsia="Arial" w:hAnsi="Arial"/>
          <w:sz w:val="12"/>
          <w:szCs w:val="12"/>
          <w:color w:val="auto"/>
        </w:rPr>
        <w:t>Includes guarantees of $385 of LESOP debt, $25 due in 2004 and $360 due after 2007.</w:t>
      </w:r>
    </w:p>
    <w:p>
      <w:pPr>
        <w:spacing w:after="0" w:line="186" w:lineRule="exact"/>
        <w:rPr>
          <w:sz w:val="20"/>
          <w:szCs w:val="20"/>
          <w:color w:val="auto"/>
        </w:rPr>
      </w:pPr>
    </w:p>
    <w:p>
      <w:pPr>
        <w:ind w:right="260" w:firstLine="200"/>
        <w:spacing w:after="0" w:line="329" w:lineRule="auto"/>
        <w:rPr>
          <w:sz w:val="20"/>
          <w:szCs w:val="20"/>
          <w:color w:val="auto"/>
        </w:rPr>
      </w:pPr>
      <w:r>
        <w:rPr>
          <w:rFonts w:ascii="Arial" w:cs="Arial" w:eastAsia="Arial" w:hAnsi="Arial"/>
          <w:sz w:val="15"/>
          <w:szCs w:val="15"/>
          <w:color w:val="auto"/>
        </w:rPr>
        <w:t>The company also has other obligations connected with asset retirements and pension plans that are not contractually fixed as to timing and amount.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FINANCIAL AND DERIVATIVE INSTRUMENTS</w:t>
      </w:r>
    </w:p>
    <w:p>
      <w:pPr>
        <w:spacing w:after="0" w:line="175"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i w:val="1"/>
          <w:iCs w:val="1"/>
          <w:color w:val="F20000"/>
        </w:rPr>
        <w:t xml:space="preserve">Commodity Derivative Instruments </w:t>
      </w:r>
      <w:r>
        <w:rPr>
          <w:rFonts w:ascii="Arial" w:cs="Arial" w:eastAsia="Arial" w:hAnsi="Arial"/>
          <w:sz w:val="15"/>
          <w:szCs w:val="15"/>
          <w:color w:val="000000"/>
        </w:rPr>
        <w:t>ChevronTexaco is exposed to market risks</w:t>
      </w:r>
      <w:r>
        <w:rPr>
          <w:rFonts w:ascii="Arial" w:cs="Arial" w:eastAsia="Arial" w:hAnsi="Arial"/>
          <w:sz w:val="15"/>
          <w:szCs w:val="15"/>
          <w:i w:val="1"/>
          <w:iCs w:val="1"/>
          <w:color w:val="F20000"/>
        </w:rPr>
        <w:t xml:space="preserve"> </w:t>
      </w:r>
      <w:r>
        <w:rPr>
          <w:rFonts w:ascii="Arial" w:cs="Arial" w:eastAsia="Arial" w:hAnsi="Arial"/>
          <w:sz w:val="15"/>
          <w:szCs w:val="15"/>
          <w:color w:val="000000"/>
        </w:rPr>
        <w:t>related to the volatility of crude oil, refined products, natural gas and refinery feedstock prices. The company uses derivative commodity instruments to manage its exposure to price volatility on a small portion of its activity, including: firm commitments and anticipated transactions for the purchase or sale of crude oil; feedstock purchases for company refineries; crude oil and refined products inventories; and fixed-price contracts to sell natural gas and natural gas liquids.</w:t>
      </w:r>
    </w:p>
    <w:p>
      <w:pPr>
        <w:spacing w:after="0" w:line="3" w:lineRule="exact"/>
        <w:rPr>
          <w:sz w:val="20"/>
          <w:szCs w:val="20"/>
          <w:color w:val="auto"/>
        </w:rPr>
      </w:pPr>
    </w:p>
    <w:p>
      <w:pPr>
        <w:ind w:right="120" w:firstLine="200"/>
        <w:spacing w:after="0" w:line="264" w:lineRule="auto"/>
        <w:rPr>
          <w:sz w:val="20"/>
          <w:szCs w:val="20"/>
          <w:color w:val="auto"/>
        </w:rPr>
      </w:pPr>
      <w:r>
        <w:rPr>
          <w:rFonts w:ascii="Arial" w:cs="Arial" w:eastAsia="Arial" w:hAnsi="Arial"/>
          <w:sz w:val="16"/>
          <w:szCs w:val="16"/>
          <w:color w:val="auto"/>
        </w:rPr>
        <w:t>The company also uses derivative commodity instruments for trading purposes, the results of which were not material to the company’s financial position, net income or cash flows in 2003.</w:t>
      </w:r>
    </w:p>
    <w:p>
      <w:pPr>
        <w:spacing w:after="0" w:line="1" w:lineRule="exact"/>
        <w:rPr>
          <w:sz w:val="20"/>
          <w:szCs w:val="20"/>
          <w:color w:val="auto"/>
        </w:rPr>
      </w:pPr>
    </w:p>
    <w:p>
      <w:pPr>
        <w:ind w:right="360" w:firstLine="200"/>
        <w:spacing w:after="0" w:line="264" w:lineRule="auto"/>
        <w:rPr>
          <w:sz w:val="20"/>
          <w:szCs w:val="20"/>
          <w:color w:val="auto"/>
        </w:rPr>
      </w:pPr>
      <w:r>
        <w:rPr>
          <w:rFonts w:ascii="Arial" w:cs="Arial" w:eastAsia="Arial" w:hAnsi="Arial"/>
          <w:sz w:val="16"/>
          <w:szCs w:val="16"/>
          <w:color w:val="auto"/>
        </w:rPr>
        <w:t>The company’s positions are monitored and managed on a daily basis by an internal risk control group to ensure compliance with the company’s risk management policy that has been approved by the Audit Committee of the company’s Board of Directors.</w:t>
      </w:r>
    </w:p>
    <w:p>
      <w:pPr>
        <w:spacing w:after="0" w:line="1" w:lineRule="exact"/>
        <w:rPr>
          <w:sz w:val="20"/>
          <w:szCs w:val="20"/>
          <w:color w:val="auto"/>
        </w:rPr>
      </w:pPr>
    </w:p>
    <w:p>
      <w:pPr>
        <w:ind w:right="20" w:firstLine="200"/>
        <w:spacing w:after="0" w:line="287" w:lineRule="auto"/>
        <w:rPr>
          <w:sz w:val="20"/>
          <w:szCs w:val="20"/>
          <w:color w:val="auto"/>
        </w:rPr>
      </w:pPr>
      <w:r>
        <w:rPr>
          <w:rFonts w:ascii="Arial" w:cs="Arial" w:eastAsia="Arial" w:hAnsi="Arial"/>
          <w:sz w:val="15"/>
          <w:szCs w:val="15"/>
          <w:color w:val="auto"/>
        </w:rPr>
        <w:t>The derivative instruments used in the company’s risk management and trading activities consist mainly of futures contracts traded on the New York Mercantile Exchange and the International Petroleum Exchange; crude oil and natural gas swap contracts; options and other derivative products entered into principally with major financial institutions; and other oil and gas companies. Virtually all derivatives beyond those designated as normal purchase and normal sale contracts are recorded at fair value on the Consolidated Balance Sheet with resulting gains and losses reflected in income. Fair values are derived principally from market quotes and other independent third-party quotes.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40" w:firstLine="200"/>
        <w:spacing w:after="0" w:line="282" w:lineRule="auto"/>
        <w:rPr>
          <w:sz w:val="20"/>
          <w:szCs w:val="20"/>
          <w:color w:val="auto"/>
        </w:rPr>
      </w:pPr>
      <w:r>
        <w:rPr>
          <w:rFonts w:ascii="Arial" w:cs="Arial" w:eastAsia="Arial" w:hAnsi="Arial"/>
          <w:sz w:val="15"/>
          <w:szCs w:val="15"/>
          <w:color w:val="auto"/>
        </w:rPr>
        <w:t>The aggregate effect of a 10 percent change in prices for derivative contracts for natural gas, crude oil and petroleum products would be approximately $20 million. The hypothetical effect on these contracts was estimated by calculating the cash value of the contracts as the difference between the hypothetical and contract delivery prices, multiplied by the contract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-679450</wp:posOffset>
            </wp:positionV>
            <wp:extent cx="8890" cy="6911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6911975"/>
                    </a:xfrm>
                    <a:prstGeom prst="rect">
                      <a:avLst/>
                    </a:prstGeom>
                    <a:noFill/>
                  </pic:spPr>
                </pic:pic>
              </a:graphicData>
            </a:graphic>
          </wp:anchor>
        </w:drawing>
      </w:r>
    </w:p>
    <w:p>
      <w:pPr>
        <w:ind w:right="20" w:firstLine="203"/>
        <w:spacing w:after="0" w:line="301" w:lineRule="auto"/>
        <w:rPr>
          <w:sz w:val="20"/>
          <w:szCs w:val="20"/>
          <w:color w:val="auto"/>
        </w:rPr>
      </w:pPr>
      <w:r>
        <w:rPr>
          <w:rFonts w:ascii="Arial" w:cs="Arial" w:eastAsia="Arial" w:hAnsi="Arial"/>
          <w:sz w:val="14"/>
          <w:szCs w:val="14"/>
          <w:i w:val="1"/>
          <w:iCs w:val="1"/>
          <w:color w:val="F20000"/>
        </w:rPr>
        <w:t xml:space="preserve">Foreign Currency </w:t>
      </w:r>
      <w:r>
        <w:rPr>
          <w:rFonts w:ascii="Arial" w:cs="Arial" w:eastAsia="Arial" w:hAnsi="Arial"/>
          <w:sz w:val="14"/>
          <w:szCs w:val="14"/>
          <w:color w:val="000000"/>
        </w:rPr>
        <w:t>The company enters into forward exchange contracts,</w:t>
      </w:r>
      <w:r>
        <w:rPr>
          <w:rFonts w:ascii="Arial" w:cs="Arial" w:eastAsia="Arial" w:hAnsi="Arial"/>
          <w:sz w:val="14"/>
          <w:szCs w:val="14"/>
          <w:i w:val="1"/>
          <w:iCs w:val="1"/>
          <w:color w:val="F20000"/>
        </w:rPr>
        <w:t xml:space="preserve"> </w:t>
      </w:r>
      <w:r>
        <w:rPr>
          <w:rFonts w:ascii="Arial" w:cs="Arial" w:eastAsia="Arial" w:hAnsi="Arial"/>
          <w:sz w:val="14"/>
          <w:szCs w:val="14"/>
          <w:color w:val="000000"/>
        </w:rPr>
        <w:t>generally with terms of 180 days or less, to manage some of its foreign currency exposures. These exposures include revenue and anticipated purchase transactions, including foreign currency capital expenditures and lease commitments, forecasted to occur within 180 days. The forward exchange contracts are recorded at fair value on the balance sheet with resulting gains and losses reflected in income.</w:t>
      </w:r>
    </w:p>
    <w:p>
      <w:pPr>
        <w:spacing w:after="0" w:line="4" w:lineRule="exact"/>
        <w:rPr>
          <w:sz w:val="20"/>
          <w:szCs w:val="20"/>
          <w:color w:val="auto"/>
        </w:rPr>
      </w:pPr>
    </w:p>
    <w:p>
      <w:pPr>
        <w:ind w:right="80" w:firstLine="200"/>
        <w:spacing w:after="0" w:line="281" w:lineRule="auto"/>
        <w:rPr>
          <w:sz w:val="20"/>
          <w:szCs w:val="20"/>
          <w:color w:val="auto"/>
        </w:rPr>
      </w:pPr>
      <w:r>
        <w:rPr>
          <w:rFonts w:ascii="Arial" w:cs="Arial" w:eastAsia="Arial" w:hAnsi="Arial"/>
          <w:sz w:val="15"/>
          <w:szCs w:val="15"/>
          <w:color w:val="auto"/>
        </w:rPr>
        <w:t>The aggregate effect on foreign exchange contracts of a hypothetical 10 percent change to year-end exchange rates would be approximately $35 million.</w:t>
      </w:r>
    </w:p>
    <w:p>
      <w:pPr>
        <w:spacing w:after="0" w:line="1" w:lineRule="exact"/>
        <w:rPr>
          <w:sz w:val="20"/>
          <w:szCs w:val="20"/>
          <w:color w:val="auto"/>
        </w:rPr>
      </w:pPr>
    </w:p>
    <w:p>
      <w:pPr>
        <w:ind w:firstLine="203"/>
        <w:spacing w:after="0" w:line="281" w:lineRule="auto"/>
        <w:rPr>
          <w:sz w:val="20"/>
          <w:szCs w:val="20"/>
          <w:color w:val="auto"/>
        </w:rPr>
      </w:pPr>
      <w:r>
        <w:rPr>
          <w:rFonts w:ascii="Arial" w:cs="Arial" w:eastAsia="Arial" w:hAnsi="Arial"/>
          <w:sz w:val="15"/>
          <w:szCs w:val="15"/>
          <w:i w:val="1"/>
          <w:iCs w:val="1"/>
          <w:color w:val="F20000"/>
        </w:rPr>
        <w:t xml:space="preserve">Interest Rates </w:t>
      </w:r>
      <w:r>
        <w:rPr>
          <w:rFonts w:ascii="Arial" w:cs="Arial" w:eastAsia="Arial" w:hAnsi="Arial"/>
          <w:sz w:val="15"/>
          <w:szCs w:val="15"/>
          <w:color w:val="000000"/>
        </w:rPr>
        <w:t>The company enters into interest rate swaps as part of its overall</w:t>
      </w:r>
      <w:r>
        <w:rPr>
          <w:rFonts w:ascii="Arial" w:cs="Arial" w:eastAsia="Arial" w:hAnsi="Arial"/>
          <w:sz w:val="15"/>
          <w:szCs w:val="15"/>
          <w:i w:val="1"/>
          <w:iCs w:val="1"/>
          <w:color w:val="F20000"/>
        </w:rPr>
        <w:t xml:space="preserve"> </w:t>
      </w:r>
      <w:r>
        <w:rPr>
          <w:rFonts w:ascii="Arial" w:cs="Arial" w:eastAsia="Arial" w:hAnsi="Arial"/>
          <w:sz w:val="15"/>
          <w:szCs w:val="15"/>
          <w:color w:val="000000"/>
        </w:rPr>
        <w:t>strategy to manage the interest rate risk on its debt. Under the terms of the swaps, net cash settlements are based on the difference between fixed-rate and floating-rate interest amounts calculated by reference to agreed notional principal amounts. Interest rate swaps related to a portion of the company’s fixed-rate debt are accounted for as fair value hedges, whereas interest rate swaps relating to a portion of the company’s floating-rate debt are recorded at fair value on the balance sheet with resulting gains and losses reflected in income. During 2003, no new swaps were initiated. At year-end 2003, the weighted average maturity of “receive fixed” interest rate swaps was approximately five years. There were no “receive floating” swaps outstanding at year end.</w:t>
      </w:r>
    </w:p>
    <w:p>
      <w:pPr>
        <w:spacing w:after="0" w:line="7" w:lineRule="exact"/>
        <w:rPr>
          <w:sz w:val="20"/>
          <w:szCs w:val="20"/>
          <w:color w:val="auto"/>
        </w:rPr>
      </w:pPr>
    </w:p>
    <w:p>
      <w:pPr>
        <w:ind w:right="100" w:firstLine="194"/>
        <w:spacing w:after="0" w:line="272" w:lineRule="auto"/>
        <w:rPr>
          <w:sz w:val="20"/>
          <w:szCs w:val="20"/>
          <w:color w:val="auto"/>
        </w:rPr>
      </w:pPr>
      <w:r>
        <w:rPr>
          <w:rFonts w:ascii="Arial" w:cs="Arial" w:eastAsia="Arial" w:hAnsi="Arial"/>
          <w:sz w:val="16"/>
          <w:szCs w:val="16"/>
          <w:color w:val="auto"/>
        </w:rPr>
        <w:t>A hypothetical 10 percent increase in interest rates upon the interest rate swaps would cause the fair value of the “receive fixed” swaps to decline and the “receive floating” swaps to increase. The aggregate effect of these changes would be approximately $10 million.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TRANSACTIONS WITH RELATED PARTIES</w:t>
      </w:r>
    </w:p>
    <w:p>
      <w:pPr>
        <w:spacing w:after="0" w:line="175"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ChevronTexaco enters into a number of business arrangements with related parties, principally its equity affiliates. These arrangements include long-term supply or offtake agreements. In January 2003, ChevronTexaco and Dynegy agreed to terminate the natural gas sale and purchase agreements. Internationally, there are long-term purchase agreements in place with the company’s refining affiliate in Thailand. Refer to page FS-14 for further discussion. Management believes the foregoing agreements and others have been negotiated on terms consistent with those that would have been negotiated with an unrelated party.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LITIGATION AND OTHER CONTINGENCIES</w:t>
      </w:r>
    </w:p>
    <w:p>
      <w:pPr>
        <w:spacing w:after="0" w:line="17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F20000"/>
        </w:rPr>
        <w:t xml:space="preserve">Unocal Patent Litigation </w:t>
      </w:r>
      <w:r>
        <w:rPr>
          <w:rFonts w:ascii="Arial" w:cs="Arial" w:eastAsia="Arial" w:hAnsi="Arial"/>
          <w:sz w:val="16"/>
          <w:szCs w:val="16"/>
          <w:color w:val="000000"/>
        </w:rPr>
        <w:t>Chevron, Texaco and four other oil companies (refiners)</w:t>
      </w:r>
      <w:r>
        <w:rPr>
          <w:rFonts w:ascii="Arial" w:cs="Arial" w:eastAsia="Arial" w:hAnsi="Arial"/>
          <w:sz w:val="16"/>
          <w:szCs w:val="16"/>
          <w:i w:val="1"/>
          <w:iCs w:val="1"/>
          <w:color w:val="F20000"/>
        </w:rPr>
        <w:t xml:space="preserve"> </w:t>
      </w:r>
      <w:r>
        <w:rPr>
          <w:rFonts w:ascii="Arial" w:cs="Arial" w:eastAsia="Arial" w:hAnsi="Arial"/>
          <w:sz w:val="16"/>
          <w:szCs w:val="16"/>
          <w:color w:val="000000"/>
        </w:rPr>
        <w:t>filed suit in 1995, contesting the validity of a patent (‘393’ patent) granted to Unocal Corporation (Unocal) for certain reformulated gasoline blends. ChevronTexaco sells reformulated gasolines in California in certain months of the year. In March 2000, the U.S. Court of Appeals for the Federal Circuit upheld a September 1998 District Court decision that Unocal’s patent was valid and enforceable and assessed damages of 5.75 cents per gallon for gasoline produced during the summer of 1996 that infringed on the claims of the patent. In February 2001, the U.S. Supreme Court concluded it would not review the lower court’s ruling, and the case was sent back to the District Court for an accounting of all infringing gasoline produced after August 1, 1996. The District Court ruled that the</w:t>
      </w:r>
    </w:p>
    <w:p>
      <w:pPr>
        <w:spacing w:after="0" w:line="200" w:lineRule="exact"/>
        <w:rPr>
          <w:sz w:val="20"/>
          <w:szCs w:val="20"/>
          <w:color w:val="auto"/>
        </w:rPr>
      </w:pPr>
    </w:p>
    <w:p>
      <w:pPr>
        <w:sectPr>
          <w:pgSz w:w="11900" w:h="16838" w:orient="portrait"/>
          <w:cols w:equalWidth="0" w:num="2">
            <w:col w:w="5480" w:space="400"/>
            <w:col w:w="5440"/>
          </w:cols>
          <w:pgMar w:left="240" w:top="419" w:right="339" w:bottom="1440" w:gutter="0" w:footer="0" w:header="0"/>
        </w:sect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FS-15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29"/>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per-gallon damages awarded by the jury are limited to infringement that occurs in California only. Additionally, the U.S. Patent and Trademark Office</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(USPTO) granted three petitions by the refiners to re-examine the validity of Unocal’s ‘393’ patent and has twice rejected all of the claims in the ‘393’ patent. Those rejections have been appealed by Unocal to the USPTO Board of Appeals. The District Court judge requested further briefing and advised that she would not enter a final judgment in this case until the USPTO had completed its re-examination of the ‘393’ patent. During 2002 and 2003, the USPTO granted two petitions for reexamination of another Unocal patent, the ‘126’ patent. The USPTO has rejected the validity of the claims of the ‘126’ patent, which could affect a larger share of U.S. gasoline production. Separately, in March 2003, the Federal Trade Commission (FTC) filed a complaint against Unocal alleging that its conduct during the pendency of the patents was in violation of antitrust law. In November 2003, the Administrative Law Judge dismissed the complaint brought by the FTC. The FTC has appealed the decision.</w:t>
      </w:r>
    </w:p>
    <w:p>
      <w:pPr>
        <w:spacing w:after="0" w:line="8" w:lineRule="exact"/>
        <w:rPr>
          <w:sz w:val="20"/>
          <w:szCs w:val="20"/>
          <w:color w:val="auto"/>
        </w:rPr>
      </w:pPr>
    </w:p>
    <w:p>
      <w:pPr>
        <w:ind w:right="120" w:firstLine="203"/>
        <w:spacing w:after="0" w:line="304" w:lineRule="auto"/>
        <w:rPr>
          <w:sz w:val="20"/>
          <w:szCs w:val="20"/>
          <w:color w:val="auto"/>
        </w:rPr>
      </w:pPr>
      <w:r>
        <w:rPr>
          <w:rFonts w:ascii="Arial" w:cs="Arial" w:eastAsia="Arial" w:hAnsi="Arial"/>
          <w:sz w:val="14"/>
          <w:szCs w:val="14"/>
          <w:color w:val="auto"/>
        </w:rPr>
        <w:t>Unocal has obtained additional patents that could affect a larger share of U.S. gasoline production. ChevronTexaco believes these additional patents are invalid, unenforceable and/or not infringed. The company’s financial exposure in the event of unfavorable conclusions to the patent litigation and regulatory reviews may include royalties, plus interest, for production of gasoline that is proved to have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203"/>
        <w:spacing w:after="0" w:line="305" w:lineRule="auto"/>
        <w:rPr>
          <w:sz w:val="20"/>
          <w:szCs w:val="20"/>
          <w:color w:val="auto"/>
        </w:rPr>
      </w:pPr>
      <w:r>
        <w:rPr>
          <w:rFonts w:ascii="Arial" w:cs="Arial" w:eastAsia="Arial" w:hAnsi="Arial"/>
          <w:sz w:val="14"/>
          <w:szCs w:val="14"/>
          <w:i w:val="1"/>
          <w:iCs w:val="1"/>
          <w:color w:val="F20000"/>
        </w:rPr>
        <w:t xml:space="preserve">Environmental </w:t>
      </w:r>
      <w:r>
        <w:rPr>
          <w:rFonts w:ascii="Arial" w:cs="Arial" w:eastAsia="Arial" w:hAnsi="Arial"/>
          <w:sz w:val="14"/>
          <w:szCs w:val="14"/>
          <w:color w:val="000000"/>
        </w:rPr>
        <w:t>The company is subject to loss</w:t>
      </w:r>
      <w:r>
        <w:rPr>
          <w:rFonts w:ascii="Arial" w:cs="Arial" w:eastAsia="Arial" w:hAnsi="Arial"/>
          <w:sz w:val="14"/>
          <w:szCs w:val="14"/>
          <w:i w:val="1"/>
          <w:iCs w:val="1"/>
          <w:color w:val="F20000"/>
        </w:rPr>
        <w:t xml:space="preserve"> </w:t>
      </w:r>
      <w:r>
        <w:rPr>
          <w:rFonts w:ascii="Arial" w:cs="Arial" w:eastAsia="Arial" w:hAnsi="Arial"/>
          <w:sz w:val="14"/>
          <w:szCs w:val="14"/>
          <w:color w:val="000000"/>
        </w:rPr>
        <w:t>contingencies pursuant to environmental laws and regulations that in the future may require the company to take action to correct or ameliorate the effects on the environment of prior release of chemicals or petroleum substances, including MTBE, by the company or other parties. Such contingencies may exist for various sites, including, but not limited to: Superfund sites and refineries, oil fields, service stations, terminals, and land development areas, whether operating, closed or sold. The following table displays the annual changes to the company’s before-tax environmental remediation reserves, including those for Superfund sites. In 2003, the company recorded additional provisions for estimated remediation costs, primarily at refined products marketing sites and various closed or divested facilities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-2504440</wp:posOffset>
            </wp:positionV>
            <wp:extent cx="8890" cy="5866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5866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20"/>
        <w:spacing w:after="0" w:line="244" w:lineRule="auto"/>
        <w:rPr>
          <w:sz w:val="20"/>
          <w:szCs w:val="20"/>
          <w:color w:val="auto"/>
        </w:rPr>
      </w:pPr>
      <w:r>
        <w:rPr>
          <w:rFonts w:ascii="Arial" w:cs="Arial" w:eastAsia="Arial" w:hAnsi="Arial"/>
          <w:sz w:val="12"/>
          <w:szCs w:val="12"/>
          <w:color w:val="auto"/>
        </w:rPr>
        <w:t>Reserves for environmental remediation increased 5 percent during 2003. Expenditures during the year were approximately $200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-2390775</wp:posOffset>
            </wp:positionV>
            <wp:extent cx="1294765" cy="1955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94765" cy="195516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3">
            <w:col w:w="5480" w:space="400"/>
            <w:col w:w="3180" w:space="260"/>
            <w:col w:w="2040"/>
          </w:cols>
          <w:pgMar w:left="240" w:top="419" w:right="299" w:bottom="1440" w:gutter="0" w:footer="0" w:header="0"/>
          <w:type w:val="continuous"/>
        </w:sectPr>
      </w:pPr>
    </w:p>
    <w:p>
      <w:pPr>
        <w:ind w:right="20"/>
        <w:spacing w:after="0" w:line="262" w:lineRule="auto"/>
        <w:rPr>
          <w:sz w:val="20"/>
          <w:szCs w:val="20"/>
          <w:color w:val="auto"/>
        </w:rPr>
      </w:pPr>
      <w:r>
        <w:rPr>
          <w:rFonts w:ascii="Arial" w:cs="Arial" w:eastAsia="Arial" w:hAnsi="Arial"/>
          <w:sz w:val="16"/>
          <w:szCs w:val="16"/>
          <w:color w:val="auto"/>
        </w:rPr>
        <w:t>infringed the patents. The competitive and financial effects on the company’s refining and marketing operations, although presently indeterminable, could be material. ChevronTexaco has been accruing in the normal course of business any future estimated liability for potential infringement of the ‘393’ patent covered by the 1998 trial court’s ruling. In 2000, prior to the merger, Chevron and Texaco made payments to Unocal totaling approximately $30 million for the original court ruling, including interest and fees.</w:t>
      </w:r>
    </w:p>
    <w:p>
      <w:pPr>
        <w:spacing w:after="0" w:line="5" w:lineRule="exact"/>
        <w:rPr>
          <w:sz w:val="20"/>
          <w:szCs w:val="20"/>
          <w:color w:val="auto"/>
        </w:rPr>
      </w:pPr>
    </w:p>
    <w:p>
      <w:pPr>
        <w:ind w:firstLine="203"/>
        <w:spacing w:after="0" w:line="285" w:lineRule="auto"/>
        <w:rPr>
          <w:sz w:val="20"/>
          <w:szCs w:val="20"/>
          <w:color w:val="auto"/>
        </w:rPr>
      </w:pPr>
      <w:r>
        <w:rPr>
          <w:rFonts w:ascii="Arial" w:cs="Arial" w:eastAsia="Arial" w:hAnsi="Arial"/>
          <w:sz w:val="15"/>
          <w:szCs w:val="15"/>
          <w:i w:val="1"/>
          <w:iCs w:val="1"/>
          <w:color w:val="F20000"/>
        </w:rPr>
        <w:t xml:space="preserve">MTBE </w:t>
      </w:r>
      <w:r>
        <w:rPr>
          <w:rFonts w:ascii="Arial" w:cs="Arial" w:eastAsia="Arial" w:hAnsi="Arial"/>
          <w:sz w:val="15"/>
          <w:szCs w:val="15"/>
          <w:color w:val="000000"/>
        </w:rPr>
        <w:t>Another issue involving the company is the petroleum industry’s use of</w:t>
      </w:r>
      <w:r>
        <w:rPr>
          <w:rFonts w:ascii="Arial" w:cs="Arial" w:eastAsia="Arial" w:hAnsi="Arial"/>
          <w:sz w:val="15"/>
          <w:szCs w:val="15"/>
          <w:i w:val="1"/>
          <w:iCs w:val="1"/>
          <w:color w:val="F20000"/>
        </w:rPr>
        <w:t xml:space="preserve"> </w:t>
      </w:r>
      <w:r>
        <w:rPr>
          <w:rFonts w:ascii="Arial" w:cs="Arial" w:eastAsia="Arial" w:hAnsi="Arial"/>
          <w:sz w:val="15"/>
          <w:szCs w:val="15"/>
          <w:color w:val="000000"/>
        </w:rPr>
        <w:t>methyl tertiary butyl ether (MTBE) as a gasoline additive and its potential environmental impact through seepage into groundwater. Along with other oil companies, the company is a party to more than 60 lawsuits and claims related to the use of the chemical MTBE in certain oxygenated gasolines. These actions may require the company to correct or ameliorate the alleged effects on the environment of prior release of MTBE by the company or other parties. Additional lawsuits and claims related to the use of MTBE, including personal-injury claims, may be filed in the future. The company’s ultimate exposure related to these lawsuits and claims is not currently determinable, but could be material to net income in any one period. Chevron-Texaco has reduced the use of MTBE in gasoline it manufactures in the United States, including the complete phase-out of MTBE in California before the end of 2003.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Millions of dollars</w:t>
            </w:r>
          </w:p>
        </w:tc>
        <w:tc>
          <w:tcPr>
            <w:tcW w:w="102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2002</w:t>
            </w:r>
          </w:p>
        </w:tc>
        <w:tc>
          <w:tcPr>
            <w:tcW w:w="24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2001</w:t>
            </w:r>
          </w:p>
        </w:tc>
      </w:tr>
      <w:tr>
        <w:trPr>
          <w:trHeight w:val="133"/>
        </w:trPr>
        <w:tc>
          <w:tcPr>
            <w:tcW w:w="2400" w:type="dxa"/>
            <w:vAlign w:val="bottom"/>
          </w:tcPr>
          <w:p>
            <w:pPr>
              <w:spacing w:after="0" w:line="133" w:lineRule="exact"/>
              <w:rPr>
                <w:sz w:val="20"/>
                <w:szCs w:val="20"/>
                <w:color w:val="auto"/>
              </w:rPr>
            </w:pPr>
            <w:r>
              <w:rPr>
                <w:rFonts w:ascii="Arial" w:cs="Arial" w:eastAsia="Arial" w:hAnsi="Arial"/>
                <w:sz w:val="14"/>
                <w:szCs w:val="14"/>
                <w:color w:val="auto"/>
              </w:rPr>
              <w:t>Balance at January 1</w:t>
            </w:r>
          </w:p>
        </w:tc>
        <w:tc>
          <w:tcPr>
            <w:tcW w:w="10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09"/>
              <w:spacing w:after="0" w:line="133" w:lineRule="exact"/>
              <w:rPr>
                <w:sz w:val="20"/>
                <w:szCs w:val="20"/>
                <w:color w:val="auto"/>
              </w:rPr>
            </w:pPr>
            <w:r>
              <w:rPr>
                <w:rFonts w:ascii="Arial" w:cs="Arial" w:eastAsia="Arial" w:hAnsi="Arial"/>
                <w:sz w:val="14"/>
                <w:szCs w:val="14"/>
                <w:b w:val="1"/>
                <w:bCs w:val="1"/>
                <w:color w:val="auto"/>
                <w:w w:val="96"/>
              </w:rPr>
              <w:t>1,090</w:t>
            </w:r>
          </w:p>
        </w:tc>
        <w:tc>
          <w:tcPr>
            <w:tcW w:w="2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89"/>
              <w:spacing w:after="0" w:line="133" w:lineRule="exact"/>
              <w:rPr>
                <w:sz w:val="20"/>
                <w:szCs w:val="20"/>
                <w:color w:val="auto"/>
              </w:rPr>
            </w:pPr>
            <w:r>
              <w:rPr>
                <w:rFonts w:ascii="Arial" w:cs="Arial" w:eastAsia="Arial" w:hAnsi="Arial"/>
                <w:sz w:val="14"/>
                <w:szCs w:val="14"/>
                <w:color w:val="auto"/>
              </w:rPr>
              <w:t>1,160</w:t>
            </w:r>
          </w:p>
        </w:tc>
        <w:tc>
          <w:tcPr>
            <w:tcW w:w="2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line="133" w:lineRule="exact"/>
              <w:rPr>
                <w:sz w:val="20"/>
                <w:szCs w:val="20"/>
                <w:color w:val="auto"/>
              </w:rPr>
            </w:pPr>
            <w:r>
              <w:rPr>
                <w:rFonts w:ascii="Arial" w:cs="Arial" w:eastAsia="Arial" w:hAnsi="Arial"/>
                <w:sz w:val="14"/>
                <w:szCs w:val="14"/>
                <w:color w:val="auto"/>
                <w:w w:val="96"/>
              </w:rPr>
              <w:t>1,234</w:t>
            </w: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020" w:type="dxa"/>
            <w:vAlign w:val="bottom"/>
          </w:tcPr>
          <w:p>
            <w:pPr>
              <w:spacing w:after="0"/>
              <w:rPr>
                <w:sz w:val="12"/>
                <w:szCs w:val="12"/>
                <w:color w:val="auto"/>
              </w:rPr>
            </w:pPr>
          </w:p>
        </w:tc>
        <w:tc>
          <w:tcPr>
            <w:tcW w:w="54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296</w:t>
            </w:r>
          </w:p>
        </w:tc>
        <w:tc>
          <w:tcPr>
            <w:tcW w:w="220" w:type="dxa"/>
            <w:vAlign w:val="bottom"/>
          </w:tcPr>
          <w:p>
            <w:pPr>
              <w:spacing w:after="0"/>
              <w:rPr>
                <w:sz w:val="12"/>
                <w:szCs w:val="12"/>
                <w:color w:val="auto"/>
              </w:rPr>
            </w:pPr>
          </w:p>
        </w:tc>
        <w:tc>
          <w:tcPr>
            <w:tcW w:w="5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229</w:t>
            </w:r>
          </w:p>
        </w:tc>
        <w:tc>
          <w:tcPr>
            <w:tcW w:w="240" w:type="dxa"/>
            <w:vAlign w:val="bottom"/>
          </w:tcPr>
          <w:p>
            <w:pPr>
              <w:spacing w:after="0"/>
              <w:rPr>
                <w:sz w:val="12"/>
                <w:szCs w:val="12"/>
                <w:color w:val="auto"/>
              </w:rPr>
            </w:pPr>
          </w:p>
        </w:tc>
        <w:tc>
          <w:tcPr>
            <w:tcW w:w="520" w:type="dxa"/>
            <w:vAlign w:val="bottom"/>
          </w:tcPr>
          <w:p>
            <w:pPr>
              <w:jc w:val="right"/>
              <w:ind w:right="89"/>
              <w:spacing w:after="0" w:line="149" w:lineRule="exact"/>
              <w:rPr>
                <w:sz w:val="20"/>
                <w:szCs w:val="20"/>
                <w:color w:val="auto"/>
              </w:rPr>
            </w:pPr>
            <w:r>
              <w:rPr>
                <w:rFonts w:ascii="Arial" w:cs="Arial" w:eastAsia="Arial" w:hAnsi="Arial"/>
                <w:sz w:val="14"/>
                <w:szCs w:val="14"/>
                <w:color w:val="auto"/>
              </w:rPr>
              <w:t>216</w:t>
            </w:r>
          </w:p>
        </w:tc>
      </w:tr>
      <w:tr>
        <w:trPr>
          <w:trHeight w:val="171"/>
        </w:trPr>
        <w:tc>
          <w:tcPr>
            <w:tcW w:w="24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Expenditures</w:t>
            </w:r>
          </w:p>
        </w:tc>
        <w:tc>
          <w:tcPr>
            <w:tcW w:w="102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(237)</w:t>
            </w:r>
          </w:p>
        </w:tc>
        <w:tc>
          <w:tcPr>
            <w:tcW w:w="22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(299)</w:t>
            </w:r>
          </w:p>
        </w:tc>
        <w:tc>
          <w:tcPr>
            <w:tcW w:w="24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(290)</w:t>
            </w:r>
          </w:p>
        </w:tc>
      </w:tr>
      <w:tr>
        <w:trPr>
          <w:trHeight w:val="176"/>
        </w:trPr>
        <w:tc>
          <w:tcPr>
            <w:tcW w:w="24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b w:val="1"/>
                <w:bCs w:val="1"/>
                <w:color w:val="auto"/>
                <w:w w:val="96"/>
              </w:rPr>
              <w:t>1,149</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1,090</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w w:val="96"/>
              </w:rPr>
              <w:t>1,160</w:t>
            </w:r>
          </w:p>
        </w:tc>
      </w:tr>
    </w:tbl>
    <w:p>
      <w:pPr>
        <w:spacing w:after="0" w:line="206" w:lineRule="exact"/>
        <w:rPr>
          <w:sz w:val="20"/>
          <w:szCs w:val="20"/>
          <w:color w:val="auto"/>
        </w:rPr>
      </w:pPr>
    </w:p>
    <w:p>
      <w:pPr>
        <w:ind w:right="40" w:firstLine="194"/>
        <w:spacing w:after="0" w:line="302" w:lineRule="auto"/>
        <w:rPr>
          <w:sz w:val="20"/>
          <w:szCs w:val="20"/>
          <w:color w:val="auto"/>
        </w:rPr>
      </w:pPr>
      <w:r>
        <w:rPr>
          <w:rFonts w:ascii="Arial" w:cs="Arial" w:eastAsia="Arial" w:hAnsi="Arial"/>
          <w:sz w:val="14"/>
          <w:szCs w:val="14"/>
          <w:color w:val="auto"/>
        </w:rPr>
        <w:t>As of December 31, 2003, ChevronTexaco had been identified by the Environmental Protection Agency (EPA) or other regulatory agencies under the provisions of the U.S. Superfund law as a potentially responsible party or otherwise involved in the remediation of 218 sites. The company’s remediation reserve for these sites at year-end 2003 was $113 million. The Superfund law provides for joint and several liability for all responsible parties. Any future actions by the EPA and other regulatory agencies to require ChevronTexaco to assume other potentially responsible parties’ costs at designated hazardous waste sites are not expected to have a material effect on the company’s consolidated financial position or liquidity.</w:t>
      </w:r>
    </w:p>
    <w:p>
      <w:pPr>
        <w:spacing w:after="0" w:line="4" w:lineRule="exact"/>
        <w:rPr>
          <w:sz w:val="20"/>
          <w:szCs w:val="20"/>
          <w:color w:val="auto"/>
        </w:rPr>
      </w:pPr>
    </w:p>
    <w:p>
      <w:pPr>
        <w:ind w:right="40" w:firstLine="203"/>
        <w:spacing w:after="0" w:line="286" w:lineRule="auto"/>
        <w:rPr>
          <w:sz w:val="20"/>
          <w:szCs w:val="20"/>
          <w:color w:val="auto"/>
        </w:rPr>
      </w:pPr>
      <w:r>
        <w:rPr>
          <w:rFonts w:ascii="Arial" w:cs="Arial" w:eastAsia="Arial" w:hAnsi="Arial"/>
          <w:sz w:val="15"/>
          <w:szCs w:val="15"/>
          <w:color w:val="auto"/>
        </w:rPr>
        <w:t>It is likely that the company will continue to incur additional liabilities, beyond those recorded, for environmental remediation relating to past operations. These future costs are indeterminable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 Although the amount of future costs may be material to the company’s results of operations in the period in which they are recognized, the company does not expect these costs will have a material adverse effect on its consolidated financial position or liquidity. Also, the company does not believe its obligations to make such expenditures have had, or will have, any significant</w:t>
      </w:r>
    </w:p>
    <w:p>
      <w:pPr>
        <w:spacing w:after="0" w:line="200" w:lineRule="exact"/>
        <w:rPr>
          <w:sz w:val="20"/>
          <w:szCs w:val="20"/>
          <w:color w:val="auto"/>
        </w:rPr>
      </w:pPr>
    </w:p>
    <w:p>
      <w:pPr>
        <w:sectPr>
          <w:pgSz w:w="11900" w:h="16838" w:orient="portrait"/>
          <w:cols w:equalWidth="0" w:num="2">
            <w:col w:w="5480" w:space="400"/>
            <w:col w:w="5480"/>
          </w:cols>
          <w:pgMar w:left="240" w:top="419" w:right="299" w:bottom="1440" w:gutter="0" w:footer="0" w:header="0"/>
          <w:type w:val="continuous"/>
        </w:sect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impact on the company’s competitive position relative to other petroleum or chemicals companies.</w:t>
      </w:r>
    </w:p>
    <w:p>
      <w:pPr>
        <w:spacing w:after="0" w:line="1" w:lineRule="exact"/>
        <w:rPr>
          <w:sz w:val="20"/>
          <w:szCs w:val="20"/>
          <w:color w:val="auto"/>
        </w:rPr>
      </w:pPr>
    </w:p>
    <w:p>
      <w:pPr>
        <w:ind w:right="20" w:firstLine="203"/>
        <w:spacing w:after="0" w:line="281" w:lineRule="auto"/>
        <w:rPr>
          <w:sz w:val="20"/>
          <w:szCs w:val="20"/>
          <w:color w:val="auto"/>
        </w:rPr>
      </w:pPr>
      <w:r>
        <w:rPr>
          <w:rFonts w:ascii="Arial" w:cs="Arial" w:eastAsia="Arial" w:hAnsi="Arial"/>
          <w:sz w:val="15"/>
          <w:szCs w:val="15"/>
          <w:color w:val="auto"/>
        </w:rPr>
        <w:t>Prior to January 1, 2003, additional reserves for dismantlement, abandonment and restoration of its worldwide oil, gas and coal properties at the end of their productive lives, which included costs related to environmental issues, were recognized on a unit-of-production basis. Effective January 1, 2003, the company implemented Financial Accounting Standards Board Statement No. 143, “Accounting for Asset Retirement Obligations” (FAS 143). Under FAS 143, the fair value of a liability for an asset retirement obligation is recorded when there is a legal obligation associated with the retirement of long-lived assets and the liability can be reasonably estimated. The liability balance for asset retirement obligations at year-end 2003 was $2.9 billion. Refer also to Note 25 on page FS-50 related to FAS 143.</w:t>
      </w:r>
    </w:p>
    <w:p>
      <w:pPr>
        <w:spacing w:after="0" w:line="7" w:lineRule="exact"/>
        <w:rPr>
          <w:sz w:val="20"/>
          <w:szCs w:val="20"/>
          <w:color w:val="auto"/>
        </w:rPr>
      </w:pPr>
    </w:p>
    <w:p>
      <w:pPr>
        <w:ind w:right="20" w:firstLine="203"/>
        <w:spacing w:after="0" w:line="264" w:lineRule="auto"/>
        <w:rPr>
          <w:sz w:val="20"/>
          <w:szCs w:val="20"/>
          <w:color w:val="auto"/>
        </w:rPr>
      </w:pPr>
      <w:r>
        <w:rPr>
          <w:rFonts w:ascii="Arial" w:cs="Arial" w:eastAsia="Arial" w:hAnsi="Arial"/>
          <w:sz w:val="16"/>
          <w:szCs w:val="16"/>
          <w:color w:val="auto"/>
        </w:rPr>
        <w:t>For the company’s other ongoing operating assets, such as refineries and chemicals facilities, no provisions are made for exit or cleanup costs that may be required when such assets reach the end of their useful lives unless a decision to sell or otherwise abandon the facility has been made, as the indeterminate settlement dates for the asset retirements prevent estimation of the fair value of the asset retirement obligation.</w:t>
      </w:r>
    </w:p>
    <w:p>
      <w:pPr>
        <w:spacing w:after="0" w:line="1" w:lineRule="exact"/>
        <w:rPr>
          <w:sz w:val="20"/>
          <w:szCs w:val="20"/>
          <w:color w:val="auto"/>
        </w:rPr>
      </w:pPr>
    </w:p>
    <w:p>
      <w:pPr>
        <w:ind w:right="260" w:firstLine="203"/>
        <w:spacing w:after="0" w:line="264" w:lineRule="auto"/>
        <w:rPr>
          <w:sz w:val="20"/>
          <w:szCs w:val="20"/>
          <w:color w:val="auto"/>
        </w:rPr>
      </w:pPr>
      <w:r>
        <w:rPr>
          <w:rFonts w:ascii="Arial" w:cs="Arial" w:eastAsia="Arial" w:hAnsi="Arial"/>
          <w:sz w:val="16"/>
          <w:szCs w:val="16"/>
          <w:color w:val="auto"/>
        </w:rPr>
        <w:t>Refer to “Environmental Matters” below for additional information related to environmental matters.</w:t>
      </w:r>
    </w:p>
    <w:p>
      <w:pPr>
        <w:ind w:right="20" w:firstLine="203"/>
        <w:spacing w:after="0" w:line="301" w:lineRule="auto"/>
        <w:rPr>
          <w:sz w:val="20"/>
          <w:szCs w:val="20"/>
          <w:color w:val="auto"/>
        </w:rPr>
      </w:pPr>
      <w:r>
        <w:rPr>
          <w:rFonts w:ascii="Arial" w:cs="Arial" w:eastAsia="Arial" w:hAnsi="Arial"/>
          <w:sz w:val="14"/>
          <w:szCs w:val="14"/>
          <w:i w:val="1"/>
          <w:iCs w:val="1"/>
          <w:color w:val="F20000"/>
        </w:rPr>
        <w:t xml:space="preserve">Income Taxes </w:t>
      </w:r>
      <w:r>
        <w:rPr>
          <w:rFonts w:ascii="Arial" w:cs="Arial" w:eastAsia="Arial" w:hAnsi="Arial"/>
          <w:sz w:val="14"/>
          <w:szCs w:val="14"/>
          <w:color w:val="000000"/>
        </w:rPr>
        <w:t>The company estimates its income tax expense and liabilities</w:t>
      </w:r>
      <w:r>
        <w:rPr>
          <w:rFonts w:ascii="Arial" w:cs="Arial" w:eastAsia="Arial" w:hAnsi="Arial"/>
          <w:sz w:val="14"/>
          <w:szCs w:val="14"/>
          <w:i w:val="1"/>
          <w:iCs w:val="1"/>
          <w:color w:val="F20000"/>
        </w:rPr>
        <w:t xml:space="preserve"> </w:t>
      </w:r>
      <w:r>
        <w:rPr>
          <w:rFonts w:ascii="Arial" w:cs="Arial" w:eastAsia="Arial" w:hAnsi="Arial"/>
          <w:sz w:val="14"/>
          <w:szCs w:val="14"/>
          <w:color w:val="000000"/>
        </w:rPr>
        <w:t>annually. These liabilities generally are not finalized with the individual taxing authorities until several years after the end of the annual period for which income taxes have been estimated. The U.S. federal income tax liabilities have been settled through 1996 for ChevronTexaco (formerly Chevron), 1993 for ChevronTexaco Global Energy Inc. (formerly Caltex), and 1991 for Texaco. California franchise tax liabilities have been settled through 1991 for Chevron and through 1987 for Texaco. Settlement of open tax years, as well as tax issues in other countries where the company conducts its businesses, is not expected to have a material effect on the consolidated financial position or liquidity of the company, and in the opinion of management, adequate provision has been made for income and franchise taxes for all years under examination or subject to future examination.</w:t>
      </w:r>
    </w:p>
    <w:p>
      <w:pPr>
        <w:spacing w:after="0" w:line="8" w:lineRule="exact"/>
        <w:rPr>
          <w:sz w:val="20"/>
          <w:szCs w:val="20"/>
          <w:color w:val="auto"/>
        </w:rPr>
      </w:pPr>
    </w:p>
    <w:p>
      <w:pPr>
        <w:ind w:right="100" w:firstLine="203"/>
        <w:spacing w:after="0" w:line="301" w:lineRule="auto"/>
        <w:rPr>
          <w:sz w:val="20"/>
          <w:szCs w:val="20"/>
          <w:color w:val="auto"/>
        </w:rPr>
      </w:pPr>
      <w:r>
        <w:rPr>
          <w:rFonts w:ascii="Arial" w:cs="Arial" w:eastAsia="Arial" w:hAnsi="Arial"/>
          <w:sz w:val="14"/>
          <w:szCs w:val="14"/>
          <w:i w:val="1"/>
          <w:iCs w:val="1"/>
          <w:color w:val="F20000"/>
        </w:rPr>
        <w:t xml:space="preserve">Global Operations </w:t>
      </w:r>
      <w:r>
        <w:rPr>
          <w:rFonts w:ascii="Arial" w:cs="Arial" w:eastAsia="Arial" w:hAnsi="Arial"/>
          <w:sz w:val="14"/>
          <w:szCs w:val="14"/>
          <w:color w:val="000000"/>
        </w:rPr>
        <w:t>ChevronTexaco and its affiliates have operations in more</w:t>
      </w:r>
      <w:r>
        <w:rPr>
          <w:rFonts w:ascii="Arial" w:cs="Arial" w:eastAsia="Arial" w:hAnsi="Arial"/>
          <w:sz w:val="14"/>
          <w:szCs w:val="14"/>
          <w:i w:val="1"/>
          <w:iCs w:val="1"/>
          <w:color w:val="F20000"/>
        </w:rPr>
        <w:t xml:space="preserve"> </w:t>
      </w:r>
      <w:r>
        <w:rPr>
          <w:rFonts w:ascii="Arial" w:cs="Arial" w:eastAsia="Arial" w:hAnsi="Arial"/>
          <w:sz w:val="14"/>
          <w:szCs w:val="14"/>
          <w:color w:val="000000"/>
        </w:rPr>
        <w:t>than 180 countries. Areas in which the company and its affiliates have major operations include the United States, Canada, Australia, the United Kingdom, Norway, Denmark, France, Partitioned Neutral Zone between Kuwait and Saudi Arabia, Republic of Congo, Angola, Nigeria, Chad, Cameroon, Equatorial Guinea, Democratic Republic of Congo, South Africa, Indonesia, the Philippines, Singapore, China, Thailand, Venezuela, Argentina, Brazil, Colombia, Trinidad and Tobago, and South Korea. The company’s Tengizchevroil affiliate operates in Kazakhstan. The company’s Caspian Pipeline Consortium (CPC) affiliate operates in Russia and Kazakhstan. The company’s Chevron Phillips Chemical Company LLC affiliate manufactures and markets a wide range of petrochemicals on a worldwide basis, with manufacturing facilities in the United States, Puerto Rico, Singapore, China, South Korea, Saudi Arabia, Qatar, Mexico and Belgium.</w:t>
      </w:r>
    </w:p>
    <w:p>
      <w:pPr>
        <w:spacing w:after="0" w:line="9" w:lineRule="exact"/>
        <w:rPr>
          <w:sz w:val="20"/>
          <w:szCs w:val="20"/>
          <w:color w:val="auto"/>
        </w:rPr>
      </w:pPr>
    </w:p>
    <w:p>
      <w:pPr>
        <w:ind w:firstLine="200"/>
        <w:spacing w:after="0" w:line="270" w:lineRule="auto"/>
        <w:rPr>
          <w:sz w:val="20"/>
          <w:szCs w:val="20"/>
          <w:color w:val="auto"/>
        </w:rPr>
      </w:pPr>
      <w:r>
        <w:rPr>
          <w:rFonts w:ascii="Arial" w:cs="Arial" w:eastAsia="Arial" w:hAnsi="Arial"/>
          <w:sz w:val="16"/>
          <w:szCs w:val="16"/>
          <w:color w:val="auto"/>
        </w:rPr>
        <w:t>The company’s operations, particularly exploration and production, can be affected by changing economic, regulatory and political environments in the various countries in which it operates, including the United States. As has occurred in the past, actions could be taken by host governments to increase public ownership of the company’s partially or wholly 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businesses and/or to impose additional taxes or royalties on the company’s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-295275</wp:posOffset>
            </wp:positionV>
            <wp:extent cx="8890" cy="6715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6715125"/>
                    </a:xfrm>
                    <a:prstGeom prst="rect">
                      <a:avLst/>
                    </a:prstGeom>
                    <a:noFill/>
                  </pic:spPr>
                </pic:pic>
              </a:graphicData>
            </a:graphic>
          </wp:anchor>
        </w:drawing>
      </w:r>
    </w:p>
    <w:p>
      <w:pPr>
        <w:ind w:firstLine="203"/>
        <w:spacing w:after="0" w:line="281" w:lineRule="auto"/>
        <w:rPr>
          <w:sz w:val="20"/>
          <w:szCs w:val="20"/>
          <w:color w:val="auto"/>
        </w:rPr>
      </w:pPr>
      <w:r>
        <w:rPr>
          <w:rFonts w:ascii="Arial" w:cs="Arial" w:eastAsia="Arial" w:hAnsi="Arial"/>
          <w:sz w:val="15"/>
          <w:szCs w:val="15"/>
          <w:color w:val="auto"/>
        </w:rPr>
        <w:t>In certain locations, host governments have imposed restrictions, controls and taxes, and in others, political conditions have existed that may threaten the safety of employees and the company’s continued presence in those countries. Internal unrest or strained relations between a host government and the company or other governments may affect the company’s operations. Those developments have, at times, significantly affected the company’s related operations and results and are carefully considered by management when evaluating the level of current and future activity in such countries.</w:t>
      </w:r>
    </w:p>
    <w:p>
      <w:pPr>
        <w:spacing w:after="0" w:line="5" w:lineRule="exact"/>
        <w:rPr>
          <w:sz w:val="20"/>
          <w:szCs w:val="20"/>
          <w:color w:val="auto"/>
        </w:rPr>
      </w:pPr>
    </w:p>
    <w:p>
      <w:pPr>
        <w:ind w:firstLine="203"/>
        <w:spacing w:after="0" w:line="281" w:lineRule="auto"/>
        <w:rPr>
          <w:sz w:val="20"/>
          <w:szCs w:val="20"/>
          <w:color w:val="auto"/>
        </w:rPr>
      </w:pPr>
      <w:r>
        <w:rPr>
          <w:rFonts w:ascii="Arial" w:cs="Arial" w:eastAsia="Arial" w:hAnsi="Arial"/>
          <w:sz w:val="15"/>
          <w:szCs w:val="15"/>
          <w:i w:val="1"/>
          <w:iCs w:val="1"/>
          <w:color w:val="F20000"/>
        </w:rPr>
        <w:t xml:space="preserve">Equity Redetermination </w:t>
      </w:r>
      <w:r>
        <w:rPr>
          <w:rFonts w:ascii="Arial" w:cs="Arial" w:eastAsia="Arial" w:hAnsi="Arial"/>
          <w:sz w:val="15"/>
          <w:szCs w:val="15"/>
          <w:color w:val="000000"/>
        </w:rPr>
        <w:t>For oil and gas producing operations, ownership</w:t>
      </w:r>
      <w:r>
        <w:rPr>
          <w:rFonts w:ascii="Arial" w:cs="Arial" w:eastAsia="Arial" w:hAnsi="Arial"/>
          <w:sz w:val="15"/>
          <w:szCs w:val="15"/>
          <w:i w:val="1"/>
          <w:iCs w:val="1"/>
          <w:color w:val="F20000"/>
        </w:rPr>
        <w:t xml:space="preserve"> </w:t>
      </w:r>
      <w:r>
        <w:rPr>
          <w:rFonts w:ascii="Arial" w:cs="Arial" w:eastAsia="Arial" w:hAnsi="Arial"/>
          <w:sz w:val="15"/>
          <w:szCs w:val="15"/>
          <w:color w:val="000000"/>
        </w:rPr>
        <w:t>agreements may provide for periodic reassessments of equity interests in estimated oil and gas reserves. These activities, individually or together, may result in gains or losses that could be material to earnings in any given period. One such equity redetermination process has been under way since 1996 for ChevronTexaco’s interests in four producing zones at the Naval Petroleum Reserve at Elk Hills, California, for the time when the remaining interests in these zones were owned by the U.S. Department of Energy. A wide range remains for a possible net settlement amount for the four zones. ChevronTexaco currently estimates its maximum possible net before-tax liability at approximately $200 million. At the same time, a possible maximum net amount that could be owed to ChevronTexaco is estimated at about $50 million. The timing of the settlement and the exact amount within this range of estimates is uncertain.</w:t>
      </w:r>
    </w:p>
    <w:p>
      <w:pPr>
        <w:spacing w:after="0" w:line="8" w:lineRule="exact"/>
        <w:rPr>
          <w:sz w:val="20"/>
          <w:szCs w:val="20"/>
          <w:color w:val="auto"/>
        </w:rPr>
      </w:pPr>
    </w:p>
    <w:p>
      <w:pPr>
        <w:ind w:right="60" w:firstLine="203"/>
        <w:spacing w:after="0" w:line="281" w:lineRule="auto"/>
        <w:rPr>
          <w:sz w:val="20"/>
          <w:szCs w:val="20"/>
          <w:color w:val="auto"/>
        </w:rPr>
      </w:pPr>
      <w:r>
        <w:rPr>
          <w:rFonts w:ascii="Arial" w:cs="Arial" w:eastAsia="Arial" w:hAnsi="Arial"/>
          <w:sz w:val="15"/>
          <w:szCs w:val="15"/>
          <w:i w:val="1"/>
          <w:iCs w:val="1"/>
          <w:color w:val="F20000"/>
        </w:rPr>
        <w:t xml:space="preserve">Suspended Wells </w:t>
      </w:r>
      <w:r>
        <w:rPr>
          <w:rFonts w:ascii="Arial" w:cs="Arial" w:eastAsia="Arial" w:hAnsi="Arial"/>
          <w:sz w:val="15"/>
          <w:szCs w:val="15"/>
          <w:color w:val="000000"/>
        </w:rPr>
        <w:t>The company also suspends the costs of exploratory wells</w:t>
      </w:r>
      <w:r>
        <w:rPr>
          <w:rFonts w:ascii="Arial" w:cs="Arial" w:eastAsia="Arial" w:hAnsi="Arial"/>
          <w:sz w:val="15"/>
          <w:szCs w:val="15"/>
          <w:i w:val="1"/>
          <w:iCs w:val="1"/>
          <w:color w:val="F20000"/>
        </w:rPr>
        <w:t xml:space="preserve"> </w:t>
      </w:r>
      <w:r>
        <w:rPr>
          <w:rFonts w:ascii="Arial" w:cs="Arial" w:eastAsia="Arial" w:hAnsi="Arial"/>
          <w:sz w:val="15"/>
          <w:szCs w:val="15"/>
          <w:color w:val="000000"/>
        </w:rPr>
        <w:t>pending a final determination of the commercial potential of the related oil and gas fields. The ultimate disposition of these well costs is dependent on the results of future drilling activity and/or development decisions. If the company decides not to continue development, the costs of these wells are expensed. At December 31, 2003, the company had $658 million of suspended exploratory wells included in properties, plant and equipment, an increase of $208 million from 2002 and a decrease of $30 million from 2001. The increase in 2003 primarily reflects drilling activities in the United States and Nigeria.</w:t>
      </w:r>
    </w:p>
    <w:p>
      <w:pPr>
        <w:spacing w:after="0" w:line="6" w:lineRule="exact"/>
        <w:rPr>
          <w:sz w:val="20"/>
          <w:szCs w:val="20"/>
          <w:color w:val="auto"/>
        </w:rPr>
      </w:pPr>
    </w:p>
    <w:p>
      <w:pPr>
        <w:ind w:right="20" w:firstLine="203"/>
        <w:spacing w:after="0" w:line="264" w:lineRule="auto"/>
        <w:rPr>
          <w:sz w:val="20"/>
          <w:szCs w:val="20"/>
          <w:color w:val="auto"/>
        </w:rPr>
      </w:pPr>
      <w:r>
        <w:rPr>
          <w:rFonts w:ascii="Arial" w:cs="Arial" w:eastAsia="Arial" w:hAnsi="Arial"/>
          <w:sz w:val="16"/>
          <w:szCs w:val="16"/>
          <w:i w:val="1"/>
          <w:iCs w:val="1"/>
          <w:color w:val="F20000"/>
        </w:rPr>
        <w:t xml:space="preserve">Other Contingencies </w:t>
      </w:r>
      <w:r>
        <w:rPr>
          <w:rFonts w:ascii="Arial" w:cs="Arial" w:eastAsia="Arial" w:hAnsi="Arial"/>
          <w:sz w:val="16"/>
          <w:szCs w:val="16"/>
          <w:color w:val="000000"/>
        </w:rPr>
        <w:t>ChevronTexaco receives claims from and submits claims to</w:t>
      </w:r>
      <w:r>
        <w:rPr>
          <w:rFonts w:ascii="Arial" w:cs="Arial" w:eastAsia="Arial" w:hAnsi="Arial"/>
          <w:sz w:val="16"/>
          <w:szCs w:val="16"/>
          <w:i w:val="1"/>
          <w:iCs w:val="1"/>
          <w:color w:val="F20000"/>
        </w:rPr>
        <w:t xml:space="preserve"> </w:t>
      </w:r>
      <w:r>
        <w:rPr>
          <w:rFonts w:ascii="Arial" w:cs="Arial" w:eastAsia="Arial" w:hAnsi="Arial"/>
          <w:sz w:val="16"/>
          <w:szCs w:val="16"/>
          <w:color w:val="000000"/>
        </w:rPr>
        <w:t>customers, trading partners, U.S. federal, state and local regulatory bodies, host governments, contractors, insurers and suppliers. The amounts of these claims, individually and in the aggregate, may be significant and may take lengthy periods of time to resolve.</w:t>
      </w:r>
    </w:p>
    <w:p>
      <w:pPr>
        <w:spacing w:after="0" w:line="1" w:lineRule="exact"/>
        <w:rPr>
          <w:sz w:val="20"/>
          <w:szCs w:val="20"/>
          <w:color w:val="auto"/>
        </w:rPr>
      </w:pPr>
    </w:p>
    <w:p>
      <w:pPr>
        <w:ind w:right="80" w:firstLine="200"/>
        <w:spacing w:after="0" w:line="270" w:lineRule="auto"/>
        <w:rPr>
          <w:sz w:val="20"/>
          <w:szCs w:val="20"/>
          <w:color w:val="auto"/>
        </w:rPr>
      </w:pPr>
      <w:r>
        <w:rPr>
          <w:rFonts w:ascii="Arial" w:cs="Arial" w:eastAsia="Arial" w:hAnsi="Arial"/>
          <w:sz w:val="16"/>
          <w:szCs w:val="16"/>
          <w:color w:val="auto"/>
        </w:rPr>
        <w:t>The company and its affiliates also continue to review and analyze their operations and may close, abandon, sell, exchange, acquire or restructure assets to achieve operational or strategic benefits and to improve competitiveness and profitability. These activities, individually or together, may result in gains or losses in future periods.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ENVIRONMENTAL MATTERS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Virtually all aspects of the businesses in which the company engages are subject to various federal, state and local environmental, health and safety laws and regulations. These regulatory requirements continue to increase in both number and complexity over time and govern not only the manner in which the company conducts its operations, but also the products it sells. Most of the costs of complying with laws and regulations pertaining to company operations and products are embedded in the normal costs of doing business.</w:t>
      </w:r>
    </w:p>
    <w:p>
      <w:pPr>
        <w:spacing w:after="0" w:line="200" w:lineRule="exact"/>
        <w:rPr>
          <w:sz w:val="20"/>
          <w:szCs w:val="20"/>
          <w:color w:val="auto"/>
        </w:rPr>
      </w:pPr>
    </w:p>
    <w:p>
      <w:pPr>
        <w:sectPr>
          <w:pgSz w:w="11900" w:h="16838" w:orient="portrait"/>
          <w:cols w:equalWidth="0" w:num="2">
            <w:col w:w="5480" w:space="400"/>
            <w:col w:w="5460"/>
          </w:cols>
          <w:pgMar w:left="240" w:top="419" w:right="319" w:bottom="1440" w:gutter="0" w:footer="0" w:header="0"/>
        </w:sect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30"/>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194"/>
        <w:spacing w:after="0" w:line="282" w:lineRule="auto"/>
        <w:rPr>
          <w:sz w:val="20"/>
          <w:szCs w:val="20"/>
          <w:color w:val="auto"/>
        </w:rPr>
      </w:pPr>
      <w:r>
        <w:rPr>
          <w:rFonts w:ascii="Arial" w:cs="Arial" w:eastAsia="Arial" w:hAnsi="Arial"/>
          <w:sz w:val="15"/>
          <w:szCs w:val="15"/>
          <w:color w:val="auto"/>
        </w:rPr>
        <w:t>Accidental leaks and spills requiring cleanup may occur in the ordinary course of business. In addition to the costs for environmental protection associated with its ongoing operations and products, the company may incur expenses for corrective actions at various owned and previously owned facilities and at third-party-owned waste-disposal sites used by the company. An obligation may arise when operations are closed or sold and at non-ChevronTexaco sites where company products have been handled or disposed of. Most of the expenditures to fulfill these obligations relate to facilities and sites where past operations followed practices and procedures that were considered acceptable at the time but now require investigative and/or remedial work to meet current standards. Using definitions and guidelines established by the American Petroleum Institute, ChevronTexaco estimated its worldwide environmental spending in 2003 at approximately $1.1 billion for its consolidated companies. Included in these expenditures were $305 million of environmental capital expenditures and $820 million of costs associated with the control and abatement of hazardous substances and pollutants from ongoing operations.</w:t>
      </w:r>
    </w:p>
    <w:p>
      <w:pPr>
        <w:spacing w:after="0" w:line="2" w:lineRule="exact"/>
        <w:rPr>
          <w:sz w:val="20"/>
          <w:szCs w:val="20"/>
          <w:color w:val="auto"/>
        </w:rPr>
      </w:pPr>
    </w:p>
    <w:p>
      <w:pPr>
        <w:ind w:right="80" w:firstLine="203"/>
        <w:spacing w:after="0" w:line="264" w:lineRule="auto"/>
        <w:rPr>
          <w:sz w:val="20"/>
          <w:szCs w:val="20"/>
          <w:color w:val="auto"/>
        </w:rPr>
      </w:pPr>
      <w:r>
        <w:rPr>
          <w:rFonts w:ascii="Arial" w:cs="Arial" w:eastAsia="Arial" w:hAnsi="Arial"/>
          <w:sz w:val="16"/>
          <w:szCs w:val="16"/>
          <w:color w:val="auto"/>
        </w:rPr>
        <w:t>For 2004, total worldwide environmental capital expenditures are estimated at $430 million. These capital costs are in addition to the ongoing costs of complying with environmental regulations and the costs to remediate previously contaminated sites.</w:t>
      </w:r>
    </w:p>
    <w:p>
      <w:pPr>
        <w:spacing w:after="0" w:line="1" w:lineRule="exact"/>
        <w:rPr>
          <w:sz w:val="20"/>
          <w:szCs w:val="20"/>
          <w:color w:val="auto"/>
        </w:rPr>
      </w:pPr>
    </w:p>
    <w:p>
      <w:pPr>
        <w:ind w:firstLine="203"/>
        <w:spacing w:after="0" w:line="287" w:lineRule="auto"/>
        <w:rPr>
          <w:sz w:val="20"/>
          <w:szCs w:val="20"/>
          <w:color w:val="auto"/>
        </w:rPr>
      </w:pPr>
      <w:r>
        <w:rPr>
          <w:rFonts w:ascii="Arial" w:cs="Arial" w:eastAsia="Arial" w:hAnsi="Arial"/>
          <w:sz w:val="15"/>
          <w:szCs w:val="15"/>
          <w:color w:val="auto"/>
        </w:rPr>
        <w:t>It is not possible to predict with certainty the amount of additional investments in new or existing facilities or amounts of incremental operating costs to be incurred in the future to: prevent, control, reduce or eliminate releases of hazardous materials into the environment; comply with existing and new environmental laws or regulations; or remediate and restore areas damaged by prior releases of hazardous materials. Although these costs may be significant to the results of operations in any single period, the company does not expect them to have a material effect on the company’s liquidity or financial position.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CRITICAL ACCOUNTING ESTIMATES AND ASSUMPTIONS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Management makes many estimates and assumptions in the application of generally accepted accounting principles (GAAP) that may have a material impact on the company’s consolidated financial statements and related disclosures and on the comparability of such information over different reporting periods. All such estimates and assumptions affect reported amounts of assets, liabilities, revenues and expenses as well as disclosures of contingent assets and liabilities. Estimates and assumptions are based on management’s experience and other information available prior to the issuance of the financial statements. Materially different results can occur as circumstances change and additional information becomes known.</w:t>
      </w:r>
    </w:p>
    <w:p>
      <w:pPr>
        <w:spacing w:after="0" w:line="6" w:lineRule="exact"/>
        <w:rPr>
          <w:sz w:val="20"/>
          <w:szCs w:val="20"/>
          <w:color w:val="auto"/>
        </w:rPr>
      </w:pPr>
    </w:p>
    <w:p>
      <w:pPr>
        <w:jc w:val="both"/>
        <w:ind w:right="120" w:firstLine="200"/>
        <w:spacing w:after="0" w:line="276" w:lineRule="auto"/>
        <w:rPr>
          <w:sz w:val="20"/>
          <w:szCs w:val="20"/>
          <w:color w:val="auto"/>
        </w:rPr>
      </w:pPr>
      <w:r>
        <w:rPr>
          <w:rFonts w:ascii="Arial" w:cs="Arial" w:eastAsia="Arial" w:hAnsi="Arial"/>
          <w:sz w:val="16"/>
          <w:szCs w:val="16"/>
          <w:color w:val="auto"/>
        </w:rPr>
        <w:t>The discussion in this section of critical accounting estimates or assumptions is according to the disclosure guidelines of the Securities and Exchange Commission (SEC), wherein:</w:t>
      </w:r>
    </w:p>
    <w:p>
      <w:pPr>
        <w:spacing w:after="0" w:line="185" w:lineRule="exact"/>
        <w:rPr>
          <w:sz w:val="20"/>
          <w:szCs w:val="20"/>
          <w:color w:val="auto"/>
        </w:rPr>
      </w:pPr>
    </w:p>
    <w:p>
      <w:pPr>
        <w:ind w:left="180" w:right="160" w:hanging="172"/>
        <w:spacing w:after="0" w:line="278"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nature of the estimates or assumptions is material due to the levels of subjectivity and judgment necessary to account for highly uncertain matters, or the susceptibility of such matters to change,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5" w:right="620" w:hanging="185"/>
        <w:spacing w:after="0" w:line="293" w:lineRule="auto"/>
        <w:tabs>
          <w:tab w:leader="none" w:pos="1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impact of the estimates and assumptions on the company’s financial condition or operating performance is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-458470</wp:posOffset>
            </wp:positionV>
            <wp:extent cx="8890" cy="6277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6277610"/>
                    </a:xfrm>
                    <a:prstGeom prst="rect">
                      <a:avLst/>
                    </a:prstGeom>
                    <a:noFill/>
                  </pic:spPr>
                </pic:pic>
              </a:graphicData>
            </a:graphic>
          </wp:anchor>
        </w:drawing>
      </w:r>
    </w:p>
    <w:p>
      <w:pPr>
        <w:spacing w:after="0" w:line="355" w:lineRule="exact"/>
        <w:rPr>
          <w:sz w:val="20"/>
          <w:szCs w:val="20"/>
          <w:color w:val="auto"/>
        </w:rPr>
      </w:pPr>
    </w:p>
    <w:p>
      <w:pPr>
        <w:ind w:left="5" w:right="20" w:firstLine="203"/>
        <w:spacing w:after="0" w:line="282" w:lineRule="auto"/>
        <w:rPr>
          <w:sz w:val="20"/>
          <w:szCs w:val="20"/>
          <w:color w:val="auto"/>
        </w:rPr>
      </w:pPr>
      <w:r>
        <w:rPr>
          <w:rFonts w:ascii="Arial" w:cs="Arial" w:eastAsia="Arial" w:hAnsi="Arial"/>
          <w:sz w:val="15"/>
          <w:szCs w:val="15"/>
          <w:color w:val="auto"/>
        </w:rPr>
        <w:t>Besides those meeting the critical criteria, the company makes many other accounting estimates and assumptions in preparing its financial statements and related disclosures. Although not associated with “highly uncertain matters,” these estimates and assumptions are also subject to revision as circumstances warrant, and materially different results may sometimes occur.</w:t>
      </w:r>
    </w:p>
    <w:p>
      <w:pPr>
        <w:spacing w:after="0" w:line="3" w:lineRule="exact"/>
        <w:rPr>
          <w:sz w:val="20"/>
          <w:szCs w:val="20"/>
          <w:color w:val="auto"/>
        </w:rPr>
      </w:pPr>
    </w:p>
    <w:p>
      <w:pPr>
        <w:ind w:left="5" w:firstLine="203"/>
        <w:spacing w:after="0" w:line="301" w:lineRule="auto"/>
        <w:rPr>
          <w:sz w:val="20"/>
          <w:szCs w:val="20"/>
          <w:color w:val="auto"/>
        </w:rPr>
      </w:pPr>
      <w:r>
        <w:rPr>
          <w:rFonts w:ascii="Arial" w:cs="Arial" w:eastAsia="Arial" w:hAnsi="Arial"/>
          <w:sz w:val="14"/>
          <w:szCs w:val="14"/>
          <w:color w:val="auto"/>
        </w:rPr>
        <w:t>For example, the recording of deferred tax assets requires an assessment under the accounting rules that the future realization of the associated tax benefits be “more likely than not.” Another example is the estimation of oil and gas reserves under SEC rules that require “...geological and engineering data (that) demonstrate with reasonable certainty (reserves) to be recoverable in future years from known reservoirs under existing economic and operating conditions, i.e., prices and costs as of the date the estimate is made.” Refer to Table V, “Reserve Quantity Information,” on page FS-57 for the changes in these estimates for the three years ending December 31, 2003, and to Table VII, “Changes in the Standardized Measure of Discounted Future Net Cash Flows from Proved Reserves,” on page FS-59 for estimates of proved-reserve values for each year-end 2001–2003, which were based on year-end prices at the time. Note 1 to the Consolidated Financial Statements includes a description of the “successful efforts” method of accounting for oil and gas exploration and production activities. The estimates of crude oil and natural gas reserves are important to the timing of expense recognition for costs incurred.</w:t>
      </w:r>
    </w:p>
    <w:p>
      <w:pPr>
        <w:spacing w:after="0" w:line="10" w:lineRule="exact"/>
        <w:rPr>
          <w:sz w:val="20"/>
          <w:szCs w:val="20"/>
          <w:color w:val="auto"/>
        </w:rPr>
      </w:pPr>
    </w:p>
    <w:p>
      <w:pPr>
        <w:ind w:left="5" w:right="40" w:firstLine="200"/>
        <w:spacing w:after="0" w:line="281" w:lineRule="auto"/>
        <w:rPr>
          <w:sz w:val="20"/>
          <w:szCs w:val="20"/>
          <w:color w:val="auto"/>
        </w:rPr>
      </w:pPr>
      <w:r>
        <w:rPr>
          <w:rFonts w:ascii="Arial" w:cs="Arial" w:eastAsia="Arial" w:hAnsi="Arial"/>
          <w:sz w:val="15"/>
          <w:szCs w:val="15"/>
          <w:color w:val="auto"/>
        </w:rPr>
        <w:t>The discussion of the critical accounting policy for “Impairment of Property, Plant and Equipment and Investments in Affiliates” on pages FS-19 and FS-20 includes reference to conditions under which downward revisions of proved reserve quantities could result in impairments of oil and gas properties. This commentary should be read in conjunction with disclosures elsewhere in this discussion and in the Notes to the Consolidated Financial Statements related to estimates, uncertainties, contingencies and new accounting standards. Significant accounting policies are discussed in Note 1 to the Consolidated Financial Statements beginning on page FS-28. The development and selection of accounting estimates and assumptions, including those deemed critical, and the associated disclosures in this discussion have been discussed by management with the audit committee of the Board of Directors.</w:t>
      </w:r>
    </w:p>
    <w:p>
      <w:pPr>
        <w:spacing w:after="0" w:line="8" w:lineRule="exact"/>
        <w:rPr>
          <w:sz w:val="20"/>
          <w:szCs w:val="20"/>
          <w:color w:val="auto"/>
        </w:rPr>
      </w:pPr>
    </w:p>
    <w:p>
      <w:pPr>
        <w:ind w:left="5" w:right="260" w:firstLine="200"/>
        <w:spacing w:after="0" w:line="264" w:lineRule="auto"/>
        <w:rPr>
          <w:sz w:val="20"/>
          <w:szCs w:val="20"/>
          <w:color w:val="auto"/>
        </w:rPr>
      </w:pPr>
      <w:r>
        <w:rPr>
          <w:rFonts w:ascii="Arial" w:cs="Arial" w:eastAsia="Arial" w:hAnsi="Arial"/>
          <w:sz w:val="16"/>
          <w:szCs w:val="16"/>
          <w:color w:val="auto"/>
        </w:rPr>
        <w:t>The areas of accounting and the associated critical estimates and assumptions made by the company are as follows:</w:t>
      </w:r>
    </w:p>
    <w:p>
      <w:pPr>
        <w:ind w:left="5" w:right="100" w:firstLine="203"/>
        <w:spacing w:after="0" w:line="309" w:lineRule="auto"/>
        <w:rPr>
          <w:sz w:val="20"/>
          <w:szCs w:val="20"/>
          <w:color w:val="auto"/>
        </w:rPr>
      </w:pPr>
      <w:r>
        <w:rPr>
          <w:rFonts w:ascii="Arial" w:cs="Arial" w:eastAsia="Arial" w:hAnsi="Arial"/>
          <w:sz w:val="14"/>
          <w:szCs w:val="14"/>
          <w:i w:val="1"/>
          <w:iCs w:val="1"/>
          <w:color w:val="F20000"/>
        </w:rPr>
        <w:t xml:space="preserve">Pension and Other Postretirement Benefit Plans </w:t>
      </w:r>
      <w:r>
        <w:rPr>
          <w:rFonts w:ascii="Arial" w:cs="Arial" w:eastAsia="Arial" w:hAnsi="Arial"/>
          <w:sz w:val="14"/>
          <w:szCs w:val="14"/>
          <w:color w:val="000000"/>
        </w:rPr>
        <w:t>The determination of pension</w:t>
      </w:r>
      <w:r>
        <w:rPr>
          <w:rFonts w:ascii="Arial" w:cs="Arial" w:eastAsia="Arial" w:hAnsi="Arial"/>
          <w:sz w:val="14"/>
          <w:szCs w:val="14"/>
          <w:i w:val="1"/>
          <w:iCs w:val="1"/>
          <w:color w:val="F20000"/>
        </w:rPr>
        <w:t xml:space="preserve"> </w:t>
      </w:r>
      <w:r>
        <w:rPr>
          <w:rFonts w:ascii="Arial" w:cs="Arial" w:eastAsia="Arial" w:hAnsi="Arial"/>
          <w:sz w:val="14"/>
          <w:szCs w:val="14"/>
          <w:color w:val="000000"/>
        </w:rPr>
        <w:t>plan expense and the requirements for funding of the company’s major pension plans are based on a number of actuarial assumptions. Two critical assumptions are the rate of return on pension plan assets and the discount rate applied to pension plan obligations. For other postretirement employee benefit (OPEB) plans, which provide for certain health care and life insurance for qualifying retired employees and which are not funded, critical assumptions in determining OPEB expense are the discount rate applied to benefit obligations and the assumed health care cost-trend rates used in the calculation of benefit obligations.</w:t>
      </w:r>
    </w:p>
    <w:p>
      <w:pPr>
        <w:spacing w:after="0" w:line="200" w:lineRule="exact"/>
        <w:rPr>
          <w:sz w:val="20"/>
          <w:szCs w:val="20"/>
          <w:color w:val="auto"/>
        </w:rPr>
      </w:pPr>
    </w:p>
    <w:p>
      <w:pPr>
        <w:sectPr>
          <w:pgSz w:w="11900" w:h="16838" w:orient="portrait"/>
          <w:cols w:equalWidth="0" w:num="2">
            <w:col w:w="5480" w:space="395"/>
            <w:col w:w="5485"/>
          </w:cols>
          <w:pgMar w:left="240" w:top="419" w:right="299" w:bottom="1440" w:gutter="0" w:footer="0" w:header="0"/>
          <w:type w:val="continuous"/>
        </w:sect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firstLine="203"/>
        <w:spacing w:after="0" w:line="265" w:lineRule="auto"/>
        <w:rPr>
          <w:sz w:val="20"/>
          <w:szCs w:val="20"/>
          <w:color w:val="auto"/>
        </w:rPr>
      </w:pPr>
      <w:r>
        <w:rPr>
          <w:rFonts w:ascii="Arial" w:cs="Arial" w:eastAsia="Arial" w:hAnsi="Arial"/>
          <w:sz w:val="16"/>
          <w:szCs w:val="16"/>
          <w:color w:val="auto"/>
        </w:rPr>
        <w:t>Note 21 to the Consolidated Financial Statements, beginning on page FS-42, includes information for the three years ending December 31, 2003, on the components of pension and OPEB expense and the underlying discount rate assumptions as well as on the funded status for the company’s pension plans at the end of 2003 and 2002.</w:t>
      </w:r>
    </w:p>
    <w:p>
      <w:pPr>
        <w:spacing w:after="0" w:line="1" w:lineRule="exact"/>
        <w:rPr>
          <w:sz w:val="20"/>
          <w:szCs w:val="20"/>
          <w:color w:val="auto"/>
        </w:rPr>
      </w:pPr>
    </w:p>
    <w:p>
      <w:pPr>
        <w:ind w:firstLine="200"/>
        <w:spacing w:after="0" w:line="301" w:lineRule="auto"/>
        <w:rPr>
          <w:sz w:val="20"/>
          <w:szCs w:val="20"/>
          <w:color w:val="auto"/>
        </w:rPr>
      </w:pPr>
      <w:r>
        <w:rPr>
          <w:rFonts w:ascii="Arial" w:cs="Arial" w:eastAsia="Arial" w:hAnsi="Arial"/>
          <w:sz w:val="14"/>
          <w:szCs w:val="14"/>
          <w:color w:val="auto"/>
        </w:rPr>
        <w:t>To determine the estimate of long-term rate of return on pension assets, the company employs a rigorous process that incorporates actual historical asset-class returns and an assessment of expected future performance, and takes into consideration external actuarial advice and asset-class risk factors. Asset allocations are regularly updated using pension plan asset/liability studies, and the determination of the company’s estimates of long-term rates of return are consistent with these studies. For example, at December 31, 2003 and 2002, the estimated long-term rate of return on U.S. pension plan assets, which account for about</w:t>
      </w:r>
    </w:p>
    <w:p>
      <w:pPr>
        <w:spacing w:after="0" w:line="5"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70 percent of the company’s pension plan assets, was 7.8 percent, as compared with 9 percent at the end of 2001. The year-end market-related value of U.S. pension-plan assets used in the determination of pension expense was based on the market values in the preceding three months as opposed to the maximum allowable period of five years under U.S. accounting rules. Management considers the three-month time period long enough to minimize the effects of distortions from day-to-day market volatility and still be contemporaneous to the end of the year.</w:t>
      </w:r>
    </w:p>
    <w:p>
      <w:pPr>
        <w:spacing w:after="0" w:line="5" w:lineRule="exact"/>
        <w:rPr>
          <w:sz w:val="20"/>
          <w:szCs w:val="20"/>
          <w:color w:val="auto"/>
        </w:rPr>
      </w:pPr>
    </w:p>
    <w:p>
      <w:pPr>
        <w:ind w:right="40" w:firstLine="200"/>
        <w:spacing w:after="0" w:line="301" w:lineRule="auto"/>
        <w:rPr>
          <w:sz w:val="20"/>
          <w:szCs w:val="20"/>
          <w:color w:val="auto"/>
        </w:rPr>
      </w:pPr>
      <w:r>
        <w:rPr>
          <w:rFonts w:ascii="Arial" w:cs="Arial" w:eastAsia="Arial" w:hAnsi="Arial"/>
          <w:sz w:val="14"/>
          <w:szCs w:val="14"/>
          <w:color w:val="auto"/>
        </w:rPr>
        <w:t>The discount rate used in the determination of pension benefit obligations and pension expense is based on high-quality fixed income investment interest rates. At December 31, 2003, the company calculated the U.S. pension obligations using a 6.0 percent discount rate. The discount rates used at the end of 2002 and 2001 were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6.8 percent and 7.3 percent, respectively.</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An increase in the expected return on pension plan assets or the discount rate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would reduce pension plan expense, and vice versa. Total pension expense for 2003</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was $697 million. As an indication of interest-rate sensitivity to the determination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of pension expense, a 1 percent increase in the expected return on assets of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company’s primary U.S. pension plan, which accounted for about 61 percent of the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companywide pension obligation, would have reduced total pension plan expense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for 2003 by approximately $30 million. A 1 percent increase in the discount rate for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this same plan would have reduced total benefit plan expense by approximately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$120 million. The actual rates of return on plan assets and discount rates may vary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significantly from estimates because of unanticipated changes in the world’s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financial markets.</w:t>
      </w:r>
    </w:p>
    <w:p>
      <w:pPr>
        <w:spacing w:after="0" w:line="19" w:lineRule="exact"/>
        <w:rPr>
          <w:sz w:val="20"/>
          <w:szCs w:val="20"/>
          <w:color w:val="auto"/>
        </w:rPr>
      </w:pPr>
    </w:p>
    <w:p>
      <w:pPr>
        <w:ind w:right="60" w:firstLine="203"/>
        <w:spacing w:after="0" w:line="281" w:lineRule="auto"/>
        <w:rPr>
          <w:sz w:val="20"/>
          <w:szCs w:val="20"/>
          <w:color w:val="auto"/>
        </w:rPr>
      </w:pPr>
      <w:r>
        <w:rPr>
          <w:rFonts w:ascii="Arial" w:cs="Arial" w:eastAsia="Arial" w:hAnsi="Arial"/>
          <w:sz w:val="15"/>
          <w:szCs w:val="15"/>
          <w:color w:val="auto"/>
        </w:rPr>
        <w:t>Based on the expected changes in pension plan asset values and pension obligations in 2004, the company does not believe any significant funding of the pension plans will be mandatory during the year. For the U.S. plans, this determination was made in accordance with the minimum funding standard of the Employee Retirement Income Security Act (ERISA). However, the company made discretionary contributions of $535 million to U.S. plans in early 2004. Later in 2004, additional discretionary payments of $200 million and $50 million for the international and U.S. plans, respectively, are anticipated.</w:t>
      </w:r>
    </w:p>
    <w:p>
      <w:pPr>
        <w:spacing w:after="0" w:line="5" w:lineRule="exact"/>
        <w:rPr>
          <w:sz w:val="20"/>
          <w:szCs w:val="20"/>
          <w:color w:val="auto"/>
        </w:rPr>
      </w:pPr>
    </w:p>
    <w:p>
      <w:pPr>
        <w:ind w:right="20" w:firstLine="203"/>
        <w:spacing w:after="0" w:line="268" w:lineRule="auto"/>
        <w:rPr>
          <w:sz w:val="20"/>
          <w:szCs w:val="20"/>
          <w:color w:val="auto"/>
        </w:rPr>
      </w:pPr>
      <w:r>
        <w:rPr>
          <w:rFonts w:ascii="Arial" w:cs="Arial" w:eastAsia="Arial" w:hAnsi="Arial"/>
          <w:sz w:val="16"/>
          <w:szCs w:val="16"/>
          <w:color w:val="auto"/>
        </w:rPr>
        <w:t>Pension expense is included on the Consolidated Statement of Income in “Operating expenses” or “Selling, general and administrative expenses” and applies to all business segments. Depending upon the funding status of the different plans, either a long-term prepaid asset or a long-term liability is recorded for plans with overfunding or underfunding, respectively. Any unfunded accumulated benefit obligation in excess of recorded liabilities is recorded in “Other comprehensive income.” See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480"/>
        <w:spacing w:after="0" w:line="284" w:lineRule="auto"/>
        <w:rPr>
          <w:sz w:val="20"/>
          <w:szCs w:val="20"/>
          <w:color w:val="auto"/>
        </w:rPr>
      </w:pPr>
      <w:r>
        <w:rPr>
          <w:rFonts w:ascii="Arial" w:cs="Arial" w:eastAsia="Arial" w:hAnsi="Arial"/>
          <w:sz w:val="15"/>
          <w:szCs w:val="15"/>
          <w:color w:val="auto"/>
        </w:rPr>
        <w:t>21 to the Consolidated Financial Statements beginning on page FS-42 for the pension-related balance sheet effects at the end of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-295275</wp:posOffset>
            </wp:positionV>
            <wp:extent cx="8890" cy="6517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6517640"/>
                    </a:xfrm>
                    <a:prstGeom prst="rect">
                      <a:avLst/>
                    </a:prstGeom>
                    <a:noFill/>
                  </pic:spPr>
                </pic:pic>
              </a:graphicData>
            </a:graphic>
          </wp:anchor>
        </w:drawing>
      </w:r>
    </w:p>
    <w:p>
      <w:pPr>
        <w:ind w:firstLine="203"/>
        <w:spacing w:after="0" w:line="281" w:lineRule="auto"/>
        <w:rPr>
          <w:sz w:val="20"/>
          <w:szCs w:val="20"/>
          <w:color w:val="auto"/>
        </w:rPr>
      </w:pPr>
      <w:r>
        <w:rPr>
          <w:rFonts w:ascii="Arial" w:cs="Arial" w:eastAsia="Arial" w:hAnsi="Arial"/>
          <w:sz w:val="15"/>
          <w:szCs w:val="15"/>
          <w:color w:val="auto"/>
        </w:rPr>
        <w:t>For the company’s OPEB plans, expense for 2003 was $228 million and was also recorded as “Operating expenses” or “Selling, general and administrative expenses” in all business segments. The discount rate applied to the company’s U.S. OPEB obligations at December 31, 2003 was 6.0 percent – the same discount rate used for U.S. pension obligations. The assumed health care cost-trend rates used to calculate OPEB obligations starting in 2003 was an 8.4 percent cost increase over the previous year gradually dropping over four years to a long-term ultimate rate-increase assumption of 4.5 percent for 2007 and thereafter. The health care cost-trend increase assumption and duration to reach that rate are company estimates, developed in consultation with external consultants, and are consistent with the company’s actual experience.</w:t>
      </w:r>
    </w:p>
    <w:p>
      <w:pPr>
        <w:spacing w:after="0" w:line="7" w:lineRule="exact"/>
        <w:rPr>
          <w:sz w:val="20"/>
          <w:szCs w:val="20"/>
          <w:color w:val="auto"/>
        </w:rPr>
      </w:pPr>
    </w:p>
    <w:p>
      <w:pPr>
        <w:ind w:right="20" w:firstLine="194"/>
        <w:spacing w:after="0" w:line="270" w:lineRule="auto"/>
        <w:rPr>
          <w:sz w:val="20"/>
          <w:szCs w:val="20"/>
          <w:color w:val="auto"/>
        </w:rPr>
      </w:pPr>
      <w:r>
        <w:rPr>
          <w:rFonts w:ascii="Arial" w:cs="Arial" w:eastAsia="Arial" w:hAnsi="Arial"/>
          <w:sz w:val="16"/>
          <w:szCs w:val="16"/>
          <w:color w:val="auto"/>
        </w:rPr>
        <w:t>As an indication of discount-rate sensitivity to the determination of OPEB expense in 2003, a 1 percent increase in the discount rate for the company’s primary U.S. OPEB plan, which accounted for the significant majority of the companywide OPEB obligation, would have decreased OPEB expense by approximately $10 million.</w:t>
      </w:r>
    </w:p>
    <w:p>
      <w:pPr>
        <w:spacing w:after="0" w:line="177" w:lineRule="exact"/>
        <w:rPr>
          <w:sz w:val="20"/>
          <w:szCs w:val="20"/>
          <w:color w:val="auto"/>
        </w:rPr>
      </w:pPr>
    </w:p>
    <w:p>
      <w:pPr>
        <w:ind w:right="20" w:firstLine="203"/>
        <w:spacing w:after="0" w:line="282" w:lineRule="auto"/>
        <w:rPr>
          <w:sz w:val="20"/>
          <w:szCs w:val="20"/>
          <w:color w:val="auto"/>
        </w:rPr>
      </w:pPr>
      <w:r>
        <w:rPr>
          <w:rFonts w:ascii="Arial" w:cs="Arial" w:eastAsia="Arial" w:hAnsi="Arial"/>
          <w:sz w:val="15"/>
          <w:szCs w:val="15"/>
          <w:i w:val="1"/>
          <w:iCs w:val="1"/>
          <w:color w:val="F20000"/>
        </w:rPr>
        <w:t xml:space="preserve">Impairment of Property, Plant and Equipment and Investments in Affiliates </w:t>
      </w:r>
      <w:r>
        <w:rPr>
          <w:rFonts w:ascii="Arial" w:cs="Arial" w:eastAsia="Arial" w:hAnsi="Arial"/>
          <w:sz w:val="15"/>
          <w:szCs w:val="15"/>
          <w:color w:val="000000"/>
        </w:rPr>
        <w:t>The</w:t>
      </w:r>
      <w:r>
        <w:rPr>
          <w:rFonts w:ascii="Arial" w:cs="Arial" w:eastAsia="Arial" w:hAnsi="Arial"/>
          <w:sz w:val="15"/>
          <w:szCs w:val="15"/>
          <w:i w:val="1"/>
          <w:iCs w:val="1"/>
          <w:color w:val="F20000"/>
        </w:rPr>
        <w:t xml:space="preserve"> </w:t>
      </w:r>
      <w:r>
        <w:rPr>
          <w:rFonts w:ascii="Arial" w:cs="Arial" w:eastAsia="Arial" w:hAnsi="Arial"/>
          <w:sz w:val="15"/>
          <w:szCs w:val="15"/>
          <w:color w:val="000000"/>
        </w:rPr>
        <w:t>company assesses its property, plant and equipment (PP&amp;E) for possible impairment whenever events or changes in circumstances indicate that the carrying value of the assets may not be recoverable. Such indicators include changes in the company’s business plans, changes in commodity prices and for oil and gas properties, significant downward revisions of estimated proved reserve quantities. If the carrying value of an asset exceeds the future undiscounted cash flows expected from the asset, an impairment charge is recorded for the excess of carrying value of the asset over its fair value.</w:t>
      </w:r>
    </w:p>
    <w:p>
      <w:pPr>
        <w:spacing w:after="0" w:line="3" w:lineRule="exact"/>
        <w:rPr>
          <w:sz w:val="20"/>
          <w:szCs w:val="20"/>
          <w:color w:val="auto"/>
        </w:rPr>
      </w:pPr>
    </w:p>
    <w:p>
      <w:pPr>
        <w:ind w:firstLine="203"/>
        <w:spacing w:after="0" w:line="301" w:lineRule="auto"/>
        <w:rPr>
          <w:sz w:val="20"/>
          <w:szCs w:val="20"/>
          <w:color w:val="auto"/>
        </w:rPr>
      </w:pPr>
      <w:r>
        <w:rPr>
          <w:rFonts w:ascii="Arial" w:cs="Arial" w:eastAsia="Arial" w:hAnsi="Arial"/>
          <w:sz w:val="14"/>
          <w:szCs w:val="14"/>
          <w:color w:val="auto"/>
        </w:rPr>
        <w:t>Determination as to whether and how much an asset is impaired involves management estimates on highly uncertain matters such as future commodity prices, the effects of inflation and technology improvements on operating expenses and the outlook for global or regional market supply and demand conditions for crude oil, natural gas, commodity chemicals and refined products. However, the impairment reviews and calculations are based on assumptions that are consistent with the company’s business plans and long-term investment decisions.</w:t>
      </w:r>
    </w:p>
    <w:p>
      <w:pPr>
        <w:spacing w:after="0" w:line="5" w:lineRule="exact"/>
        <w:rPr>
          <w:sz w:val="20"/>
          <w:szCs w:val="20"/>
          <w:color w:val="auto"/>
        </w:rPr>
      </w:pPr>
    </w:p>
    <w:p>
      <w:pPr>
        <w:ind w:right="40" w:firstLine="200"/>
        <w:spacing w:after="0" w:line="301" w:lineRule="auto"/>
        <w:rPr>
          <w:sz w:val="20"/>
          <w:szCs w:val="20"/>
          <w:color w:val="auto"/>
        </w:rPr>
      </w:pPr>
      <w:r>
        <w:rPr>
          <w:rFonts w:ascii="Arial" w:cs="Arial" w:eastAsia="Arial" w:hAnsi="Arial"/>
          <w:sz w:val="14"/>
          <w:szCs w:val="14"/>
          <w:color w:val="auto"/>
        </w:rPr>
        <w:t>The amount and income statement classification of major impairments of PP&amp;E for the three years ending December 31, 2003, are included in the commentary on the business segments elsewhere in this discussion, as well as in Note 3 to the Consolidated Financial Statements on pages FS-30 and FS-31. An estimate as to the sensitivity to earnings for these periods if other assumptions had been used in the impairment reviews and impairment calculations is not practicable, given the broad range of the company’s PP&amp;E and the number of assumptions involved in the estimates. That is, favorable changes to some assumptions might have avoided the need to impair any assets in these periods, whereas unfavorable changes might have caused an additional unknown number of other assets to become impaired.</w:t>
      </w:r>
    </w:p>
    <w:p>
      <w:pPr>
        <w:spacing w:after="0" w:line="7" w:lineRule="exact"/>
        <w:rPr>
          <w:sz w:val="20"/>
          <w:szCs w:val="20"/>
          <w:color w:val="auto"/>
        </w:rPr>
      </w:pPr>
    </w:p>
    <w:p>
      <w:pPr>
        <w:ind w:right="20" w:firstLine="203"/>
        <w:spacing w:after="0" w:line="270" w:lineRule="auto"/>
        <w:rPr>
          <w:sz w:val="20"/>
          <w:szCs w:val="20"/>
          <w:color w:val="auto"/>
        </w:rPr>
      </w:pPr>
      <w:r>
        <w:rPr>
          <w:rFonts w:ascii="Arial" w:cs="Arial" w:eastAsia="Arial" w:hAnsi="Arial"/>
          <w:sz w:val="16"/>
          <w:szCs w:val="16"/>
          <w:color w:val="auto"/>
        </w:rPr>
        <w:t>Investments in common stock of affiliates that are accounted for under the equity method as well as investments in other securities of these equity investees are reviewed for impairment when the fair value of the investment falls below the company’s carrying value. When such a decline is deemed to be other than temporary, an impairment charge is recorded to the</w:t>
      </w:r>
    </w:p>
    <w:p>
      <w:pPr>
        <w:spacing w:after="0" w:line="333" w:lineRule="exact"/>
        <w:rPr>
          <w:sz w:val="20"/>
          <w:szCs w:val="20"/>
          <w:color w:val="auto"/>
        </w:rPr>
      </w:pPr>
    </w:p>
    <w:p>
      <w:pPr>
        <w:sectPr>
          <w:pgSz w:w="11900" w:h="16838" w:orient="portrait"/>
          <w:cols w:equalWidth="0" w:num="2">
            <w:col w:w="5460" w:space="420"/>
            <w:col w:w="5480"/>
          </w:cols>
          <w:pgMar w:left="240" w:top="419" w:right="299" w:bottom="1440" w:gutter="0" w:footer="0" w:header="0"/>
        </w:sectPr>
      </w:pP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33"/>
        </w:numPr>
        <w:rPr>
          <w:rFonts w:ascii="Arial" w:cs="Arial" w:eastAsia="Arial" w:hAnsi="Arial"/>
          <w:sz w:val="26"/>
          <w:szCs w:val="26"/>
          <w:b w:val="1"/>
          <w:bCs w:val="1"/>
          <w:color w:val="0070FF"/>
        </w:rPr>
      </w:pPr>
      <w:r>
        <w:rPr>
          <w:rFonts w:ascii="Arial" w:cs="Arial" w:eastAsia="Arial" w:hAnsi="Arial"/>
          <w:sz w:val="21"/>
          <w:szCs w:val="21"/>
          <w:color w:val="0070FF"/>
        </w:rPr>
        <w:t>Management’s Discussion and Analysis of Financial Condition and Results of Operations</w:t>
      </w:r>
    </w:p>
    <w:p>
      <w:pPr>
        <w:sectPr>
          <w:pgSz w:w="11900" w:h="16838" w:orient="portrait"/>
          <w:cols w:equalWidth="0" w:num="1">
            <w:col w:w="11340"/>
          </w:cols>
          <w:pgMar w:left="240" w:top="41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income statement for the difference between the investment’s carrying value and its estimated fair value at the time. 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 allow for any anticipated recovery in the investment’s market value. Differing assumptions could affect whether an investment is impaired in any period and the amount of the impairment and are not subject to sensitivity analysis.</w:t>
      </w:r>
    </w:p>
    <w:p>
      <w:pPr>
        <w:spacing w:after="0" w:line="4" w:lineRule="exact"/>
        <w:rPr>
          <w:sz w:val="20"/>
          <w:szCs w:val="20"/>
          <w:color w:val="auto"/>
        </w:rPr>
      </w:pPr>
    </w:p>
    <w:p>
      <w:pPr>
        <w:ind w:right="20" w:firstLine="203"/>
        <w:spacing w:after="0" w:line="307" w:lineRule="auto"/>
        <w:rPr>
          <w:sz w:val="20"/>
          <w:szCs w:val="20"/>
          <w:color w:val="auto"/>
        </w:rPr>
      </w:pPr>
      <w:r>
        <w:rPr>
          <w:rFonts w:ascii="Arial" w:cs="Arial" w:eastAsia="Arial" w:hAnsi="Arial"/>
          <w:sz w:val="14"/>
          <w:szCs w:val="14"/>
          <w:color w:val="auto"/>
        </w:rPr>
        <w:t>From time to time, the company performs impairment reviews and determines that no write-down in the carrying value of an asset or asset group is required. For example, when significant downward revisions to crude oil and natural gas reserves are made for any single field or concession, an impairment review is performed to determine if the carrying value of the asset remains recoverable. Also, if the expectation of sale of a particular asset or asset group in any period has been deemed more likely than not, an impairment review is performed, and if the estimated net proceeds exceed the carrying value of the asset or asset group, no impairment charge is required. Such calculations are reviewed each period until the asset or asset group is disposed of. Assets that are not impaired on a held-and-used basis could possibly become impaired if a decision was made to sell such assets and the estimated proceeds were less than the associated carrying values.</w:t>
      </w:r>
    </w:p>
    <w:p>
      <w:pPr>
        <w:spacing w:after="0" w:line="158" w:lineRule="exact"/>
        <w:rPr>
          <w:sz w:val="20"/>
          <w:szCs w:val="20"/>
          <w:color w:val="auto"/>
        </w:rPr>
      </w:pPr>
    </w:p>
    <w:p>
      <w:pPr>
        <w:ind w:right="80" w:firstLine="203"/>
        <w:spacing w:after="0" w:line="282" w:lineRule="auto"/>
        <w:rPr>
          <w:sz w:val="20"/>
          <w:szCs w:val="20"/>
          <w:color w:val="auto"/>
        </w:rPr>
      </w:pPr>
      <w:r>
        <w:rPr>
          <w:rFonts w:ascii="Arial" w:cs="Arial" w:eastAsia="Arial" w:hAnsi="Arial"/>
          <w:sz w:val="15"/>
          <w:szCs w:val="15"/>
          <w:i w:val="1"/>
          <w:iCs w:val="1"/>
          <w:color w:val="F20000"/>
        </w:rPr>
        <w:t xml:space="preserve">Contingent Losses </w:t>
      </w:r>
      <w:r>
        <w:rPr>
          <w:rFonts w:ascii="Arial" w:cs="Arial" w:eastAsia="Arial" w:hAnsi="Arial"/>
          <w:sz w:val="15"/>
          <w:szCs w:val="15"/>
          <w:color w:val="000000"/>
        </w:rPr>
        <w:t>Management also makes judgments and estimates in</w:t>
      </w:r>
      <w:r>
        <w:rPr>
          <w:rFonts w:ascii="Arial" w:cs="Arial" w:eastAsia="Arial" w:hAnsi="Arial"/>
          <w:sz w:val="15"/>
          <w:szCs w:val="15"/>
          <w:i w:val="1"/>
          <w:iCs w:val="1"/>
          <w:color w:val="F20000"/>
        </w:rPr>
        <w:t xml:space="preserve"> </w:t>
      </w:r>
      <w:r>
        <w:rPr>
          <w:rFonts w:ascii="Arial" w:cs="Arial" w:eastAsia="Arial" w:hAnsi="Arial"/>
          <w:sz w:val="15"/>
          <w:szCs w:val="15"/>
          <w:color w:val="000000"/>
        </w:rPr>
        <w:t>recording liabilities for claims, litigation, tax matters and environmental remediation. Actual costs can frequently vary from estimates for a variety of reasons. For example, the costs from settlement of claims and litigation can vary from estimates based on differing interpretations of laws, opinions on culpability and assessments on the amount of damages. Similarly, liabilities for environmental remediation are subject to change because of changes in laws, regulations and their interpretation; the determination of additional information on the extent and nature of site contamination; and improvements in technology.</w:t>
      </w:r>
    </w:p>
    <w:p>
      <w:pPr>
        <w:spacing w:after="0" w:line="3" w:lineRule="exact"/>
        <w:rPr>
          <w:sz w:val="20"/>
          <w:szCs w:val="20"/>
          <w:color w:val="auto"/>
        </w:rPr>
      </w:pPr>
    </w:p>
    <w:p>
      <w:pPr>
        <w:ind w:firstLine="203"/>
        <w:spacing w:after="0" w:line="301" w:lineRule="auto"/>
        <w:rPr>
          <w:sz w:val="20"/>
          <w:szCs w:val="20"/>
          <w:color w:val="auto"/>
        </w:rPr>
      </w:pPr>
      <w:r>
        <w:rPr>
          <w:rFonts w:ascii="Arial" w:cs="Arial" w:eastAsia="Arial" w:hAnsi="Arial"/>
          <w:sz w:val="14"/>
          <w:szCs w:val="14"/>
          <w:color w:val="auto"/>
        </w:rPr>
        <w:t>Under the accounting rules, a liability is recorded for these types of contingencies if management determines the loss to be both probable and estimable. The company generally records these losses as “Operating expenses” or “Selling, general and administrative expenses” on the Consolidated Statement of Income. Refer to the business segment discussions elsewhere in this discussion and in Note 3 to the Consolidated Financial Statements on pages FS-30 and FS-31 for the effect on earnings from losses associated with certain litigation and environmental remediation and tax matters for the three years ended December 31, 2003.</w:t>
      </w:r>
    </w:p>
    <w:p>
      <w:pPr>
        <w:spacing w:after="0" w:line="5" w:lineRule="exact"/>
        <w:rPr>
          <w:sz w:val="20"/>
          <w:szCs w:val="20"/>
          <w:color w:val="auto"/>
        </w:rPr>
      </w:pPr>
    </w:p>
    <w:p>
      <w:pPr>
        <w:ind w:right="140" w:firstLine="194"/>
        <w:spacing w:after="0" w:line="292" w:lineRule="auto"/>
        <w:rPr>
          <w:sz w:val="20"/>
          <w:szCs w:val="20"/>
          <w:color w:val="auto"/>
        </w:rPr>
      </w:pPr>
      <w:r>
        <w:rPr>
          <w:rFonts w:ascii="Arial" w:cs="Arial" w:eastAsia="Arial" w:hAnsi="Arial"/>
          <w:sz w:val="15"/>
          <w:szCs w:val="15"/>
          <w:color w:val="auto"/>
        </w:rPr>
        <w:t>An estimate as to the sensitivity to earnings for these periods if other assumptions had been used in recording these liabilities is not practical because of the number of contingencies that must be assessed, the number of underlying assumptions and the wide range of reasonably possible outcomes, in terms of both the probability of loss and the estimates of such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NEW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-250190</wp:posOffset>
            </wp:positionV>
            <wp:extent cx="8890" cy="5883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5883275"/>
                    </a:xfrm>
                    <a:prstGeom prst="rect">
                      <a:avLst/>
                    </a:prstGeom>
                    <a:noFill/>
                  </pic:spPr>
                </pic:pic>
              </a:graphicData>
            </a:graphic>
          </wp:anchor>
        </w:drawing>
      </w:r>
    </w:p>
    <w:p>
      <w:pPr>
        <w:spacing w:after="0" w:line="15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 xml:space="preserve">In January 2003, the Financial Accounting Standards Board (FASB) issued Interpretation No. 46, </w:t>
      </w:r>
      <w:r>
        <w:rPr>
          <w:rFonts w:ascii="Arial" w:cs="Arial" w:eastAsia="Arial" w:hAnsi="Arial"/>
          <w:sz w:val="14"/>
          <w:szCs w:val="14"/>
          <w:b w:val="1"/>
          <w:bCs w:val="1"/>
          <w:color w:val="auto"/>
        </w:rPr>
        <w:t>"</w:t>
      </w:r>
      <w:r>
        <w:rPr>
          <w:rFonts w:ascii="Arial" w:cs="Arial" w:eastAsia="Arial" w:hAnsi="Arial"/>
          <w:sz w:val="14"/>
          <w:szCs w:val="14"/>
          <w:color w:val="auto"/>
        </w:rPr>
        <w:t>Consolidation of Variable Interest Entities</w:t>
      </w:r>
      <w:r>
        <w:rPr>
          <w:rFonts w:ascii="Arial" w:cs="Arial" w:eastAsia="Arial" w:hAnsi="Arial"/>
          <w:sz w:val="14"/>
          <w:szCs w:val="14"/>
          <w:i w:val="1"/>
          <w:iCs w:val="1"/>
          <w:color w:val="auto"/>
        </w:rPr>
        <w:t>”</w:t>
      </w:r>
      <w:r>
        <w:rPr>
          <w:rFonts w:ascii="Arial" w:cs="Arial" w:eastAsia="Arial" w:hAnsi="Arial"/>
          <w:sz w:val="14"/>
          <w:szCs w:val="14"/>
          <w:color w:val="auto"/>
        </w:rPr>
        <w:t xml:space="preserve"> (FIN 46). FIN 46 amended Accounting Research Bulletin (ARB) 51, “Consolidated Financial Statements,” and established standards for determining circumstances under which a variable interest entity (VIE) should be consolidated by its primary beneficiary. FIN 46 also requires disclosures about VIEs that the company is not required to consolidate but in which it has a significant variable interest. In December 2003, the FASB issued FIN 46-R, which not only included amendments to FIN 46, but also required application of the interpretation to all affected entities no later than March 31, 2004 for calendar-year reporting companies. Prior to this requirement, however, companies must apply the interpretation to special-purpose entities by December 31, 2003. The adoption of FIN 46-R as it relates to special-purpose entities did not have a material impact on the company’s results of operations, financial position or liquidity, and the company does not expect a material impact upon its full adoption of the interpretation as of March 31, 2004.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ACCOUNTING FOR MINERAL INTERESTS INVESTMENT</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SEC has questioned certain public companies in the oil and gas and mining industries as to the proper accounting for, and reporting of, acquired contractual mineral interests under FASB Statement No. 141, “Business Combinations” (FAS 141), and FASB Statement No. 142, “Goodwill and Intangible Assets” (FAS 142). These accounting standards became effective for the company on July 1, 2001, and January 1, 2002, respectively.</w:t>
      </w:r>
    </w:p>
    <w:p>
      <w:pPr>
        <w:spacing w:after="0" w:line="3" w:lineRule="exact"/>
        <w:rPr>
          <w:sz w:val="20"/>
          <w:szCs w:val="20"/>
          <w:color w:val="auto"/>
        </w:rPr>
      </w:pPr>
    </w:p>
    <w:p>
      <w:pPr>
        <w:ind w:right="60" w:firstLine="194"/>
        <w:spacing w:after="0" w:line="281" w:lineRule="auto"/>
        <w:rPr>
          <w:sz w:val="20"/>
          <w:szCs w:val="20"/>
          <w:color w:val="auto"/>
        </w:rPr>
      </w:pPr>
      <w:r>
        <w:rPr>
          <w:rFonts w:ascii="Arial" w:cs="Arial" w:eastAsia="Arial" w:hAnsi="Arial"/>
          <w:sz w:val="15"/>
          <w:szCs w:val="15"/>
          <w:color w:val="auto"/>
        </w:rPr>
        <w:t>At issue is whether such mineral interest costs should be classified on the balance sheet as part of “Properties, plant and equipment” or as “Intangible assets.” The company will continue to classify these costs as “Properties, plant and equipment” and apportion them to expense in future periods under the company’s existing accounting policy until authoritative guidance is provided.</w:t>
      </w:r>
    </w:p>
    <w:p>
      <w:pPr>
        <w:spacing w:after="0" w:line="3" w:lineRule="exact"/>
        <w:rPr>
          <w:sz w:val="20"/>
          <w:szCs w:val="20"/>
          <w:color w:val="auto"/>
        </w:rPr>
      </w:pPr>
    </w:p>
    <w:p>
      <w:pPr>
        <w:ind w:right="40" w:firstLine="203"/>
        <w:spacing w:after="0" w:line="269" w:lineRule="auto"/>
        <w:rPr>
          <w:sz w:val="20"/>
          <w:szCs w:val="20"/>
          <w:color w:val="auto"/>
        </w:rPr>
      </w:pPr>
      <w:r>
        <w:rPr>
          <w:rFonts w:ascii="Arial" w:cs="Arial" w:eastAsia="Arial" w:hAnsi="Arial"/>
          <w:sz w:val="16"/>
          <w:szCs w:val="16"/>
          <w:color w:val="auto"/>
        </w:rPr>
        <w:t>For ChevronTexaco, the net book values of this category of mineral interest investment at December 31, 2003 and 2002, were $3.8 billion and $4.1 billion, respectively. If reclassification of these balances becomes necessary, the company’s statements of income and cash flows would not be affected. However, additional disclosures related to intangible assets would be required as prescribed under the associated accounting standards.</w:t>
      </w:r>
    </w:p>
    <w:p>
      <w:pPr>
        <w:spacing w:after="0" w:line="1348" w:lineRule="exact"/>
        <w:rPr>
          <w:sz w:val="20"/>
          <w:szCs w:val="20"/>
          <w:color w:val="auto"/>
        </w:rPr>
      </w:pPr>
    </w:p>
    <w:p>
      <w:pPr>
        <w:sectPr>
          <w:pgSz w:w="11900" w:h="16838" w:orient="portrait"/>
          <w:cols w:equalWidth="0" w:num="2">
            <w:col w:w="5480" w:space="400"/>
            <w:col w:w="5460"/>
          </w:cols>
          <w:pgMar w:left="240" w:top="41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F20000"/>
        </w:rPr>
        <w:t>To the Stockholders of ChevronTexaco Corporation</w:t>
      </w:r>
    </w:p>
    <w:p>
      <w:pPr>
        <w:spacing w:after="0" w:line="155" w:lineRule="exact"/>
        <w:rPr>
          <w:sz w:val="20"/>
          <w:szCs w:val="20"/>
          <w:color w:val="auto"/>
        </w:rPr>
      </w:pPr>
    </w:p>
    <w:p>
      <w:pPr>
        <w:ind w:right="520"/>
        <w:spacing w:after="0" w:line="283" w:lineRule="auto"/>
        <w:rPr>
          <w:sz w:val="20"/>
          <w:szCs w:val="20"/>
          <w:color w:val="auto"/>
        </w:rPr>
      </w:pPr>
      <w:r>
        <w:rPr>
          <w:rFonts w:ascii="Arial" w:cs="Arial" w:eastAsia="Arial" w:hAnsi="Arial"/>
          <w:sz w:val="15"/>
          <w:szCs w:val="15"/>
          <w:color w:val="auto"/>
        </w:rPr>
        <w:t>Management of ChevronTexaco is responsible for preparing the accompanying financial statements and for ensuring their integrity and objectivity. The statements were prepared in accordance with accounting principles generally accepted in the United States of America and fairly represent the transactions and financial position of the company. The financial statements include amounts that are based on management’s best estimates and judgments.</w:t>
      </w:r>
    </w:p>
    <w:p>
      <w:pPr>
        <w:spacing w:after="0" w:line="1" w:lineRule="exact"/>
        <w:rPr>
          <w:sz w:val="20"/>
          <w:szCs w:val="20"/>
          <w:color w:val="auto"/>
        </w:rPr>
      </w:pPr>
    </w:p>
    <w:p>
      <w:pPr>
        <w:jc w:val="both"/>
        <w:ind w:right="240" w:firstLine="200"/>
        <w:spacing w:after="0" w:line="264" w:lineRule="auto"/>
        <w:rPr>
          <w:sz w:val="20"/>
          <w:szCs w:val="20"/>
          <w:color w:val="auto"/>
        </w:rPr>
      </w:pPr>
      <w:r>
        <w:rPr>
          <w:rFonts w:ascii="Arial" w:cs="Arial" w:eastAsia="Arial" w:hAnsi="Arial"/>
          <w:sz w:val="16"/>
          <w:szCs w:val="16"/>
          <w:color w:val="auto"/>
        </w:rPr>
        <w:t>The company’s statements have been audited by PricewaterhouseCoopers LLP, independent auditors selected by the Audit Committee and approved by the stockholders. Management has made available to PricewaterhouseCoopers LLP all the company’s financial records and related data, as well as the minutes of stockholders’ and directors’ meetings.</w:t>
      </w:r>
    </w:p>
    <w:p>
      <w:pPr>
        <w:spacing w:after="0" w:line="1" w:lineRule="exact"/>
        <w:rPr>
          <w:sz w:val="20"/>
          <w:szCs w:val="20"/>
          <w:color w:val="auto"/>
        </w:rPr>
      </w:pPr>
    </w:p>
    <w:p>
      <w:pPr>
        <w:ind w:right="80" w:firstLine="203"/>
        <w:spacing w:after="0" w:line="264" w:lineRule="auto"/>
        <w:rPr>
          <w:sz w:val="20"/>
          <w:szCs w:val="20"/>
          <w:color w:val="auto"/>
        </w:rPr>
      </w:pPr>
      <w:r>
        <w:rPr>
          <w:rFonts w:ascii="Arial" w:cs="Arial" w:eastAsia="Arial" w:hAnsi="Arial"/>
          <w:sz w:val="16"/>
          <w:szCs w:val="16"/>
          <w:color w:val="auto"/>
        </w:rPr>
        <w:t>Management of the company has established and maintains a system of internal accounting controls that is designed to provide reasonable assurance that assets are safeguarded, transactions are properly recorded and executed in accordance with management’s authorization, and the books and records accurately reflect the disposition of assets. The system of internal controls includes appropriate division of responsibility. The company maintains an internal audit department that conducts an extensive program of internal audits and independently assesses the effectiveness of the internal controls.</w:t>
      </w:r>
    </w:p>
    <w:p>
      <w:pPr>
        <w:spacing w:after="0" w:line="1" w:lineRule="exact"/>
        <w:rPr>
          <w:sz w:val="20"/>
          <w:szCs w:val="20"/>
          <w:color w:val="auto"/>
        </w:rPr>
      </w:pPr>
    </w:p>
    <w:p>
      <w:pPr>
        <w:ind w:right="140" w:firstLine="200"/>
        <w:spacing w:after="0" w:line="302" w:lineRule="auto"/>
        <w:rPr>
          <w:sz w:val="20"/>
          <w:szCs w:val="20"/>
          <w:color w:val="auto"/>
        </w:rPr>
      </w:pPr>
      <w:r>
        <w:rPr>
          <w:rFonts w:ascii="Arial" w:cs="Arial" w:eastAsia="Arial" w:hAnsi="Arial"/>
          <w:sz w:val="15"/>
          <w:szCs w:val="15"/>
          <w:color w:val="auto"/>
        </w:rPr>
        <w:t>The Audit Committee is composed of directors who are not officers or employees of the company. It meets regularly with members of management, the internal auditors and the independent auditors to discuss the adequacy of the company’s internal controls, its financial statements, and the nature, extent and results of the audit effort. Both the internal and the independent auditors have free and direct access to the Audit Committee without the presence of management.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/s/ David J. O’Reilly</w:t>
            </w:r>
          </w:p>
        </w:tc>
        <w:tc>
          <w:tcPr>
            <w:tcW w:w="3400" w:type="dxa"/>
            <w:vAlign w:val="bottom"/>
          </w:tcPr>
          <w:p>
            <w:pPr>
              <w:ind w:left="900"/>
              <w:spacing w:after="0"/>
              <w:rPr>
                <w:sz w:val="20"/>
                <w:szCs w:val="20"/>
                <w:color w:val="auto"/>
              </w:rPr>
            </w:pPr>
            <w:r>
              <w:rPr>
                <w:rFonts w:ascii="Arial" w:cs="Arial" w:eastAsia="Arial" w:hAnsi="Arial"/>
                <w:sz w:val="14"/>
                <w:szCs w:val="14"/>
                <w:color w:val="auto"/>
              </w:rPr>
              <w:t>/s/ John S. Watson</w:t>
            </w:r>
          </w:p>
        </w:tc>
        <w:tc>
          <w:tcPr>
            <w:tcW w:w="2240" w:type="dxa"/>
            <w:vAlign w:val="bottom"/>
          </w:tcPr>
          <w:p>
            <w:pPr>
              <w:ind w:left="920"/>
              <w:spacing w:after="0"/>
              <w:rPr>
                <w:sz w:val="20"/>
                <w:szCs w:val="20"/>
                <w:color w:val="auto"/>
              </w:rPr>
            </w:pPr>
            <w:r>
              <w:rPr>
                <w:rFonts w:ascii="Arial" w:cs="Arial" w:eastAsia="Arial" w:hAnsi="Arial"/>
                <w:sz w:val="14"/>
                <w:szCs w:val="14"/>
                <w:color w:val="auto"/>
              </w:rPr>
              <w:t>/s/ Stephen J. Crowe</w:t>
            </w: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DAVID J. O’REILLY</w:t>
            </w:r>
          </w:p>
        </w:tc>
        <w:tc>
          <w:tcPr>
            <w:tcW w:w="3400" w:type="dxa"/>
            <w:vAlign w:val="bottom"/>
          </w:tcPr>
          <w:p>
            <w:pPr>
              <w:ind w:left="900"/>
              <w:spacing w:after="0" w:line="149" w:lineRule="exact"/>
              <w:rPr>
                <w:sz w:val="20"/>
                <w:szCs w:val="20"/>
                <w:color w:val="auto"/>
              </w:rPr>
            </w:pPr>
            <w:r>
              <w:rPr>
                <w:rFonts w:ascii="Arial" w:cs="Arial" w:eastAsia="Arial" w:hAnsi="Arial"/>
                <w:sz w:val="14"/>
                <w:szCs w:val="14"/>
                <w:color w:val="auto"/>
              </w:rPr>
              <w:t>JOHN S. WATSON</w:t>
            </w:r>
          </w:p>
        </w:tc>
        <w:tc>
          <w:tcPr>
            <w:tcW w:w="2240" w:type="dxa"/>
            <w:vAlign w:val="bottom"/>
          </w:tcPr>
          <w:p>
            <w:pPr>
              <w:ind w:left="920"/>
              <w:spacing w:after="0" w:line="149" w:lineRule="exact"/>
              <w:rPr>
                <w:sz w:val="20"/>
                <w:szCs w:val="20"/>
                <w:color w:val="auto"/>
              </w:rPr>
            </w:pPr>
            <w:r>
              <w:rPr>
                <w:rFonts w:ascii="Arial" w:cs="Arial" w:eastAsia="Arial" w:hAnsi="Arial"/>
                <w:sz w:val="14"/>
                <w:szCs w:val="14"/>
                <w:color w:val="auto"/>
                <w:w w:val="93"/>
              </w:rPr>
              <w:t>STEPHEN J. CROWE</w:t>
            </w: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Chairman of the Board</w:t>
            </w:r>
          </w:p>
        </w:tc>
        <w:tc>
          <w:tcPr>
            <w:tcW w:w="3400" w:type="dxa"/>
            <w:vAlign w:val="bottom"/>
          </w:tcPr>
          <w:p>
            <w:pPr>
              <w:ind w:left="900"/>
              <w:spacing w:after="0" w:line="149" w:lineRule="exact"/>
              <w:rPr>
                <w:sz w:val="20"/>
                <w:szCs w:val="20"/>
                <w:color w:val="auto"/>
              </w:rPr>
            </w:pPr>
            <w:r>
              <w:rPr>
                <w:rFonts w:ascii="Arial" w:cs="Arial" w:eastAsia="Arial" w:hAnsi="Arial"/>
                <w:sz w:val="14"/>
                <w:szCs w:val="14"/>
                <w:color w:val="auto"/>
              </w:rPr>
              <w:t>Vice President, Finance</w:t>
            </w:r>
          </w:p>
        </w:tc>
        <w:tc>
          <w:tcPr>
            <w:tcW w:w="2240" w:type="dxa"/>
            <w:vAlign w:val="bottom"/>
          </w:tcPr>
          <w:p>
            <w:pPr>
              <w:ind w:left="920"/>
              <w:spacing w:after="0" w:line="149" w:lineRule="exact"/>
              <w:rPr>
                <w:sz w:val="20"/>
                <w:szCs w:val="20"/>
                <w:color w:val="auto"/>
              </w:rPr>
            </w:pPr>
            <w:r>
              <w:rPr>
                <w:rFonts w:ascii="Arial" w:cs="Arial" w:eastAsia="Arial" w:hAnsi="Arial"/>
                <w:sz w:val="14"/>
                <w:szCs w:val="14"/>
                <w:color w:val="auto"/>
              </w:rPr>
              <w:t>Vice President</w:t>
            </w:r>
          </w:p>
        </w:tc>
      </w:tr>
      <w:tr>
        <w:trPr>
          <w:trHeight w:val="182"/>
        </w:trPr>
        <w:tc>
          <w:tcPr>
            <w:tcW w:w="2540" w:type="dxa"/>
            <w:vAlign w:val="bottom"/>
          </w:tcPr>
          <w:p>
            <w:pPr>
              <w:spacing w:after="0"/>
              <w:rPr>
                <w:sz w:val="20"/>
                <w:szCs w:val="20"/>
                <w:color w:val="auto"/>
              </w:rPr>
            </w:pPr>
            <w:r>
              <w:rPr>
                <w:rFonts w:ascii="Arial" w:cs="Arial" w:eastAsia="Arial" w:hAnsi="Arial"/>
                <w:sz w:val="14"/>
                <w:szCs w:val="14"/>
                <w:color w:val="auto"/>
              </w:rPr>
              <w:t>and Chief Executive Officer</w:t>
            </w:r>
          </w:p>
        </w:tc>
        <w:tc>
          <w:tcPr>
            <w:tcW w:w="3400" w:type="dxa"/>
            <w:vAlign w:val="bottom"/>
          </w:tcPr>
          <w:p>
            <w:pPr>
              <w:ind w:left="900"/>
              <w:spacing w:after="0"/>
              <w:rPr>
                <w:sz w:val="20"/>
                <w:szCs w:val="20"/>
                <w:color w:val="auto"/>
              </w:rPr>
            </w:pPr>
            <w:r>
              <w:rPr>
                <w:rFonts w:ascii="Arial" w:cs="Arial" w:eastAsia="Arial" w:hAnsi="Arial"/>
                <w:sz w:val="14"/>
                <w:szCs w:val="14"/>
                <w:color w:val="auto"/>
              </w:rPr>
              <w:t>and Chief Financial Officer</w:t>
            </w:r>
          </w:p>
        </w:tc>
        <w:tc>
          <w:tcPr>
            <w:tcW w:w="2240" w:type="dxa"/>
            <w:vAlign w:val="bottom"/>
          </w:tcPr>
          <w:p>
            <w:pPr>
              <w:ind w:left="920"/>
              <w:spacing w:after="0"/>
              <w:rPr>
                <w:sz w:val="20"/>
                <w:szCs w:val="20"/>
                <w:color w:val="auto"/>
              </w:rPr>
            </w:pPr>
            <w:r>
              <w:rPr>
                <w:rFonts w:ascii="Arial" w:cs="Arial" w:eastAsia="Arial" w:hAnsi="Arial"/>
                <w:sz w:val="14"/>
                <w:szCs w:val="14"/>
                <w:color w:val="auto"/>
              </w:rPr>
              <w:t>and Comptroller</w:t>
            </w:r>
          </w:p>
        </w:tc>
      </w:tr>
      <w:tr>
        <w:trPr>
          <w:trHeight w:val="297"/>
        </w:trPr>
        <w:tc>
          <w:tcPr>
            <w:tcW w:w="2540" w:type="dxa"/>
            <w:vAlign w:val="bottom"/>
          </w:tcPr>
          <w:p>
            <w:pPr>
              <w:spacing w:after="0"/>
              <w:rPr>
                <w:sz w:val="20"/>
                <w:szCs w:val="20"/>
                <w:color w:val="auto"/>
              </w:rPr>
            </w:pPr>
            <w:r>
              <w:rPr>
                <w:rFonts w:ascii="Arial" w:cs="Arial" w:eastAsia="Arial" w:hAnsi="Arial"/>
                <w:sz w:val="14"/>
                <w:szCs w:val="14"/>
                <w:i w:val="1"/>
                <w:iCs w:val="1"/>
                <w:color w:val="0070FF"/>
              </w:rPr>
              <w:t>February 25, 2004</w:t>
            </w:r>
          </w:p>
        </w:tc>
        <w:tc>
          <w:tcPr>
            <w:tcW w:w="34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AUDITORS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F20000"/>
        </w:rPr>
        <w:t>To the Stockholders and the Board of Directors of ChevronTexaco Corporation</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our opinion, the consolidated financial statements listed in the index appearing under Item 15(a)(1) on page 30 present fairly, in all material respects, the financial position of ChevronTexaco Corporation and its subsidiaries at December 31, 2003 and 2002, and the results of their operations and their cash flows for each of the three years in the period ended December 31, 2003 in conformity with accounting principles generally accepted in the United States of America. In addition, in our opinion, the financial statement schedule listed in the index appearing under Item 15(a) (2) on page 30 presents fairly, in all material respects, the information set forth therein when read in conjunction with the related consolidated financial statements. These financial statements and the financial statement schedule are the responsibility of the Company’s management; our responsibility is to express an opinion on these financial statements and the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25 on page FS-50 to the financial statements, the Company changed its method of accounting for asset retirement obligations as of January 1, 2003.</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0070FF"/>
        </w:rPr>
        <w:t>/s/ PricewaterhouseCoopers LLP</w:t>
      </w:r>
    </w:p>
    <w:p>
      <w:pPr>
        <w:spacing w:after="0" w:line="221" w:lineRule="auto"/>
        <w:rPr>
          <w:sz w:val="20"/>
          <w:szCs w:val="20"/>
          <w:color w:val="auto"/>
        </w:rPr>
      </w:pPr>
      <w:r>
        <w:rPr>
          <w:rFonts w:ascii="Arial" w:cs="Arial" w:eastAsia="Arial" w:hAnsi="Arial"/>
          <w:sz w:val="14"/>
          <w:szCs w:val="14"/>
          <w:i w:val="1"/>
          <w:iCs w:val="1"/>
          <w:color w:val="0070FF"/>
        </w:rPr>
        <w:t>San Francisco, California</w:t>
      </w:r>
    </w:p>
    <w:p>
      <w:pPr>
        <w:spacing w:after="0"/>
        <w:rPr>
          <w:sz w:val="20"/>
          <w:szCs w:val="20"/>
          <w:color w:val="auto"/>
        </w:rPr>
      </w:pPr>
      <w:r>
        <w:rPr>
          <w:rFonts w:ascii="Arial" w:cs="Arial" w:eastAsia="Arial" w:hAnsi="Arial"/>
          <w:sz w:val="14"/>
          <w:szCs w:val="14"/>
          <w:i w:val="1"/>
          <w:iCs w:val="1"/>
          <w:color w:val="0070FF"/>
        </w:rPr>
        <w:t>February 25, 2004</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431"/>
        </w:trPr>
        <w:tc>
          <w:tcPr>
            <w:tcW w:w="280" w:type="dxa"/>
            <w:vAlign w:val="bottom"/>
            <w:gridSpan w:val="2"/>
          </w:tcPr>
          <w:p>
            <w:pPr>
              <w:ind w:left="120"/>
              <w:spacing w:after="0"/>
              <w:rPr>
                <w:sz w:val="20"/>
                <w:szCs w:val="20"/>
                <w:color w:val="auto"/>
              </w:rPr>
            </w:pPr>
            <w:r>
              <w:rPr>
                <w:rFonts w:ascii="Arial" w:cs="Arial" w:eastAsia="Arial" w:hAnsi="Arial"/>
                <w:sz w:val="27"/>
                <w:szCs w:val="27"/>
                <w:b w:val="1"/>
                <w:bCs w:val="1"/>
                <w:color w:val="0070FF"/>
                <w:w w:val="92"/>
              </w:rPr>
              <w:t>»</w:t>
            </w:r>
          </w:p>
        </w:tc>
        <w:tc>
          <w:tcPr>
            <w:tcW w:w="320" w:type="dxa"/>
            <w:vAlign w:val="bottom"/>
            <w:tcBorders>
              <w:right w:val="single" w:sz="8" w:color="0070FF"/>
            </w:tcBorders>
          </w:tcPr>
          <w:p>
            <w:pPr>
              <w:spacing w:after="0"/>
              <w:rPr>
                <w:sz w:val="24"/>
                <w:szCs w:val="24"/>
                <w:color w:val="auto"/>
              </w:rPr>
            </w:pPr>
          </w:p>
        </w:tc>
        <w:tc>
          <w:tcPr>
            <w:tcW w:w="7400" w:type="dxa"/>
            <w:vAlign w:val="bottom"/>
          </w:tcPr>
          <w:p>
            <w:pPr>
              <w:ind w:left="100"/>
              <w:spacing w:after="0"/>
              <w:rPr>
                <w:sz w:val="20"/>
                <w:szCs w:val="20"/>
                <w:color w:val="auto"/>
              </w:rPr>
            </w:pPr>
            <w:r>
              <w:rPr>
                <w:rFonts w:ascii="Arial" w:cs="Arial" w:eastAsia="Arial" w:hAnsi="Arial"/>
                <w:sz w:val="22"/>
                <w:szCs w:val="22"/>
                <w:color w:val="0070FF"/>
              </w:rPr>
              <w:t>Consolidated Statement of Income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0" w:type="dxa"/>
            <w:vAlign w:val="bottom"/>
            <w:tcBorders>
              <w:bottom w:val="single" w:sz="8" w:color="0070FF"/>
            </w:tcBorders>
          </w:tcPr>
          <w:p>
            <w:pPr>
              <w:spacing w:after="0"/>
              <w:rPr>
                <w:sz w:val="8"/>
                <w:szCs w:val="8"/>
                <w:color w:val="auto"/>
              </w:rPr>
            </w:pPr>
          </w:p>
        </w:tc>
        <w:tc>
          <w:tcPr>
            <w:tcW w:w="320" w:type="dxa"/>
            <w:vAlign w:val="bottom"/>
            <w:tcBorders>
              <w:bottom w:val="single" w:sz="8" w:color="0070FF"/>
              <w:right w:val="single" w:sz="8" w:color="0070FF"/>
            </w:tcBorders>
          </w:tcPr>
          <w:p>
            <w:pPr>
              <w:spacing w:after="0"/>
              <w:rPr>
                <w:sz w:val="8"/>
                <w:szCs w:val="8"/>
                <w:color w:val="auto"/>
              </w:rPr>
            </w:pPr>
          </w:p>
        </w:tc>
        <w:tc>
          <w:tcPr>
            <w:tcW w:w="7400" w:type="dxa"/>
            <w:vAlign w:val="bottom"/>
            <w:tcBorders>
              <w:bottom w:val="single" w:sz="8" w:color="0070FF"/>
            </w:tcBorders>
          </w:tcPr>
          <w:p>
            <w:pPr>
              <w:spacing w:after="0"/>
              <w:rPr>
                <w:sz w:val="8"/>
                <w:szCs w:val="8"/>
                <w:color w:val="auto"/>
              </w:rPr>
            </w:pPr>
          </w:p>
        </w:tc>
        <w:tc>
          <w:tcPr>
            <w:tcW w:w="360" w:type="dxa"/>
            <w:vAlign w:val="bottom"/>
            <w:tcBorders>
              <w:bottom w:val="single" w:sz="8" w:color="0070FF"/>
            </w:tcBorders>
          </w:tcPr>
          <w:p>
            <w:pPr>
              <w:spacing w:after="0"/>
              <w:rPr>
                <w:sz w:val="8"/>
                <w:szCs w:val="8"/>
                <w:color w:val="auto"/>
              </w:rPr>
            </w:pPr>
          </w:p>
        </w:tc>
        <w:tc>
          <w:tcPr>
            <w:tcW w:w="140" w:type="dxa"/>
            <w:vAlign w:val="bottom"/>
            <w:tcBorders>
              <w:bottom w:val="single" w:sz="8" w:color="0070FF"/>
            </w:tcBorders>
          </w:tcPr>
          <w:p>
            <w:pPr>
              <w:spacing w:after="0"/>
              <w:rPr>
                <w:sz w:val="8"/>
                <w:szCs w:val="8"/>
                <w:color w:val="auto"/>
              </w:rPr>
            </w:pPr>
          </w:p>
        </w:tc>
        <w:tc>
          <w:tcPr>
            <w:tcW w:w="620" w:type="dxa"/>
            <w:vAlign w:val="bottom"/>
            <w:tcBorders>
              <w:bottom w:val="single" w:sz="8" w:color="0070FF"/>
            </w:tcBorders>
          </w:tcPr>
          <w:p>
            <w:pPr>
              <w:spacing w:after="0"/>
              <w:rPr>
                <w:sz w:val="8"/>
                <w:szCs w:val="8"/>
                <w:color w:val="auto"/>
              </w:rPr>
            </w:pPr>
          </w:p>
        </w:tc>
        <w:tc>
          <w:tcPr>
            <w:tcW w:w="2300" w:type="dxa"/>
            <w:vAlign w:val="bottom"/>
            <w:tcBorders>
              <w:bottom w:val="single" w:sz="8" w:color="0070FF"/>
            </w:tcBorders>
            <w:gridSpan w:val="4"/>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00" w:type="dxa"/>
            <w:vAlign w:val="bottom"/>
            <w:gridSpan w:val="4"/>
          </w:tcPr>
          <w:p>
            <w:pPr>
              <w:jc w:val="right"/>
              <w:spacing w:after="0"/>
              <w:rPr>
                <w:sz w:val="20"/>
                <w:szCs w:val="20"/>
                <w:color w:val="auto"/>
              </w:rPr>
            </w:pPr>
            <w:r>
              <w:rPr>
                <w:rFonts w:ascii="Arial" w:cs="Arial" w:eastAsia="Arial" w:hAnsi="Arial"/>
                <w:sz w:val="13"/>
                <w:szCs w:val="13"/>
                <w:i w:val="1"/>
                <w:iCs w:val="1"/>
                <w:color w:val="0070FF"/>
                <w:w w:val="88"/>
              </w:rPr>
              <w:t>Millions of dollars, except per-share amounts</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40" w:type="dxa"/>
            <w:vAlign w:val="bottom"/>
            <w:gridSpan w:val="4"/>
          </w:tcPr>
          <w:p>
            <w:pPr>
              <w:ind w:left="240"/>
              <w:spacing w:after="0"/>
              <w:rPr>
                <w:sz w:val="20"/>
                <w:szCs w:val="20"/>
                <w:color w:val="auto"/>
              </w:rPr>
            </w:pPr>
            <w:r>
              <w:rPr>
                <w:rFonts w:ascii="Arial" w:cs="Arial" w:eastAsia="Arial" w:hAnsi="Arial"/>
                <w:sz w:val="14"/>
                <w:szCs w:val="14"/>
                <w:color w:val="auto"/>
                <w:w w:val="92"/>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0070FF"/>
            </w:tcBorders>
          </w:tcPr>
          <w:p>
            <w:pPr>
              <w:spacing w:after="0"/>
              <w:rPr>
                <w:sz w:val="12"/>
                <w:szCs w:val="12"/>
                <w:color w:val="auto"/>
              </w:rPr>
            </w:pPr>
          </w:p>
        </w:tc>
        <w:tc>
          <w:tcPr>
            <w:tcW w:w="320" w:type="dxa"/>
            <w:vAlign w:val="bottom"/>
            <w:tcBorders>
              <w:bottom w:val="single" w:sz="8" w:color="0070FF"/>
            </w:tcBorders>
          </w:tcPr>
          <w:p>
            <w:pPr>
              <w:spacing w:after="0"/>
              <w:rPr>
                <w:sz w:val="12"/>
                <w:szCs w:val="12"/>
                <w:color w:val="auto"/>
              </w:rPr>
            </w:pPr>
          </w:p>
        </w:tc>
        <w:tc>
          <w:tcPr>
            <w:tcW w:w="7400" w:type="dxa"/>
            <w:vAlign w:val="bottom"/>
            <w:tcBorders>
              <w:bottom w:val="single" w:sz="8" w:color="0070FF"/>
            </w:tcBorders>
          </w:tcPr>
          <w:p>
            <w:pPr>
              <w:spacing w:after="0"/>
              <w:rPr>
                <w:sz w:val="12"/>
                <w:szCs w:val="12"/>
                <w:color w:val="auto"/>
              </w:rPr>
            </w:pPr>
          </w:p>
        </w:tc>
        <w:tc>
          <w:tcPr>
            <w:tcW w:w="360" w:type="dxa"/>
            <w:vAlign w:val="bottom"/>
            <w:tcBorders>
              <w:bottom w:val="single" w:sz="8" w:color="0070FF"/>
            </w:tcBorders>
          </w:tcPr>
          <w:p>
            <w:pPr>
              <w:spacing w:after="0"/>
              <w:rPr>
                <w:sz w:val="12"/>
                <w:szCs w:val="12"/>
                <w:color w:val="auto"/>
              </w:rPr>
            </w:pPr>
          </w:p>
        </w:tc>
        <w:tc>
          <w:tcPr>
            <w:tcW w:w="140" w:type="dxa"/>
            <w:vAlign w:val="bottom"/>
            <w:tcBorders>
              <w:top w:val="single" w:sz="8" w:color="0070FF"/>
              <w:bottom w:val="single" w:sz="8" w:color="0070FF"/>
            </w:tcBorders>
          </w:tcPr>
          <w:p>
            <w:pPr>
              <w:spacing w:after="0"/>
              <w:rPr>
                <w:sz w:val="12"/>
                <w:szCs w:val="12"/>
                <w:color w:val="auto"/>
              </w:rPr>
            </w:pPr>
          </w:p>
        </w:tc>
        <w:tc>
          <w:tcPr>
            <w:tcW w:w="62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580" w:type="dxa"/>
            <w:vAlign w:val="bottom"/>
            <w:tcBorders>
              <w:top w:val="single" w:sz="8" w:color="0070FF"/>
              <w:bottom w:val="single" w:sz="8" w:color="0070FF"/>
            </w:tcBorders>
          </w:tcPr>
          <w:p>
            <w:pPr>
              <w:spacing w:after="0"/>
              <w:rPr>
                <w:sz w:val="12"/>
                <w:szCs w:val="12"/>
                <w:color w:val="auto"/>
              </w:rPr>
            </w:pPr>
          </w:p>
        </w:tc>
        <w:tc>
          <w:tcPr>
            <w:tcW w:w="740" w:type="dxa"/>
            <w:vAlign w:val="bottom"/>
            <w:tcBorders>
              <w:top w:val="single" w:sz="8" w:color="0070FF"/>
              <w:bottom w:val="single" w:sz="8" w:color="0070FF"/>
            </w:tcBorders>
          </w:tcPr>
          <w:p>
            <w:pPr>
              <w:jc w:val="right"/>
              <w:ind w:right="169"/>
              <w:spacing w:after="0" w:line="142" w:lineRule="exact"/>
              <w:rPr>
                <w:sz w:val="20"/>
                <w:szCs w:val="20"/>
                <w:color w:val="auto"/>
              </w:rPr>
            </w:pPr>
            <w:r>
              <w:rPr>
                <w:rFonts w:ascii="Arial" w:cs="Arial" w:eastAsia="Arial" w:hAnsi="Arial"/>
                <w:sz w:val="14"/>
                <w:szCs w:val="14"/>
                <w:color w:val="auto"/>
              </w:rPr>
              <w:t>2002</w:t>
            </w:r>
          </w:p>
        </w:tc>
        <w:tc>
          <w:tcPr>
            <w:tcW w:w="340" w:type="dxa"/>
            <w:vAlign w:val="bottom"/>
            <w:tcBorders>
              <w:top w:val="single" w:sz="8" w:color="0070FF"/>
              <w:bottom w:val="single" w:sz="8" w:color="0070FF"/>
            </w:tcBorders>
          </w:tcPr>
          <w:p>
            <w:pPr>
              <w:spacing w:after="0"/>
              <w:rPr>
                <w:sz w:val="12"/>
                <w:szCs w:val="12"/>
                <w:color w:val="auto"/>
              </w:rPr>
            </w:pPr>
          </w:p>
        </w:tc>
        <w:tc>
          <w:tcPr>
            <w:tcW w:w="640" w:type="dxa"/>
            <w:vAlign w:val="bottom"/>
            <w:tcBorders>
              <w:top w:val="single" w:sz="8" w:color="0070FF"/>
              <w:bottom w:val="single" w:sz="8" w:color="0070FF"/>
            </w:tcBorders>
          </w:tcPr>
          <w:p>
            <w:pPr>
              <w:jc w:val="right"/>
              <w:ind w:right="29"/>
              <w:spacing w:after="0" w:line="142" w:lineRule="exact"/>
              <w:rPr>
                <w:sz w:val="20"/>
                <w:szCs w:val="20"/>
                <w:color w:val="auto"/>
              </w:rPr>
            </w:pPr>
            <w:r>
              <w:rPr>
                <w:rFonts w:ascii="Arial" w:cs="Arial" w:eastAsia="Arial" w:hAnsi="Arial"/>
                <w:sz w:val="14"/>
                <w:szCs w:val="14"/>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980" w:type="dxa"/>
            <w:vAlign w:val="bottom"/>
            <w:gridSpan w:val="3"/>
          </w:tcPr>
          <w:p>
            <w:pPr>
              <w:spacing w:after="0" w:line="137" w:lineRule="exact"/>
              <w:rPr>
                <w:sz w:val="20"/>
                <w:szCs w:val="20"/>
                <w:color w:val="auto"/>
              </w:rPr>
            </w:pPr>
            <w:r>
              <w:rPr>
                <w:rFonts w:ascii="Arial" w:cs="Arial" w:eastAsia="Arial" w:hAnsi="Arial"/>
                <w:sz w:val="14"/>
                <w:szCs w:val="14"/>
                <w:b w:val="1"/>
                <w:bCs w:val="1"/>
                <w:color w:val="0070FF"/>
              </w:rPr>
              <w:t>REVENUES AND OTHER INCOME</w:t>
            </w:r>
          </w:p>
        </w:tc>
        <w:tc>
          <w:tcPr>
            <w:tcW w:w="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120,032</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9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Sales and other operating revenues*</w:t>
            </w: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Pr>
          <w:p>
            <w:pPr>
              <w:ind w:left="40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5" w:lineRule="exact"/>
              <w:rPr>
                <w:sz w:val="20"/>
                <w:szCs w:val="20"/>
                <w:color w:val="auto"/>
              </w:rPr>
            </w:pPr>
            <w:r>
              <w:rPr>
                <w:rFonts w:ascii="Arial" w:cs="Arial" w:eastAsia="Arial" w:hAnsi="Arial"/>
                <w:sz w:val="14"/>
                <w:szCs w:val="14"/>
                <w:color w:val="auto"/>
              </w:rPr>
              <w:t>98,691</w:t>
            </w:r>
          </w:p>
        </w:tc>
        <w:tc>
          <w:tcPr>
            <w:tcW w:w="340" w:type="dxa"/>
            <w:vAlign w:val="bottom"/>
          </w:tcPr>
          <w:p>
            <w:pPr>
              <w:ind w:left="200"/>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45" w:lineRule="exact"/>
              <w:rPr>
                <w:sz w:val="20"/>
                <w:szCs w:val="20"/>
                <w:color w:val="auto"/>
              </w:rPr>
            </w:pPr>
            <w:r>
              <w:rPr>
                <w:rFonts w:ascii="Arial" w:cs="Arial" w:eastAsia="Arial" w:hAnsi="Arial"/>
                <w:sz w:val="14"/>
                <w:szCs w:val="14"/>
                <w:color w:val="auto"/>
              </w:rPr>
              <w:t>104,409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Income (loss) from equity affiliates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1,029</w:t>
            </w:r>
          </w:p>
        </w:tc>
        <w:tc>
          <w:tcPr>
            <w:tcW w:w="580" w:type="dxa"/>
            <w:vAlign w:val="bottom"/>
          </w:tcPr>
          <w:p>
            <w:pPr>
              <w:spacing w:after="0"/>
              <w:rPr>
                <w:sz w:val="12"/>
                <w:szCs w:val="12"/>
                <w:color w:val="auto"/>
              </w:rPr>
            </w:pPr>
          </w:p>
        </w:tc>
        <w:tc>
          <w:tcPr>
            <w:tcW w:w="7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(25)</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Gain from exchange of Dynegy preferred stock</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365</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335</w:t>
            </w:r>
          </w:p>
        </w:tc>
        <w:tc>
          <w:tcPr>
            <w:tcW w:w="5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247</w:t>
            </w: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692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798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TOTAL REVENUES AND OTHER INCOME</w:t>
            </w:r>
          </w:p>
        </w:tc>
        <w:tc>
          <w:tcPr>
            <w:tcW w:w="36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121,761</w:t>
            </w:r>
          </w:p>
        </w:tc>
        <w:tc>
          <w:tcPr>
            <w:tcW w:w="5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98,913</w:t>
            </w:r>
          </w:p>
        </w:tc>
        <w:tc>
          <w:tcPr>
            <w:tcW w:w="34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106,245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0" w:type="dxa"/>
            <w:vAlign w:val="bottom"/>
            <w:gridSpan w:val="4"/>
          </w:tcPr>
          <w:p>
            <w:pPr>
              <w:spacing w:after="0" w:line="137" w:lineRule="exact"/>
              <w:rPr>
                <w:sz w:val="20"/>
                <w:szCs w:val="20"/>
                <w:color w:val="auto"/>
              </w:rPr>
            </w:pPr>
            <w:r>
              <w:rPr>
                <w:rFonts w:ascii="Arial" w:cs="Arial" w:eastAsia="Arial" w:hAnsi="Arial"/>
                <w:sz w:val="14"/>
                <w:szCs w:val="14"/>
                <w:b w:val="1"/>
                <w:bCs w:val="1"/>
                <w:color w:val="0070FF"/>
              </w:rPr>
              <w:t>COSTS AND OTHER DEDUCTIONS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71,583</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9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Purchased crude oil and products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169"/>
              <w:spacing w:after="0" w:line="145" w:lineRule="exact"/>
              <w:rPr>
                <w:sz w:val="20"/>
                <w:szCs w:val="20"/>
                <w:color w:val="auto"/>
              </w:rPr>
            </w:pPr>
            <w:r>
              <w:rPr>
                <w:rFonts w:ascii="Arial" w:cs="Arial" w:eastAsia="Arial" w:hAnsi="Arial"/>
                <w:sz w:val="14"/>
                <w:szCs w:val="14"/>
                <w:color w:val="auto"/>
              </w:rPr>
              <w:t>57,249</w:t>
            </w:r>
          </w:p>
        </w:tc>
        <w:tc>
          <w:tcPr>
            <w:tcW w:w="340" w:type="dxa"/>
            <w:vAlign w:val="bottom"/>
          </w:tcPr>
          <w:p>
            <w:pPr>
              <w:spacing w:after="0"/>
              <w:rPr>
                <w:sz w:val="12"/>
                <w:szCs w:val="12"/>
                <w:color w:val="auto"/>
              </w:rPr>
            </w:pPr>
          </w:p>
        </w:tc>
        <w:tc>
          <w:tcPr>
            <w:tcW w:w="640" w:type="dxa"/>
            <w:vAlign w:val="bottom"/>
          </w:tcPr>
          <w:p>
            <w:pPr>
              <w:jc w:val="right"/>
              <w:ind w:right="29"/>
              <w:spacing w:after="0" w:line="145" w:lineRule="exact"/>
              <w:rPr>
                <w:sz w:val="20"/>
                <w:szCs w:val="20"/>
                <w:color w:val="auto"/>
              </w:rPr>
            </w:pPr>
            <w:r>
              <w:rPr>
                <w:rFonts w:ascii="Arial" w:cs="Arial" w:eastAsia="Arial" w:hAnsi="Arial"/>
                <w:sz w:val="14"/>
                <w:szCs w:val="14"/>
                <w:color w:val="auto"/>
              </w:rPr>
              <w:t>60,549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8,553</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7,848</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7,650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4,440</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4,155</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3,984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Exploration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571</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591</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Depreciation, depletion and amortization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5,384</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5,231</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7,059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Write-down of investments in Dynegy Inc.</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1,796</w:t>
            </w:r>
          </w:p>
        </w:tc>
        <w:tc>
          <w:tcPr>
            <w:tcW w:w="3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Merger-related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576</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Taxes other than on income*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17,906</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16,689</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15,156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Interest and debt expense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474</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565</w:t>
            </w:r>
          </w:p>
        </w:tc>
        <w:tc>
          <w:tcPr>
            <w:tcW w:w="34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833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Minority interests</w:t>
            </w:r>
          </w:p>
        </w:tc>
        <w:tc>
          <w:tcPr>
            <w:tcW w:w="3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80</w:t>
            </w:r>
          </w:p>
        </w:tc>
        <w:tc>
          <w:tcPr>
            <w:tcW w:w="5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57</w:t>
            </w: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798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TOTAL COSTS AND OTHER DEDUCTIONS</w:t>
            </w:r>
          </w:p>
        </w:tc>
        <w:tc>
          <w:tcPr>
            <w:tcW w:w="36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108,991</w:t>
            </w:r>
          </w:p>
        </w:tc>
        <w:tc>
          <w:tcPr>
            <w:tcW w:w="5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94,757</w:t>
            </w:r>
          </w:p>
        </w:tc>
        <w:tc>
          <w:tcPr>
            <w:tcW w:w="34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97,954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000" w:type="dxa"/>
            <w:vAlign w:val="bottom"/>
            <w:gridSpan w:val="4"/>
          </w:tcPr>
          <w:p>
            <w:pPr>
              <w:spacing w:after="0" w:line="133" w:lineRule="exact"/>
              <w:rPr>
                <w:sz w:val="20"/>
                <w:szCs w:val="20"/>
                <w:color w:val="auto"/>
              </w:rPr>
            </w:pPr>
            <w:r>
              <w:rPr>
                <w:rFonts w:ascii="Arial" w:cs="Arial" w:eastAsia="Arial" w:hAnsi="Arial"/>
                <w:sz w:val="14"/>
                <w:szCs w:val="14"/>
                <w:b w:val="1"/>
                <w:bCs w:val="1"/>
                <w:color w:val="0070FF"/>
              </w:rPr>
              <w:t>INCOME BEFORE INCOME TAX EXPENSE</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12,770</w:t>
            </w:r>
          </w:p>
        </w:tc>
        <w:tc>
          <w:tcPr>
            <w:tcW w:w="580" w:type="dxa"/>
            <w:vAlign w:val="bottom"/>
          </w:tcPr>
          <w:p>
            <w:pPr>
              <w:spacing w:after="0"/>
              <w:rPr>
                <w:sz w:val="11"/>
                <w:szCs w:val="11"/>
                <w:color w:val="auto"/>
              </w:rPr>
            </w:pPr>
          </w:p>
        </w:tc>
        <w:tc>
          <w:tcPr>
            <w:tcW w:w="740" w:type="dxa"/>
            <w:vAlign w:val="bottom"/>
          </w:tcPr>
          <w:p>
            <w:pPr>
              <w:jc w:val="right"/>
              <w:ind w:right="169"/>
              <w:spacing w:after="0" w:line="133" w:lineRule="exact"/>
              <w:rPr>
                <w:sz w:val="20"/>
                <w:szCs w:val="20"/>
                <w:color w:val="auto"/>
              </w:rPr>
            </w:pPr>
            <w:r>
              <w:rPr>
                <w:rFonts w:ascii="Arial" w:cs="Arial" w:eastAsia="Arial" w:hAnsi="Arial"/>
                <w:sz w:val="14"/>
                <w:szCs w:val="14"/>
                <w:color w:val="auto"/>
              </w:rPr>
              <w:t>4,156</w:t>
            </w:r>
          </w:p>
        </w:tc>
        <w:tc>
          <w:tcPr>
            <w:tcW w:w="340" w:type="dxa"/>
            <w:vAlign w:val="bottom"/>
          </w:tcPr>
          <w:p>
            <w:pPr>
              <w:spacing w:after="0"/>
              <w:rPr>
                <w:sz w:val="11"/>
                <w:szCs w:val="11"/>
                <w:color w:val="auto"/>
              </w:rPr>
            </w:pPr>
          </w:p>
        </w:tc>
        <w:tc>
          <w:tcPr>
            <w:tcW w:w="640" w:type="dxa"/>
            <w:vAlign w:val="bottom"/>
          </w:tcPr>
          <w:p>
            <w:pPr>
              <w:jc w:val="right"/>
              <w:ind w:right="29"/>
              <w:spacing w:after="0" w:line="133" w:lineRule="exact"/>
              <w:rPr>
                <w:sz w:val="20"/>
                <w:szCs w:val="20"/>
                <w:color w:val="auto"/>
              </w:rPr>
            </w:pPr>
            <w:r>
              <w:rPr>
                <w:rFonts w:ascii="Arial" w:cs="Arial" w:eastAsia="Arial" w:hAnsi="Arial"/>
                <w:sz w:val="14"/>
                <w:szCs w:val="14"/>
                <w:color w:val="auto"/>
              </w:rPr>
              <w:t>8,291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b w:val="1"/>
                <w:bCs w:val="1"/>
                <w:color w:val="0070FF"/>
              </w:rPr>
              <w:t>INCOME TAX EXPENSE</w:t>
            </w:r>
          </w:p>
        </w:tc>
        <w:tc>
          <w:tcPr>
            <w:tcW w:w="360" w:type="dxa"/>
            <w:vAlign w:val="bottom"/>
            <w:tcBorders>
              <w:bottom w:val="single" w:sz="8" w:color="0070FF"/>
            </w:tcBorders>
          </w:tcPr>
          <w:p>
            <w:pPr>
              <w:spacing w:after="0"/>
              <w:rPr>
                <w:sz w:val="16"/>
                <w:szCs w:val="16"/>
                <w:color w:val="auto"/>
              </w:rPr>
            </w:pPr>
          </w:p>
        </w:tc>
        <w:tc>
          <w:tcPr>
            <w:tcW w:w="140" w:type="dxa"/>
            <w:vAlign w:val="bottom"/>
            <w:tcBorders>
              <w:bottom w:val="single" w:sz="8" w:color="0070FF"/>
            </w:tcBorders>
          </w:tcPr>
          <w:p>
            <w:pPr>
              <w:spacing w:after="0"/>
              <w:rPr>
                <w:sz w:val="16"/>
                <w:szCs w:val="16"/>
                <w:color w:val="auto"/>
              </w:rPr>
            </w:pP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5,344</w:t>
            </w:r>
          </w:p>
        </w:tc>
        <w:tc>
          <w:tcPr>
            <w:tcW w:w="580" w:type="dxa"/>
            <w:vAlign w:val="bottom"/>
            <w:tcBorders>
              <w:bottom w:val="single" w:sz="8" w:color="0070FF"/>
            </w:tcBorders>
          </w:tcPr>
          <w:p>
            <w:pPr>
              <w:spacing w:after="0"/>
              <w:rPr>
                <w:sz w:val="16"/>
                <w:szCs w:val="16"/>
                <w:color w:val="auto"/>
              </w:rPr>
            </w:pPr>
          </w:p>
        </w:tc>
        <w:tc>
          <w:tcPr>
            <w:tcW w:w="74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3,024</w:t>
            </w:r>
          </w:p>
        </w:tc>
        <w:tc>
          <w:tcPr>
            <w:tcW w:w="340" w:type="dxa"/>
            <w:vAlign w:val="bottom"/>
            <w:tcBorders>
              <w:bottom w:val="single" w:sz="8" w:color="0070FF"/>
            </w:tcBorders>
          </w:tcPr>
          <w:p>
            <w:pPr>
              <w:spacing w:after="0"/>
              <w:rPr>
                <w:sz w:val="16"/>
                <w:szCs w:val="16"/>
                <w:color w:val="auto"/>
              </w:rPr>
            </w:pPr>
          </w:p>
        </w:tc>
        <w:tc>
          <w:tcPr>
            <w:tcW w:w="64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4,360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00" w:type="dxa"/>
            <w:vAlign w:val="bottom"/>
            <w:gridSpan w:val="4"/>
          </w:tcPr>
          <w:p>
            <w:pPr>
              <w:spacing w:after="0" w:line="139" w:lineRule="exact"/>
              <w:rPr>
                <w:sz w:val="20"/>
                <w:szCs w:val="20"/>
                <w:color w:val="auto"/>
              </w:rPr>
            </w:pPr>
            <w:r>
              <w:rPr>
                <w:rFonts w:ascii="Arial" w:cs="Arial" w:eastAsia="Arial" w:hAnsi="Arial"/>
                <w:sz w:val="14"/>
                <w:szCs w:val="14"/>
                <w:b w:val="1"/>
                <w:bCs w:val="1"/>
                <w:color w:val="0070FF"/>
              </w:rPr>
              <w:t>NET INCOME BEFORE EXTRAORDINARY ITEM AND CUMULATIVE EFFECT OF CHANGES IN ACCOUNTING</w:t>
            </w:r>
          </w:p>
        </w:tc>
        <w:tc>
          <w:tcPr>
            <w:tcW w:w="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7,426</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0070FF"/>
              </w:rPr>
              <w:t>PRINCIPLES</w:t>
            </w: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1,132</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3,931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Extraordinary loss, net of tax</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gridSpan w:val="3"/>
          </w:tcPr>
          <w:p>
            <w:pPr>
              <w:ind w:left="120"/>
              <w:spacing w:after="0"/>
              <w:rPr>
                <w:sz w:val="20"/>
                <w:szCs w:val="20"/>
                <w:color w:val="auto"/>
              </w:rPr>
            </w:pPr>
            <w:r>
              <w:rPr>
                <w:rFonts w:ascii="Arial" w:cs="Arial" w:eastAsia="Arial" w:hAnsi="Arial"/>
                <w:sz w:val="14"/>
                <w:szCs w:val="14"/>
                <w:color w:val="auto"/>
              </w:rPr>
              <w:t>Cumulative effect of changes in accounting principles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580" w:type="dxa"/>
            <w:vAlign w:val="bottom"/>
          </w:tcPr>
          <w:p>
            <w:pPr>
              <w:spacing w:after="0"/>
              <w:rPr>
                <w:sz w:val="14"/>
                <w:szCs w:val="14"/>
                <w:color w:val="auto"/>
              </w:rPr>
            </w:pPr>
          </w:p>
        </w:tc>
        <w:tc>
          <w:tcPr>
            <w:tcW w:w="7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7980" w:type="dxa"/>
            <w:vAlign w:val="bottom"/>
            <w:tcBorders>
              <w:top w:val="single" w:sz="8" w:color="0070FF"/>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NET INCOME</w:t>
            </w:r>
          </w:p>
        </w:tc>
        <w:tc>
          <w:tcPr>
            <w:tcW w:w="500" w:type="dxa"/>
            <w:vAlign w:val="bottom"/>
            <w:tcBorders>
              <w:top w:val="single" w:sz="8" w:color="0070FF"/>
              <w:bottom w:val="single" w:sz="8" w:color="0070FF"/>
            </w:tcBorders>
            <w:gridSpan w:val="2"/>
          </w:tcPr>
          <w:p>
            <w:pPr>
              <w:ind w:left="36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7,230</w:t>
            </w:r>
          </w:p>
        </w:tc>
        <w:tc>
          <w:tcPr>
            <w:tcW w:w="580" w:type="dxa"/>
            <w:vAlign w:val="bottom"/>
            <w:tcBorders>
              <w:top w:val="single" w:sz="8" w:color="0070FF"/>
              <w:bottom w:val="single" w:sz="8" w:color="0070FF"/>
            </w:tcBorders>
          </w:tcPr>
          <w:p>
            <w:pPr>
              <w:ind w:left="40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0070FF"/>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1,132</w:t>
            </w:r>
          </w:p>
        </w:tc>
        <w:tc>
          <w:tcPr>
            <w:tcW w:w="340" w:type="dxa"/>
            <w:vAlign w:val="bottom"/>
            <w:tcBorders>
              <w:top w:val="single" w:sz="8" w:color="0070FF"/>
              <w:bottom w:val="single" w:sz="8" w:color="0070FF"/>
            </w:tcBorders>
          </w:tcPr>
          <w:p>
            <w:pPr>
              <w:ind w:left="20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0070FF"/>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3,288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000" w:type="dxa"/>
            <w:vAlign w:val="bottom"/>
            <w:gridSpan w:val="4"/>
          </w:tcPr>
          <w:p>
            <w:pPr>
              <w:spacing w:after="0" w:line="139" w:lineRule="exact"/>
              <w:rPr>
                <w:sz w:val="20"/>
                <w:szCs w:val="20"/>
                <w:color w:val="auto"/>
              </w:rPr>
            </w:pPr>
            <w:r>
              <w:rPr>
                <w:rFonts w:ascii="Arial" w:cs="Arial" w:eastAsia="Arial" w:hAnsi="Arial"/>
                <w:sz w:val="14"/>
                <w:szCs w:val="14"/>
                <w:b w:val="1"/>
                <w:bCs w:val="1"/>
                <w:color w:val="0070FF"/>
              </w:rPr>
              <w:t>PER-SHARE AMOUNTS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gridSpan w:val="4"/>
          </w:tcPr>
          <w:p>
            <w:pPr>
              <w:spacing w:after="0" w:line="149" w:lineRule="exact"/>
              <w:rPr>
                <w:sz w:val="20"/>
                <w:szCs w:val="20"/>
                <w:color w:val="auto"/>
              </w:rPr>
            </w:pPr>
            <w:r>
              <w:rPr>
                <w:rFonts w:ascii="Arial" w:cs="Arial" w:eastAsia="Arial" w:hAnsi="Arial"/>
                <w:sz w:val="14"/>
                <w:szCs w:val="14"/>
                <w:b w:val="1"/>
                <w:bCs w:val="1"/>
                <w:color w:val="0070FF"/>
              </w:rPr>
              <w:t>BASIC:</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0070FF"/>
              </w:rPr>
              <w:t>NET INCOME BEFORE EXTRAORDINARY ITEM AND CUMULATIVE EFFECT OF CHANGES IN ACCOUNTING</w:t>
            </w:r>
          </w:p>
        </w:tc>
        <w:tc>
          <w:tcPr>
            <w:tcW w:w="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7.15</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b w:val="1"/>
                <w:bCs w:val="1"/>
                <w:color w:val="0070FF"/>
              </w:rPr>
              <w:t>PRINCIPLES</w:t>
            </w: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1.07</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Extraordinary item</w:t>
            </w:r>
          </w:p>
        </w:tc>
        <w:tc>
          <w:tcPr>
            <w:tcW w:w="5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Cumulative effect of changes in accounting principles</w:t>
            </w:r>
          </w:p>
        </w:tc>
        <w:tc>
          <w:tcPr>
            <w:tcW w:w="5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(0.18)</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0070FF"/>
              </w:rPr>
              <w:t>NET INCOME</w:t>
            </w:r>
          </w:p>
        </w:tc>
        <w:tc>
          <w:tcPr>
            <w:tcW w:w="5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6.97</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1.07</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gridSpan w:val="4"/>
          </w:tcPr>
          <w:p>
            <w:pPr>
              <w:spacing w:after="0" w:line="149" w:lineRule="exact"/>
              <w:rPr>
                <w:sz w:val="20"/>
                <w:szCs w:val="20"/>
                <w:color w:val="auto"/>
              </w:rPr>
            </w:pPr>
            <w:r>
              <w:rPr>
                <w:rFonts w:ascii="Arial" w:cs="Arial" w:eastAsia="Arial" w:hAnsi="Arial"/>
                <w:sz w:val="14"/>
                <w:szCs w:val="14"/>
                <w:b w:val="1"/>
                <w:bCs w:val="1"/>
                <w:color w:val="0070FF"/>
              </w:rPr>
              <w:t>DILUTED: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0070FF"/>
              </w:rPr>
              <w:t>NET INCOME BEFORE EXTRAORDINARY ITEM AND CUMULATIVE EFFECT OF CHANGES IN ACCOUNTING</w:t>
            </w:r>
          </w:p>
        </w:tc>
        <w:tc>
          <w:tcPr>
            <w:tcW w:w="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7.14</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720" w:type="dxa"/>
            <w:vAlign w:val="bottom"/>
            <w:gridSpan w:val="2"/>
          </w:tcPr>
          <w:p>
            <w:pPr>
              <w:spacing w:after="0" w:line="149" w:lineRule="exact"/>
              <w:rPr>
                <w:sz w:val="20"/>
                <w:szCs w:val="20"/>
                <w:color w:val="auto"/>
              </w:rPr>
            </w:pPr>
            <w:r>
              <w:rPr>
                <w:rFonts w:ascii="Arial" w:cs="Arial" w:eastAsia="Arial" w:hAnsi="Arial"/>
                <w:sz w:val="14"/>
                <w:szCs w:val="14"/>
                <w:b w:val="1"/>
                <w:bCs w:val="1"/>
                <w:color w:val="0070FF"/>
              </w:rPr>
              <w:t>PRINCIPLES</w:t>
            </w: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1.07</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Extraordinary item</w:t>
            </w:r>
          </w:p>
        </w:tc>
        <w:tc>
          <w:tcPr>
            <w:tcW w:w="5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Cumulative effect of changes in accounting principles</w:t>
            </w:r>
          </w:p>
        </w:tc>
        <w:tc>
          <w:tcPr>
            <w:tcW w:w="5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(0.18)</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8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b w:val="1"/>
                <w:bCs w:val="1"/>
                <w:color w:val="0070FF"/>
              </w:rPr>
              <w:t>NET INCOME</w:t>
            </w:r>
          </w:p>
        </w:tc>
        <w:tc>
          <w:tcPr>
            <w:tcW w:w="500" w:type="dxa"/>
            <w:vAlign w:val="bottom"/>
            <w:tcBorders>
              <w:bottom w:val="single" w:sz="8" w:color="0070FF"/>
            </w:tcBorders>
            <w:gridSpan w:val="2"/>
          </w:tcPr>
          <w:p>
            <w:pPr>
              <w:ind w:left="3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6.96</w:t>
            </w:r>
          </w:p>
        </w:tc>
        <w:tc>
          <w:tcPr>
            <w:tcW w:w="580" w:type="dxa"/>
            <w:vAlign w:val="bottom"/>
            <w:tcBorders>
              <w:bottom w:val="single" w:sz="8" w:color="0070FF"/>
            </w:tcBorders>
          </w:tcPr>
          <w:p>
            <w:pPr>
              <w:ind w:left="4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1.07</w:t>
            </w:r>
          </w:p>
        </w:tc>
        <w:tc>
          <w:tcPr>
            <w:tcW w:w="340" w:type="dxa"/>
            <w:vAlign w:val="bottom"/>
            <w:tcBorders>
              <w:bottom w:val="single" w:sz="8" w:color="0070FF"/>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3.09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0" w:type="dxa"/>
            <w:vAlign w:val="bottom"/>
            <w:gridSpan w:val="4"/>
          </w:tcPr>
          <w:p>
            <w:pPr>
              <w:spacing w:after="0"/>
              <w:rPr>
                <w:sz w:val="20"/>
                <w:szCs w:val="20"/>
                <w:color w:val="auto"/>
              </w:rPr>
            </w:pPr>
            <w:r>
              <w:rPr>
                <w:rFonts w:ascii="Arial" w:cs="Arial" w:eastAsia="Arial" w:hAnsi="Arial"/>
                <w:sz w:val="12"/>
                <w:szCs w:val="12"/>
                <w:color w:val="auto"/>
              </w:rPr>
              <w:t>*Includes consumer excise taxes:</w:t>
            </w:r>
          </w:p>
        </w:tc>
        <w:tc>
          <w:tcPr>
            <w:tcW w:w="500" w:type="dxa"/>
            <w:vAlign w:val="bottom"/>
            <w:gridSpan w:val="2"/>
          </w:tcPr>
          <w:p>
            <w:pPr>
              <w:ind w:left="360"/>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7,095</w:t>
            </w: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69"/>
              <w:spacing w:after="0"/>
              <w:rPr>
                <w:sz w:val="20"/>
                <w:szCs w:val="20"/>
                <w:color w:val="auto"/>
              </w:rPr>
            </w:pPr>
            <w:r>
              <w:rPr>
                <w:rFonts w:ascii="Arial" w:cs="Arial" w:eastAsia="Arial" w:hAnsi="Arial"/>
                <w:sz w:val="12"/>
                <w:szCs w:val="12"/>
                <w:color w:val="auto"/>
              </w:rPr>
              <w:t>7,006</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9"/>
              <w:spacing w:after="0"/>
              <w:rPr>
                <w:sz w:val="20"/>
                <w:szCs w:val="20"/>
                <w:color w:val="auto"/>
              </w:rPr>
            </w:pPr>
            <w:r>
              <w:rPr>
                <w:rFonts w:ascii="Arial" w:cs="Arial" w:eastAsia="Arial" w:hAnsi="Arial"/>
                <w:sz w:val="12"/>
                <w:szCs w:val="12"/>
                <w:color w:val="auto"/>
              </w:rPr>
              <w:t>6,546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gridSpan w:val="4"/>
          </w:tcPr>
          <w:p>
            <w:pPr>
              <w:spacing w:after="0"/>
              <w:rPr>
                <w:sz w:val="20"/>
                <w:szCs w:val="20"/>
                <w:color w:val="auto"/>
              </w:rPr>
            </w:pPr>
            <w:r>
              <w:rPr>
                <w:rFonts w:ascii="Arial" w:cs="Arial" w:eastAsia="Arial" w:hAnsi="Arial"/>
                <w:sz w:val="12"/>
                <w:szCs w:val="12"/>
                <w:color w:val="auto"/>
              </w:rPr>
              <w:t>See accompanying Notes to Consolidated Financial Statements.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0" w:type="dxa"/>
            <w:vAlign w:val="bottom"/>
          </w:tcPr>
          <w:p>
            <w:pPr>
              <w:ind w:left="4920"/>
              <w:spacing w:after="0"/>
              <w:rPr>
                <w:sz w:val="20"/>
                <w:szCs w:val="20"/>
                <w:color w:val="auto"/>
              </w:rPr>
            </w:pPr>
            <w:r>
              <w:rPr>
                <w:rFonts w:ascii="Arial" w:cs="Arial" w:eastAsia="Arial" w:hAnsi="Arial"/>
                <w:sz w:val="14"/>
                <w:szCs w:val="14"/>
                <w:color w:val="auto"/>
              </w:rPr>
              <w:t>FS-22</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74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497205</wp:posOffset>
            </wp:positionV>
            <wp:extent cx="8890" cy="3429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584"/>
        <w:spacing w:after="0"/>
        <w:tabs>
          <w:tab w:leader="none" w:pos="700" w:val="left"/>
        </w:tabs>
        <w:numPr>
          <w:ilvl w:val="0"/>
          <w:numId w:val="34"/>
        </w:numPr>
        <w:rPr>
          <w:rFonts w:ascii="Arial" w:cs="Arial" w:eastAsia="Arial" w:hAnsi="Arial"/>
          <w:sz w:val="27"/>
          <w:szCs w:val="27"/>
          <w:b w:val="1"/>
          <w:bCs w:val="1"/>
          <w:color w:val="0070FF"/>
        </w:rPr>
      </w:pPr>
      <w:r>
        <w:rPr>
          <w:rFonts w:ascii="Arial" w:cs="Arial" w:eastAsia="Arial" w:hAnsi="Arial"/>
          <w:sz w:val="22"/>
          <w:szCs w:val="22"/>
          <w:color w:val="0070FF"/>
        </w:rPr>
        <w:t>Consolidated Statement of Comprehensive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0" w:type="dxa"/>
            <w:vAlign w:val="bottom"/>
            <w:tcBorders>
              <w:top w:val="single" w:sz="8" w:color="0070FF"/>
            </w:tcBorders>
          </w:tcPr>
          <w:p>
            <w:pPr>
              <w:spacing w:after="0"/>
              <w:rPr>
                <w:sz w:val="15"/>
                <w:szCs w:val="15"/>
                <w:color w:val="auto"/>
              </w:rPr>
            </w:pPr>
          </w:p>
        </w:tc>
        <w:tc>
          <w:tcPr>
            <w:tcW w:w="2340" w:type="dxa"/>
            <w:vAlign w:val="bottom"/>
            <w:tcBorders>
              <w:top w:val="single" w:sz="8" w:color="0070FF"/>
            </w:tcBorders>
          </w:tcPr>
          <w:p>
            <w:pPr>
              <w:spacing w:after="0"/>
              <w:rPr>
                <w:sz w:val="15"/>
                <w:szCs w:val="15"/>
                <w:color w:val="auto"/>
              </w:rPr>
            </w:pPr>
          </w:p>
        </w:tc>
        <w:tc>
          <w:tcPr>
            <w:tcW w:w="220" w:type="dxa"/>
            <w:vAlign w:val="bottom"/>
            <w:tcBorders>
              <w:top w:val="single" w:sz="8" w:color="0070FF"/>
            </w:tcBorders>
          </w:tcPr>
          <w:p>
            <w:pPr>
              <w:spacing w:after="0"/>
              <w:rPr>
                <w:sz w:val="15"/>
                <w:szCs w:val="15"/>
                <w:color w:val="auto"/>
              </w:rPr>
            </w:pPr>
          </w:p>
        </w:tc>
        <w:tc>
          <w:tcPr>
            <w:tcW w:w="740" w:type="dxa"/>
            <w:vAlign w:val="bottom"/>
            <w:tcBorders>
              <w:top w:val="single" w:sz="8" w:color="0070FF"/>
            </w:tcBorders>
          </w:tcPr>
          <w:p>
            <w:pPr>
              <w:spacing w:after="0"/>
              <w:rPr>
                <w:sz w:val="15"/>
                <w:szCs w:val="15"/>
                <w:color w:val="auto"/>
              </w:rPr>
            </w:pPr>
          </w:p>
        </w:tc>
        <w:tc>
          <w:tcPr>
            <w:tcW w:w="380" w:type="dxa"/>
            <w:vAlign w:val="bottom"/>
            <w:tcBorders>
              <w:top w:val="single" w:sz="8" w:color="0070FF"/>
            </w:tcBorders>
          </w:tcPr>
          <w:p>
            <w:pPr>
              <w:spacing w:after="0"/>
              <w:rPr>
                <w:sz w:val="15"/>
                <w:szCs w:val="15"/>
                <w:color w:val="auto"/>
              </w:rPr>
            </w:pPr>
          </w:p>
        </w:tc>
        <w:tc>
          <w:tcPr>
            <w:tcW w:w="660" w:type="dxa"/>
            <w:vAlign w:val="bottom"/>
            <w:tcBorders>
              <w:top w:val="single" w:sz="8" w:color="0070FF"/>
            </w:tcBorders>
          </w:tcPr>
          <w:p>
            <w:pPr>
              <w:spacing w:after="0"/>
              <w:rPr>
                <w:sz w:val="15"/>
                <w:szCs w:val="15"/>
                <w:color w:val="auto"/>
              </w:rPr>
            </w:pPr>
          </w:p>
        </w:tc>
        <w:tc>
          <w:tcPr>
            <w:tcW w:w="1060" w:type="dxa"/>
            <w:vAlign w:val="bottom"/>
            <w:tcBorders>
              <w:top w:val="single" w:sz="8" w:color="0070FF"/>
            </w:tcBorders>
            <w:gridSpan w:val="2"/>
          </w:tcPr>
          <w:p>
            <w:pPr>
              <w:jc w:val="right"/>
              <w:spacing w:after="0"/>
              <w:rPr>
                <w:sz w:val="20"/>
                <w:szCs w:val="20"/>
                <w:color w:val="auto"/>
              </w:rPr>
            </w:pPr>
            <w:r>
              <w:rPr>
                <w:rFonts w:ascii="Arial" w:cs="Arial" w:eastAsia="Arial" w:hAnsi="Arial"/>
                <w:sz w:val="13"/>
                <w:szCs w:val="13"/>
                <w:i w:val="1"/>
                <w:iCs w:val="1"/>
                <w:color w:val="0070FF"/>
              </w:rPr>
              <w:t>Millions of dollars</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20" w:type="dxa"/>
            <w:vAlign w:val="bottom"/>
            <w:tcBorders>
              <w:bottom w:val="single" w:sz="8" w:color="0070FF"/>
            </w:tcBorders>
          </w:tcPr>
          <w:p>
            <w:pPr>
              <w:spacing w:after="0"/>
              <w:rPr>
                <w:sz w:val="23"/>
                <w:szCs w:val="23"/>
                <w:color w:val="auto"/>
              </w:rPr>
            </w:pPr>
          </w:p>
        </w:tc>
        <w:tc>
          <w:tcPr>
            <w:tcW w:w="740" w:type="dxa"/>
            <w:vAlign w:val="bottom"/>
            <w:tcBorders>
              <w:bottom w:val="single" w:sz="8" w:color="0070FF"/>
            </w:tcBorders>
          </w:tcPr>
          <w:p>
            <w:pPr>
              <w:spacing w:after="0"/>
              <w:rPr>
                <w:sz w:val="23"/>
                <w:szCs w:val="23"/>
                <w:color w:val="auto"/>
              </w:rPr>
            </w:pPr>
          </w:p>
        </w:tc>
        <w:tc>
          <w:tcPr>
            <w:tcW w:w="380" w:type="dxa"/>
            <w:vAlign w:val="bottom"/>
            <w:tcBorders>
              <w:bottom w:val="single" w:sz="8" w:color="0070FF"/>
            </w:tcBorders>
          </w:tcPr>
          <w:p>
            <w:pPr>
              <w:spacing w:after="0"/>
              <w:rPr>
                <w:sz w:val="23"/>
                <w:szCs w:val="23"/>
                <w:color w:val="auto"/>
              </w:rPr>
            </w:pPr>
          </w:p>
        </w:tc>
        <w:tc>
          <w:tcPr>
            <w:tcW w:w="1720" w:type="dxa"/>
            <w:vAlign w:val="bottom"/>
            <w:tcBorders>
              <w:bottom w:val="single" w:sz="8" w:color="0070FF"/>
            </w:tcBorders>
            <w:gridSpan w:val="3"/>
          </w:tcPr>
          <w:p>
            <w:pPr>
              <w:jc w:val="right"/>
              <w:ind w:right="28"/>
              <w:spacing w:after="0"/>
              <w:rPr>
                <w:sz w:val="20"/>
                <w:szCs w:val="20"/>
                <w:color w:val="auto"/>
              </w:rPr>
            </w:pPr>
            <w:r>
              <w:rPr>
                <w:rFonts w:ascii="Arial" w:cs="Arial" w:eastAsia="Arial" w:hAnsi="Arial"/>
                <w:sz w:val="14"/>
                <w:szCs w:val="14"/>
                <w:color w:val="auto"/>
                <w:w w:val="99"/>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0070FF"/>
            </w:tcBorders>
          </w:tcPr>
          <w:p>
            <w:pPr>
              <w:spacing w:after="0"/>
              <w:rPr>
                <w:sz w:val="12"/>
                <w:szCs w:val="12"/>
                <w:color w:val="auto"/>
              </w:rPr>
            </w:pPr>
          </w:p>
        </w:tc>
        <w:tc>
          <w:tcPr>
            <w:tcW w:w="2340" w:type="dxa"/>
            <w:vAlign w:val="bottom"/>
            <w:tcBorders>
              <w:bottom w:val="single" w:sz="8" w:color="0070FF"/>
            </w:tcBorders>
          </w:tcPr>
          <w:p>
            <w:pPr>
              <w:spacing w:after="0"/>
              <w:rPr>
                <w:sz w:val="12"/>
                <w:szCs w:val="12"/>
                <w:color w:val="auto"/>
              </w:rPr>
            </w:pPr>
          </w:p>
        </w:tc>
        <w:tc>
          <w:tcPr>
            <w:tcW w:w="220" w:type="dxa"/>
            <w:vAlign w:val="bottom"/>
            <w:tcBorders>
              <w:bottom w:val="single" w:sz="8" w:color="0070FF"/>
            </w:tcBorders>
          </w:tcPr>
          <w:p>
            <w:pPr>
              <w:spacing w:after="0"/>
              <w:rPr>
                <w:sz w:val="12"/>
                <w:szCs w:val="12"/>
                <w:color w:val="auto"/>
              </w:rPr>
            </w:pPr>
          </w:p>
        </w:tc>
        <w:tc>
          <w:tcPr>
            <w:tcW w:w="740" w:type="dxa"/>
            <w:vAlign w:val="bottom"/>
            <w:tcBorders>
              <w:bottom w:val="single" w:sz="8" w:color="0070FF"/>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2003</w:t>
            </w:r>
          </w:p>
        </w:tc>
        <w:tc>
          <w:tcPr>
            <w:tcW w:w="380" w:type="dxa"/>
            <w:vAlign w:val="bottom"/>
            <w:tcBorders>
              <w:bottom w:val="single" w:sz="8" w:color="0070FF"/>
            </w:tcBorders>
          </w:tcPr>
          <w:p>
            <w:pPr>
              <w:spacing w:after="0"/>
              <w:rPr>
                <w:sz w:val="12"/>
                <w:szCs w:val="12"/>
                <w:color w:val="auto"/>
              </w:rPr>
            </w:pPr>
          </w:p>
        </w:tc>
        <w:tc>
          <w:tcPr>
            <w:tcW w:w="660" w:type="dxa"/>
            <w:vAlign w:val="bottom"/>
            <w:tcBorders>
              <w:bottom w:val="single" w:sz="8" w:color="0070FF"/>
            </w:tcBorders>
          </w:tcPr>
          <w:p>
            <w:pPr>
              <w:jc w:val="right"/>
              <w:ind w:right="89"/>
              <w:spacing w:after="0" w:line="142" w:lineRule="exact"/>
              <w:rPr>
                <w:sz w:val="20"/>
                <w:szCs w:val="20"/>
                <w:color w:val="auto"/>
              </w:rPr>
            </w:pPr>
            <w:r>
              <w:rPr>
                <w:rFonts w:ascii="Arial" w:cs="Arial" w:eastAsia="Arial" w:hAnsi="Arial"/>
                <w:sz w:val="14"/>
                <w:szCs w:val="14"/>
                <w:color w:val="auto"/>
              </w:rPr>
              <w:t>2002</w:t>
            </w:r>
          </w:p>
        </w:tc>
        <w:tc>
          <w:tcPr>
            <w:tcW w:w="480" w:type="dxa"/>
            <w:vAlign w:val="bottom"/>
            <w:tcBorders>
              <w:bottom w:val="single" w:sz="8" w:color="0070FF"/>
            </w:tcBorders>
          </w:tcPr>
          <w:p>
            <w:pPr>
              <w:spacing w:after="0"/>
              <w:rPr>
                <w:sz w:val="12"/>
                <w:szCs w:val="12"/>
                <w:color w:val="auto"/>
              </w:rPr>
            </w:pPr>
          </w:p>
        </w:tc>
        <w:tc>
          <w:tcPr>
            <w:tcW w:w="580" w:type="dxa"/>
            <w:vAlign w:val="bottom"/>
            <w:tcBorders>
              <w:bottom w:val="single" w:sz="8" w:color="0070FF"/>
            </w:tcBorders>
          </w:tcPr>
          <w:p>
            <w:pPr>
              <w:jc w:val="right"/>
              <w:ind w:right="28"/>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60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0070FF"/>
              </w:rPr>
              <w:t>NET INCOME</w:t>
            </w:r>
          </w:p>
        </w:tc>
        <w:tc>
          <w:tcPr>
            <w:tcW w:w="2560" w:type="dxa"/>
            <w:vAlign w:val="bottom"/>
            <w:tcBorders>
              <w:bottom w:val="single" w:sz="8" w:color="0070FF"/>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7,230</w:t>
            </w:r>
          </w:p>
        </w:tc>
        <w:tc>
          <w:tcPr>
            <w:tcW w:w="3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1,132</w:t>
            </w:r>
          </w:p>
        </w:tc>
        <w:tc>
          <w:tcPr>
            <w:tcW w:w="480" w:type="dxa"/>
            <w:vAlign w:val="bottom"/>
            <w:tcBorders>
              <w:bottom w:val="single" w:sz="8" w:color="0070FF"/>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37"/>
        </w:trPr>
        <w:tc>
          <w:tcPr>
            <w:tcW w:w="6020" w:type="dxa"/>
            <w:vAlign w:val="bottom"/>
            <w:gridSpan w:val="2"/>
          </w:tcPr>
          <w:p>
            <w:pPr>
              <w:spacing w:after="0" w:line="137" w:lineRule="exact"/>
              <w:rPr>
                <w:sz w:val="20"/>
                <w:szCs w:val="20"/>
                <w:color w:val="auto"/>
              </w:rPr>
            </w:pPr>
            <w:r>
              <w:rPr>
                <w:rFonts w:ascii="Arial" w:cs="Arial" w:eastAsia="Arial" w:hAnsi="Arial"/>
                <w:sz w:val="14"/>
                <w:szCs w:val="14"/>
                <w:color w:val="auto"/>
              </w:rPr>
              <w:t>Currency translation adjustment</w:t>
            </w: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32</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0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Unrealized net change arising during period</w:t>
            </w:r>
          </w:p>
        </w:tc>
        <w:tc>
          <w:tcPr>
            <w:tcW w:w="2340" w:type="dxa"/>
            <w:vAlign w:val="bottom"/>
            <w:tcBorders>
              <w:bottom w:val="single" w:sz="8" w:color="0070FF"/>
            </w:tcBorders>
          </w:tcPr>
          <w:p>
            <w:pPr>
              <w:spacing w:after="0"/>
              <w:rPr>
                <w:sz w:val="14"/>
                <w:szCs w:val="14"/>
                <w:color w:val="auto"/>
              </w:rPr>
            </w:pP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vMerge w:val="continue"/>
          </w:tcPr>
          <w:p>
            <w:pPr>
              <w:spacing w:after="0"/>
              <w:rPr>
                <w:sz w:val="14"/>
                <w:szCs w:val="14"/>
                <w:color w:val="auto"/>
              </w:rPr>
            </w:pPr>
          </w:p>
        </w:tc>
        <w:tc>
          <w:tcPr>
            <w:tcW w:w="38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15</w:t>
            </w:r>
          </w:p>
        </w:tc>
        <w:tc>
          <w:tcPr>
            <w:tcW w:w="4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00" w:type="dxa"/>
            <w:vAlign w:val="bottom"/>
          </w:tcPr>
          <w:p>
            <w:pPr>
              <w:spacing w:after="0" w:line="137" w:lineRule="exact"/>
              <w:rPr>
                <w:sz w:val="20"/>
                <w:szCs w:val="20"/>
                <w:color w:val="auto"/>
              </w:rPr>
            </w:pPr>
            <w:r>
              <w:rPr>
                <w:rFonts w:ascii="Arial" w:cs="Arial" w:eastAsia="Arial" w:hAnsi="Arial"/>
                <w:sz w:val="14"/>
                <w:szCs w:val="14"/>
                <w:color w:val="auto"/>
              </w:rPr>
              <w:t>Unrealized holding gain on securities</w:t>
            </w: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Net gain (loss) arising during period</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445</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00" w:type="dxa"/>
            <w:vAlign w:val="bottom"/>
          </w:tcPr>
          <w:p>
            <w:pPr>
              <w:ind w:left="260"/>
              <w:spacing w:after="0" w:line="145" w:lineRule="exact"/>
              <w:rPr>
                <w:sz w:val="20"/>
                <w:szCs w:val="20"/>
                <w:color w:val="auto"/>
              </w:rPr>
            </w:pPr>
            <w:r>
              <w:rPr>
                <w:rFonts w:ascii="Arial" w:cs="Arial" w:eastAsia="Arial" w:hAnsi="Arial"/>
                <w:sz w:val="14"/>
                <w:szCs w:val="14"/>
                <w:color w:val="auto"/>
              </w:rPr>
              <w:t>Before income taxes</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49"/>
              <w:spacing w:after="0" w:line="145" w:lineRule="exact"/>
              <w:rPr>
                <w:sz w:val="20"/>
                <w:szCs w:val="20"/>
                <w:color w:val="auto"/>
              </w:rPr>
            </w:pPr>
            <w:r>
              <w:rPr>
                <w:rFonts w:ascii="Arial" w:cs="Arial" w:eastAsia="Arial" w:hAnsi="Arial"/>
                <w:sz w:val="14"/>
                <w:szCs w:val="14"/>
                <w:color w:val="auto"/>
              </w:rPr>
              <w:t>(149)</w:t>
            </w:r>
          </w:p>
        </w:tc>
        <w:tc>
          <w:tcPr>
            <w:tcW w:w="480" w:type="dxa"/>
            <w:vAlign w:val="bottom"/>
          </w:tcPr>
          <w:p>
            <w:pPr>
              <w:spacing w:after="0"/>
              <w:rPr>
                <w:sz w:val="12"/>
                <w:szCs w:val="12"/>
                <w:color w:val="auto"/>
              </w:rPr>
            </w:pPr>
          </w:p>
        </w:tc>
        <w:tc>
          <w:tcPr>
            <w:tcW w:w="5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tcPr>
          <w:p>
            <w:pPr>
              <w:ind w:left="260"/>
              <w:spacing w:after="0" w:line="153" w:lineRule="exact"/>
              <w:rPr>
                <w:sz w:val="20"/>
                <w:szCs w:val="20"/>
                <w:color w:val="auto"/>
              </w:rPr>
            </w:pPr>
            <w:r>
              <w:rPr>
                <w:rFonts w:ascii="Arial" w:cs="Arial" w:eastAsia="Arial" w:hAnsi="Arial"/>
                <w:sz w:val="14"/>
                <w:szCs w:val="14"/>
                <w:color w:val="auto"/>
              </w:rPr>
              <w:t>Income taxes</w:t>
            </w: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660" w:type="dxa"/>
            <w:vAlign w:val="bottom"/>
          </w:tcPr>
          <w:p>
            <w:pPr>
              <w:jc w:val="right"/>
              <w:ind w:right="89"/>
              <w:spacing w:after="0" w:line="153" w:lineRule="exact"/>
              <w:rPr>
                <w:sz w:val="20"/>
                <w:szCs w:val="20"/>
                <w:color w:val="auto"/>
              </w:rPr>
            </w:pPr>
            <w:r>
              <w:rPr>
                <w:rFonts w:ascii="Arial" w:cs="Arial" w:eastAsia="Arial" w:hAnsi="Arial"/>
                <w:sz w:val="14"/>
                <w:szCs w:val="14"/>
                <w:color w:val="auto"/>
              </w:rPr>
              <w:t>52</w:t>
            </w:r>
          </w:p>
        </w:tc>
        <w:tc>
          <w:tcPr>
            <w:tcW w:w="480" w:type="dxa"/>
            <w:vAlign w:val="bottom"/>
          </w:tcPr>
          <w:p>
            <w:pPr>
              <w:spacing w:after="0"/>
              <w:rPr>
                <w:sz w:val="13"/>
                <w:szCs w:val="13"/>
                <w:color w:val="auto"/>
              </w:rPr>
            </w:pPr>
          </w:p>
        </w:tc>
        <w:tc>
          <w:tcPr>
            <w:tcW w:w="580" w:type="dxa"/>
            <w:vAlign w:val="bottom"/>
          </w:tcPr>
          <w:p>
            <w:pPr>
              <w:jc w:val="right"/>
              <w:ind w:right="2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Reclassification to net income of net realized (gain) loss</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(365)</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00" w:type="dxa"/>
            <w:vAlign w:val="bottom"/>
          </w:tcPr>
          <w:p>
            <w:pPr>
              <w:ind w:left="260"/>
              <w:spacing w:after="0" w:line="145" w:lineRule="exact"/>
              <w:rPr>
                <w:sz w:val="20"/>
                <w:szCs w:val="20"/>
                <w:color w:val="auto"/>
              </w:rPr>
            </w:pPr>
            <w:r>
              <w:rPr>
                <w:rFonts w:ascii="Arial" w:cs="Arial" w:eastAsia="Arial" w:hAnsi="Arial"/>
                <w:sz w:val="14"/>
                <w:szCs w:val="14"/>
                <w:color w:val="auto"/>
              </w:rPr>
              <w:t>Before income taxes</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89"/>
              <w:spacing w:after="0" w:line="145" w:lineRule="exact"/>
              <w:rPr>
                <w:sz w:val="20"/>
                <w:szCs w:val="20"/>
                <w:color w:val="auto"/>
              </w:rPr>
            </w:pPr>
            <w:r>
              <w:rPr>
                <w:rFonts w:ascii="Arial" w:cs="Arial" w:eastAsia="Arial" w:hAnsi="Arial"/>
                <w:sz w:val="14"/>
                <w:szCs w:val="14"/>
                <w:color w:val="auto"/>
              </w:rPr>
              <w:t>217</w:t>
            </w:r>
          </w:p>
        </w:tc>
        <w:tc>
          <w:tcPr>
            <w:tcW w:w="480" w:type="dxa"/>
            <w:vAlign w:val="bottom"/>
          </w:tcPr>
          <w:p>
            <w:pPr>
              <w:spacing w:after="0"/>
              <w:rPr>
                <w:sz w:val="12"/>
                <w:szCs w:val="12"/>
                <w:color w:val="auto"/>
              </w:rPr>
            </w:pPr>
          </w:p>
        </w:tc>
        <w:tc>
          <w:tcPr>
            <w:tcW w:w="5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Income taxes</w:t>
            </w:r>
          </w:p>
        </w:tc>
        <w:tc>
          <w:tcPr>
            <w:tcW w:w="2340" w:type="dxa"/>
            <w:vAlign w:val="bottom"/>
            <w:tcBorders>
              <w:bottom w:val="single" w:sz="8" w:color="0070FF"/>
            </w:tcBorders>
          </w:tcPr>
          <w:p>
            <w:pPr>
              <w:spacing w:after="0"/>
              <w:rPr>
                <w:sz w:val="14"/>
                <w:szCs w:val="14"/>
                <w:color w:val="auto"/>
              </w:rPr>
            </w:pP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(76)</w:t>
            </w:r>
          </w:p>
        </w:tc>
        <w:tc>
          <w:tcPr>
            <w:tcW w:w="4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color w:val="auto"/>
              </w:rPr>
              <w:t>Total</w:t>
            </w:r>
          </w:p>
        </w:tc>
        <w:tc>
          <w:tcPr>
            <w:tcW w:w="2340" w:type="dxa"/>
            <w:vAlign w:val="bottom"/>
            <w:tcBorders>
              <w:bottom w:val="single" w:sz="8" w:color="0070FF"/>
            </w:tcBorders>
          </w:tcPr>
          <w:p>
            <w:pPr>
              <w:spacing w:after="0"/>
              <w:rPr>
                <w:sz w:val="13"/>
                <w:szCs w:val="13"/>
                <w:color w:val="auto"/>
              </w:rPr>
            </w:pPr>
          </w:p>
        </w:tc>
        <w:tc>
          <w:tcPr>
            <w:tcW w:w="22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80</w:t>
            </w:r>
          </w:p>
        </w:tc>
        <w:tc>
          <w:tcPr>
            <w:tcW w:w="3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44</w:t>
            </w:r>
          </w:p>
        </w:tc>
        <w:tc>
          <w:tcPr>
            <w:tcW w:w="48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00" w:type="dxa"/>
            <w:vAlign w:val="bottom"/>
          </w:tcPr>
          <w:p>
            <w:pPr>
              <w:ind w:left="120"/>
              <w:spacing w:after="0" w:line="137" w:lineRule="exact"/>
              <w:rPr>
                <w:sz w:val="20"/>
                <w:szCs w:val="20"/>
                <w:color w:val="auto"/>
              </w:rPr>
            </w:pPr>
            <w:r>
              <w:rPr>
                <w:rFonts w:ascii="Arial" w:cs="Arial" w:eastAsia="Arial" w:hAnsi="Arial"/>
                <w:sz w:val="14"/>
                <w:szCs w:val="14"/>
                <w:color w:val="auto"/>
              </w:rPr>
              <w:t>Net derivatives gain on hedge transactions</w:t>
            </w: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115</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00" w:type="dxa"/>
            <w:vAlign w:val="bottom"/>
          </w:tcPr>
          <w:p>
            <w:pPr>
              <w:ind w:left="260"/>
              <w:spacing w:after="0" w:line="145" w:lineRule="exact"/>
              <w:rPr>
                <w:sz w:val="20"/>
                <w:szCs w:val="20"/>
                <w:color w:val="auto"/>
              </w:rPr>
            </w:pPr>
            <w:r>
              <w:rPr>
                <w:rFonts w:ascii="Arial" w:cs="Arial" w:eastAsia="Arial" w:hAnsi="Arial"/>
                <w:sz w:val="14"/>
                <w:szCs w:val="14"/>
                <w:color w:val="auto"/>
              </w:rPr>
              <w:t>Before income taxes</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89"/>
              <w:spacing w:after="0" w:line="145" w:lineRule="exact"/>
              <w:rPr>
                <w:sz w:val="20"/>
                <w:szCs w:val="20"/>
                <w:color w:val="auto"/>
              </w:rPr>
            </w:pPr>
            <w:r>
              <w:rPr>
                <w:rFonts w:ascii="Arial" w:cs="Arial" w:eastAsia="Arial" w:hAnsi="Arial"/>
                <w:sz w:val="14"/>
                <w:szCs w:val="14"/>
                <w:color w:val="auto"/>
              </w:rPr>
              <w:t>52</w:t>
            </w:r>
          </w:p>
        </w:tc>
        <w:tc>
          <w:tcPr>
            <w:tcW w:w="480" w:type="dxa"/>
            <w:vAlign w:val="bottom"/>
          </w:tcPr>
          <w:p>
            <w:pPr>
              <w:spacing w:after="0"/>
              <w:rPr>
                <w:sz w:val="12"/>
                <w:szCs w:val="12"/>
                <w:color w:val="auto"/>
              </w:rPr>
            </w:pPr>
          </w:p>
        </w:tc>
        <w:tc>
          <w:tcPr>
            <w:tcW w:w="5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Income taxes</w:t>
            </w:r>
          </w:p>
        </w:tc>
        <w:tc>
          <w:tcPr>
            <w:tcW w:w="2340" w:type="dxa"/>
            <w:vAlign w:val="bottom"/>
            <w:tcBorders>
              <w:bottom w:val="single" w:sz="8" w:color="0070FF"/>
            </w:tcBorders>
          </w:tcPr>
          <w:p>
            <w:pPr>
              <w:spacing w:after="0"/>
              <w:rPr>
                <w:sz w:val="14"/>
                <w:szCs w:val="14"/>
                <w:color w:val="auto"/>
              </w:rPr>
            </w:pP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(40)</w:t>
            </w:r>
          </w:p>
        </w:tc>
        <w:tc>
          <w:tcPr>
            <w:tcW w:w="38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(18)</w:t>
            </w:r>
          </w:p>
        </w:tc>
        <w:tc>
          <w:tcPr>
            <w:tcW w:w="4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color w:val="auto"/>
              </w:rPr>
              <w:t>Total</w:t>
            </w:r>
          </w:p>
        </w:tc>
        <w:tc>
          <w:tcPr>
            <w:tcW w:w="2340" w:type="dxa"/>
            <w:vAlign w:val="bottom"/>
            <w:tcBorders>
              <w:bottom w:val="single" w:sz="8" w:color="0070FF"/>
            </w:tcBorders>
          </w:tcPr>
          <w:p>
            <w:pPr>
              <w:spacing w:after="0"/>
              <w:rPr>
                <w:sz w:val="13"/>
                <w:szCs w:val="13"/>
                <w:color w:val="auto"/>
              </w:rPr>
            </w:pPr>
          </w:p>
        </w:tc>
        <w:tc>
          <w:tcPr>
            <w:tcW w:w="22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75</w:t>
            </w:r>
          </w:p>
        </w:tc>
        <w:tc>
          <w:tcPr>
            <w:tcW w:w="3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34</w:t>
            </w:r>
          </w:p>
        </w:tc>
        <w:tc>
          <w:tcPr>
            <w:tcW w:w="48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00" w:type="dxa"/>
            <w:vAlign w:val="bottom"/>
          </w:tcPr>
          <w:p>
            <w:pPr>
              <w:spacing w:after="0" w:line="137" w:lineRule="exact"/>
              <w:rPr>
                <w:sz w:val="20"/>
                <w:szCs w:val="20"/>
                <w:color w:val="auto"/>
              </w:rPr>
            </w:pPr>
            <w:r>
              <w:rPr>
                <w:rFonts w:ascii="Arial" w:cs="Arial" w:eastAsia="Arial" w:hAnsi="Arial"/>
                <w:sz w:val="14"/>
                <w:szCs w:val="14"/>
                <w:color w:val="auto"/>
              </w:rPr>
              <w:t>Minimum pension liability adjustment</w:t>
            </w: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12</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00" w:type="dxa"/>
            <w:vAlign w:val="bottom"/>
          </w:tcPr>
          <w:p>
            <w:pPr>
              <w:ind w:left="260"/>
              <w:spacing w:after="0" w:line="145" w:lineRule="exact"/>
              <w:rPr>
                <w:sz w:val="20"/>
                <w:szCs w:val="20"/>
                <w:color w:val="auto"/>
              </w:rPr>
            </w:pPr>
            <w:r>
              <w:rPr>
                <w:rFonts w:ascii="Arial" w:cs="Arial" w:eastAsia="Arial" w:hAnsi="Arial"/>
                <w:sz w:val="14"/>
                <w:szCs w:val="14"/>
                <w:color w:val="auto"/>
              </w:rPr>
              <w:t>Before income taxes</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49"/>
              <w:spacing w:after="0" w:line="145" w:lineRule="exact"/>
              <w:rPr>
                <w:sz w:val="20"/>
                <w:szCs w:val="20"/>
                <w:color w:val="auto"/>
              </w:rPr>
            </w:pPr>
            <w:r>
              <w:rPr>
                <w:rFonts w:ascii="Arial" w:cs="Arial" w:eastAsia="Arial" w:hAnsi="Arial"/>
                <w:sz w:val="14"/>
                <w:szCs w:val="14"/>
                <w:color w:val="auto"/>
              </w:rPr>
              <w:t>(1,208)</w:t>
            </w:r>
          </w:p>
        </w:tc>
        <w:tc>
          <w:tcPr>
            <w:tcW w:w="480" w:type="dxa"/>
            <w:vAlign w:val="bottom"/>
          </w:tcPr>
          <w:p>
            <w:pPr>
              <w:spacing w:after="0"/>
              <w:rPr>
                <w:sz w:val="12"/>
                <w:szCs w:val="12"/>
                <w:color w:val="auto"/>
              </w:rPr>
            </w:pPr>
          </w:p>
        </w:tc>
        <w:tc>
          <w:tcPr>
            <w:tcW w:w="5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Income taxes</w:t>
            </w:r>
          </w:p>
        </w:tc>
        <w:tc>
          <w:tcPr>
            <w:tcW w:w="2340" w:type="dxa"/>
            <w:vAlign w:val="bottom"/>
            <w:tcBorders>
              <w:bottom w:val="single" w:sz="8" w:color="0070FF"/>
            </w:tcBorders>
          </w:tcPr>
          <w:p>
            <w:pPr>
              <w:spacing w:after="0"/>
              <w:rPr>
                <w:sz w:val="14"/>
                <w:szCs w:val="14"/>
                <w:color w:val="auto"/>
              </w:rPr>
            </w:pP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(10)</w:t>
            </w:r>
          </w:p>
        </w:tc>
        <w:tc>
          <w:tcPr>
            <w:tcW w:w="38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423</w:t>
            </w:r>
          </w:p>
        </w:tc>
        <w:tc>
          <w:tcPr>
            <w:tcW w:w="4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color w:val="auto"/>
              </w:rPr>
              <w:t>Total</w:t>
            </w:r>
          </w:p>
        </w:tc>
        <w:tc>
          <w:tcPr>
            <w:tcW w:w="2340" w:type="dxa"/>
            <w:vAlign w:val="bottom"/>
            <w:tcBorders>
              <w:bottom w:val="single" w:sz="8" w:color="0070FF"/>
            </w:tcBorders>
          </w:tcPr>
          <w:p>
            <w:pPr>
              <w:spacing w:after="0"/>
              <w:rPr>
                <w:sz w:val="13"/>
                <w:szCs w:val="13"/>
                <w:color w:val="auto"/>
              </w:rPr>
            </w:pPr>
          </w:p>
        </w:tc>
        <w:tc>
          <w:tcPr>
            <w:tcW w:w="22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w:t>
            </w:r>
          </w:p>
        </w:tc>
        <w:tc>
          <w:tcPr>
            <w:tcW w:w="3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color w:val="auto"/>
              </w:rPr>
              <w:t>(785)</w:t>
            </w:r>
          </w:p>
        </w:tc>
        <w:tc>
          <w:tcPr>
            <w:tcW w:w="48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60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0070FF"/>
              </w:rPr>
              <w:t>OTHER COMPREHENSIVE GAIN (LOSS), NET OF TAX</w:t>
            </w:r>
          </w:p>
        </w:tc>
        <w:tc>
          <w:tcPr>
            <w:tcW w:w="2340" w:type="dxa"/>
            <w:vAlign w:val="bottom"/>
            <w:tcBorders>
              <w:bottom w:val="single" w:sz="8" w:color="0070FF"/>
            </w:tcBorders>
          </w:tcPr>
          <w:p>
            <w:pPr>
              <w:spacing w:after="0"/>
              <w:rPr>
                <w:sz w:val="13"/>
                <w:szCs w:val="13"/>
                <w:color w:val="auto"/>
              </w:rPr>
            </w:pPr>
          </w:p>
        </w:tc>
        <w:tc>
          <w:tcPr>
            <w:tcW w:w="22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189</w:t>
            </w:r>
          </w:p>
        </w:tc>
        <w:tc>
          <w:tcPr>
            <w:tcW w:w="3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color w:val="auto"/>
              </w:rPr>
              <w:t>(692)</w:t>
            </w:r>
          </w:p>
        </w:tc>
        <w:tc>
          <w:tcPr>
            <w:tcW w:w="48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60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COMPREHENSIVE INCOME</w:t>
            </w:r>
          </w:p>
        </w:tc>
        <w:tc>
          <w:tcPr>
            <w:tcW w:w="2560" w:type="dxa"/>
            <w:vAlign w:val="bottom"/>
            <w:tcBorders>
              <w:bottom w:val="single" w:sz="8" w:color="0070FF"/>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7,419</w:t>
            </w:r>
          </w:p>
        </w:tc>
        <w:tc>
          <w:tcPr>
            <w:tcW w:w="3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440</w:t>
            </w:r>
          </w:p>
        </w:tc>
        <w:tc>
          <w:tcPr>
            <w:tcW w:w="480" w:type="dxa"/>
            <w:vAlign w:val="bottom"/>
            <w:tcBorders>
              <w:bottom w:val="single" w:sz="8" w:color="0070FF"/>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431"/>
        </w:trPr>
        <w:tc>
          <w:tcPr>
            <w:tcW w:w="280" w:type="dxa"/>
            <w:vAlign w:val="bottom"/>
            <w:gridSpan w:val="2"/>
          </w:tcPr>
          <w:p>
            <w:pPr>
              <w:jc w:val="right"/>
              <w:spacing w:after="0"/>
              <w:rPr>
                <w:sz w:val="20"/>
                <w:szCs w:val="20"/>
                <w:color w:val="auto"/>
              </w:rPr>
            </w:pPr>
            <w:r>
              <w:rPr>
                <w:rFonts w:ascii="Arial" w:cs="Arial" w:eastAsia="Arial" w:hAnsi="Arial"/>
                <w:sz w:val="27"/>
                <w:szCs w:val="27"/>
                <w:b w:val="1"/>
                <w:bCs w:val="1"/>
                <w:color w:val="0070FF"/>
              </w:rPr>
              <w:t>»</w:t>
            </w:r>
          </w:p>
        </w:tc>
        <w:tc>
          <w:tcPr>
            <w:tcW w:w="320" w:type="dxa"/>
            <w:vAlign w:val="bottom"/>
            <w:tcBorders>
              <w:right w:val="single" w:sz="8" w:color="0070FF"/>
            </w:tcBorders>
          </w:tcPr>
          <w:p>
            <w:pPr>
              <w:spacing w:after="0"/>
              <w:rPr>
                <w:sz w:val="24"/>
                <w:szCs w:val="24"/>
                <w:color w:val="auto"/>
              </w:rPr>
            </w:pPr>
          </w:p>
        </w:tc>
        <w:tc>
          <w:tcPr>
            <w:tcW w:w="6800" w:type="dxa"/>
            <w:vAlign w:val="bottom"/>
          </w:tcPr>
          <w:p>
            <w:pPr>
              <w:ind w:left="100"/>
              <w:spacing w:after="0"/>
              <w:rPr>
                <w:sz w:val="20"/>
                <w:szCs w:val="20"/>
                <w:color w:val="auto"/>
              </w:rPr>
            </w:pPr>
            <w:r>
              <w:rPr>
                <w:rFonts w:ascii="Arial" w:cs="Arial" w:eastAsia="Arial" w:hAnsi="Arial"/>
                <w:sz w:val="22"/>
                <w:szCs w:val="22"/>
                <w:color w:val="0070FF"/>
              </w:rPr>
              <w:t>Consolidated Balance Sheet</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0" w:type="dxa"/>
            <w:vAlign w:val="bottom"/>
            <w:tcBorders>
              <w:bottom w:val="single" w:sz="8" w:color="0070FF"/>
            </w:tcBorders>
          </w:tcPr>
          <w:p>
            <w:pPr>
              <w:spacing w:after="0"/>
              <w:rPr>
                <w:sz w:val="8"/>
                <w:szCs w:val="8"/>
                <w:color w:val="auto"/>
              </w:rPr>
            </w:pPr>
          </w:p>
        </w:tc>
        <w:tc>
          <w:tcPr>
            <w:tcW w:w="320" w:type="dxa"/>
            <w:vAlign w:val="bottom"/>
            <w:tcBorders>
              <w:bottom w:val="single" w:sz="8" w:color="0070FF"/>
              <w:right w:val="single" w:sz="8" w:color="0070FF"/>
            </w:tcBorders>
          </w:tcPr>
          <w:p>
            <w:pPr>
              <w:spacing w:after="0"/>
              <w:rPr>
                <w:sz w:val="8"/>
                <w:szCs w:val="8"/>
                <w:color w:val="auto"/>
              </w:rPr>
            </w:pPr>
          </w:p>
        </w:tc>
        <w:tc>
          <w:tcPr>
            <w:tcW w:w="6800" w:type="dxa"/>
            <w:vAlign w:val="bottom"/>
            <w:tcBorders>
              <w:bottom w:val="single" w:sz="8" w:color="0070FF"/>
            </w:tcBorders>
          </w:tcPr>
          <w:p>
            <w:pPr>
              <w:spacing w:after="0"/>
              <w:rPr>
                <w:sz w:val="8"/>
                <w:szCs w:val="8"/>
                <w:color w:val="auto"/>
              </w:rPr>
            </w:pPr>
          </w:p>
        </w:tc>
        <w:tc>
          <w:tcPr>
            <w:tcW w:w="2100" w:type="dxa"/>
            <w:vAlign w:val="bottom"/>
            <w:tcBorders>
              <w:bottom w:val="single" w:sz="8" w:color="0070FF"/>
            </w:tcBorders>
          </w:tcPr>
          <w:p>
            <w:pPr>
              <w:spacing w:after="0"/>
              <w:rPr>
                <w:sz w:val="8"/>
                <w:szCs w:val="8"/>
                <w:color w:val="auto"/>
              </w:rPr>
            </w:pPr>
          </w:p>
        </w:tc>
        <w:tc>
          <w:tcPr>
            <w:tcW w:w="1920" w:type="dxa"/>
            <w:vAlign w:val="bottom"/>
            <w:tcBorders>
              <w:bottom w:val="single" w:sz="8" w:color="0070FF"/>
            </w:tcBorders>
            <w:gridSpan w:val="4"/>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4020" w:type="dxa"/>
            <w:vAlign w:val="bottom"/>
            <w:gridSpan w:val="5"/>
          </w:tcPr>
          <w:p>
            <w:pPr>
              <w:jc w:val="right"/>
              <w:spacing w:after="0"/>
              <w:rPr>
                <w:sz w:val="20"/>
                <w:szCs w:val="20"/>
                <w:color w:val="auto"/>
              </w:rPr>
            </w:pPr>
            <w:r>
              <w:rPr>
                <w:rFonts w:ascii="Arial" w:cs="Arial" w:eastAsia="Arial" w:hAnsi="Arial"/>
                <w:sz w:val="13"/>
                <w:szCs w:val="13"/>
                <w:i w:val="1"/>
                <w:iCs w:val="1"/>
                <w:color w:val="0070FF"/>
              </w:rPr>
              <w:t>Millions of dollars, except per-share amounts</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w w:val="98"/>
              </w:rPr>
              <w:t>At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0070FF"/>
            </w:tcBorders>
          </w:tcPr>
          <w:p>
            <w:pPr>
              <w:spacing w:after="0"/>
              <w:rPr>
                <w:sz w:val="12"/>
                <w:szCs w:val="12"/>
                <w:color w:val="auto"/>
              </w:rPr>
            </w:pPr>
          </w:p>
        </w:tc>
        <w:tc>
          <w:tcPr>
            <w:tcW w:w="320" w:type="dxa"/>
            <w:vAlign w:val="bottom"/>
            <w:tcBorders>
              <w:bottom w:val="single" w:sz="8" w:color="0070FF"/>
            </w:tcBorders>
          </w:tcPr>
          <w:p>
            <w:pPr>
              <w:spacing w:after="0"/>
              <w:rPr>
                <w:sz w:val="12"/>
                <w:szCs w:val="12"/>
                <w:color w:val="auto"/>
              </w:rPr>
            </w:pPr>
          </w:p>
        </w:tc>
        <w:tc>
          <w:tcPr>
            <w:tcW w:w="6800" w:type="dxa"/>
            <w:vAlign w:val="bottom"/>
            <w:tcBorders>
              <w:bottom w:val="single" w:sz="8" w:color="0070FF"/>
            </w:tcBorders>
          </w:tcPr>
          <w:p>
            <w:pPr>
              <w:spacing w:after="0"/>
              <w:rPr>
                <w:sz w:val="12"/>
                <w:szCs w:val="12"/>
                <w:color w:val="auto"/>
              </w:rPr>
            </w:pPr>
          </w:p>
        </w:tc>
        <w:tc>
          <w:tcPr>
            <w:tcW w:w="2100" w:type="dxa"/>
            <w:vAlign w:val="bottom"/>
            <w:tcBorders>
              <w:bottom w:val="single" w:sz="8" w:color="0070FF"/>
            </w:tcBorders>
          </w:tcPr>
          <w:p>
            <w:pPr>
              <w:spacing w:after="0"/>
              <w:rPr>
                <w:sz w:val="12"/>
                <w:szCs w:val="12"/>
                <w:color w:val="auto"/>
              </w:rPr>
            </w:pPr>
          </w:p>
        </w:tc>
        <w:tc>
          <w:tcPr>
            <w:tcW w:w="140" w:type="dxa"/>
            <w:vAlign w:val="bottom"/>
            <w:tcBorders>
              <w:top w:val="single" w:sz="8" w:color="0070FF"/>
              <w:bottom w:val="single" w:sz="8" w:color="0070FF"/>
            </w:tcBorders>
          </w:tcPr>
          <w:p>
            <w:pPr>
              <w:spacing w:after="0"/>
              <w:rPr>
                <w:sz w:val="12"/>
                <w:szCs w:val="12"/>
                <w:color w:val="auto"/>
              </w:rPr>
            </w:pPr>
          </w:p>
        </w:tc>
        <w:tc>
          <w:tcPr>
            <w:tcW w:w="680" w:type="dxa"/>
            <w:vAlign w:val="bottom"/>
            <w:tcBorders>
              <w:top w:val="single" w:sz="8" w:color="0070FF"/>
              <w:bottom w:val="single" w:sz="8" w:color="0070FF"/>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2003</w:t>
            </w:r>
          </w:p>
        </w:tc>
        <w:tc>
          <w:tcPr>
            <w:tcW w:w="460" w:type="dxa"/>
            <w:vAlign w:val="bottom"/>
            <w:tcBorders>
              <w:top w:val="single" w:sz="8" w:color="0070FF"/>
              <w:bottom w:val="single" w:sz="8" w:color="0070FF"/>
            </w:tcBorders>
          </w:tcPr>
          <w:p>
            <w:pPr>
              <w:spacing w:after="0"/>
              <w:rPr>
                <w:sz w:val="12"/>
                <w:szCs w:val="12"/>
                <w:color w:val="auto"/>
              </w:rPr>
            </w:pPr>
          </w:p>
        </w:tc>
        <w:tc>
          <w:tcPr>
            <w:tcW w:w="640" w:type="dxa"/>
            <w:vAlign w:val="bottom"/>
            <w:tcBorders>
              <w:top w:val="single" w:sz="8" w:color="0070FF"/>
              <w:bottom w:val="single" w:sz="8" w:color="0070FF"/>
            </w:tcBorders>
          </w:tcPr>
          <w:p>
            <w:pPr>
              <w:jc w:val="right"/>
              <w:ind w:right="28"/>
              <w:spacing w:after="0" w:line="142" w:lineRule="exact"/>
              <w:rPr>
                <w:sz w:val="20"/>
                <w:szCs w:val="20"/>
                <w:color w:val="auto"/>
              </w:rPr>
            </w:pPr>
            <w:r>
              <w:rPr>
                <w:rFonts w:ascii="Arial" w:cs="Arial" w:eastAsia="Arial" w:hAnsi="Arial"/>
                <w:sz w:val="14"/>
                <w:szCs w:val="14"/>
                <w:color w:val="auto"/>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380" w:type="dxa"/>
            <w:vAlign w:val="bottom"/>
            <w:gridSpan w:val="3"/>
          </w:tcPr>
          <w:p>
            <w:pPr>
              <w:spacing w:after="0" w:line="137" w:lineRule="exact"/>
              <w:rPr>
                <w:sz w:val="20"/>
                <w:szCs w:val="20"/>
                <w:color w:val="auto"/>
              </w:rPr>
            </w:pPr>
            <w:r>
              <w:rPr>
                <w:rFonts w:ascii="Arial" w:cs="Arial" w:eastAsia="Arial" w:hAnsi="Arial"/>
                <w:sz w:val="14"/>
                <w:szCs w:val="14"/>
                <w:b w:val="1"/>
                <w:bCs w:val="1"/>
                <w:color w:val="0070FF"/>
              </w:rPr>
              <w:t>ASSETS</w:t>
            </w:r>
          </w:p>
        </w:tc>
        <w:tc>
          <w:tcPr>
            <w:tcW w:w="22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4,266</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Cash and cash equivalents</w:t>
            </w:r>
          </w:p>
        </w:tc>
        <w:tc>
          <w:tcPr>
            <w:tcW w:w="22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60" w:type="dxa"/>
            <w:vAlign w:val="bottom"/>
          </w:tcPr>
          <w:p>
            <w:pPr>
              <w:jc w:val="right"/>
              <w:ind w:right="9"/>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2,957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Marketable securities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1,001</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Accounts and notes receivable (less allowance: 2003 – $179; 2002 – $181)</w:t>
            </w: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9,722</w:t>
            </w:r>
          </w:p>
        </w:tc>
        <w:tc>
          <w:tcPr>
            <w:tcW w:w="46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9,385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Inventories: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120" w:type="dxa"/>
            <w:vAlign w:val="bottom"/>
            <w:gridSpan w:val="2"/>
          </w:tcPr>
          <w:p>
            <w:pPr>
              <w:spacing w:after="0" w:line="145" w:lineRule="exact"/>
              <w:rPr>
                <w:sz w:val="20"/>
                <w:szCs w:val="20"/>
                <w:color w:val="auto"/>
              </w:rPr>
            </w:pPr>
            <w:r>
              <w:rPr>
                <w:rFonts w:ascii="Arial" w:cs="Arial" w:eastAsia="Arial" w:hAnsi="Arial"/>
                <w:sz w:val="14"/>
                <w:szCs w:val="14"/>
                <w:color w:val="auto"/>
              </w:rPr>
              <w:t>Crude oil and petroleum products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120" w:type="dxa"/>
            <w:vAlign w:val="bottom"/>
            <w:gridSpan w:val="2"/>
          </w:tcPr>
          <w:p>
            <w:pPr>
              <w:spacing w:after="0" w:line="149" w:lineRule="exact"/>
              <w:rPr>
                <w:sz w:val="20"/>
                <w:szCs w:val="20"/>
                <w:color w:val="auto"/>
              </w:rPr>
            </w:pPr>
            <w:r>
              <w:rPr>
                <w:rFonts w:ascii="Arial" w:cs="Arial" w:eastAsia="Arial" w:hAnsi="Arial"/>
                <w:sz w:val="14"/>
                <w:szCs w:val="14"/>
                <w:color w:val="auto"/>
              </w:rPr>
              <w:t>Chemicals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173</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120" w:type="dxa"/>
            <w:vAlign w:val="bottom"/>
            <w:gridSpan w:val="2"/>
          </w:tcPr>
          <w:p>
            <w:pPr>
              <w:spacing w:after="0"/>
              <w:rPr>
                <w:sz w:val="20"/>
                <w:szCs w:val="20"/>
                <w:color w:val="auto"/>
              </w:rPr>
            </w:pPr>
            <w:r>
              <w:rPr>
                <w:rFonts w:ascii="Arial" w:cs="Arial" w:eastAsia="Arial" w:hAnsi="Arial"/>
                <w:sz w:val="14"/>
                <w:szCs w:val="14"/>
                <w:color w:val="auto"/>
              </w:rPr>
              <w:t>Materials, supplies and other</w:t>
            </w:r>
          </w:p>
        </w:tc>
        <w:tc>
          <w:tcPr>
            <w:tcW w:w="210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472</w:t>
            </w:r>
          </w:p>
        </w:tc>
        <w:tc>
          <w:tcPr>
            <w:tcW w:w="4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551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2,648</w:t>
            </w:r>
          </w:p>
        </w:tc>
        <w:tc>
          <w:tcPr>
            <w:tcW w:w="460" w:type="dxa"/>
            <w:vAlign w:val="bottom"/>
          </w:tcPr>
          <w:p>
            <w:pPr>
              <w:spacing w:after="0"/>
              <w:rPr>
                <w:sz w:val="11"/>
                <w:szCs w:val="11"/>
                <w:color w:val="auto"/>
              </w:rPr>
            </w:pPr>
          </w:p>
        </w:tc>
        <w:tc>
          <w:tcPr>
            <w:tcW w:w="640" w:type="dxa"/>
            <w:vAlign w:val="bottom"/>
          </w:tcPr>
          <w:p>
            <w:pPr>
              <w:jc w:val="right"/>
              <w:ind w:right="28"/>
              <w:spacing w:after="0" w:line="133" w:lineRule="exact"/>
              <w:rPr>
                <w:sz w:val="20"/>
                <w:szCs w:val="20"/>
                <w:color w:val="auto"/>
              </w:rPr>
            </w:pPr>
            <w:r>
              <w:rPr>
                <w:rFonts w:ascii="Arial" w:cs="Arial" w:eastAsia="Arial" w:hAnsi="Arial"/>
                <w:sz w:val="14"/>
                <w:szCs w:val="14"/>
                <w:color w:val="auto"/>
              </w:rPr>
              <w:t>2,763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10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1,789</w:t>
            </w:r>
          </w:p>
        </w:tc>
        <w:tc>
          <w:tcPr>
            <w:tcW w:w="4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1,847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38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0070FF"/>
              </w:rPr>
              <w:t>TOTAL CURRENT ASSETS</w:t>
            </w:r>
          </w:p>
        </w:tc>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19,426</w:t>
            </w:r>
          </w:p>
        </w:tc>
        <w:tc>
          <w:tcPr>
            <w:tcW w:w="460" w:type="dxa"/>
            <w:vAlign w:val="bottom"/>
          </w:tcPr>
          <w:p>
            <w:pPr>
              <w:spacing w:after="0"/>
              <w:rPr>
                <w:sz w:val="11"/>
                <w:szCs w:val="11"/>
                <w:color w:val="auto"/>
              </w:rPr>
            </w:pPr>
          </w:p>
        </w:tc>
        <w:tc>
          <w:tcPr>
            <w:tcW w:w="640" w:type="dxa"/>
            <w:vAlign w:val="bottom"/>
          </w:tcPr>
          <w:p>
            <w:pPr>
              <w:jc w:val="right"/>
              <w:ind w:right="28"/>
              <w:spacing w:after="0" w:line="133" w:lineRule="exact"/>
              <w:rPr>
                <w:sz w:val="20"/>
                <w:szCs w:val="20"/>
                <w:color w:val="auto"/>
              </w:rPr>
            </w:pPr>
            <w:r>
              <w:rPr>
                <w:rFonts w:ascii="Arial" w:cs="Arial" w:eastAsia="Arial" w:hAnsi="Arial"/>
                <w:sz w:val="14"/>
                <w:szCs w:val="14"/>
                <w:color w:val="auto"/>
              </w:rPr>
              <w:t>17,776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Long-term receivables, net</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1,493</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Investments and advances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12,319</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Properties, plant and equipment, at cost</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100,556</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105,231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gridSpan w:val="3"/>
          </w:tcPr>
          <w:p>
            <w:pPr>
              <w:ind w:left="120"/>
              <w:spacing w:after="0"/>
              <w:rPr>
                <w:sz w:val="20"/>
                <w:szCs w:val="20"/>
                <w:color w:val="auto"/>
              </w:rPr>
            </w:pPr>
            <w:r>
              <w:rPr>
                <w:rFonts w:ascii="Arial" w:cs="Arial" w:eastAsia="Arial" w:hAnsi="Arial"/>
                <w:sz w:val="14"/>
                <w:szCs w:val="14"/>
                <w:color w:val="auto"/>
              </w:rPr>
              <w:t>Less: Accumulated depreciation, depletion and amortization</w:t>
            </w:r>
          </w:p>
        </w:tc>
        <w:tc>
          <w:tcPr>
            <w:tcW w:w="210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56,018</w:t>
            </w:r>
          </w:p>
        </w:tc>
        <w:tc>
          <w:tcPr>
            <w:tcW w:w="4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61,076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44,538</w:t>
            </w:r>
          </w:p>
        </w:tc>
        <w:tc>
          <w:tcPr>
            <w:tcW w:w="460" w:type="dxa"/>
            <w:vAlign w:val="bottom"/>
          </w:tcPr>
          <w:p>
            <w:pPr>
              <w:spacing w:after="0"/>
              <w:rPr>
                <w:sz w:val="11"/>
                <w:szCs w:val="11"/>
                <w:color w:val="auto"/>
              </w:rPr>
            </w:pPr>
          </w:p>
        </w:tc>
        <w:tc>
          <w:tcPr>
            <w:tcW w:w="640" w:type="dxa"/>
            <w:vAlign w:val="bottom"/>
          </w:tcPr>
          <w:p>
            <w:pPr>
              <w:jc w:val="right"/>
              <w:ind w:right="28"/>
              <w:spacing w:after="0" w:line="133" w:lineRule="exact"/>
              <w:rPr>
                <w:sz w:val="20"/>
                <w:szCs w:val="20"/>
                <w:color w:val="auto"/>
              </w:rPr>
            </w:pPr>
            <w:r>
              <w:rPr>
                <w:rFonts w:ascii="Arial" w:cs="Arial" w:eastAsia="Arial" w:hAnsi="Arial"/>
                <w:sz w:val="14"/>
                <w:szCs w:val="14"/>
                <w:color w:val="auto"/>
              </w:rPr>
              <w:t>44,155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Deferred charges and other assets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2,594</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gridSpan w:val="3"/>
          </w:tcPr>
          <w:p>
            <w:pPr>
              <w:ind w:left="120"/>
              <w:spacing w:after="0"/>
              <w:rPr>
                <w:sz w:val="20"/>
                <w:szCs w:val="20"/>
                <w:color w:val="auto"/>
              </w:rPr>
            </w:pPr>
            <w:r>
              <w:rPr>
                <w:rFonts w:ascii="Arial" w:cs="Arial" w:eastAsia="Arial" w:hAnsi="Arial"/>
                <w:sz w:val="14"/>
                <w:szCs w:val="14"/>
                <w:color w:val="auto"/>
              </w:rPr>
              <w:t>Assets held for sale</w:t>
            </w: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1,100</w:t>
            </w:r>
          </w:p>
        </w:tc>
        <w:tc>
          <w:tcPr>
            <w:tcW w:w="46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Borders>
              <w:top w:val="single" w:sz="8" w:color="0070FF"/>
              <w:bottom w:val="single" w:sz="8" w:color="0070FF"/>
            </w:tcBorders>
            <w:gridSpan w:val="3"/>
          </w:tcPr>
          <w:p>
            <w:pPr>
              <w:ind w:left="120"/>
              <w:spacing w:after="0" w:line="155" w:lineRule="exact"/>
              <w:rPr>
                <w:sz w:val="20"/>
                <w:szCs w:val="20"/>
                <w:color w:val="auto"/>
              </w:rPr>
            </w:pPr>
            <w:r>
              <w:rPr>
                <w:rFonts w:ascii="Arial" w:cs="Arial" w:eastAsia="Arial" w:hAnsi="Arial"/>
                <w:sz w:val="14"/>
                <w:szCs w:val="14"/>
                <w:b w:val="1"/>
                <w:bCs w:val="1"/>
                <w:color w:val="0070FF"/>
              </w:rPr>
              <w:t>TOTAL ASSETS</w:t>
            </w:r>
          </w:p>
        </w:tc>
        <w:tc>
          <w:tcPr>
            <w:tcW w:w="2240" w:type="dxa"/>
            <w:vAlign w:val="bottom"/>
            <w:tcBorders>
              <w:top w:val="single" w:sz="8" w:color="0070FF"/>
              <w:bottom w:val="single" w:sz="8" w:color="0070FF"/>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0070FF"/>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81,470</w:t>
            </w:r>
          </w:p>
        </w:tc>
        <w:tc>
          <w:tcPr>
            <w:tcW w:w="460" w:type="dxa"/>
            <w:vAlign w:val="bottom"/>
            <w:tcBorders>
              <w:top w:val="single" w:sz="8" w:color="0070FF"/>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0070FF"/>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77,359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380" w:type="dxa"/>
            <w:vAlign w:val="bottom"/>
            <w:gridSpan w:val="3"/>
          </w:tcPr>
          <w:p>
            <w:pPr>
              <w:spacing w:after="0" w:line="137" w:lineRule="exact"/>
              <w:rPr>
                <w:sz w:val="20"/>
                <w:szCs w:val="20"/>
                <w:color w:val="auto"/>
              </w:rPr>
            </w:pPr>
            <w:r>
              <w:rPr>
                <w:rFonts w:ascii="Arial" w:cs="Arial" w:eastAsia="Arial" w:hAnsi="Arial"/>
                <w:sz w:val="14"/>
                <w:szCs w:val="14"/>
                <w:b w:val="1"/>
                <w:bCs w:val="1"/>
                <w:color w:val="0070FF"/>
              </w:rPr>
              <w:t>LIABILITIES AND STOCKHOLDERS’ EQUITY</w:t>
            </w:r>
          </w:p>
        </w:tc>
        <w:tc>
          <w:tcPr>
            <w:tcW w:w="22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1,703</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Short-term debt</w:t>
            </w:r>
          </w:p>
        </w:tc>
        <w:tc>
          <w:tcPr>
            <w:tcW w:w="22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60" w:type="dxa"/>
            <w:vAlign w:val="bottom"/>
          </w:tcPr>
          <w:p>
            <w:pPr>
              <w:jc w:val="right"/>
              <w:ind w:right="9"/>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5,358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8,675</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8,455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3,172</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Federal and other taxes on income</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1,392</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Other taxes payable</w:t>
            </w:r>
          </w:p>
        </w:tc>
        <w:tc>
          <w:tcPr>
            <w:tcW w:w="210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1,169</w:t>
            </w:r>
          </w:p>
        </w:tc>
        <w:tc>
          <w:tcPr>
            <w:tcW w:w="4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1,073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38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0070FF"/>
              </w:rPr>
              <w:t>TOTAL CURRENT LIABILITIES</w:t>
            </w:r>
          </w:p>
        </w:tc>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16,111</w:t>
            </w:r>
          </w:p>
        </w:tc>
        <w:tc>
          <w:tcPr>
            <w:tcW w:w="460" w:type="dxa"/>
            <w:vAlign w:val="bottom"/>
          </w:tcPr>
          <w:p>
            <w:pPr>
              <w:spacing w:after="0"/>
              <w:rPr>
                <w:sz w:val="11"/>
                <w:szCs w:val="11"/>
                <w:color w:val="auto"/>
              </w:rPr>
            </w:pPr>
          </w:p>
        </w:tc>
        <w:tc>
          <w:tcPr>
            <w:tcW w:w="640" w:type="dxa"/>
            <w:vAlign w:val="bottom"/>
          </w:tcPr>
          <w:p>
            <w:pPr>
              <w:jc w:val="right"/>
              <w:ind w:right="28"/>
              <w:spacing w:after="0" w:line="133" w:lineRule="exact"/>
              <w:rPr>
                <w:sz w:val="20"/>
                <w:szCs w:val="20"/>
                <w:color w:val="auto"/>
              </w:rPr>
            </w:pPr>
            <w:r>
              <w:rPr>
                <w:rFonts w:ascii="Arial" w:cs="Arial" w:eastAsia="Arial" w:hAnsi="Arial"/>
                <w:sz w:val="14"/>
                <w:szCs w:val="14"/>
                <w:color w:val="auto"/>
              </w:rPr>
              <w:t>19,876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Long-term debt</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10,651</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Capital lease obligations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243</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Deferred credits and other noncurrent obligations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7,758</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Noncurrent deferred income taxes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6,417</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Reserves for employee benefit plans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3,727</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4,572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Minority interests</w:t>
            </w:r>
          </w:p>
        </w:tc>
        <w:tc>
          <w:tcPr>
            <w:tcW w:w="210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268</w:t>
            </w:r>
          </w:p>
        </w:tc>
        <w:tc>
          <w:tcPr>
            <w:tcW w:w="4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303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Borders>
              <w:bottom w:val="single" w:sz="8" w:color="0070FF"/>
            </w:tcBorders>
            <w:gridSpan w:val="3"/>
          </w:tcPr>
          <w:p>
            <w:pPr>
              <w:ind w:left="120"/>
              <w:spacing w:after="0" w:line="155" w:lineRule="exact"/>
              <w:rPr>
                <w:sz w:val="20"/>
                <w:szCs w:val="20"/>
                <w:color w:val="auto"/>
              </w:rPr>
            </w:pPr>
            <w:r>
              <w:rPr>
                <w:rFonts w:ascii="Arial" w:cs="Arial" w:eastAsia="Arial" w:hAnsi="Arial"/>
                <w:sz w:val="14"/>
                <w:szCs w:val="14"/>
                <w:b w:val="1"/>
                <w:bCs w:val="1"/>
                <w:color w:val="0070FF"/>
              </w:rPr>
              <w:t>TOTAL LIABILITIES</w:t>
            </w:r>
          </w:p>
        </w:tc>
        <w:tc>
          <w:tcPr>
            <w:tcW w:w="210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45,175</w:t>
            </w:r>
          </w:p>
        </w:tc>
        <w:tc>
          <w:tcPr>
            <w:tcW w:w="46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45,755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380" w:type="dxa"/>
            <w:vAlign w:val="bottom"/>
            <w:gridSpan w:val="3"/>
          </w:tcPr>
          <w:p>
            <w:pPr>
              <w:ind w:left="120"/>
              <w:spacing w:after="0" w:line="133" w:lineRule="exact"/>
              <w:rPr>
                <w:sz w:val="20"/>
                <w:szCs w:val="20"/>
                <w:color w:val="auto"/>
              </w:rPr>
            </w:pPr>
            <w:r>
              <w:rPr>
                <w:rFonts w:ascii="Arial" w:cs="Arial" w:eastAsia="Arial" w:hAnsi="Arial"/>
                <w:sz w:val="14"/>
                <w:szCs w:val="14"/>
                <w:color w:val="auto"/>
              </w:rPr>
              <w:t>Preferred stock (authorized 100,000,000 shares, $1.00 par value; none issued)</w:t>
            </w:r>
          </w:p>
        </w:tc>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1"/>
                <w:szCs w:val="11"/>
                <w:color w:val="auto"/>
              </w:rPr>
            </w:pPr>
          </w:p>
        </w:tc>
        <w:tc>
          <w:tcPr>
            <w:tcW w:w="640" w:type="dxa"/>
            <w:vAlign w:val="bottom"/>
          </w:tcPr>
          <w:p>
            <w:pPr>
              <w:jc w:val="right"/>
              <w:ind w:right="28"/>
              <w:spacing w:after="0" w:line="13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(authorized 4,000,000,000 shares, $0.75 par value; 1,137,021,057 shares issued)</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853</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Capital in excess of par value</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4,855</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4,833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35,315</w:t>
            </w:r>
          </w:p>
        </w:tc>
        <w:tc>
          <w:tcPr>
            <w:tcW w:w="4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(809)</w:t>
            </w:r>
          </w:p>
        </w:tc>
        <w:tc>
          <w:tcPr>
            <w:tcW w:w="4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Deferred compensation and benefit plan trust</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(602)</w:t>
            </w:r>
          </w:p>
        </w:tc>
        <w:tc>
          <w:tcPr>
            <w:tcW w:w="4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Treasury stock, at cost (2003 – 67,873,337 shares; 2002 – 68,884,416 shares)</w:t>
            </w:r>
          </w:p>
        </w:tc>
        <w:tc>
          <w:tcPr>
            <w:tcW w:w="210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b w:val="1"/>
                <w:bCs w:val="1"/>
                <w:color w:val="auto"/>
              </w:rPr>
              <w:t>(3,317)</w:t>
            </w:r>
          </w:p>
        </w:tc>
        <w:tc>
          <w:tcPr>
            <w:tcW w:w="4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Borders>
              <w:bottom w:val="single" w:sz="8" w:color="0070FF"/>
            </w:tcBorders>
            <w:gridSpan w:val="3"/>
          </w:tcPr>
          <w:p>
            <w:pPr>
              <w:ind w:left="120"/>
              <w:spacing w:after="0" w:line="155" w:lineRule="exact"/>
              <w:rPr>
                <w:sz w:val="20"/>
                <w:szCs w:val="20"/>
                <w:color w:val="auto"/>
              </w:rPr>
            </w:pPr>
            <w:r>
              <w:rPr>
                <w:rFonts w:ascii="Arial" w:cs="Arial" w:eastAsia="Arial" w:hAnsi="Arial"/>
                <w:sz w:val="14"/>
                <w:szCs w:val="14"/>
                <w:b w:val="1"/>
                <w:bCs w:val="1"/>
                <w:color w:val="0070FF"/>
              </w:rPr>
              <w:t>TOTAL STOCKHOLDERS’ EQUITY</w:t>
            </w:r>
          </w:p>
        </w:tc>
        <w:tc>
          <w:tcPr>
            <w:tcW w:w="210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36,295</w:t>
            </w:r>
          </w:p>
        </w:tc>
        <w:tc>
          <w:tcPr>
            <w:tcW w:w="46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31,604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Borders>
              <w:bottom w:val="single" w:sz="8" w:color="0070FF"/>
            </w:tcBorders>
            <w:gridSpan w:val="3"/>
          </w:tcPr>
          <w:p>
            <w:pPr>
              <w:ind w:left="120"/>
              <w:spacing w:after="0" w:line="155" w:lineRule="exact"/>
              <w:rPr>
                <w:sz w:val="20"/>
                <w:szCs w:val="20"/>
                <w:color w:val="auto"/>
              </w:rPr>
            </w:pPr>
            <w:r>
              <w:rPr>
                <w:rFonts w:ascii="Arial" w:cs="Arial" w:eastAsia="Arial" w:hAnsi="Arial"/>
                <w:sz w:val="14"/>
                <w:szCs w:val="14"/>
                <w:b w:val="1"/>
                <w:bCs w:val="1"/>
                <w:color w:val="0070FF"/>
              </w:rPr>
              <w:t>TOTAL LIABILITIES AND STOCKHOLDERS’ EQUITY</w:t>
            </w:r>
          </w:p>
        </w:tc>
        <w:tc>
          <w:tcPr>
            <w:tcW w:w="2240" w:type="dxa"/>
            <w:vAlign w:val="bottom"/>
            <w:tcBorders>
              <w:bottom w:val="single" w:sz="8" w:color="0070FF"/>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81,470</w:t>
            </w:r>
          </w:p>
        </w:tc>
        <w:tc>
          <w:tcPr>
            <w:tcW w:w="46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77,359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431"/>
        </w:trPr>
        <w:tc>
          <w:tcPr>
            <w:tcW w:w="280" w:type="dxa"/>
            <w:vAlign w:val="bottom"/>
            <w:gridSpan w:val="2"/>
          </w:tcPr>
          <w:p>
            <w:pPr>
              <w:ind w:left="120"/>
              <w:spacing w:after="0"/>
              <w:rPr>
                <w:sz w:val="20"/>
                <w:szCs w:val="20"/>
                <w:color w:val="auto"/>
              </w:rPr>
            </w:pPr>
            <w:r>
              <w:rPr>
                <w:rFonts w:ascii="Arial" w:cs="Arial" w:eastAsia="Arial" w:hAnsi="Arial"/>
                <w:sz w:val="27"/>
                <w:szCs w:val="27"/>
                <w:b w:val="1"/>
                <w:bCs w:val="1"/>
                <w:color w:val="0070FF"/>
                <w:w w:val="92"/>
              </w:rPr>
              <w:t>»</w:t>
            </w:r>
          </w:p>
        </w:tc>
        <w:tc>
          <w:tcPr>
            <w:tcW w:w="320" w:type="dxa"/>
            <w:vAlign w:val="bottom"/>
            <w:tcBorders>
              <w:right w:val="single" w:sz="8" w:color="0070FF"/>
            </w:tcBorders>
          </w:tcPr>
          <w:p>
            <w:pPr>
              <w:spacing w:after="0"/>
              <w:rPr>
                <w:sz w:val="24"/>
                <w:szCs w:val="24"/>
                <w:color w:val="auto"/>
              </w:rPr>
            </w:pPr>
          </w:p>
        </w:tc>
        <w:tc>
          <w:tcPr>
            <w:tcW w:w="6280" w:type="dxa"/>
            <w:vAlign w:val="bottom"/>
          </w:tcPr>
          <w:p>
            <w:pPr>
              <w:ind w:left="100"/>
              <w:spacing w:after="0"/>
              <w:rPr>
                <w:sz w:val="20"/>
                <w:szCs w:val="20"/>
                <w:color w:val="auto"/>
              </w:rPr>
            </w:pPr>
            <w:r>
              <w:rPr>
                <w:rFonts w:ascii="Arial" w:cs="Arial" w:eastAsia="Arial" w:hAnsi="Arial"/>
                <w:sz w:val="22"/>
                <w:szCs w:val="22"/>
                <w:color w:val="0070FF"/>
              </w:rPr>
              <w:t>Consolidated Statement of Cash Flows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0" w:type="dxa"/>
            <w:vAlign w:val="bottom"/>
            <w:tcBorders>
              <w:bottom w:val="single" w:sz="8" w:color="0070FF"/>
            </w:tcBorders>
          </w:tcPr>
          <w:p>
            <w:pPr>
              <w:spacing w:after="0"/>
              <w:rPr>
                <w:sz w:val="8"/>
                <w:szCs w:val="8"/>
                <w:color w:val="auto"/>
              </w:rPr>
            </w:pPr>
          </w:p>
        </w:tc>
        <w:tc>
          <w:tcPr>
            <w:tcW w:w="320" w:type="dxa"/>
            <w:vAlign w:val="bottom"/>
            <w:tcBorders>
              <w:bottom w:val="single" w:sz="8" w:color="0070FF"/>
              <w:right w:val="single" w:sz="8" w:color="0070FF"/>
            </w:tcBorders>
          </w:tcPr>
          <w:p>
            <w:pPr>
              <w:spacing w:after="0"/>
              <w:rPr>
                <w:sz w:val="8"/>
                <w:szCs w:val="8"/>
                <w:color w:val="auto"/>
              </w:rPr>
            </w:pPr>
          </w:p>
        </w:tc>
        <w:tc>
          <w:tcPr>
            <w:tcW w:w="6280" w:type="dxa"/>
            <w:vAlign w:val="bottom"/>
            <w:tcBorders>
              <w:bottom w:val="single" w:sz="8" w:color="0070FF"/>
            </w:tcBorders>
          </w:tcPr>
          <w:p>
            <w:pPr>
              <w:spacing w:after="0"/>
              <w:rPr>
                <w:sz w:val="8"/>
                <w:szCs w:val="8"/>
                <w:color w:val="auto"/>
              </w:rPr>
            </w:pPr>
          </w:p>
        </w:tc>
        <w:tc>
          <w:tcPr>
            <w:tcW w:w="1480" w:type="dxa"/>
            <w:vAlign w:val="bottom"/>
            <w:tcBorders>
              <w:bottom w:val="single" w:sz="8" w:color="0070FF"/>
            </w:tcBorders>
          </w:tcPr>
          <w:p>
            <w:pPr>
              <w:spacing w:after="0"/>
              <w:rPr>
                <w:sz w:val="8"/>
                <w:szCs w:val="8"/>
                <w:color w:val="auto"/>
              </w:rPr>
            </w:pPr>
          </w:p>
        </w:tc>
        <w:tc>
          <w:tcPr>
            <w:tcW w:w="180" w:type="dxa"/>
            <w:vAlign w:val="bottom"/>
            <w:tcBorders>
              <w:bottom w:val="single" w:sz="8" w:color="0070FF"/>
            </w:tcBorders>
          </w:tcPr>
          <w:p>
            <w:pPr>
              <w:spacing w:after="0"/>
              <w:rPr>
                <w:sz w:val="8"/>
                <w:szCs w:val="8"/>
                <w:color w:val="auto"/>
              </w:rPr>
            </w:pPr>
          </w:p>
        </w:tc>
        <w:tc>
          <w:tcPr>
            <w:tcW w:w="780" w:type="dxa"/>
            <w:vAlign w:val="bottom"/>
            <w:tcBorders>
              <w:bottom w:val="single" w:sz="8" w:color="0070FF"/>
            </w:tcBorders>
          </w:tcPr>
          <w:p>
            <w:pPr>
              <w:spacing w:after="0"/>
              <w:rPr>
                <w:sz w:val="8"/>
                <w:szCs w:val="8"/>
                <w:color w:val="auto"/>
              </w:rPr>
            </w:pPr>
          </w:p>
        </w:tc>
        <w:tc>
          <w:tcPr>
            <w:tcW w:w="380" w:type="dxa"/>
            <w:vAlign w:val="bottom"/>
            <w:tcBorders>
              <w:bottom w:val="single" w:sz="8" w:color="0070FF"/>
            </w:tcBorders>
          </w:tcPr>
          <w:p>
            <w:pPr>
              <w:spacing w:after="0"/>
              <w:rPr>
                <w:sz w:val="8"/>
                <w:szCs w:val="8"/>
                <w:color w:val="auto"/>
              </w:rPr>
            </w:pPr>
          </w:p>
        </w:tc>
        <w:tc>
          <w:tcPr>
            <w:tcW w:w="660" w:type="dxa"/>
            <w:vAlign w:val="bottom"/>
            <w:tcBorders>
              <w:bottom w:val="single" w:sz="8" w:color="0070FF"/>
            </w:tcBorders>
          </w:tcPr>
          <w:p>
            <w:pPr>
              <w:spacing w:after="0"/>
              <w:rPr>
                <w:sz w:val="8"/>
                <w:szCs w:val="8"/>
                <w:color w:val="auto"/>
              </w:rPr>
            </w:pPr>
          </w:p>
        </w:tc>
        <w:tc>
          <w:tcPr>
            <w:tcW w:w="1060" w:type="dxa"/>
            <w:vAlign w:val="bottom"/>
            <w:tcBorders>
              <w:bottom w:val="single" w:sz="8" w:color="0070FF"/>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0070FF"/>
              </w:rPr>
              <w:t>Millions of dollars</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40" w:type="dxa"/>
            <w:vAlign w:val="bottom"/>
            <w:gridSpan w:val="4"/>
          </w:tcPr>
          <w:p>
            <w:pPr>
              <w:ind w:left="240"/>
              <w:spacing w:after="0"/>
              <w:rPr>
                <w:sz w:val="20"/>
                <w:szCs w:val="20"/>
                <w:color w:val="auto"/>
              </w:rPr>
            </w:pPr>
            <w:r>
              <w:rPr>
                <w:rFonts w:ascii="Arial" w:cs="Arial" w:eastAsia="Arial" w:hAnsi="Arial"/>
                <w:sz w:val="14"/>
                <w:szCs w:val="14"/>
                <w:color w:val="auto"/>
                <w:w w:val="92"/>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0070FF"/>
            </w:tcBorders>
          </w:tcPr>
          <w:p>
            <w:pPr>
              <w:spacing w:after="0"/>
              <w:rPr>
                <w:sz w:val="12"/>
                <w:szCs w:val="12"/>
                <w:color w:val="auto"/>
              </w:rPr>
            </w:pPr>
          </w:p>
        </w:tc>
        <w:tc>
          <w:tcPr>
            <w:tcW w:w="320" w:type="dxa"/>
            <w:vAlign w:val="bottom"/>
            <w:tcBorders>
              <w:bottom w:val="single" w:sz="8" w:color="0070FF"/>
            </w:tcBorders>
          </w:tcPr>
          <w:p>
            <w:pPr>
              <w:spacing w:after="0"/>
              <w:rPr>
                <w:sz w:val="12"/>
                <w:szCs w:val="12"/>
                <w:color w:val="auto"/>
              </w:rPr>
            </w:pPr>
          </w:p>
        </w:tc>
        <w:tc>
          <w:tcPr>
            <w:tcW w:w="6280" w:type="dxa"/>
            <w:vAlign w:val="bottom"/>
            <w:tcBorders>
              <w:bottom w:val="single" w:sz="8" w:color="0070FF"/>
            </w:tcBorders>
          </w:tcPr>
          <w:p>
            <w:pPr>
              <w:spacing w:after="0"/>
              <w:rPr>
                <w:sz w:val="12"/>
                <w:szCs w:val="12"/>
                <w:color w:val="auto"/>
              </w:rPr>
            </w:pPr>
          </w:p>
        </w:tc>
        <w:tc>
          <w:tcPr>
            <w:tcW w:w="1480" w:type="dxa"/>
            <w:vAlign w:val="bottom"/>
            <w:tcBorders>
              <w:bottom w:val="single" w:sz="8" w:color="0070FF"/>
            </w:tcBorders>
          </w:tcPr>
          <w:p>
            <w:pPr>
              <w:spacing w:after="0"/>
              <w:rPr>
                <w:sz w:val="12"/>
                <w:szCs w:val="12"/>
                <w:color w:val="auto"/>
              </w:rPr>
            </w:pPr>
          </w:p>
        </w:tc>
        <w:tc>
          <w:tcPr>
            <w:tcW w:w="180" w:type="dxa"/>
            <w:vAlign w:val="bottom"/>
            <w:tcBorders>
              <w:top w:val="single" w:sz="8" w:color="0070FF"/>
              <w:bottom w:val="single" w:sz="8" w:color="0070FF"/>
            </w:tcBorders>
          </w:tcPr>
          <w:p>
            <w:pPr>
              <w:spacing w:after="0"/>
              <w:rPr>
                <w:sz w:val="12"/>
                <w:szCs w:val="12"/>
                <w:color w:val="auto"/>
              </w:rPr>
            </w:pPr>
          </w:p>
        </w:tc>
        <w:tc>
          <w:tcPr>
            <w:tcW w:w="780" w:type="dxa"/>
            <w:vAlign w:val="bottom"/>
            <w:tcBorders>
              <w:top w:val="single" w:sz="8" w:color="0070FF"/>
              <w:bottom w:val="single" w:sz="8" w:color="0070FF"/>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2003</w:t>
            </w:r>
          </w:p>
        </w:tc>
        <w:tc>
          <w:tcPr>
            <w:tcW w:w="380" w:type="dxa"/>
            <w:vAlign w:val="bottom"/>
            <w:tcBorders>
              <w:top w:val="single" w:sz="8" w:color="0070FF"/>
              <w:bottom w:val="single" w:sz="8" w:color="0070FF"/>
            </w:tcBorders>
          </w:tcPr>
          <w:p>
            <w:pPr>
              <w:spacing w:after="0"/>
              <w:rPr>
                <w:sz w:val="12"/>
                <w:szCs w:val="12"/>
                <w:color w:val="auto"/>
              </w:rPr>
            </w:pPr>
          </w:p>
        </w:tc>
        <w:tc>
          <w:tcPr>
            <w:tcW w:w="660" w:type="dxa"/>
            <w:vAlign w:val="bottom"/>
            <w:tcBorders>
              <w:top w:val="single" w:sz="8" w:color="0070FF"/>
              <w:bottom w:val="single" w:sz="8" w:color="0070FF"/>
            </w:tcBorders>
          </w:tcPr>
          <w:p>
            <w:pPr>
              <w:jc w:val="right"/>
              <w:ind w:right="88"/>
              <w:spacing w:after="0" w:line="142" w:lineRule="exact"/>
              <w:rPr>
                <w:sz w:val="20"/>
                <w:szCs w:val="20"/>
                <w:color w:val="auto"/>
              </w:rPr>
            </w:pPr>
            <w:r>
              <w:rPr>
                <w:rFonts w:ascii="Arial" w:cs="Arial" w:eastAsia="Arial" w:hAnsi="Arial"/>
                <w:sz w:val="14"/>
                <w:szCs w:val="14"/>
                <w:color w:val="auto"/>
              </w:rPr>
              <w:t>2002</w:t>
            </w:r>
          </w:p>
        </w:tc>
        <w:tc>
          <w:tcPr>
            <w:tcW w:w="460" w:type="dxa"/>
            <w:vAlign w:val="bottom"/>
            <w:tcBorders>
              <w:top w:val="single" w:sz="8" w:color="0070FF"/>
              <w:bottom w:val="single" w:sz="8" w:color="0070FF"/>
            </w:tcBorders>
          </w:tcPr>
          <w:p>
            <w:pPr>
              <w:spacing w:after="0"/>
              <w:rPr>
                <w:sz w:val="12"/>
                <w:szCs w:val="12"/>
                <w:color w:val="auto"/>
              </w:rPr>
            </w:pPr>
          </w:p>
        </w:tc>
        <w:tc>
          <w:tcPr>
            <w:tcW w:w="600" w:type="dxa"/>
            <w:vAlign w:val="bottom"/>
            <w:tcBorders>
              <w:top w:val="single" w:sz="8" w:color="0070FF"/>
              <w:bottom w:val="single" w:sz="8" w:color="0070FF"/>
            </w:tcBorders>
          </w:tcPr>
          <w:p>
            <w:pPr>
              <w:jc w:val="right"/>
              <w:ind w:right="28"/>
              <w:spacing w:after="0" w:line="142" w:lineRule="exact"/>
              <w:rPr>
                <w:sz w:val="20"/>
                <w:szCs w:val="20"/>
                <w:color w:val="auto"/>
              </w:rPr>
            </w:pPr>
            <w:r>
              <w:rPr>
                <w:rFonts w:ascii="Arial" w:cs="Arial" w:eastAsia="Arial" w:hAnsi="Arial"/>
                <w:sz w:val="14"/>
                <w:szCs w:val="14"/>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60" w:type="dxa"/>
            <w:vAlign w:val="bottom"/>
            <w:gridSpan w:val="3"/>
          </w:tcPr>
          <w:p>
            <w:pPr>
              <w:spacing w:after="0" w:line="137" w:lineRule="exact"/>
              <w:rPr>
                <w:sz w:val="20"/>
                <w:szCs w:val="20"/>
                <w:color w:val="auto"/>
              </w:rPr>
            </w:pPr>
            <w:r>
              <w:rPr>
                <w:rFonts w:ascii="Arial" w:cs="Arial" w:eastAsia="Arial" w:hAnsi="Arial"/>
                <w:sz w:val="14"/>
                <w:szCs w:val="14"/>
                <w:b w:val="1"/>
                <w:bCs w:val="1"/>
                <w:color w:val="0070FF"/>
              </w:rPr>
              <w:t>OPERATING ACTIVITIES</w:t>
            </w:r>
          </w:p>
        </w:tc>
        <w:tc>
          <w:tcPr>
            <w:tcW w:w="1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7,230</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income</w:t>
            </w:r>
          </w:p>
        </w:tc>
        <w:tc>
          <w:tcPr>
            <w:tcW w:w="16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1,132</w:t>
            </w:r>
          </w:p>
        </w:tc>
        <w:tc>
          <w:tcPr>
            <w:tcW w:w="460" w:type="dxa"/>
            <w:vAlign w:val="bottom"/>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Adjustments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196</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5" w:lineRule="exact"/>
              <w:rPr>
                <w:sz w:val="20"/>
                <w:szCs w:val="20"/>
                <w:color w:val="auto"/>
              </w:rPr>
            </w:pPr>
            <w:r>
              <w:rPr>
                <w:rFonts w:ascii="Arial" w:cs="Arial" w:eastAsia="Arial" w:hAnsi="Arial"/>
                <w:sz w:val="14"/>
                <w:szCs w:val="14"/>
                <w:color w:val="auto"/>
              </w:rPr>
              <w:t>Cumulative effect of changes in accounting principles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88"/>
              <w:spacing w:after="0" w:line="145"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depletion and amortization</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5,384</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5,231</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Write-down of investments in Dynegy, before tax</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1,796</w:t>
            </w:r>
          </w:p>
        </w:tc>
        <w:tc>
          <w:tcPr>
            <w:tcW w:w="4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Dry hole expense</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256</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288</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(less) more than income from equity affiliates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(383)</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510</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Net before-tax gains on asset retirements and sales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(194)</w:t>
            </w:r>
          </w:p>
        </w:tc>
        <w:tc>
          <w:tcPr>
            <w:tcW w:w="3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Gain from exchange of Dynegy preferred stock</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(365)</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Net foreign currency losses (gains)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199</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 provision</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164</w:t>
            </w:r>
          </w:p>
        </w:tc>
        <w:tc>
          <w:tcPr>
            <w:tcW w:w="3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Net decrease in operating working capital</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162</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1,125</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Extraordinary before-tax loss on merger-related asset dispositions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 in net income</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80</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57</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Decrease (increase) in long-term receivables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12</w:t>
            </w:r>
          </w:p>
        </w:tc>
        <w:tc>
          <w:tcPr>
            <w:tcW w:w="3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Decrease in other deferred charges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1,646</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428</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Cash contributions to employee pension plans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(1,417)</w:t>
            </w:r>
          </w:p>
        </w:tc>
        <w:tc>
          <w:tcPr>
            <w:tcW w:w="3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(246)</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0070FF"/>
            </w:tcBorders>
          </w:tcPr>
          <w:p>
            <w:pPr>
              <w:spacing w:after="0"/>
              <w:rPr>
                <w:sz w:val="14"/>
                <w:szCs w:val="14"/>
                <w:color w:val="auto"/>
              </w:rPr>
            </w:pPr>
          </w:p>
        </w:tc>
        <w:tc>
          <w:tcPr>
            <w:tcW w:w="660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Other</w:t>
            </w:r>
          </w:p>
        </w:tc>
        <w:tc>
          <w:tcPr>
            <w:tcW w:w="1480" w:type="dxa"/>
            <w:vAlign w:val="bottom"/>
            <w:tcBorders>
              <w:bottom w:val="single" w:sz="8" w:color="0070FF"/>
            </w:tcBorders>
          </w:tcPr>
          <w:p>
            <w:pPr>
              <w:spacing w:after="0"/>
              <w:rPr>
                <w:sz w:val="14"/>
                <w:szCs w:val="14"/>
                <w:color w:val="auto"/>
              </w:rPr>
            </w:pPr>
          </w:p>
        </w:tc>
        <w:tc>
          <w:tcPr>
            <w:tcW w:w="18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(655)</w:t>
            </w:r>
          </w:p>
        </w:tc>
        <w:tc>
          <w:tcPr>
            <w:tcW w:w="38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(230)</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481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686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NET CASH PROVIDED BY OPERATING ACTIVITIES</w:t>
            </w:r>
          </w:p>
        </w:tc>
        <w:tc>
          <w:tcPr>
            <w:tcW w:w="1480" w:type="dxa"/>
            <w:vAlign w:val="bottom"/>
            <w:tcBorders>
              <w:bottom w:val="single" w:sz="8" w:color="0070FF"/>
            </w:tcBorders>
          </w:tcPr>
          <w:p>
            <w:pPr>
              <w:spacing w:after="0"/>
              <w:rPr>
                <w:sz w:val="13"/>
                <w:szCs w:val="13"/>
                <w:color w:val="auto"/>
              </w:rPr>
            </w:pPr>
          </w:p>
        </w:tc>
        <w:tc>
          <w:tcPr>
            <w:tcW w:w="18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12,315</w:t>
            </w:r>
          </w:p>
        </w:tc>
        <w:tc>
          <w:tcPr>
            <w:tcW w:w="3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color w:val="auto"/>
              </w:rPr>
              <w:t>9,943</w:t>
            </w:r>
          </w:p>
        </w:tc>
        <w:tc>
          <w:tcPr>
            <w:tcW w:w="46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11,475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880" w:type="dxa"/>
            <w:vAlign w:val="bottom"/>
            <w:gridSpan w:val="4"/>
          </w:tcPr>
          <w:p>
            <w:pPr>
              <w:spacing w:after="0" w:line="137" w:lineRule="exact"/>
              <w:rPr>
                <w:sz w:val="20"/>
                <w:szCs w:val="20"/>
                <w:color w:val="auto"/>
              </w:rPr>
            </w:pPr>
            <w:r>
              <w:rPr>
                <w:rFonts w:ascii="Arial" w:cs="Arial" w:eastAsia="Arial" w:hAnsi="Arial"/>
                <w:sz w:val="14"/>
                <w:szCs w:val="14"/>
                <w:b w:val="1"/>
                <w:bCs w:val="1"/>
                <w:color w:val="0070FF"/>
              </w:rPr>
              <w:t>INVESTING ACTIVITIES</w:t>
            </w: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(5,625)</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Capital expenditures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(7,597)</w:t>
            </w:r>
          </w:p>
        </w:tc>
        <w:tc>
          <w:tcPr>
            <w:tcW w:w="46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(9,713)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Proceeds from asset sales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1,107</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2,341</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Proceeds from redemption of Dynegy securities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225</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sales (purchases) of marketable securities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153</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209</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sales of other short-term investments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gridSpan w:val="3"/>
          </w:tcPr>
          <w:p>
            <w:pPr>
              <w:ind w:left="120"/>
              <w:spacing w:after="0"/>
              <w:rPr>
                <w:sz w:val="20"/>
                <w:szCs w:val="20"/>
                <w:color w:val="auto"/>
              </w:rPr>
            </w:pPr>
            <w:r>
              <w:rPr>
                <w:rFonts w:ascii="Arial" w:cs="Arial" w:eastAsia="Arial" w:hAnsi="Arial"/>
                <w:sz w:val="14"/>
                <w:szCs w:val="14"/>
                <w:color w:val="auto"/>
              </w:rPr>
              <w:t>Repayment of loans by equity affiliates</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68</w:t>
            </w:r>
          </w:p>
        </w:tc>
        <w:tc>
          <w:tcPr>
            <w:tcW w:w="38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6860" w:type="dxa"/>
            <w:vAlign w:val="bottom"/>
            <w:tcBorders>
              <w:top w:val="single" w:sz="8" w:color="0070FF"/>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NET CASH USED FOR INVESTING ACTIVITIES</w:t>
            </w:r>
          </w:p>
        </w:tc>
        <w:tc>
          <w:tcPr>
            <w:tcW w:w="1480" w:type="dxa"/>
            <w:vAlign w:val="bottom"/>
            <w:tcBorders>
              <w:top w:val="single" w:sz="8" w:color="0070FF"/>
              <w:bottom w:val="single" w:sz="8" w:color="0070FF"/>
            </w:tcBorders>
          </w:tcPr>
          <w:p>
            <w:pPr>
              <w:spacing w:after="0"/>
              <w:rPr>
                <w:sz w:val="13"/>
                <w:szCs w:val="13"/>
                <w:color w:val="auto"/>
              </w:rPr>
            </w:pPr>
          </w:p>
        </w:tc>
        <w:tc>
          <w:tcPr>
            <w:tcW w:w="180" w:type="dxa"/>
            <w:vAlign w:val="bottom"/>
            <w:tcBorders>
              <w:top w:val="single" w:sz="8" w:color="0070FF"/>
              <w:bottom w:val="single" w:sz="8" w:color="0070FF"/>
            </w:tcBorders>
          </w:tcPr>
          <w:p>
            <w:pPr>
              <w:spacing w:after="0"/>
              <w:rPr>
                <w:sz w:val="13"/>
                <w:szCs w:val="13"/>
                <w:color w:val="auto"/>
              </w:rPr>
            </w:pPr>
          </w:p>
        </w:tc>
        <w:tc>
          <w:tcPr>
            <w:tcW w:w="780" w:type="dxa"/>
            <w:vAlign w:val="bottom"/>
            <w:tcBorders>
              <w:top w:val="single" w:sz="8" w:color="0070FF"/>
              <w:bottom w:val="single" w:sz="8" w:color="0070F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(4,072)</w:t>
            </w:r>
          </w:p>
        </w:tc>
        <w:tc>
          <w:tcPr>
            <w:tcW w:w="380" w:type="dxa"/>
            <w:vAlign w:val="bottom"/>
            <w:tcBorders>
              <w:top w:val="single" w:sz="8" w:color="0070FF"/>
              <w:bottom w:val="single" w:sz="8" w:color="0070FF"/>
            </w:tcBorders>
          </w:tcPr>
          <w:p>
            <w:pPr>
              <w:spacing w:after="0"/>
              <w:rPr>
                <w:sz w:val="13"/>
                <w:szCs w:val="13"/>
                <w:color w:val="auto"/>
              </w:rPr>
            </w:pPr>
          </w:p>
        </w:tc>
        <w:tc>
          <w:tcPr>
            <w:tcW w:w="660" w:type="dxa"/>
            <w:vAlign w:val="bottom"/>
            <w:tcBorders>
              <w:top w:val="single" w:sz="8" w:color="0070FF"/>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(5,047)</w:t>
            </w:r>
          </w:p>
        </w:tc>
        <w:tc>
          <w:tcPr>
            <w:tcW w:w="460" w:type="dxa"/>
            <w:vAlign w:val="bottom"/>
            <w:tcBorders>
              <w:top w:val="single" w:sz="8" w:color="0070FF"/>
              <w:bottom w:val="single" w:sz="8" w:color="0070FF"/>
            </w:tcBorders>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(9,542)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880" w:type="dxa"/>
            <w:vAlign w:val="bottom"/>
            <w:gridSpan w:val="4"/>
          </w:tcPr>
          <w:p>
            <w:pPr>
              <w:spacing w:after="0" w:line="137" w:lineRule="exact"/>
              <w:rPr>
                <w:sz w:val="20"/>
                <w:szCs w:val="20"/>
                <w:color w:val="auto"/>
              </w:rPr>
            </w:pPr>
            <w:r>
              <w:rPr>
                <w:rFonts w:ascii="Arial" w:cs="Arial" w:eastAsia="Arial" w:hAnsi="Arial"/>
                <w:sz w:val="14"/>
                <w:szCs w:val="14"/>
                <w:b w:val="1"/>
                <w:bCs w:val="1"/>
                <w:color w:val="0070FF"/>
              </w:rPr>
              <w:t>FINANCING ACTIVITIES</w:t>
            </w: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(3,628)</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Net (payments) borrowings of short-term obligations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(1,810)</w:t>
            </w:r>
          </w:p>
        </w:tc>
        <w:tc>
          <w:tcPr>
            <w:tcW w:w="460" w:type="dxa"/>
            <w:vAlign w:val="bottom"/>
          </w:tcPr>
          <w:p>
            <w:pPr>
              <w:spacing w:after="0"/>
              <w:rPr>
                <w:sz w:val="12"/>
                <w:szCs w:val="12"/>
                <w:color w:val="auto"/>
              </w:rPr>
            </w:pPr>
          </w:p>
        </w:tc>
        <w:tc>
          <w:tcPr>
            <w:tcW w:w="60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Proceeds from issuances of long-term debt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1,034</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2,045</w:t>
            </w:r>
          </w:p>
        </w:tc>
        <w:tc>
          <w:tcPr>
            <w:tcW w:w="46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Repayments of long-term debt and other financing obligations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(1,347)</w:t>
            </w:r>
          </w:p>
        </w:tc>
        <w:tc>
          <w:tcPr>
            <w:tcW w:w="3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(1,356)</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Redemption of Market Auction Preferred Shares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Redemption of preferred stock by subsidiaries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(75)</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6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Issuance of preferred stock by subsidiaries</w:t>
            </w: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660" w:type="dxa"/>
            <w:vAlign w:val="bottom"/>
          </w:tcPr>
          <w:p>
            <w:pPr>
              <w:jc w:val="right"/>
              <w:ind w:right="88"/>
              <w:spacing w:after="0" w:line="153"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6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Cash dividends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(3,033)</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5" w:lineRule="exact"/>
              <w:rPr>
                <w:sz w:val="20"/>
                <w:szCs w:val="20"/>
                <w:color w:val="auto"/>
              </w:rPr>
            </w:pPr>
            <w:r>
              <w:rPr>
                <w:rFonts w:ascii="Arial" w:cs="Arial" w:eastAsia="Arial" w:hAnsi="Arial"/>
                <w:sz w:val="14"/>
                <w:szCs w:val="14"/>
                <w:color w:val="auto"/>
              </w:rPr>
              <w:t>Common stock</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(2,965)</w:t>
            </w:r>
          </w:p>
        </w:tc>
        <w:tc>
          <w:tcPr>
            <w:tcW w:w="46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(2,733)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Dividends paid to minority interests</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(37)</w:t>
            </w:r>
          </w:p>
        </w:tc>
        <w:tc>
          <w:tcPr>
            <w:tcW w:w="38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4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Net sales of treasury shares</w:t>
            </w:r>
          </w:p>
        </w:tc>
        <w:tc>
          <w:tcPr>
            <w:tcW w:w="1480" w:type="dxa"/>
            <w:vAlign w:val="bottom"/>
            <w:tcBorders>
              <w:bottom w:val="single" w:sz="8" w:color="0070FF"/>
            </w:tcBorders>
          </w:tcPr>
          <w:p>
            <w:pPr>
              <w:spacing w:after="0"/>
              <w:rPr>
                <w:sz w:val="14"/>
                <w:szCs w:val="14"/>
                <w:color w:val="auto"/>
              </w:rPr>
            </w:pPr>
          </w:p>
        </w:tc>
        <w:tc>
          <w:tcPr>
            <w:tcW w:w="18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57</w:t>
            </w:r>
          </w:p>
        </w:tc>
        <w:tc>
          <w:tcPr>
            <w:tcW w:w="38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41</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686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NET CASH USED FOR FINANCING ACTIVITIES</w:t>
            </w:r>
          </w:p>
        </w:tc>
        <w:tc>
          <w:tcPr>
            <w:tcW w:w="1480" w:type="dxa"/>
            <w:vAlign w:val="bottom"/>
            <w:tcBorders>
              <w:bottom w:val="single" w:sz="8" w:color="0070FF"/>
            </w:tcBorders>
          </w:tcPr>
          <w:p>
            <w:pPr>
              <w:spacing w:after="0"/>
              <w:rPr>
                <w:sz w:val="13"/>
                <w:szCs w:val="13"/>
                <w:color w:val="auto"/>
              </w:rPr>
            </w:pPr>
          </w:p>
        </w:tc>
        <w:tc>
          <w:tcPr>
            <w:tcW w:w="18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(7,029)</w:t>
            </w:r>
          </w:p>
        </w:tc>
        <w:tc>
          <w:tcPr>
            <w:tcW w:w="3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(4,071)</w:t>
            </w:r>
          </w:p>
        </w:tc>
        <w:tc>
          <w:tcPr>
            <w:tcW w:w="46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80" w:type="dxa"/>
            <w:vAlign w:val="bottom"/>
            <w:tcBorders>
              <w:bottom w:val="single" w:sz="8" w:color="0070FF"/>
            </w:tcBorders>
            <w:gridSpan w:val="4"/>
          </w:tcPr>
          <w:p>
            <w:pPr>
              <w:spacing w:after="0" w:line="155" w:lineRule="exact"/>
              <w:rPr>
                <w:sz w:val="20"/>
                <w:szCs w:val="20"/>
                <w:color w:val="auto"/>
              </w:rPr>
            </w:pPr>
            <w:r>
              <w:rPr>
                <w:rFonts w:ascii="Arial" w:cs="Arial" w:eastAsia="Arial" w:hAnsi="Arial"/>
                <w:sz w:val="14"/>
                <w:szCs w:val="14"/>
                <w:b w:val="1"/>
                <w:bCs w:val="1"/>
                <w:color w:val="0070FF"/>
              </w:rPr>
              <w:t>EFFECT OF EXCHANGE RATE CHANGES ON CASH AND CASH EQUIVALENTS</w:t>
            </w:r>
          </w:p>
        </w:tc>
        <w:tc>
          <w:tcPr>
            <w:tcW w:w="1480" w:type="dxa"/>
            <w:vAlign w:val="bottom"/>
            <w:tcBorders>
              <w:bottom w:val="single" w:sz="8" w:color="0070FF"/>
            </w:tcBorders>
          </w:tcPr>
          <w:p>
            <w:pPr>
              <w:spacing w:after="0"/>
              <w:rPr>
                <w:sz w:val="13"/>
                <w:szCs w:val="13"/>
                <w:color w:val="auto"/>
              </w:rPr>
            </w:pPr>
          </w:p>
        </w:tc>
        <w:tc>
          <w:tcPr>
            <w:tcW w:w="18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95</w:t>
            </w:r>
          </w:p>
        </w:tc>
        <w:tc>
          <w:tcPr>
            <w:tcW w:w="3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color w:val="auto"/>
              </w:rPr>
              <w:t>15</w:t>
            </w:r>
          </w:p>
        </w:tc>
        <w:tc>
          <w:tcPr>
            <w:tcW w:w="46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80" w:type="dxa"/>
            <w:vAlign w:val="bottom"/>
            <w:gridSpan w:val="4"/>
          </w:tcPr>
          <w:p>
            <w:pPr>
              <w:spacing w:after="0" w:line="133" w:lineRule="exact"/>
              <w:rPr>
                <w:sz w:val="20"/>
                <w:szCs w:val="20"/>
                <w:color w:val="auto"/>
              </w:rPr>
            </w:pPr>
            <w:r>
              <w:rPr>
                <w:rFonts w:ascii="Arial" w:cs="Arial" w:eastAsia="Arial" w:hAnsi="Arial"/>
                <w:sz w:val="14"/>
                <w:szCs w:val="14"/>
                <w:b w:val="1"/>
                <w:bCs w:val="1"/>
                <w:color w:val="0070FF"/>
              </w:rPr>
              <w:t>NET CHANGE IN CASH AND CASH EQUIVALENTS</w:t>
            </w: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1,309</w:t>
            </w:r>
          </w:p>
        </w:tc>
        <w:tc>
          <w:tcPr>
            <w:tcW w:w="380" w:type="dxa"/>
            <w:vAlign w:val="bottom"/>
          </w:tcPr>
          <w:p>
            <w:pPr>
              <w:spacing w:after="0"/>
              <w:rPr>
                <w:sz w:val="11"/>
                <w:szCs w:val="11"/>
                <w:color w:val="auto"/>
              </w:rPr>
            </w:pPr>
          </w:p>
        </w:tc>
        <w:tc>
          <w:tcPr>
            <w:tcW w:w="660" w:type="dxa"/>
            <w:vAlign w:val="bottom"/>
          </w:tcPr>
          <w:p>
            <w:pPr>
              <w:jc w:val="right"/>
              <w:ind w:right="88"/>
              <w:spacing w:after="0" w:line="133" w:lineRule="exact"/>
              <w:rPr>
                <w:sz w:val="20"/>
                <w:szCs w:val="20"/>
                <w:color w:val="auto"/>
              </w:rPr>
            </w:pPr>
            <w:r>
              <w:rPr>
                <w:rFonts w:ascii="Arial" w:cs="Arial" w:eastAsia="Arial" w:hAnsi="Arial"/>
                <w:sz w:val="14"/>
                <w:szCs w:val="14"/>
                <w:color w:val="auto"/>
              </w:rPr>
              <w:t>840</w:t>
            </w:r>
          </w:p>
        </w:tc>
        <w:tc>
          <w:tcPr>
            <w:tcW w:w="4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4"/>
                <w:szCs w:val="14"/>
                <w:color w:val="auto"/>
              </w:rPr>
              <w:t>(211)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88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b w:val="1"/>
                <w:bCs w:val="1"/>
                <w:color w:val="0070FF"/>
              </w:rPr>
              <w:t>CASH AND CASH EQUIVALENTS AT JANUARY 1</w:t>
            </w:r>
          </w:p>
        </w:tc>
        <w:tc>
          <w:tcPr>
            <w:tcW w:w="1480" w:type="dxa"/>
            <w:vAlign w:val="bottom"/>
            <w:tcBorders>
              <w:bottom w:val="single" w:sz="8" w:color="0070FF"/>
            </w:tcBorders>
          </w:tcPr>
          <w:p>
            <w:pPr>
              <w:spacing w:after="0"/>
              <w:rPr>
                <w:sz w:val="14"/>
                <w:szCs w:val="14"/>
                <w:color w:val="auto"/>
              </w:rPr>
            </w:pPr>
          </w:p>
        </w:tc>
        <w:tc>
          <w:tcPr>
            <w:tcW w:w="18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2,957</w:t>
            </w:r>
          </w:p>
        </w:tc>
        <w:tc>
          <w:tcPr>
            <w:tcW w:w="38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2,117</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2,328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80" w:type="dxa"/>
            <w:vAlign w:val="bottom"/>
            <w:tcBorders>
              <w:bottom w:val="single" w:sz="8" w:color="0070FF"/>
            </w:tcBorders>
            <w:gridSpan w:val="4"/>
          </w:tcPr>
          <w:p>
            <w:pPr>
              <w:spacing w:after="0" w:line="155" w:lineRule="exact"/>
              <w:rPr>
                <w:sz w:val="20"/>
                <w:szCs w:val="20"/>
                <w:color w:val="auto"/>
              </w:rPr>
            </w:pPr>
            <w:r>
              <w:rPr>
                <w:rFonts w:ascii="Arial" w:cs="Arial" w:eastAsia="Arial" w:hAnsi="Arial"/>
                <w:sz w:val="14"/>
                <w:szCs w:val="14"/>
                <w:b w:val="1"/>
                <w:bCs w:val="1"/>
                <w:color w:val="0070FF"/>
              </w:rPr>
              <w:t>CASH AND CASH EQUIVALENTS AT DECEMBER 31</w:t>
            </w:r>
          </w:p>
        </w:tc>
        <w:tc>
          <w:tcPr>
            <w:tcW w:w="1660" w:type="dxa"/>
            <w:vAlign w:val="bottom"/>
            <w:tcBorders>
              <w:bottom w:val="single" w:sz="8" w:color="0070FF"/>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4,266</w:t>
            </w:r>
          </w:p>
        </w:tc>
        <w:tc>
          <w:tcPr>
            <w:tcW w:w="3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color w:val="auto"/>
              </w:rPr>
              <w:t>2,957</w:t>
            </w:r>
          </w:p>
        </w:tc>
        <w:tc>
          <w:tcPr>
            <w:tcW w:w="460" w:type="dxa"/>
            <w:vAlign w:val="bottom"/>
            <w:tcBorders>
              <w:bottom w:val="single" w:sz="8" w:color="0070FF"/>
            </w:tcBorders>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2,117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584"/>
        <w:spacing w:after="0"/>
        <w:tabs>
          <w:tab w:leader="none" w:pos="700" w:val="left"/>
        </w:tabs>
        <w:numPr>
          <w:ilvl w:val="0"/>
          <w:numId w:val="35"/>
        </w:numPr>
        <w:rPr>
          <w:rFonts w:ascii="Arial" w:cs="Arial" w:eastAsia="Arial" w:hAnsi="Arial"/>
          <w:sz w:val="27"/>
          <w:szCs w:val="27"/>
          <w:b w:val="1"/>
          <w:bCs w:val="1"/>
          <w:color w:val="0070FF"/>
        </w:rPr>
      </w:pPr>
      <w:r>
        <w:rPr>
          <w:rFonts w:ascii="Arial" w:cs="Arial" w:eastAsia="Arial" w:hAnsi="Arial"/>
          <w:sz w:val="22"/>
          <w:szCs w:val="22"/>
          <w:color w:val="0070FF"/>
        </w:rPr>
        <w:t>Consolidated Statement of Stockholders’ Equity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5"/>
          </w:tcPr>
          <w:p>
            <w:pPr>
              <w:ind w:left="100"/>
              <w:spacing w:after="0"/>
              <w:rPr>
                <w:sz w:val="20"/>
                <w:szCs w:val="20"/>
                <w:color w:val="auto"/>
              </w:rPr>
            </w:pPr>
            <w:r>
              <w:rPr>
                <w:rFonts w:ascii="Arial" w:cs="Arial" w:eastAsia="Arial" w:hAnsi="Arial"/>
                <w:sz w:val="14"/>
                <w:szCs w:val="14"/>
                <w:i w:val="1"/>
                <w:iCs w:val="1"/>
                <w:color w:val="0070FF"/>
                <w:w w:val="88"/>
              </w:rPr>
              <w:t>Shares in thousands; amounts in millions of dollars</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80" w:type="dxa"/>
            <w:vAlign w:val="bottom"/>
            <w:tcBorders>
              <w:bottom w:val="single" w:sz="8" w:color="0070FF"/>
            </w:tcBorders>
          </w:tcPr>
          <w:p>
            <w:pPr>
              <w:spacing w:after="0"/>
              <w:rPr>
                <w:sz w:val="24"/>
                <w:szCs w:val="24"/>
                <w:color w:val="auto"/>
              </w:rPr>
            </w:pPr>
          </w:p>
        </w:tc>
        <w:tc>
          <w:tcPr>
            <w:tcW w:w="160" w:type="dxa"/>
            <w:vAlign w:val="bottom"/>
            <w:tcBorders>
              <w:bottom w:val="single" w:sz="8" w:color="0070FF"/>
            </w:tcBorders>
          </w:tcPr>
          <w:p>
            <w:pPr>
              <w:spacing w:after="0"/>
              <w:rPr>
                <w:sz w:val="24"/>
                <w:szCs w:val="24"/>
                <w:color w:val="auto"/>
              </w:rPr>
            </w:pPr>
          </w:p>
        </w:tc>
        <w:tc>
          <w:tcPr>
            <w:tcW w:w="82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b w:val="1"/>
                <w:bCs w:val="1"/>
                <w:color w:val="auto"/>
              </w:rPr>
              <w:t>2003</w:t>
            </w:r>
          </w:p>
        </w:tc>
        <w:tc>
          <w:tcPr>
            <w:tcW w:w="1060" w:type="dxa"/>
            <w:vAlign w:val="bottom"/>
            <w:tcBorders>
              <w:bottom w:val="single" w:sz="8" w:color="0070FF"/>
            </w:tcBorders>
          </w:tcPr>
          <w:p>
            <w:pPr>
              <w:spacing w:after="0"/>
              <w:rPr>
                <w:sz w:val="24"/>
                <w:szCs w:val="24"/>
                <w:color w:val="auto"/>
              </w:rPr>
            </w:pPr>
          </w:p>
        </w:tc>
        <w:tc>
          <w:tcPr>
            <w:tcW w:w="380" w:type="dxa"/>
            <w:vAlign w:val="bottom"/>
            <w:tcBorders>
              <w:bottom w:val="single" w:sz="8" w:color="0070FF"/>
            </w:tcBorders>
          </w:tcPr>
          <w:p>
            <w:pPr>
              <w:spacing w:after="0"/>
              <w:rPr>
                <w:sz w:val="24"/>
                <w:szCs w:val="24"/>
                <w:color w:val="auto"/>
              </w:rPr>
            </w:pPr>
          </w:p>
        </w:tc>
        <w:tc>
          <w:tcPr>
            <w:tcW w:w="820" w:type="dxa"/>
            <w:vAlign w:val="bottom"/>
            <w:tcBorders>
              <w:bottom w:val="single" w:sz="8" w:color="0070FF"/>
            </w:tcBorders>
          </w:tcPr>
          <w:p>
            <w:pPr>
              <w:jc w:val="right"/>
              <w:ind w:right="229"/>
              <w:spacing w:after="0"/>
              <w:rPr>
                <w:sz w:val="20"/>
                <w:szCs w:val="20"/>
                <w:color w:val="auto"/>
              </w:rPr>
            </w:pPr>
            <w:r>
              <w:rPr>
                <w:rFonts w:ascii="Arial" w:cs="Arial" w:eastAsia="Arial" w:hAnsi="Arial"/>
                <w:sz w:val="14"/>
                <w:szCs w:val="14"/>
                <w:color w:val="auto"/>
              </w:rPr>
              <w:t>2002</w:t>
            </w:r>
          </w:p>
        </w:tc>
        <w:tc>
          <w:tcPr>
            <w:tcW w:w="1080" w:type="dxa"/>
            <w:vAlign w:val="bottom"/>
            <w:tcBorders>
              <w:bottom w:val="single" w:sz="8" w:color="0070FF"/>
            </w:tcBorders>
          </w:tcPr>
          <w:p>
            <w:pPr>
              <w:spacing w:after="0"/>
              <w:rPr>
                <w:sz w:val="24"/>
                <w:szCs w:val="24"/>
                <w:color w:val="auto"/>
              </w:rPr>
            </w:pPr>
          </w:p>
        </w:tc>
        <w:tc>
          <w:tcPr>
            <w:tcW w:w="340" w:type="dxa"/>
            <w:vAlign w:val="bottom"/>
            <w:tcBorders>
              <w:bottom w:val="single" w:sz="8" w:color="0070FF"/>
            </w:tcBorders>
          </w:tcPr>
          <w:p>
            <w:pPr>
              <w:spacing w:after="0"/>
              <w:rPr>
                <w:sz w:val="24"/>
                <w:szCs w:val="2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80" w:type="dxa"/>
            <w:vAlign w:val="bottom"/>
          </w:tcPr>
          <w:p>
            <w:pPr>
              <w:jc w:val="right"/>
              <w:ind w:right="389"/>
              <w:spacing w:after="0" w:line="155"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8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Amount</w:t>
            </w:r>
          </w:p>
        </w:tc>
        <w:tc>
          <w:tcPr>
            <w:tcW w:w="106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3"/>
                <w:szCs w:val="13"/>
                <w:color w:val="auto"/>
              </w:rPr>
            </w:pPr>
          </w:p>
        </w:tc>
        <w:tc>
          <w:tcPr>
            <w:tcW w:w="820" w:type="dxa"/>
            <w:vAlign w:val="bottom"/>
          </w:tcPr>
          <w:p>
            <w:pPr>
              <w:jc w:val="right"/>
              <w:ind w:right="229"/>
              <w:spacing w:after="0" w:line="155" w:lineRule="exact"/>
              <w:rPr>
                <w:sz w:val="20"/>
                <w:szCs w:val="20"/>
                <w:color w:val="auto"/>
              </w:rPr>
            </w:pPr>
            <w:r>
              <w:rPr>
                <w:rFonts w:ascii="Arial" w:cs="Arial" w:eastAsia="Arial" w:hAnsi="Arial"/>
                <w:sz w:val="14"/>
                <w:szCs w:val="14"/>
                <w:color w:val="auto"/>
              </w:rPr>
              <w:t>Amount</w:t>
            </w:r>
          </w:p>
        </w:tc>
        <w:tc>
          <w:tcPr>
            <w:tcW w:w="1080" w:type="dxa"/>
            <w:vAlign w:val="bottom"/>
          </w:tcPr>
          <w:p>
            <w:pPr>
              <w:jc w:val="right"/>
              <w:ind w:right="169"/>
              <w:spacing w:after="0" w:line="155" w:lineRule="exact"/>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3"/>
                <w:szCs w:val="13"/>
                <w:color w:val="auto"/>
              </w:rPr>
            </w:pPr>
          </w:p>
        </w:tc>
        <w:tc>
          <w:tcPr>
            <w:tcW w:w="6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Borders>
              <w:top w:val="single" w:sz="8" w:color="0070FF"/>
            </w:tcBorders>
          </w:tcPr>
          <w:p>
            <w:pPr>
              <w:spacing w:after="0" w:line="133" w:lineRule="exact"/>
              <w:rPr>
                <w:sz w:val="20"/>
                <w:szCs w:val="20"/>
                <w:color w:val="auto"/>
              </w:rPr>
            </w:pPr>
            <w:r>
              <w:rPr>
                <w:rFonts w:ascii="Arial" w:cs="Arial" w:eastAsia="Arial" w:hAnsi="Arial"/>
                <w:sz w:val="14"/>
                <w:szCs w:val="14"/>
                <w:b w:val="1"/>
                <w:bCs w:val="1"/>
                <w:color w:val="0070FF"/>
              </w:rPr>
              <w:t>PREFERRED STOCK</w:t>
            </w:r>
          </w:p>
        </w:tc>
        <w:tc>
          <w:tcPr>
            <w:tcW w:w="1180" w:type="dxa"/>
            <w:vAlign w:val="bottom"/>
            <w:tcBorders>
              <w:top w:val="single" w:sz="8" w:color="0070FF"/>
            </w:tcBorders>
          </w:tcPr>
          <w:p>
            <w:pPr>
              <w:jc w:val="right"/>
              <w:ind w:right="389"/>
              <w:spacing w:after="0" w:line="133"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0070FF"/>
            </w:tcBorders>
          </w:tcPr>
          <w:p>
            <w:pPr>
              <w:jc w:val="right"/>
              <w:ind w:right="8"/>
              <w:spacing w:after="0" w:line="133"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0070FF"/>
            </w:tcBorders>
          </w:tcPr>
          <w:p>
            <w:pPr>
              <w:jc w:val="right"/>
              <w:ind w:right="228"/>
              <w:spacing w:after="0" w:line="133"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0070FF"/>
            </w:tcBorders>
          </w:tcPr>
          <w:p>
            <w:pPr>
              <w:jc w:val="right"/>
              <w:ind w:right="149"/>
              <w:spacing w:after="0" w:line="133"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0070FF"/>
            </w:tcBorders>
          </w:tcPr>
          <w:p>
            <w:pPr>
              <w:jc w:val="right"/>
              <w:ind w:right="8"/>
              <w:spacing w:after="0" w:line="13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0070FF"/>
            </w:tcBorders>
          </w:tcPr>
          <w:p>
            <w:pPr>
              <w:jc w:val="right"/>
              <w:ind w:right="229"/>
              <w:spacing w:after="0" w:line="133"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0070FF"/>
            </w:tcBorders>
          </w:tcPr>
          <w:p>
            <w:pPr>
              <w:jc w:val="right"/>
              <w:ind w:right="169"/>
              <w:spacing w:after="0" w:line="133"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0070FF"/>
            </w:tcBorders>
          </w:tcPr>
          <w:p>
            <w:pPr>
              <w:jc w:val="right"/>
              <w:ind w:right="8"/>
              <w:spacing w:after="0" w:line="13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0070FF"/>
            </w:tcBorders>
          </w:tcPr>
          <w:p>
            <w:pPr>
              <w:jc w:val="right"/>
              <w:ind w:right="28"/>
              <w:spacing w:after="0" w:line="13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gridSpan w:val="2"/>
          </w:tcPr>
          <w:p>
            <w:pPr>
              <w:spacing w:after="0" w:line="153" w:lineRule="exact"/>
              <w:rPr>
                <w:sz w:val="20"/>
                <w:szCs w:val="20"/>
                <w:color w:val="auto"/>
              </w:rPr>
            </w:pPr>
            <w:r>
              <w:rPr>
                <w:rFonts w:ascii="Arial" w:cs="Arial" w:eastAsia="Arial" w:hAnsi="Arial"/>
                <w:sz w:val="14"/>
                <w:szCs w:val="14"/>
                <w:b w:val="1"/>
                <w:bCs w:val="1"/>
                <w:color w:val="0070FF"/>
              </w:rPr>
              <w:t>MARKET AUCTION PREFERRED SHARES</w:t>
            </w:r>
          </w:p>
        </w:tc>
        <w:tc>
          <w:tcPr>
            <w:tcW w:w="118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12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229"/>
              <w:spacing w:after="0" w:line="14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69"/>
              <w:spacing w:after="0" w:line="145"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Arial" w:cs="Arial" w:eastAsia="Arial" w:hAnsi="Arial"/>
                <w:sz w:val="14"/>
                <w:szCs w:val="14"/>
                <w:color w:val="auto"/>
              </w:rPr>
              <w:t>Redemptions</w:t>
            </w:r>
          </w:p>
        </w:tc>
        <w:tc>
          <w:tcPr>
            <w:tcW w:w="1180" w:type="dxa"/>
            <w:vAlign w:val="bottom"/>
            <w:tcBorders>
              <w:bottom w:val="single" w:sz="8" w:color="0070FF"/>
            </w:tcBorders>
          </w:tcPr>
          <w:p>
            <w:pPr>
              <w:jc w:val="right"/>
              <w:ind w:right="38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spacing w:after="0"/>
              <w:rPr>
                <w:sz w:val="14"/>
                <w:szCs w:val="14"/>
                <w:color w:val="auto"/>
              </w:rPr>
            </w:pPr>
          </w:p>
        </w:tc>
        <w:tc>
          <w:tcPr>
            <w:tcW w:w="82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0FF"/>
            </w:tcBorders>
          </w:tcPr>
          <w:p>
            <w:pPr>
              <w:spacing w:after="0"/>
              <w:rPr>
                <w:sz w:val="14"/>
                <w:szCs w:val="14"/>
                <w:color w:val="auto"/>
              </w:rPr>
            </w:pPr>
          </w:p>
        </w:tc>
        <w:tc>
          <w:tcPr>
            <w:tcW w:w="820" w:type="dxa"/>
            <w:vAlign w:val="bottom"/>
            <w:tcBorders>
              <w:bottom w:val="single" w:sz="8" w:color="0070FF"/>
            </w:tcBorders>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tcBorders>
              <w:bottom w:val="single" w:sz="8" w:color="0070FF"/>
            </w:tcBorders>
          </w:tcPr>
          <w:p>
            <w:pPr>
              <w:jc w:val="right"/>
              <w:ind w:right="38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0070FF"/>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0070FF"/>
            </w:tcBorders>
          </w:tcPr>
          <w:p>
            <w:pPr>
              <w:jc w:val="right"/>
              <w:ind w:right="229"/>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line="137" w:lineRule="exact"/>
              <w:rPr>
                <w:sz w:val="20"/>
                <w:szCs w:val="20"/>
                <w:color w:val="auto"/>
              </w:rPr>
            </w:pPr>
            <w:r>
              <w:rPr>
                <w:rFonts w:ascii="Arial" w:cs="Arial" w:eastAsia="Arial" w:hAnsi="Arial"/>
                <w:sz w:val="14"/>
                <w:szCs w:val="14"/>
                <w:b w:val="1"/>
                <w:bCs w:val="1"/>
                <w:color w:val="0070FF"/>
              </w:rPr>
              <w:t>COMMON STOCK</w:t>
            </w:r>
          </w:p>
        </w:tc>
        <w:tc>
          <w:tcPr>
            <w:tcW w:w="118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1,137,021</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853</w:t>
            </w: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12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1,137,021</w:t>
            </w:r>
          </w:p>
        </w:tc>
        <w:tc>
          <w:tcPr>
            <w:tcW w:w="38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29"/>
              <w:spacing w:after="0" w:line="145" w:lineRule="exact"/>
              <w:rPr>
                <w:sz w:val="20"/>
                <w:szCs w:val="20"/>
                <w:color w:val="auto"/>
              </w:rPr>
            </w:pPr>
            <w:r>
              <w:rPr>
                <w:rFonts w:ascii="Arial" w:cs="Arial" w:eastAsia="Arial" w:hAnsi="Arial"/>
                <w:sz w:val="14"/>
                <w:szCs w:val="14"/>
                <w:color w:val="auto"/>
              </w:rPr>
              <w:t>853</w:t>
            </w:r>
          </w:p>
        </w:tc>
        <w:tc>
          <w:tcPr>
            <w:tcW w:w="1080" w:type="dxa"/>
            <w:vAlign w:val="bottom"/>
          </w:tcPr>
          <w:p>
            <w:pPr>
              <w:jc w:val="right"/>
              <w:ind w:right="169"/>
              <w:spacing w:after="0" w:line="145" w:lineRule="exact"/>
              <w:rPr>
                <w:sz w:val="20"/>
                <w:szCs w:val="20"/>
                <w:color w:val="auto"/>
              </w:rPr>
            </w:pPr>
            <w:r>
              <w:rPr>
                <w:rFonts w:ascii="Arial" w:cs="Arial" w:eastAsia="Arial" w:hAnsi="Arial"/>
                <w:sz w:val="14"/>
                <w:szCs w:val="14"/>
                <w:color w:val="auto"/>
              </w:rPr>
              <w:t>1,149,521</w:t>
            </w: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Retirement of Texaco treasury stock</w:t>
            </w:r>
          </w:p>
        </w:tc>
        <w:tc>
          <w:tcPr>
            <w:tcW w:w="1180" w:type="dxa"/>
            <w:vAlign w:val="bottom"/>
          </w:tcPr>
          <w:p>
            <w:pPr>
              <w:jc w:val="right"/>
              <w:ind w:right="389"/>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2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(12,500)</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Arial" w:cs="Arial" w:eastAsia="Arial" w:hAnsi="Arial"/>
                <w:sz w:val="14"/>
                <w:szCs w:val="14"/>
                <w:color w:val="auto"/>
              </w:rPr>
              <w:t>Change in par value</w:t>
            </w:r>
          </w:p>
        </w:tc>
        <w:tc>
          <w:tcPr>
            <w:tcW w:w="1180" w:type="dxa"/>
            <w:vAlign w:val="bottom"/>
          </w:tcPr>
          <w:p>
            <w:pPr>
              <w:jc w:val="right"/>
              <w:ind w:right="38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tcBorders>
              <w:top w:val="single" w:sz="8" w:color="0070FF"/>
              <w:bottom w:val="single" w:sz="8" w:color="0070FF"/>
            </w:tcBorders>
          </w:tcPr>
          <w:p>
            <w:pPr>
              <w:jc w:val="right"/>
              <w:ind w:right="389"/>
              <w:spacing w:after="0" w:line="155" w:lineRule="exact"/>
              <w:rPr>
                <w:sz w:val="20"/>
                <w:szCs w:val="20"/>
                <w:color w:val="auto"/>
              </w:rPr>
            </w:pPr>
            <w:r>
              <w:rPr>
                <w:rFonts w:ascii="Arial" w:cs="Arial" w:eastAsia="Arial" w:hAnsi="Arial"/>
                <w:sz w:val="14"/>
                <w:szCs w:val="14"/>
                <w:b w:val="1"/>
                <w:bCs w:val="1"/>
                <w:color w:val="auto"/>
              </w:rPr>
              <w:t>1,137,021</w:t>
            </w:r>
          </w:p>
        </w:tc>
        <w:tc>
          <w:tcPr>
            <w:tcW w:w="16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0070FF"/>
              <w:bottom w:val="single" w:sz="8" w:color="0070FF"/>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853</w:t>
            </w:r>
          </w:p>
        </w:tc>
        <w:tc>
          <w:tcPr>
            <w:tcW w:w="1060" w:type="dxa"/>
            <w:vAlign w:val="bottom"/>
            <w:tcBorders>
              <w:top w:val="single" w:sz="8" w:color="0070FF"/>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1,137,021</w:t>
            </w:r>
          </w:p>
        </w:tc>
        <w:tc>
          <w:tcPr>
            <w:tcW w:w="38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0070FF"/>
              <w:bottom w:val="single" w:sz="8" w:color="0070FF"/>
            </w:tcBorders>
          </w:tcPr>
          <w:p>
            <w:pPr>
              <w:jc w:val="right"/>
              <w:ind w:right="229"/>
              <w:spacing w:after="0" w:line="155" w:lineRule="exact"/>
              <w:rPr>
                <w:sz w:val="20"/>
                <w:szCs w:val="20"/>
                <w:color w:val="auto"/>
              </w:rPr>
            </w:pPr>
            <w:r>
              <w:rPr>
                <w:rFonts w:ascii="Arial" w:cs="Arial" w:eastAsia="Arial" w:hAnsi="Arial"/>
                <w:sz w:val="14"/>
                <w:szCs w:val="14"/>
                <w:color w:val="auto"/>
              </w:rPr>
              <w:t>853</w:t>
            </w:r>
          </w:p>
        </w:tc>
        <w:tc>
          <w:tcPr>
            <w:tcW w:w="1080" w:type="dxa"/>
            <w:vAlign w:val="bottom"/>
            <w:tcBorders>
              <w:top w:val="single" w:sz="8" w:color="0070FF"/>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1,137,021</w:t>
            </w:r>
          </w:p>
        </w:tc>
        <w:tc>
          <w:tcPr>
            <w:tcW w:w="34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0070FF"/>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853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line="137" w:lineRule="exact"/>
              <w:rPr>
                <w:sz w:val="20"/>
                <w:szCs w:val="20"/>
                <w:color w:val="auto"/>
              </w:rPr>
            </w:pPr>
            <w:r>
              <w:rPr>
                <w:rFonts w:ascii="Arial" w:cs="Arial" w:eastAsia="Arial" w:hAnsi="Arial"/>
                <w:sz w:val="14"/>
                <w:szCs w:val="14"/>
                <w:b w:val="1"/>
                <w:bCs w:val="1"/>
                <w:color w:val="0070FF"/>
              </w:rPr>
              <w:t>CAPITAL IN EXCESS OF PAR</w:t>
            </w:r>
          </w:p>
        </w:tc>
        <w:tc>
          <w:tcPr>
            <w:tcW w:w="118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4,833</w:t>
            </w: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12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29"/>
              <w:spacing w:after="0" w:line="145" w:lineRule="exact"/>
              <w:rPr>
                <w:sz w:val="20"/>
                <w:szCs w:val="20"/>
                <w:color w:val="auto"/>
              </w:rPr>
            </w:pPr>
            <w:r>
              <w:rPr>
                <w:rFonts w:ascii="Arial" w:cs="Arial" w:eastAsia="Arial" w:hAnsi="Arial"/>
                <w:sz w:val="14"/>
                <w:szCs w:val="14"/>
                <w:color w:val="auto"/>
              </w:rPr>
              <w:t>4,811</w:t>
            </w:r>
          </w:p>
        </w:tc>
        <w:tc>
          <w:tcPr>
            <w:tcW w:w="108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5,505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Retirement of Texaco treasury stock</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Change in common stock par value</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Arial" w:cs="Arial" w:eastAsia="Arial" w:hAnsi="Arial"/>
                <w:sz w:val="14"/>
                <w:szCs w:val="14"/>
                <w:color w:val="auto"/>
              </w:rPr>
              <w:t>Treasury stock transactions</w:t>
            </w:r>
          </w:p>
        </w:tc>
        <w:tc>
          <w:tcPr>
            <w:tcW w:w="1180" w:type="dxa"/>
            <w:vAlign w:val="bottom"/>
          </w:tcPr>
          <w:p>
            <w:pPr>
              <w:spacing w:after="0"/>
              <w:rPr>
                <w:sz w:val="14"/>
                <w:szCs w:val="14"/>
                <w:color w:val="auto"/>
              </w:rPr>
            </w:pPr>
          </w:p>
        </w:tc>
        <w:tc>
          <w:tcPr>
            <w:tcW w:w="160" w:type="dxa"/>
            <w:vAlign w:val="bottom"/>
            <w:tcBorders>
              <w:bottom w:val="single" w:sz="8" w:color="0070FF"/>
            </w:tcBorders>
          </w:tcPr>
          <w:p>
            <w:pPr>
              <w:spacing w:after="0"/>
              <w:rPr>
                <w:sz w:val="14"/>
                <w:szCs w:val="14"/>
                <w:color w:val="auto"/>
              </w:rPr>
            </w:pPr>
          </w:p>
        </w:tc>
        <w:tc>
          <w:tcPr>
            <w:tcW w:w="82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b w:val="1"/>
                <w:bCs w:val="1"/>
                <w:color w:val="auto"/>
              </w:rPr>
              <w:t>22</w:t>
            </w:r>
          </w:p>
        </w:tc>
        <w:tc>
          <w:tcPr>
            <w:tcW w:w="106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spacing w:after="0"/>
              <w:rPr>
                <w:sz w:val="14"/>
                <w:szCs w:val="14"/>
                <w:color w:val="auto"/>
              </w:rPr>
            </w:pPr>
          </w:p>
        </w:tc>
        <w:tc>
          <w:tcPr>
            <w:tcW w:w="820" w:type="dxa"/>
            <w:vAlign w:val="bottom"/>
            <w:tcBorders>
              <w:bottom w:val="single" w:sz="8" w:color="0070FF"/>
            </w:tcBorders>
          </w:tcPr>
          <w:p>
            <w:pPr>
              <w:jc w:val="right"/>
              <w:ind w:right="229"/>
              <w:spacing w:after="0"/>
              <w:rPr>
                <w:sz w:val="20"/>
                <w:szCs w:val="20"/>
                <w:color w:val="auto"/>
              </w:rPr>
            </w:pPr>
            <w:r>
              <w:rPr>
                <w:rFonts w:ascii="Arial" w:cs="Arial" w:eastAsia="Arial" w:hAnsi="Arial"/>
                <w:sz w:val="14"/>
                <w:szCs w:val="14"/>
                <w:color w:val="auto"/>
              </w:rPr>
              <w:t>22</w:t>
            </w:r>
          </w:p>
        </w:tc>
        <w:tc>
          <w:tcPr>
            <w:tcW w:w="108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tcBorders>
              <w:bottom w:val="single" w:sz="8" w:color="0070FF"/>
            </w:tcBorders>
          </w:tcPr>
          <w:p>
            <w:pPr>
              <w:spacing w:after="0"/>
              <w:rPr>
                <w:sz w:val="13"/>
                <w:szCs w:val="13"/>
                <w:color w:val="auto"/>
              </w:rPr>
            </w:pPr>
          </w:p>
        </w:tc>
        <w:tc>
          <w:tcPr>
            <w:tcW w:w="1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0070FF"/>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4,855</w:t>
            </w:r>
          </w:p>
        </w:tc>
        <w:tc>
          <w:tcPr>
            <w:tcW w:w="1060" w:type="dxa"/>
            <w:vAlign w:val="bottom"/>
            <w:tcBorders>
              <w:bottom w:val="single" w:sz="8" w:color="0070FF"/>
            </w:tcBorders>
          </w:tcPr>
          <w:p>
            <w:pPr>
              <w:spacing w:after="0"/>
              <w:rPr>
                <w:sz w:val="13"/>
                <w:szCs w:val="13"/>
                <w:color w:val="auto"/>
              </w:rPr>
            </w:pPr>
          </w:p>
        </w:tc>
        <w:tc>
          <w:tcPr>
            <w:tcW w:w="38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0070FF"/>
            </w:tcBorders>
          </w:tcPr>
          <w:p>
            <w:pPr>
              <w:jc w:val="right"/>
              <w:ind w:right="229"/>
              <w:spacing w:after="0" w:line="155" w:lineRule="exact"/>
              <w:rPr>
                <w:sz w:val="20"/>
                <w:szCs w:val="20"/>
                <w:color w:val="auto"/>
              </w:rPr>
            </w:pPr>
            <w:r>
              <w:rPr>
                <w:rFonts w:ascii="Arial" w:cs="Arial" w:eastAsia="Arial" w:hAnsi="Arial"/>
                <w:sz w:val="14"/>
                <w:szCs w:val="14"/>
                <w:color w:val="auto"/>
              </w:rPr>
              <w:t>4,833</w:t>
            </w:r>
          </w:p>
        </w:tc>
        <w:tc>
          <w:tcPr>
            <w:tcW w:w="108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4,811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line="137" w:lineRule="exact"/>
              <w:rPr>
                <w:sz w:val="20"/>
                <w:szCs w:val="20"/>
                <w:color w:val="auto"/>
              </w:rPr>
            </w:pPr>
            <w:r>
              <w:rPr>
                <w:rFonts w:ascii="Arial" w:cs="Arial" w:eastAsia="Arial" w:hAnsi="Arial"/>
                <w:sz w:val="14"/>
                <w:szCs w:val="14"/>
                <w:b w:val="1"/>
                <w:bCs w:val="1"/>
                <w:color w:val="0070FF"/>
              </w:rPr>
              <w:t>RETAINED EARNINGS</w:t>
            </w:r>
          </w:p>
        </w:tc>
        <w:tc>
          <w:tcPr>
            <w:tcW w:w="118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30,942</w:t>
            </w: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12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29"/>
              <w:spacing w:after="0" w:line="145" w:lineRule="exact"/>
              <w:rPr>
                <w:sz w:val="20"/>
                <w:szCs w:val="20"/>
                <w:color w:val="auto"/>
              </w:rPr>
            </w:pPr>
            <w:r>
              <w:rPr>
                <w:rFonts w:ascii="Arial" w:cs="Arial" w:eastAsia="Arial" w:hAnsi="Arial"/>
                <w:sz w:val="14"/>
                <w:szCs w:val="14"/>
                <w:color w:val="auto"/>
              </w:rPr>
              <w:t>32,767</w:t>
            </w:r>
          </w:p>
        </w:tc>
        <w:tc>
          <w:tcPr>
            <w:tcW w:w="108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20" w:type="dxa"/>
            <w:vAlign w:val="bottom"/>
          </w:tcPr>
          <w:p>
            <w:pPr>
              <w:ind w:left="120"/>
              <w:spacing w:after="0" w:line="153" w:lineRule="exact"/>
              <w:rPr>
                <w:sz w:val="20"/>
                <w:szCs w:val="20"/>
                <w:color w:val="auto"/>
              </w:rPr>
            </w:pPr>
            <w:r>
              <w:rPr>
                <w:rFonts w:ascii="Arial" w:cs="Arial" w:eastAsia="Arial" w:hAnsi="Arial"/>
                <w:sz w:val="14"/>
                <w:szCs w:val="14"/>
                <w:color w:val="auto"/>
              </w:rPr>
              <w:t>Net income</w:t>
            </w: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7,230</w:t>
            </w: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1,132</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3,288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Cash dividends</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(3,033)</w:t>
            </w: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260"/>
              <w:spacing w:after="0" w:line="149" w:lineRule="exact"/>
              <w:rPr>
                <w:sz w:val="20"/>
                <w:szCs w:val="20"/>
                <w:color w:val="auto"/>
              </w:rPr>
            </w:pPr>
            <w:r>
              <w:rPr>
                <w:rFonts w:ascii="Arial" w:cs="Arial" w:eastAsia="Arial" w:hAnsi="Arial"/>
                <w:sz w:val="14"/>
                <w:szCs w:val="14"/>
                <w:color w:val="auto"/>
              </w:rPr>
              <w:t>Common stock</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(2,965)</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260"/>
              <w:spacing w:after="0" w:line="149" w:lineRule="exact"/>
              <w:rPr>
                <w:sz w:val="20"/>
                <w:szCs w:val="20"/>
                <w:color w:val="auto"/>
              </w:rPr>
            </w:pPr>
            <w:r>
              <w:rPr>
                <w:rFonts w:ascii="Arial" w:cs="Arial" w:eastAsia="Arial" w:hAnsi="Arial"/>
                <w:sz w:val="14"/>
                <w:szCs w:val="14"/>
                <w:color w:val="auto"/>
              </w:rPr>
              <w:t>Preferred stock</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400"/>
              <w:spacing w:after="0" w:line="145" w:lineRule="exact"/>
              <w:rPr>
                <w:sz w:val="20"/>
                <w:szCs w:val="20"/>
                <w:color w:val="auto"/>
              </w:rPr>
            </w:pPr>
            <w:r>
              <w:rPr>
                <w:rFonts w:ascii="Arial" w:cs="Arial" w:eastAsia="Arial" w:hAnsi="Arial"/>
                <w:sz w:val="14"/>
                <w:szCs w:val="14"/>
                <w:color w:val="auto"/>
              </w:rPr>
              <w:t>Market Auction Preferred Shares</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229"/>
              <w:spacing w:after="0" w:line="145"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Tax benefit from dividends paid on unallocated ESOP shares and other</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6</w:t>
            </w: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8</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Arial" w:cs="Arial" w:eastAsia="Arial" w:hAnsi="Arial"/>
                <w:sz w:val="14"/>
                <w:szCs w:val="14"/>
                <w:color w:val="auto"/>
              </w:rPr>
              <w:t>Exchange of Dynegy securities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170</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tcBorders>
              <w:bottom w:val="single" w:sz="8" w:color="0070FF"/>
            </w:tcBorders>
          </w:tcPr>
          <w:p>
            <w:pPr>
              <w:spacing w:after="0"/>
              <w:rPr>
                <w:sz w:val="15"/>
                <w:szCs w:val="15"/>
                <w:color w:val="auto"/>
              </w:rPr>
            </w:pPr>
          </w:p>
        </w:tc>
        <w:tc>
          <w:tcPr>
            <w:tcW w:w="16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0070FF"/>
              <w:bottom w:val="single" w:sz="8" w:color="0070FF"/>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35,315</w:t>
            </w:r>
          </w:p>
        </w:tc>
        <w:tc>
          <w:tcPr>
            <w:tcW w:w="1060" w:type="dxa"/>
            <w:vAlign w:val="bottom"/>
            <w:tcBorders>
              <w:top w:val="single" w:sz="8" w:color="0070FF"/>
              <w:bottom w:val="single" w:sz="8" w:color="0070FF"/>
            </w:tcBorders>
          </w:tcPr>
          <w:p>
            <w:pPr>
              <w:spacing w:after="0"/>
              <w:rPr>
                <w:sz w:val="15"/>
                <w:szCs w:val="15"/>
                <w:color w:val="auto"/>
              </w:rPr>
            </w:pPr>
          </w:p>
        </w:tc>
        <w:tc>
          <w:tcPr>
            <w:tcW w:w="38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0070FF"/>
              <w:bottom w:val="single" w:sz="8" w:color="0070FF"/>
            </w:tcBorders>
          </w:tcPr>
          <w:p>
            <w:pPr>
              <w:jc w:val="right"/>
              <w:ind w:right="229"/>
              <w:spacing w:after="0" w:line="155" w:lineRule="exact"/>
              <w:rPr>
                <w:sz w:val="20"/>
                <w:szCs w:val="20"/>
                <w:color w:val="auto"/>
              </w:rPr>
            </w:pPr>
            <w:r>
              <w:rPr>
                <w:rFonts w:ascii="Arial" w:cs="Arial" w:eastAsia="Arial" w:hAnsi="Arial"/>
                <w:sz w:val="14"/>
                <w:szCs w:val="14"/>
                <w:color w:val="auto"/>
              </w:rPr>
              <w:t>30,942</w:t>
            </w:r>
          </w:p>
        </w:tc>
        <w:tc>
          <w:tcPr>
            <w:tcW w:w="1080" w:type="dxa"/>
            <w:vAlign w:val="bottom"/>
            <w:tcBorders>
              <w:top w:val="single" w:sz="8" w:color="0070FF"/>
              <w:bottom w:val="single" w:sz="8" w:color="0070FF"/>
            </w:tcBorders>
          </w:tcPr>
          <w:p>
            <w:pPr>
              <w:spacing w:after="0"/>
              <w:rPr>
                <w:sz w:val="15"/>
                <w:szCs w:val="15"/>
                <w:color w:val="auto"/>
              </w:rPr>
            </w:pPr>
          </w:p>
        </w:tc>
        <w:tc>
          <w:tcPr>
            <w:tcW w:w="34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0070FF"/>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32,767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584"/>
        <w:spacing w:after="0"/>
        <w:tabs>
          <w:tab w:leader="none" w:pos="700" w:val="left"/>
        </w:tabs>
        <w:numPr>
          <w:ilvl w:val="0"/>
          <w:numId w:val="36"/>
        </w:numPr>
        <w:rPr>
          <w:rFonts w:ascii="Arial" w:cs="Arial" w:eastAsia="Arial" w:hAnsi="Arial"/>
          <w:sz w:val="27"/>
          <w:szCs w:val="27"/>
          <w:b w:val="1"/>
          <w:bCs w:val="1"/>
          <w:color w:val="0070FF"/>
        </w:rPr>
      </w:pPr>
      <w:r>
        <w:rPr>
          <w:rFonts w:ascii="Arial" w:cs="Arial" w:eastAsia="Arial" w:hAnsi="Arial"/>
          <w:sz w:val="22"/>
          <w:szCs w:val="22"/>
          <w:color w:val="0070FF"/>
        </w:rPr>
        <w:t>Consolidated Statement of Stockholders’ Equity –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i w:val="1"/>
                <w:iCs w:val="1"/>
                <w:color w:val="0070FF"/>
                <w:w w:val="90"/>
              </w:rPr>
              <w:t>Shares in thousands; amounts in millions of dollars</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80" w:type="dxa"/>
            <w:vAlign w:val="bottom"/>
            <w:tcBorders>
              <w:bottom w:val="single" w:sz="8" w:color="0070FF"/>
            </w:tcBorders>
          </w:tcPr>
          <w:p>
            <w:pPr>
              <w:spacing w:after="0"/>
              <w:rPr>
                <w:sz w:val="24"/>
                <w:szCs w:val="24"/>
                <w:color w:val="auto"/>
              </w:rPr>
            </w:pPr>
          </w:p>
        </w:tc>
        <w:tc>
          <w:tcPr>
            <w:tcW w:w="20" w:type="dxa"/>
            <w:vAlign w:val="bottom"/>
            <w:tcBorders>
              <w:bottom w:val="single" w:sz="8" w:color="0070FF"/>
            </w:tcBorders>
          </w:tcPr>
          <w:p>
            <w:pPr>
              <w:spacing w:after="0"/>
              <w:rPr>
                <w:sz w:val="24"/>
                <w:szCs w:val="24"/>
                <w:color w:val="auto"/>
              </w:rPr>
            </w:pPr>
          </w:p>
        </w:tc>
        <w:tc>
          <w:tcPr>
            <w:tcW w:w="140" w:type="dxa"/>
            <w:vAlign w:val="bottom"/>
            <w:tcBorders>
              <w:bottom w:val="single" w:sz="8" w:color="0070FF"/>
            </w:tcBorders>
          </w:tcPr>
          <w:p>
            <w:pPr>
              <w:spacing w:after="0"/>
              <w:rPr>
                <w:sz w:val="24"/>
                <w:szCs w:val="24"/>
                <w:color w:val="auto"/>
              </w:rPr>
            </w:pPr>
          </w:p>
        </w:tc>
        <w:tc>
          <w:tcPr>
            <w:tcW w:w="920" w:type="dxa"/>
            <w:vAlign w:val="bottom"/>
            <w:tcBorders>
              <w:bottom w:val="single" w:sz="8" w:color="0070FF"/>
            </w:tcBorders>
          </w:tcPr>
          <w:p>
            <w:pPr>
              <w:jc w:val="right"/>
              <w:ind w:right="308"/>
              <w:spacing w:after="0"/>
              <w:rPr>
                <w:sz w:val="20"/>
                <w:szCs w:val="20"/>
                <w:color w:val="auto"/>
              </w:rPr>
            </w:pPr>
            <w:r>
              <w:rPr>
                <w:rFonts w:ascii="Arial" w:cs="Arial" w:eastAsia="Arial" w:hAnsi="Arial"/>
                <w:sz w:val="14"/>
                <w:szCs w:val="14"/>
                <w:b w:val="1"/>
                <w:bCs w:val="1"/>
                <w:color w:val="auto"/>
              </w:rPr>
              <w:t>2003</w:t>
            </w:r>
          </w:p>
        </w:tc>
        <w:tc>
          <w:tcPr>
            <w:tcW w:w="1000" w:type="dxa"/>
            <w:vAlign w:val="bottom"/>
            <w:tcBorders>
              <w:bottom w:val="single" w:sz="8" w:color="0070FF"/>
            </w:tcBorders>
          </w:tcPr>
          <w:p>
            <w:pPr>
              <w:spacing w:after="0"/>
              <w:rPr>
                <w:sz w:val="24"/>
                <w:szCs w:val="24"/>
                <w:color w:val="auto"/>
              </w:rPr>
            </w:pPr>
          </w:p>
        </w:tc>
        <w:tc>
          <w:tcPr>
            <w:tcW w:w="340" w:type="dxa"/>
            <w:vAlign w:val="bottom"/>
            <w:tcBorders>
              <w:bottom w:val="single" w:sz="8" w:color="0070FF"/>
            </w:tcBorders>
          </w:tcPr>
          <w:p>
            <w:pPr>
              <w:spacing w:after="0"/>
              <w:rPr>
                <w:sz w:val="24"/>
                <w:szCs w:val="24"/>
                <w:color w:val="auto"/>
              </w:rPr>
            </w:pPr>
          </w:p>
        </w:tc>
        <w:tc>
          <w:tcPr>
            <w:tcW w:w="90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2002</w:t>
            </w:r>
          </w:p>
        </w:tc>
        <w:tc>
          <w:tcPr>
            <w:tcW w:w="1000" w:type="dxa"/>
            <w:vAlign w:val="bottom"/>
            <w:tcBorders>
              <w:bottom w:val="single" w:sz="8" w:color="0070FF"/>
            </w:tcBorders>
          </w:tcPr>
          <w:p>
            <w:pPr>
              <w:spacing w:after="0"/>
              <w:rPr>
                <w:sz w:val="24"/>
                <w:szCs w:val="24"/>
                <w:color w:val="auto"/>
              </w:rPr>
            </w:pPr>
          </w:p>
        </w:tc>
        <w:tc>
          <w:tcPr>
            <w:tcW w:w="340" w:type="dxa"/>
            <w:vAlign w:val="bottom"/>
            <w:tcBorders>
              <w:bottom w:val="single" w:sz="8" w:color="0070FF"/>
            </w:tcBorders>
          </w:tcPr>
          <w:p>
            <w:pPr>
              <w:spacing w:after="0"/>
              <w:rPr>
                <w:sz w:val="24"/>
                <w:szCs w:val="2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0070FF"/>
            </w:tcBorders>
          </w:tcPr>
          <w:p>
            <w:pPr>
              <w:spacing w:after="0"/>
              <w:rPr>
                <w:sz w:val="13"/>
                <w:szCs w:val="13"/>
                <w:color w:val="auto"/>
              </w:rPr>
            </w:pPr>
          </w:p>
        </w:tc>
        <w:tc>
          <w:tcPr>
            <w:tcW w:w="1180" w:type="dxa"/>
            <w:vAlign w:val="bottom"/>
            <w:tcBorders>
              <w:bottom w:val="single" w:sz="8" w:color="0070FF"/>
            </w:tcBorders>
          </w:tcPr>
          <w:p>
            <w:pPr>
              <w:jc w:val="right"/>
              <w:ind w:right="409"/>
              <w:spacing w:after="0" w:line="155" w:lineRule="exact"/>
              <w:rPr>
                <w:sz w:val="20"/>
                <w:szCs w:val="20"/>
                <w:color w:val="auto"/>
              </w:rPr>
            </w:pPr>
            <w:r>
              <w:rPr>
                <w:rFonts w:ascii="Arial" w:cs="Arial" w:eastAsia="Arial" w:hAnsi="Arial"/>
                <w:sz w:val="14"/>
                <w:szCs w:val="14"/>
                <w:color w:val="auto"/>
              </w:rPr>
              <w:t>Shares</w:t>
            </w:r>
          </w:p>
        </w:tc>
        <w:tc>
          <w:tcPr>
            <w:tcW w:w="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920" w:type="dxa"/>
            <w:vAlign w:val="bottom"/>
            <w:tcBorders>
              <w:bottom w:val="single" w:sz="8" w:color="0070FF"/>
            </w:tcBorders>
          </w:tcPr>
          <w:p>
            <w:pPr>
              <w:jc w:val="right"/>
              <w:ind w:right="308"/>
              <w:spacing w:after="0" w:line="155" w:lineRule="exact"/>
              <w:rPr>
                <w:sz w:val="20"/>
                <w:szCs w:val="20"/>
                <w:color w:val="auto"/>
              </w:rPr>
            </w:pPr>
            <w:r>
              <w:rPr>
                <w:rFonts w:ascii="Arial" w:cs="Arial" w:eastAsia="Arial" w:hAnsi="Arial"/>
                <w:sz w:val="14"/>
                <w:szCs w:val="14"/>
                <w:color w:val="auto"/>
              </w:rPr>
              <w:t>Amount</w:t>
            </w:r>
          </w:p>
        </w:tc>
        <w:tc>
          <w:tcPr>
            <w:tcW w:w="100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color w:val="auto"/>
              </w:rPr>
              <w:t>Shares</w:t>
            </w:r>
          </w:p>
        </w:tc>
        <w:tc>
          <w:tcPr>
            <w:tcW w:w="340" w:type="dxa"/>
            <w:vAlign w:val="bottom"/>
            <w:tcBorders>
              <w:bottom w:val="single" w:sz="8" w:color="0070FF"/>
            </w:tcBorders>
          </w:tcPr>
          <w:p>
            <w:pPr>
              <w:spacing w:after="0"/>
              <w:rPr>
                <w:sz w:val="13"/>
                <w:szCs w:val="13"/>
                <w:color w:val="auto"/>
              </w:rPr>
            </w:pPr>
          </w:p>
        </w:tc>
        <w:tc>
          <w:tcPr>
            <w:tcW w:w="90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color w:val="auto"/>
              </w:rPr>
              <w:t>Amount</w:t>
            </w:r>
          </w:p>
        </w:tc>
        <w:tc>
          <w:tcPr>
            <w:tcW w:w="100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Shares</w:t>
            </w:r>
          </w:p>
        </w:tc>
        <w:tc>
          <w:tcPr>
            <w:tcW w:w="34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line="137" w:lineRule="exact"/>
              <w:rPr>
                <w:sz w:val="20"/>
                <w:szCs w:val="20"/>
                <w:color w:val="auto"/>
              </w:rPr>
            </w:pPr>
            <w:r>
              <w:rPr>
                <w:rFonts w:ascii="Arial" w:cs="Arial" w:eastAsia="Arial" w:hAnsi="Arial"/>
                <w:sz w:val="14"/>
                <w:szCs w:val="14"/>
                <w:b w:val="1"/>
                <w:bCs w:val="1"/>
                <w:color w:val="0070FF"/>
              </w:rPr>
              <w:t>ACCUMULATED OTHER COMPREHENSIVE LOSS</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Currency translation adjustment</w:t>
            </w:r>
          </w:p>
        </w:tc>
        <w:tc>
          <w:tcPr>
            <w:tcW w:w="1180" w:type="dxa"/>
            <w:vAlign w:val="bottom"/>
          </w:tcPr>
          <w:p>
            <w:pPr>
              <w:spacing w:after="0"/>
              <w:rPr>
                <w:sz w:val="12"/>
                <w:szCs w:val="12"/>
                <w:color w:val="auto"/>
              </w:rPr>
            </w:pPr>
          </w:p>
        </w:tc>
        <w:tc>
          <w:tcPr>
            <w:tcW w:w="160" w:type="dxa"/>
            <w:vAlign w:val="bottom"/>
            <w:gridSpan w:val="2"/>
            <w:vMerge w:val="restart"/>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(208)</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26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5" w:lineRule="exact"/>
              <w:rPr>
                <w:sz w:val="20"/>
                <w:szCs w:val="20"/>
                <w:color w:val="auto"/>
              </w:rPr>
            </w:pPr>
            <w:r>
              <w:rPr>
                <w:rFonts w:ascii="Arial" w:cs="Arial" w:eastAsia="Arial" w:hAnsi="Arial"/>
                <w:sz w:val="14"/>
                <w:szCs w:val="14"/>
                <w:color w:val="auto"/>
              </w:rPr>
              <w:t>(223)</w:t>
            </w: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Change during year</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920" w:type="dxa"/>
            <w:vAlign w:val="bottom"/>
            <w:tcBorders>
              <w:bottom w:val="single" w:sz="8" w:color="0070FF"/>
            </w:tcBorders>
          </w:tcPr>
          <w:p>
            <w:pPr>
              <w:jc w:val="right"/>
              <w:ind w:right="308"/>
              <w:spacing w:after="0"/>
              <w:rPr>
                <w:sz w:val="20"/>
                <w:szCs w:val="20"/>
                <w:color w:val="auto"/>
              </w:rPr>
            </w:pPr>
            <w:r>
              <w:rPr>
                <w:rFonts w:ascii="Arial" w:cs="Arial" w:eastAsia="Arial" w:hAnsi="Arial"/>
                <w:sz w:val="14"/>
                <w:szCs w:val="14"/>
                <w:b w:val="1"/>
                <w:bCs w:val="1"/>
                <w:color w:val="auto"/>
              </w:rPr>
              <w:t>32</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ind w:left="260"/>
              <w:spacing w:after="0" w:line="137" w:lineRule="exact"/>
              <w:rPr>
                <w:sz w:val="20"/>
                <w:szCs w:val="20"/>
                <w:color w:val="auto"/>
              </w:rPr>
            </w:pPr>
            <w:r>
              <w:rPr>
                <w:rFonts w:ascii="Arial" w:cs="Arial" w:eastAsia="Arial" w:hAnsi="Arial"/>
                <w:sz w:val="14"/>
                <w:szCs w:val="14"/>
                <w:color w:val="auto"/>
              </w:rPr>
              <w:t>Balance at December 31</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920" w:type="dxa"/>
            <w:vAlign w:val="bottom"/>
          </w:tcPr>
          <w:p>
            <w:pPr>
              <w:jc w:val="right"/>
              <w:ind w:right="268"/>
              <w:spacing w:after="0" w:line="137" w:lineRule="exact"/>
              <w:rPr>
                <w:sz w:val="20"/>
                <w:szCs w:val="20"/>
                <w:color w:val="auto"/>
              </w:rPr>
            </w:pPr>
            <w:r>
              <w:rPr>
                <w:rFonts w:ascii="Arial" w:cs="Arial" w:eastAsia="Arial" w:hAnsi="Arial"/>
                <w:sz w:val="14"/>
                <w:szCs w:val="14"/>
                <w:b w:val="1"/>
                <w:bCs w:val="1"/>
                <w:color w:val="auto"/>
              </w:rPr>
              <w:t>(176)</w:t>
            </w:r>
          </w:p>
        </w:tc>
        <w:tc>
          <w:tcPr>
            <w:tcW w:w="1000" w:type="dxa"/>
            <w:vAlign w:val="bottom"/>
          </w:tcPr>
          <w:p>
            <w:pPr>
              <w:spacing w:after="0"/>
              <w:rPr>
                <w:sz w:val="11"/>
                <w:szCs w:val="11"/>
                <w:color w:val="auto"/>
              </w:rPr>
            </w:pPr>
          </w:p>
        </w:tc>
        <w:tc>
          <w:tcPr>
            <w:tcW w:w="340" w:type="dxa"/>
            <w:vAlign w:val="bottom"/>
          </w:tcPr>
          <w:p>
            <w:pPr>
              <w:jc w:val="right"/>
              <w:ind w:right="8"/>
              <w:spacing w:after="0" w:line="13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37" w:lineRule="exact"/>
              <w:rPr>
                <w:sz w:val="20"/>
                <w:szCs w:val="20"/>
                <w:color w:val="auto"/>
              </w:rPr>
            </w:pPr>
            <w:r>
              <w:rPr>
                <w:rFonts w:ascii="Arial" w:cs="Arial" w:eastAsia="Arial" w:hAnsi="Arial"/>
                <w:sz w:val="14"/>
                <w:szCs w:val="14"/>
                <w:color w:val="auto"/>
              </w:rPr>
              <w:t>(208)</w:t>
            </w:r>
          </w:p>
        </w:tc>
        <w:tc>
          <w:tcPr>
            <w:tcW w:w="1000" w:type="dxa"/>
            <w:vAlign w:val="bottom"/>
          </w:tcPr>
          <w:p>
            <w:pPr>
              <w:spacing w:after="0"/>
              <w:rPr>
                <w:sz w:val="11"/>
                <w:szCs w:val="11"/>
                <w:color w:val="auto"/>
              </w:rPr>
            </w:pPr>
          </w:p>
        </w:tc>
        <w:tc>
          <w:tcPr>
            <w:tcW w:w="340" w:type="dxa"/>
            <w:vAlign w:val="bottom"/>
          </w:tcPr>
          <w:p>
            <w:pPr>
              <w:jc w:val="right"/>
              <w:ind w:right="8"/>
              <w:spacing w:after="0" w:line="13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7"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Minimum pension liability adjustment</w:t>
            </w:r>
          </w:p>
        </w:tc>
        <w:tc>
          <w:tcPr>
            <w:tcW w:w="1180" w:type="dxa"/>
            <w:vAlign w:val="bottom"/>
          </w:tcPr>
          <w:p>
            <w:pPr>
              <w:spacing w:after="0"/>
              <w:rPr>
                <w:sz w:val="12"/>
                <w:szCs w:val="12"/>
                <w:color w:val="auto"/>
              </w:rPr>
            </w:pPr>
          </w:p>
        </w:tc>
        <w:tc>
          <w:tcPr>
            <w:tcW w:w="160" w:type="dxa"/>
            <w:vAlign w:val="bottom"/>
            <w:gridSpan w:val="2"/>
            <w:vMerge w:val="restart"/>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(876)</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26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5" w:lineRule="exact"/>
              <w:rPr>
                <w:sz w:val="20"/>
                <w:szCs w:val="20"/>
                <w:color w:val="auto"/>
              </w:rPr>
            </w:pPr>
            <w:r>
              <w:rPr>
                <w:rFonts w:ascii="Arial" w:cs="Arial" w:eastAsia="Arial" w:hAnsi="Arial"/>
                <w:sz w:val="14"/>
                <w:szCs w:val="14"/>
                <w:color w:val="auto"/>
              </w:rPr>
              <w:t>(91)</w:t>
            </w: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Change during year</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920" w:type="dxa"/>
            <w:vAlign w:val="bottom"/>
            <w:tcBorders>
              <w:bottom w:val="single" w:sz="8" w:color="0070FF"/>
            </w:tcBorders>
          </w:tcPr>
          <w:p>
            <w:pPr>
              <w:jc w:val="right"/>
              <w:ind w:right="308"/>
              <w:spacing w:after="0"/>
              <w:rPr>
                <w:sz w:val="20"/>
                <w:szCs w:val="20"/>
                <w:color w:val="auto"/>
              </w:rPr>
            </w:pPr>
            <w:r>
              <w:rPr>
                <w:rFonts w:ascii="Arial" w:cs="Arial" w:eastAsia="Arial" w:hAnsi="Arial"/>
                <w:sz w:val="14"/>
                <w:szCs w:val="14"/>
                <w:b w:val="1"/>
                <w:bCs w:val="1"/>
                <w:color w:val="auto"/>
              </w:rPr>
              <w:t>2</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rPr>
              <w:t>(785)</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ind w:left="260"/>
              <w:spacing w:after="0" w:line="137" w:lineRule="exact"/>
              <w:rPr>
                <w:sz w:val="20"/>
                <w:szCs w:val="20"/>
                <w:color w:val="auto"/>
              </w:rPr>
            </w:pPr>
            <w:r>
              <w:rPr>
                <w:rFonts w:ascii="Arial" w:cs="Arial" w:eastAsia="Arial" w:hAnsi="Arial"/>
                <w:sz w:val="14"/>
                <w:szCs w:val="14"/>
                <w:color w:val="auto"/>
              </w:rPr>
              <w:t>Balance at December 31</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920" w:type="dxa"/>
            <w:vAlign w:val="bottom"/>
          </w:tcPr>
          <w:p>
            <w:pPr>
              <w:jc w:val="right"/>
              <w:ind w:right="268"/>
              <w:spacing w:after="0" w:line="137" w:lineRule="exact"/>
              <w:rPr>
                <w:sz w:val="20"/>
                <w:szCs w:val="20"/>
                <w:color w:val="auto"/>
              </w:rPr>
            </w:pPr>
            <w:r>
              <w:rPr>
                <w:rFonts w:ascii="Arial" w:cs="Arial" w:eastAsia="Arial" w:hAnsi="Arial"/>
                <w:sz w:val="14"/>
                <w:szCs w:val="14"/>
                <w:b w:val="1"/>
                <w:bCs w:val="1"/>
                <w:color w:val="auto"/>
              </w:rPr>
              <w:t>(874)</w:t>
            </w:r>
          </w:p>
        </w:tc>
        <w:tc>
          <w:tcPr>
            <w:tcW w:w="1000" w:type="dxa"/>
            <w:vAlign w:val="bottom"/>
          </w:tcPr>
          <w:p>
            <w:pPr>
              <w:spacing w:after="0"/>
              <w:rPr>
                <w:sz w:val="11"/>
                <w:szCs w:val="11"/>
                <w:color w:val="auto"/>
              </w:rPr>
            </w:pPr>
          </w:p>
        </w:tc>
        <w:tc>
          <w:tcPr>
            <w:tcW w:w="340" w:type="dxa"/>
            <w:vAlign w:val="bottom"/>
          </w:tcPr>
          <w:p>
            <w:pPr>
              <w:jc w:val="right"/>
              <w:ind w:right="8"/>
              <w:spacing w:after="0" w:line="13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37" w:lineRule="exact"/>
              <w:rPr>
                <w:sz w:val="20"/>
                <w:szCs w:val="20"/>
                <w:color w:val="auto"/>
              </w:rPr>
            </w:pPr>
            <w:r>
              <w:rPr>
                <w:rFonts w:ascii="Arial" w:cs="Arial" w:eastAsia="Arial" w:hAnsi="Arial"/>
                <w:sz w:val="14"/>
                <w:szCs w:val="14"/>
                <w:color w:val="auto"/>
              </w:rPr>
              <w:t>(876)</w:t>
            </w:r>
          </w:p>
        </w:tc>
        <w:tc>
          <w:tcPr>
            <w:tcW w:w="1000" w:type="dxa"/>
            <w:vAlign w:val="bottom"/>
          </w:tcPr>
          <w:p>
            <w:pPr>
              <w:spacing w:after="0"/>
              <w:rPr>
                <w:sz w:val="11"/>
                <w:szCs w:val="11"/>
                <w:color w:val="auto"/>
              </w:rPr>
            </w:pPr>
          </w:p>
        </w:tc>
        <w:tc>
          <w:tcPr>
            <w:tcW w:w="340" w:type="dxa"/>
            <w:vAlign w:val="bottom"/>
          </w:tcPr>
          <w:p>
            <w:pPr>
              <w:jc w:val="right"/>
              <w:ind w:right="8"/>
              <w:spacing w:after="0" w:line="13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7"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Unrealized net holding gain on securities</w:t>
            </w:r>
          </w:p>
        </w:tc>
        <w:tc>
          <w:tcPr>
            <w:tcW w:w="1180" w:type="dxa"/>
            <w:vAlign w:val="bottom"/>
          </w:tcPr>
          <w:p>
            <w:pPr>
              <w:spacing w:after="0"/>
              <w:rPr>
                <w:sz w:val="12"/>
                <w:szCs w:val="12"/>
                <w:color w:val="auto"/>
              </w:rPr>
            </w:pPr>
          </w:p>
        </w:tc>
        <w:tc>
          <w:tcPr>
            <w:tcW w:w="160" w:type="dxa"/>
            <w:vAlign w:val="bottom"/>
            <w:gridSpan w:val="2"/>
            <w:vMerge w:val="restart"/>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49</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26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8"/>
              <w:spacing w:after="0" w:line="145" w:lineRule="exact"/>
              <w:rPr>
                <w:sz w:val="20"/>
                <w:szCs w:val="20"/>
                <w:color w:val="auto"/>
              </w:rPr>
            </w:pPr>
            <w:r>
              <w:rPr>
                <w:rFonts w:ascii="Arial" w:cs="Arial" w:eastAsia="Arial" w:hAnsi="Arial"/>
                <w:sz w:val="14"/>
                <w:szCs w:val="14"/>
                <w:color w:val="auto"/>
              </w:rPr>
              <w:t>5</w:t>
            </w: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Change during year</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920" w:type="dxa"/>
            <w:vAlign w:val="bottom"/>
            <w:tcBorders>
              <w:bottom w:val="single" w:sz="8" w:color="0070FF"/>
            </w:tcBorders>
          </w:tcPr>
          <w:p>
            <w:pPr>
              <w:jc w:val="right"/>
              <w:ind w:right="308"/>
              <w:spacing w:after="0"/>
              <w:rPr>
                <w:sz w:val="20"/>
                <w:szCs w:val="20"/>
                <w:color w:val="auto"/>
              </w:rPr>
            </w:pPr>
            <w:r>
              <w:rPr>
                <w:rFonts w:ascii="Arial" w:cs="Arial" w:eastAsia="Arial" w:hAnsi="Arial"/>
                <w:sz w:val="14"/>
                <w:szCs w:val="14"/>
                <w:b w:val="1"/>
                <w:bCs w:val="1"/>
                <w:color w:val="auto"/>
              </w:rPr>
              <w:t>80</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44</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ind w:left="260"/>
              <w:spacing w:after="0" w:line="137" w:lineRule="exact"/>
              <w:rPr>
                <w:sz w:val="20"/>
                <w:szCs w:val="20"/>
                <w:color w:val="auto"/>
              </w:rPr>
            </w:pPr>
            <w:r>
              <w:rPr>
                <w:rFonts w:ascii="Arial" w:cs="Arial" w:eastAsia="Arial" w:hAnsi="Arial"/>
                <w:sz w:val="14"/>
                <w:szCs w:val="14"/>
                <w:color w:val="auto"/>
              </w:rPr>
              <w:t>Balance at December 31</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920" w:type="dxa"/>
            <w:vAlign w:val="bottom"/>
          </w:tcPr>
          <w:p>
            <w:pPr>
              <w:jc w:val="right"/>
              <w:ind w:right="308"/>
              <w:spacing w:after="0" w:line="137" w:lineRule="exact"/>
              <w:rPr>
                <w:sz w:val="20"/>
                <w:szCs w:val="20"/>
                <w:color w:val="auto"/>
              </w:rPr>
            </w:pPr>
            <w:r>
              <w:rPr>
                <w:rFonts w:ascii="Arial" w:cs="Arial" w:eastAsia="Arial" w:hAnsi="Arial"/>
                <w:sz w:val="14"/>
                <w:szCs w:val="14"/>
                <w:b w:val="1"/>
                <w:bCs w:val="1"/>
                <w:color w:val="auto"/>
              </w:rPr>
              <w:t>129</w:t>
            </w:r>
          </w:p>
        </w:tc>
        <w:tc>
          <w:tcPr>
            <w:tcW w:w="1000" w:type="dxa"/>
            <w:vAlign w:val="bottom"/>
          </w:tcPr>
          <w:p>
            <w:pPr>
              <w:spacing w:after="0"/>
              <w:rPr>
                <w:sz w:val="11"/>
                <w:szCs w:val="11"/>
                <w:color w:val="auto"/>
              </w:rPr>
            </w:pPr>
          </w:p>
        </w:tc>
        <w:tc>
          <w:tcPr>
            <w:tcW w:w="340" w:type="dxa"/>
            <w:vAlign w:val="bottom"/>
          </w:tcPr>
          <w:p>
            <w:pPr>
              <w:jc w:val="right"/>
              <w:ind w:right="8"/>
              <w:spacing w:after="0" w:line="13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8"/>
              <w:spacing w:after="0" w:line="137" w:lineRule="exact"/>
              <w:rPr>
                <w:sz w:val="20"/>
                <w:szCs w:val="20"/>
                <w:color w:val="auto"/>
              </w:rPr>
            </w:pPr>
            <w:r>
              <w:rPr>
                <w:rFonts w:ascii="Arial" w:cs="Arial" w:eastAsia="Arial" w:hAnsi="Arial"/>
                <w:sz w:val="14"/>
                <w:szCs w:val="14"/>
                <w:color w:val="auto"/>
              </w:rPr>
              <w:t>49</w:t>
            </w:r>
          </w:p>
        </w:tc>
        <w:tc>
          <w:tcPr>
            <w:tcW w:w="1000" w:type="dxa"/>
            <w:vAlign w:val="bottom"/>
          </w:tcPr>
          <w:p>
            <w:pPr>
              <w:spacing w:after="0"/>
              <w:rPr>
                <w:sz w:val="11"/>
                <w:szCs w:val="11"/>
                <w:color w:val="auto"/>
              </w:rPr>
            </w:pPr>
          </w:p>
        </w:tc>
        <w:tc>
          <w:tcPr>
            <w:tcW w:w="340" w:type="dxa"/>
            <w:vAlign w:val="bottom"/>
          </w:tcPr>
          <w:p>
            <w:pPr>
              <w:jc w:val="right"/>
              <w:ind w:right="8"/>
              <w:spacing w:after="0" w:line="137"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37"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Net derivatives gain on hedge transactions</w:t>
            </w:r>
          </w:p>
        </w:tc>
        <w:tc>
          <w:tcPr>
            <w:tcW w:w="1180" w:type="dxa"/>
            <w:vAlign w:val="bottom"/>
          </w:tcPr>
          <w:p>
            <w:pPr>
              <w:spacing w:after="0"/>
              <w:rPr>
                <w:sz w:val="12"/>
                <w:szCs w:val="12"/>
                <w:color w:val="auto"/>
              </w:rPr>
            </w:pPr>
          </w:p>
        </w:tc>
        <w:tc>
          <w:tcPr>
            <w:tcW w:w="160" w:type="dxa"/>
            <w:vAlign w:val="bottom"/>
            <w:gridSpan w:val="2"/>
            <w:vMerge w:val="restart"/>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37</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26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8"/>
              <w:spacing w:after="0" w:line="145" w:lineRule="exact"/>
              <w:rPr>
                <w:sz w:val="20"/>
                <w:szCs w:val="20"/>
                <w:color w:val="auto"/>
              </w:rPr>
            </w:pPr>
            <w:r>
              <w:rPr>
                <w:rFonts w:ascii="Arial" w:cs="Arial" w:eastAsia="Arial" w:hAnsi="Arial"/>
                <w:sz w:val="14"/>
                <w:szCs w:val="14"/>
                <w:color w:val="auto"/>
              </w:rPr>
              <w:t>3</w:t>
            </w: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Change during year</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920" w:type="dxa"/>
            <w:vAlign w:val="bottom"/>
            <w:tcBorders>
              <w:bottom w:val="single" w:sz="8" w:color="0070FF"/>
            </w:tcBorders>
          </w:tcPr>
          <w:p>
            <w:pPr>
              <w:jc w:val="right"/>
              <w:ind w:right="308"/>
              <w:spacing w:after="0"/>
              <w:rPr>
                <w:sz w:val="20"/>
                <w:szCs w:val="20"/>
                <w:color w:val="auto"/>
              </w:rPr>
            </w:pPr>
            <w:r>
              <w:rPr>
                <w:rFonts w:ascii="Arial" w:cs="Arial" w:eastAsia="Arial" w:hAnsi="Arial"/>
                <w:sz w:val="14"/>
                <w:szCs w:val="14"/>
                <w:b w:val="1"/>
                <w:bCs w:val="1"/>
                <w:color w:val="auto"/>
              </w:rPr>
              <w:t>75</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34</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w:t>
            </w:r>
          </w:p>
        </w:tc>
        <w:tc>
          <w:tcPr>
            <w:tcW w:w="1180" w:type="dxa"/>
            <w:vAlign w:val="bottom"/>
          </w:tcPr>
          <w:p>
            <w:pPr>
              <w:spacing w:after="0"/>
              <w:rPr>
                <w:sz w:val="13"/>
                <w:szCs w:val="13"/>
                <w:color w:val="auto"/>
              </w:rPr>
            </w:pPr>
          </w:p>
        </w:tc>
        <w:tc>
          <w:tcPr>
            <w:tcW w:w="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920" w:type="dxa"/>
            <w:vAlign w:val="bottom"/>
            <w:tcBorders>
              <w:bottom w:val="single" w:sz="8" w:color="0070FF"/>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112</w:t>
            </w:r>
          </w:p>
        </w:tc>
        <w:tc>
          <w:tcPr>
            <w:tcW w:w="100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color w:val="auto"/>
              </w:rPr>
              <w:t>37</w:t>
            </w:r>
          </w:p>
        </w:tc>
        <w:tc>
          <w:tcPr>
            <w:tcW w:w="100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tcBorders>
              <w:bottom w:val="single" w:sz="8" w:color="0070FF"/>
            </w:tcBorders>
          </w:tcPr>
          <w:p>
            <w:pPr>
              <w:spacing w:after="0"/>
              <w:rPr>
                <w:sz w:val="13"/>
                <w:szCs w:val="13"/>
                <w:color w:val="auto"/>
              </w:rPr>
            </w:pPr>
          </w:p>
        </w:tc>
        <w:tc>
          <w:tcPr>
            <w:tcW w:w="160" w:type="dxa"/>
            <w:vAlign w:val="bottom"/>
            <w:tcBorders>
              <w:bottom w:val="single" w:sz="8" w:color="0070FF"/>
            </w:tcBorders>
            <w:gridSpan w:val="2"/>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(809)</w:t>
            </w:r>
          </w:p>
        </w:tc>
        <w:tc>
          <w:tcPr>
            <w:tcW w:w="100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color w:val="auto"/>
              </w:rPr>
              <w:t>(998)</w:t>
            </w:r>
          </w:p>
        </w:tc>
        <w:tc>
          <w:tcPr>
            <w:tcW w:w="100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spacing w:after="0" w:line="133" w:lineRule="exact"/>
              <w:rPr>
                <w:sz w:val="20"/>
                <w:szCs w:val="20"/>
                <w:color w:val="auto"/>
              </w:rPr>
            </w:pPr>
            <w:r>
              <w:rPr>
                <w:rFonts w:ascii="Arial" w:cs="Arial" w:eastAsia="Arial" w:hAnsi="Arial"/>
                <w:sz w:val="14"/>
                <w:szCs w:val="14"/>
                <w:b w:val="1"/>
                <w:bCs w:val="1"/>
                <w:color w:val="0070FF"/>
              </w:rPr>
              <w:t>DEFERRED COMPENSATION AND BENEFIT PLAN TRUST</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20" w:type="dxa"/>
            <w:vAlign w:val="bottom"/>
          </w:tcPr>
          <w:p>
            <w:pPr>
              <w:ind w:left="120"/>
              <w:spacing w:after="0" w:line="153" w:lineRule="exact"/>
              <w:rPr>
                <w:sz w:val="20"/>
                <w:szCs w:val="20"/>
                <w:color w:val="auto"/>
              </w:rPr>
            </w:pPr>
            <w:r>
              <w:rPr>
                <w:rFonts w:ascii="Arial" w:cs="Arial" w:eastAsia="Arial" w:hAnsi="Arial"/>
                <w:sz w:val="14"/>
                <w:szCs w:val="14"/>
                <w:b w:val="1"/>
                <w:bCs w:val="1"/>
                <w:color w:val="0070FF"/>
              </w:rPr>
              <w:t>DEFERRED COMPENSATION</w:t>
            </w:r>
          </w:p>
        </w:tc>
        <w:tc>
          <w:tcPr>
            <w:tcW w:w="1180" w:type="dxa"/>
            <w:vAlign w:val="bottom"/>
          </w:tcPr>
          <w:p>
            <w:pPr>
              <w:spacing w:after="0"/>
              <w:rPr>
                <w:sz w:val="13"/>
                <w:szCs w:val="13"/>
                <w:color w:val="auto"/>
              </w:rPr>
            </w:pPr>
          </w:p>
        </w:tc>
        <w:tc>
          <w:tcPr>
            <w:tcW w:w="160" w:type="dxa"/>
            <w:vAlign w:val="bottom"/>
            <w:gridSpan w:val="2"/>
            <w:vMerge w:val="restart"/>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(412)</w:t>
            </w: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26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5" w:lineRule="exact"/>
              <w:rPr>
                <w:sz w:val="20"/>
                <w:szCs w:val="20"/>
                <w:color w:val="auto"/>
              </w:rPr>
            </w:pPr>
            <w:r>
              <w:rPr>
                <w:rFonts w:ascii="Arial" w:cs="Arial" w:eastAsia="Arial" w:hAnsi="Arial"/>
                <w:sz w:val="14"/>
                <w:szCs w:val="14"/>
                <w:color w:val="auto"/>
              </w:rPr>
              <w:t>(512)</w:t>
            </w:r>
          </w:p>
        </w:tc>
        <w:tc>
          <w:tcPr>
            <w:tcW w:w="1000" w:type="dxa"/>
            <w:vAlign w:val="bottom"/>
          </w:tcPr>
          <w:p>
            <w:pPr>
              <w:spacing w:after="0"/>
              <w:rPr>
                <w:sz w:val="12"/>
                <w:szCs w:val="12"/>
                <w:color w:val="auto"/>
              </w:rPr>
            </w:pP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20" w:type="dxa"/>
            <w:vAlign w:val="bottom"/>
          </w:tcPr>
          <w:p>
            <w:pPr>
              <w:ind w:left="260"/>
              <w:spacing w:after="0" w:line="153" w:lineRule="exact"/>
              <w:rPr>
                <w:sz w:val="20"/>
                <w:szCs w:val="20"/>
                <w:color w:val="auto"/>
              </w:rPr>
            </w:pPr>
            <w:r>
              <w:rPr>
                <w:rFonts w:ascii="Arial" w:cs="Arial" w:eastAsia="Arial" w:hAnsi="Arial"/>
                <w:sz w:val="14"/>
                <w:szCs w:val="14"/>
                <w:color w:val="auto"/>
              </w:rPr>
              <w:t>Net reduction of ESOP debt and other</w:t>
            </w: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50</w:t>
            </w: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288"/>
              <w:spacing w:after="0" w:line="153" w:lineRule="exact"/>
              <w:rPr>
                <w:sz w:val="20"/>
                <w:szCs w:val="20"/>
                <w:color w:val="auto"/>
              </w:rPr>
            </w:pPr>
            <w:r>
              <w:rPr>
                <w:rFonts w:ascii="Arial" w:cs="Arial" w:eastAsia="Arial" w:hAnsi="Arial"/>
                <w:sz w:val="14"/>
                <w:szCs w:val="14"/>
                <w:color w:val="auto"/>
              </w:rPr>
              <w:t>100</w:t>
            </w: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260"/>
              <w:spacing w:after="0" w:line="149" w:lineRule="exact"/>
              <w:rPr>
                <w:sz w:val="20"/>
                <w:szCs w:val="20"/>
                <w:color w:val="auto"/>
              </w:rPr>
            </w:pPr>
            <w:r>
              <w:rPr>
                <w:rFonts w:ascii="Arial" w:cs="Arial" w:eastAsia="Arial" w:hAnsi="Arial"/>
                <w:sz w:val="14"/>
                <w:szCs w:val="14"/>
                <w:color w:val="auto"/>
              </w:rPr>
              <w:t>Restricted stock</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400"/>
              <w:spacing w:after="0" w:line="145" w:lineRule="exact"/>
              <w:rPr>
                <w:sz w:val="20"/>
                <w:szCs w:val="20"/>
                <w:color w:val="auto"/>
              </w:rPr>
            </w:pPr>
            <w:r>
              <w:rPr>
                <w:rFonts w:ascii="Arial" w:cs="Arial" w:eastAsia="Arial" w:hAnsi="Arial"/>
                <w:sz w:val="14"/>
                <w:szCs w:val="14"/>
                <w:color w:val="auto"/>
              </w:rPr>
              <w:t>Awards</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288"/>
              <w:spacing w:after="0" w:line="145" w:lineRule="exact"/>
              <w:rPr>
                <w:sz w:val="20"/>
                <w:szCs w:val="20"/>
                <w:color w:val="auto"/>
              </w:rPr>
            </w:pPr>
            <w:r>
              <w:rPr>
                <w:rFonts w:ascii="Arial" w:cs="Arial" w:eastAsia="Arial" w:hAnsi="Arial"/>
                <w:sz w:val="14"/>
                <w:szCs w:val="14"/>
                <w:color w:val="auto"/>
              </w:rPr>
              <w:t>–</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400"/>
              <w:spacing w:after="0" w:line="149" w:lineRule="exact"/>
              <w:rPr>
                <w:sz w:val="20"/>
                <w:szCs w:val="20"/>
                <w:color w:val="auto"/>
              </w:rPr>
            </w:pPr>
            <w:r>
              <w:rPr>
                <w:rFonts w:ascii="Arial" w:cs="Arial" w:eastAsia="Arial" w:hAnsi="Arial"/>
                <w:sz w:val="14"/>
                <w:szCs w:val="14"/>
                <w:color w:val="auto"/>
              </w:rPr>
              <w:t>Amortization and other</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400"/>
              <w:spacing w:after="0"/>
              <w:rPr>
                <w:sz w:val="20"/>
                <w:szCs w:val="20"/>
                <w:color w:val="auto"/>
              </w:rPr>
            </w:pPr>
            <w:r>
              <w:rPr>
                <w:rFonts w:ascii="Arial" w:cs="Arial" w:eastAsia="Arial" w:hAnsi="Arial"/>
                <w:sz w:val="14"/>
                <w:szCs w:val="14"/>
                <w:color w:val="auto"/>
              </w:rPr>
              <w:t>Vesting upon merger</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920" w:type="dxa"/>
            <w:vAlign w:val="bottom"/>
            <w:tcBorders>
              <w:bottom w:val="single" w:sz="8" w:color="0070FF"/>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ind w:left="260"/>
              <w:spacing w:after="0" w:line="133"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7,084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268"/>
              <w:spacing w:after="0" w:line="133" w:lineRule="exact"/>
              <w:rPr>
                <w:sz w:val="20"/>
                <w:szCs w:val="20"/>
                <w:color w:val="auto"/>
              </w:rPr>
            </w:pPr>
            <w:r>
              <w:rPr>
                <w:rFonts w:ascii="Arial" w:cs="Arial" w:eastAsia="Arial" w:hAnsi="Arial"/>
                <w:sz w:val="14"/>
                <w:szCs w:val="14"/>
                <w:b w:val="1"/>
                <w:bCs w:val="1"/>
                <w:color w:val="auto"/>
              </w:rPr>
              <w:t>(362)</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jc w:val="right"/>
              <w:ind w:right="248"/>
              <w:spacing w:after="0" w:line="133" w:lineRule="exact"/>
              <w:rPr>
                <w:sz w:val="20"/>
                <w:szCs w:val="20"/>
                <w:color w:val="auto"/>
              </w:rPr>
            </w:pPr>
            <w:r>
              <w:rPr>
                <w:rFonts w:ascii="Arial" w:cs="Arial" w:eastAsia="Arial" w:hAnsi="Arial"/>
                <w:sz w:val="14"/>
                <w:szCs w:val="14"/>
                <w:color w:val="auto"/>
              </w:rPr>
              <w:t>(412)</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Arial" w:cs="Arial" w:eastAsia="Arial" w:hAnsi="Arial"/>
                <w:sz w:val="14"/>
                <w:szCs w:val="14"/>
                <w:b w:val="1"/>
                <w:bCs w:val="1"/>
                <w:color w:val="0070FF"/>
              </w:rPr>
              <w:t>BENEFIT PLAN TRUST (COMMON STOCK)</w:t>
            </w:r>
          </w:p>
        </w:tc>
        <w:tc>
          <w:tcPr>
            <w:tcW w:w="1180" w:type="dxa"/>
            <w:vAlign w:val="bottom"/>
            <w:tcBorders>
              <w:bottom w:val="single" w:sz="8" w:color="0070FF"/>
            </w:tcBorders>
            <w:vMerge w:val="continue"/>
          </w:tcPr>
          <w:p>
            <w:pPr>
              <w:spacing w:after="0"/>
              <w:rPr>
                <w:sz w:val="14"/>
                <w:szCs w:val="14"/>
                <w:color w:val="auto"/>
              </w:rPr>
            </w:pPr>
          </w:p>
        </w:tc>
        <w:tc>
          <w:tcPr>
            <w:tcW w:w="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92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b w:val="1"/>
                <w:bCs w:val="1"/>
                <w:color w:val="auto"/>
              </w:rPr>
              <w:t>(240)</w:t>
            </w:r>
          </w:p>
        </w:tc>
        <w:tc>
          <w:tcPr>
            <w:tcW w:w="100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color w:val="auto"/>
              </w:rPr>
              <w:t>7,084</w:t>
            </w:r>
          </w:p>
        </w:tc>
        <w:tc>
          <w:tcPr>
            <w:tcW w:w="34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rPr>
              <w:t>(240)</w:t>
            </w:r>
          </w:p>
        </w:tc>
        <w:tc>
          <w:tcPr>
            <w:tcW w:w="100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7,084</w:t>
            </w: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tcBorders>
              <w:bottom w:val="single" w:sz="8" w:color="0070FF"/>
            </w:tcBorders>
          </w:tcPr>
          <w:p>
            <w:pPr>
              <w:jc w:val="right"/>
              <w:ind w:right="409"/>
              <w:spacing w:after="0" w:line="155" w:lineRule="exact"/>
              <w:rPr>
                <w:sz w:val="20"/>
                <w:szCs w:val="20"/>
                <w:color w:val="auto"/>
              </w:rPr>
            </w:pPr>
            <w:r>
              <w:rPr>
                <w:rFonts w:ascii="Arial" w:cs="Arial" w:eastAsia="Arial" w:hAnsi="Arial"/>
                <w:sz w:val="14"/>
                <w:szCs w:val="14"/>
                <w:b w:val="1"/>
                <w:bCs w:val="1"/>
                <w:color w:val="auto"/>
              </w:rPr>
              <w:t>7,084</w:t>
            </w:r>
          </w:p>
        </w:tc>
        <w:tc>
          <w:tcPr>
            <w:tcW w:w="160" w:type="dxa"/>
            <w:vAlign w:val="bottom"/>
            <w:tcBorders>
              <w:bottom w:val="single" w:sz="8" w:color="0070FF"/>
            </w:tcBorders>
            <w:gridSpan w:val="2"/>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(602)</w:t>
            </w:r>
          </w:p>
        </w:tc>
        <w:tc>
          <w:tcPr>
            <w:tcW w:w="100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color w:val="auto"/>
              </w:rPr>
              <w:t>7,084</w:t>
            </w: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color w:val="auto"/>
              </w:rPr>
              <w:t>(652)</w:t>
            </w:r>
          </w:p>
        </w:tc>
        <w:tc>
          <w:tcPr>
            <w:tcW w:w="100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7,084</w:t>
            </w:r>
          </w:p>
        </w:tc>
        <w:tc>
          <w:tcPr>
            <w:tcW w:w="34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20" w:type="dxa"/>
            <w:vAlign w:val="bottom"/>
          </w:tcPr>
          <w:p>
            <w:pPr>
              <w:spacing w:after="0" w:line="137" w:lineRule="exact"/>
              <w:rPr>
                <w:sz w:val="20"/>
                <w:szCs w:val="20"/>
                <w:color w:val="auto"/>
              </w:rPr>
            </w:pPr>
            <w:r>
              <w:rPr>
                <w:rFonts w:ascii="Arial" w:cs="Arial" w:eastAsia="Arial" w:hAnsi="Arial"/>
                <w:sz w:val="14"/>
                <w:szCs w:val="14"/>
                <w:b w:val="1"/>
                <w:bCs w:val="1"/>
                <w:color w:val="0070FF"/>
              </w:rPr>
              <w:t>TREASURY STOCK AT COST</w:t>
            </w:r>
          </w:p>
        </w:tc>
        <w:tc>
          <w:tcPr>
            <w:tcW w:w="118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68,884</w:t>
            </w:r>
          </w:p>
        </w:tc>
        <w:tc>
          <w:tcPr>
            <w:tcW w:w="160" w:type="dxa"/>
            <w:vAlign w:val="bottom"/>
            <w:gridSpan w:val="2"/>
            <w:vMerge w:val="restart"/>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(3,374)</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120"/>
              <w:spacing w:after="0" w:line="145" w:lineRule="exact"/>
              <w:rPr>
                <w:sz w:val="20"/>
                <w:szCs w:val="20"/>
                <w:color w:val="auto"/>
              </w:rPr>
            </w:pPr>
            <w:r>
              <w:rPr>
                <w:rFonts w:ascii="Arial" w:cs="Arial" w:eastAsia="Arial" w:hAnsi="Arial"/>
                <w:sz w:val="14"/>
                <w:szCs w:val="14"/>
                <w:color w:val="auto"/>
              </w:rPr>
              <w:t>Balance at January 1</w:t>
            </w:r>
          </w:p>
        </w:tc>
        <w:tc>
          <w:tcPr>
            <w:tcW w:w="118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tcPr>
          <w:p>
            <w:pPr>
              <w:jc w:val="right"/>
              <w:ind w:right="189"/>
              <w:spacing w:after="0" w:line="145" w:lineRule="exact"/>
              <w:rPr>
                <w:sz w:val="20"/>
                <w:szCs w:val="20"/>
                <w:color w:val="auto"/>
              </w:rPr>
            </w:pPr>
            <w:r>
              <w:rPr>
                <w:rFonts w:ascii="Arial" w:cs="Arial" w:eastAsia="Arial" w:hAnsi="Arial"/>
                <w:sz w:val="14"/>
                <w:szCs w:val="14"/>
                <w:color w:val="auto"/>
              </w:rPr>
              <w:t>69,800</w:t>
            </w: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45" w:lineRule="exact"/>
              <w:rPr>
                <w:sz w:val="20"/>
                <w:szCs w:val="20"/>
                <w:color w:val="auto"/>
              </w:rPr>
            </w:pPr>
            <w:r>
              <w:rPr>
                <w:rFonts w:ascii="Arial" w:cs="Arial" w:eastAsia="Arial" w:hAnsi="Arial"/>
                <w:sz w:val="14"/>
                <w:szCs w:val="14"/>
                <w:color w:val="auto"/>
              </w:rPr>
              <w:t>(3,415)</w:t>
            </w:r>
          </w:p>
        </w:tc>
        <w:tc>
          <w:tcPr>
            <w:tcW w:w="1000" w:type="dxa"/>
            <w:vAlign w:val="bottom"/>
          </w:tcPr>
          <w:p>
            <w:pPr>
              <w:jc w:val="right"/>
              <w:ind w:right="169"/>
              <w:spacing w:after="0" w:line="145" w:lineRule="exact"/>
              <w:rPr>
                <w:sz w:val="20"/>
                <w:szCs w:val="20"/>
                <w:color w:val="auto"/>
              </w:rPr>
            </w:pPr>
            <w:r>
              <w:rPr>
                <w:rFonts w:ascii="Arial" w:cs="Arial" w:eastAsia="Arial" w:hAnsi="Arial"/>
                <w:sz w:val="14"/>
                <w:szCs w:val="14"/>
                <w:color w:val="auto"/>
              </w:rPr>
              <w:t>84,835</w:t>
            </w:r>
          </w:p>
        </w:tc>
        <w:tc>
          <w:tcPr>
            <w:tcW w:w="34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Purchases</w:t>
            </w:r>
          </w:p>
        </w:tc>
        <w:tc>
          <w:tcPr>
            <w:tcW w:w="118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40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(3)</w:t>
            </w:r>
          </w:p>
        </w:tc>
        <w:tc>
          <w:tcPr>
            <w:tcW w:w="10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38</w:t>
            </w:r>
          </w:p>
        </w:tc>
        <w:tc>
          <w:tcPr>
            <w:tcW w:w="340" w:type="dxa"/>
            <w:vAlign w:val="bottom"/>
          </w:tcPr>
          <w:p>
            <w:pPr>
              <w:spacing w:after="0"/>
              <w:rPr>
                <w:sz w:val="12"/>
                <w:szCs w:val="12"/>
                <w:color w:val="auto"/>
              </w:rPr>
            </w:pP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w:t>
            </w:r>
          </w:p>
        </w:tc>
        <w:tc>
          <w:tcPr>
            <w:tcW w:w="10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141</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120"/>
              <w:spacing w:after="0" w:line="149" w:lineRule="exact"/>
              <w:rPr>
                <w:sz w:val="20"/>
                <w:szCs w:val="20"/>
                <w:color w:val="auto"/>
              </w:rPr>
            </w:pPr>
            <w:r>
              <w:rPr>
                <w:rFonts w:ascii="Arial" w:cs="Arial" w:eastAsia="Arial" w:hAnsi="Arial"/>
                <w:sz w:val="14"/>
                <w:szCs w:val="14"/>
                <w:color w:val="auto"/>
              </w:rPr>
              <w:t>Retirement of Texaco treasury stock</w:t>
            </w:r>
          </w:p>
        </w:tc>
        <w:tc>
          <w:tcPr>
            <w:tcW w:w="118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(12,500)</w:t>
            </w:r>
          </w:p>
        </w:tc>
        <w:tc>
          <w:tcPr>
            <w:tcW w:w="34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ind w:left="120"/>
              <w:spacing w:after="0"/>
              <w:rPr>
                <w:sz w:val="20"/>
                <w:szCs w:val="20"/>
                <w:color w:val="auto"/>
              </w:rPr>
            </w:pPr>
            <w:r>
              <w:rPr>
                <w:rFonts w:ascii="Arial" w:cs="Arial" w:eastAsia="Arial" w:hAnsi="Arial"/>
                <w:sz w:val="14"/>
                <w:szCs w:val="14"/>
                <w:color w:val="auto"/>
              </w:rPr>
              <w:t>Issuances – mainly employee benefit plans</w:t>
            </w:r>
          </w:p>
        </w:tc>
        <w:tc>
          <w:tcPr>
            <w:tcW w:w="1180" w:type="dxa"/>
            <w:vAlign w:val="bottom"/>
            <w:tcBorders>
              <w:bottom w:val="single" w:sz="8" w:color="0070FF"/>
            </w:tcBorders>
          </w:tcPr>
          <w:p>
            <w:pPr>
              <w:jc w:val="right"/>
              <w:ind w:right="369"/>
              <w:spacing w:after="0"/>
              <w:rPr>
                <w:sz w:val="20"/>
                <w:szCs w:val="20"/>
                <w:color w:val="auto"/>
              </w:rPr>
            </w:pPr>
            <w:r>
              <w:rPr>
                <w:rFonts w:ascii="Arial" w:cs="Arial" w:eastAsia="Arial" w:hAnsi="Arial"/>
                <w:sz w:val="14"/>
                <w:szCs w:val="14"/>
                <w:b w:val="1"/>
                <w:bCs w:val="1"/>
                <w:color w:val="auto"/>
              </w:rPr>
              <w:t>(1,051)</w:t>
            </w:r>
          </w:p>
        </w:tc>
        <w:tc>
          <w:tcPr>
            <w:tcW w:w="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920" w:type="dxa"/>
            <w:vAlign w:val="bottom"/>
            <w:tcBorders>
              <w:bottom w:val="single" w:sz="8" w:color="0070FF"/>
            </w:tcBorders>
          </w:tcPr>
          <w:p>
            <w:pPr>
              <w:jc w:val="right"/>
              <w:ind w:right="308"/>
              <w:spacing w:after="0"/>
              <w:rPr>
                <w:sz w:val="20"/>
                <w:szCs w:val="20"/>
                <w:color w:val="auto"/>
              </w:rPr>
            </w:pPr>
            <w:r>
              <w:rPr>
                <w:rFonts w:ascii="Arial" w:cs="Arial" w:eastAsia="Arial" w:hAnsi="Arial"/>
                <w:sz w:val="14"/>
                <w:szCs w:val="14"/>
                <w:b w:val="1"/>
                <w:bCs w:val="1"/>
                <w:color w:val="auto"/>
              </w:rPr>
              <w:t>60</w:t>
            </w:r>
          </w:p>
        </w:tc>
        <w:tc>
          <w:tcPr>
            <w:tcW w:w="100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(954)</w:t>
            </w:r>
          </w:p>
        </w:tc>
        <w:tc>
          <w:tcPr>
            <w:tcW w:w="34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44</w:t>
            </w:r>
          </w:p>
        </w:tc>
        <w:tc>
          <w:tcPr>
            <w:tcW w:w="100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(2,676)</w:t>
            </w:r>
          </w:p>
        </w:tc>
        <w:tc>
          <w:tcPr>
            <w:tcW w:w="34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6"/>
        </w:trPr>
        <w:tc>
          <w:tcPr>
            <w:tcW w:w="4940" w:type="dxa"/>
            <w:vAlign w:val="bottom"/>
            <w:gridSpan w:val="2"/>
          </w:tcPr>
          <w:p>
            <w:pPr>
              <w:spacing w:after="0" w:line="155" w:lineRule="exact"/>
              <w:rPr>
                <w:sz w:val="20"/>
                <w:szCs w:val="20"/>
                <w:color w:val="auto"/>
              </w:rPr>
            </w:pPr>
            <w:r>
              <w:rPr>
                <w:rFonts w:ascii="Arial" w:cs="Arial" w:eastAsia="Arial" w:hAnsi="Arial"/>
                <w:sz w:val="14"/>
                <w:szCs w:val="14"/>
                <w:b w:val="1"/>
                <w:bCs w:val="1"/>
                <w:color w:val="0070FF"/>
              </w:rPr>
              <w:t>BALANCE AT DECEMBER 31</w:t>
            </w:r>
          </w:p>
        </w:tc>
        <w:tc>
          <w:tcPr>
            <w:tcW w:w="1180" w:type="dxa"/>
            <w:vAlign w:val="bottom"/>
          </w:tcPr>
          <w:p>
            <w:pPr>
              <w:jc w:val="right"/>
              <w:ind w:right="409"/>
              <w:spacing w:after="0" w:line="155" w:lineRule="exact"/>
              <w:rPr>
                <w:sz w:val="20"/>
                <w:szCs w:val="20"/>
                <w:color w:val="auto"/>
              </w:rPr>
            </w:pPr>
            <w:r>
              <w:rPr>
                <w:rFonts w:ascii="Arial" w:cs="Arial" w:eastAsia="Arial" w:hAnsi="Arial"/>
                <w:sz w:val="14"/>
                <w:szCs w:val="14"/>
                <w:b w:val="1"/>
                <w:bCs w:val="1"/>
                <w:color w:val="auto"/>
              </w:rPr>
              <w:t>67,873</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(3,317)</w:t>
            </w:r>
          </w:p>
        </w:tc>
        <w:tc>
          <w:tcPr>
            <w:tcW w:w="1000" w:type="dxa"/>
            <w:vAlign w:val="bottom"/>
          </w:tcPr>
          <w:p>
            <w:pPr>
              <w:jc w:val="right"/>
              <w:ind w:right="189"/>
              <w:spacing w:after="0" w:line="155" w:lineRule="exact"/>
              <w:rPr>
                <w:sz w:val="20"/>
                <w:szCs w:val="20"/>
                <w:color w:val="auto"/>
              </w:rPr>
            </w:pPr>
            <w:r>
              <w:rPr>
                <w:rFonts w:ascii="Arial" w:cs="Arial" w:eastAsia="Arial" w:hAnsi="Arial"/>
                <w:sz w:val="14"/>
                <w:szCs w:val="14"/>
                <w:color w:val="auto"/>
              </w:rPr>
              <w:t>68,884</w:t>
            </w:r>
          </w:p>
        </w:tc>
        <w:tc>
          <w:tcPr>
            <w:tcW w:w="3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(3,374)</w:t>
            </w:r>
          </w:p>
        </w:tc>
        <w:tc>
          <w:tcPr>
            <w:tcW w:w="1000" w:type="dxa"/>
            <w:vAlign w:val="bottom"/>
          </w:tcPr>
          <w:p>
            <w:pPr>
              <w:jc w:val="right"/>
              <w:ind w:right="169"/>
              <w:spacing w:after="0" w:line="155" w:lineRule="exact"/>
              <w:rPr>
                <w:sz w:val="20"/>
                <w:szCs w:val="20"/>
                <w:color w:val="auto"/>
              </w:rPr>
            </w:pPr>
            <w:r>
              <w:rPr>
                <w:rFonts w:ascii="Arial" w:cs="Arial" w:eastAsia="Arial" w:hAnsi="Arial"/>
                <w:sz w:val="14"/>
                <w:szCs w:val="14"/>
                <w:color w:val="auto"/>
              </w:rPr>
              <w:t>69,800</w:t>
            </w:r>
          </w:p>
        </w:tc>
        <w:tc>
          <w:tcPr>
            <w:tcW w:w="3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(3,415)</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4920" w:type="dxa"/>
            <w:vAlign w:val="bottom"/>
            <w:tcBorders>
              <w:top w:val="single" w:sz="8" w:color="0070FF"/>
              <w:bottom w:val="single" w:sz="8" w:color="0070FF"/>
            </w:tcBorders>
          </w:tcPr>
          <w:p>
            <w:pPr>
              <w:spacing w:after="0" w:line="155" w:lineRule="exact"/>
              <w:rPr>
                <w:sz w:val="20"/>
                <w:szCs w:val="20"/>
                <w:color w:val="auto"/>
              </w:rPr>
            </w:pPr>
            <w:r>
              <w:rPr>
                <w:rFonts w:ascii="Arial" w:cs="Arial" w:eastAsia="Arial" w:hAnsi="Arial"/>
                <w:sz w:val="14"/>
                <w:szCs w:val="14"/>
                <w:b w:val="1"/>
                <w:bCs w:val="1"/>
                <w:color w:val="0070FF"/>
              </w:rPr>
              <w:t>TOTAL STOCKHOLDERS’ EQUITY AT DECEMBER 31</w:t>
            </w:r>
          </w:p>
        </w:tc>
        <w:tc>
          <w:tcPr>
            <w:tcW w:w="1180" w:type="dxa"/>
            <w:vAlign w:val="bottom"/>
            <w:tcBorders>
              <w:top w:val="single" w:sz="8" w:color="0070FF"/>
              <w:bottom w:val="single" w:sz="8" w:color="0070FF"/>
            </w:tcBorders>
          </w:tcPr>
          <w:p>
            <w:pPr>
              <w:spacing w:after="0"/>
              <w:rPr>
                <w:sz w:val="15"/>
                <w:szCs w:val="15"/>
                <w:color w:val="auto"/>
              </w:rPr>
            </w:pPr>
          </w:p>
        </w:tc>
        <w:tc>
          <w:tcPr>
            <w:tcW w:w="160" w:type="dxa"/>
            <w:vAlign w:val="bottom"/>
            <w:tcBorders>
              <w:top w:val="single" w:sz="8" w:color="0070FF"/>
              <w:bottom w:val="single" w:sz="8" w:color="0070FF"/>
            </w:tcBorders>
            <w:gridSpan w:val="2"/>
          </w:tcPr>
          <w:p>
            <w:pPr>
              <w:jc w:val="right"/>
              <w:ind w:right="74"/>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0070FF"/>
              <w:bottom w:val="single" w:sz="8" w:color="0070FF"/>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36,295</w:t>
            </w:r>
          </w:p>
        </w:tc>
        <w:tc>
          <w:tcPr>
            <w:tcW w:w="1000" w:type="dxa"/>
            <w:vAlign w:val="bottom"/>
            <w:tcBorders>
              <w:top w:val="single" w:sz="8" w:color="0070FF"/>
              <w:bottom w:val="single" w:sz="8" w:color="0070FF"/>
            </w:tcBorders>
          </w:tcPr>
          <w:p>
            <w:pPr>
              <w:spacing w:after="0"/>
              <w:rPr>
                <w:sz w:val="15"/>
                <w:szCs w:val="15"/>
                <w:color w:val="auto"/>
              </w:rPr>
            </w:pPr>
          </w:p>
        </w:tc>
        <w:tc>
          <w:tcPr>
            <w:tcW w:w="34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0070FF"/>
              <w:bottom w:val="single" w:sz="8" w:color="0070FF"/>
            </w:tcBorders>
          </w:tcPr>
          <w:p>
            <w:pPr>
              <w:jc w:val="right"/>
              <w:ind w:right="288"/>
              <w:spacing w:after="0" w:line="155" w:lineRule="exact"/>
              <w:rPr>
                <w:sz w:val="20"/>
                <w:szCs w:val="20"/>
                <w:color w:val="auto"/>
              </w:rPr>
            </w:pPr>
            <w:r>
              <w:rPr>
                <w:rFonts w:ascii="Arial" w:cs="Arial" w:eastAsia="Arial" w:hAnsi="Arial"/>
                <w:sz w:val="14"/>
                <w:szCs w:val="14"/>
                <w:color w:val="auto"/>
              </w:rPr>
              <w:t>31,604</w:t>
            </w:r>
          </w:p>
        </w:tc>
        <w:tc>
          <w:tcPr>
            <w:tcW w:w="1000" w:type="dxa"/>
            <w:vAlign w:val="bottom"/>
            <w:tcBorders>
              <w:top w:val="single" w:sz="8" w:color="0070FF"/>
              <w:bottom w:val="single" w:sz="8" w:color="0070FF"/>
            </w:tcBorders>
          </w:tcPr>
          <w:p>
            <w:pPr>
              <w:spacing w:after="0"/>
              <w:rPr>
                <w:sz w:val="15"/>
                <w:szCs w:val="15"/>
                <w:color w:val="auto"/>
              </w:rPr>
            </w:pPr>
          </w:p>
        </w:tc>
        <w:tc>
          <w:tcPr>
            <w:tcW w:w="340" w:type="dxa"/>
            <w:vAlign w:val="bottom"/>
            <w:tcBorders>
              <w:top w:val="single" w:sz="8" w:color="0070FF"/>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0070FF"/>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33,958</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00" w:hanging="584"/>
        <w:spacing w:after="0"/>
        <w:tabs>
          <w:tab w:leader="none" w:pos="700" w:val="left"/>
        </w:tabs>
        <w:numPr>
          <w:ilvl w:val="0"/>
          <w:numId w:val="37"/>
        </w:numPr>
        <w:rPr>
          <w:rFonts w:ascii="Arial" w:cs="Arial" w:eastAsia="Arial" w:hAnsi="Arial"/>
          <w:sz w:val="26"/>
          <w:szCs w:val="26"/>
          <w:b w:val="1"/>
          <w:bCs w:val="1"/>
          <w:color w:val="0070FF"/>
        </w:rPr>
      </w:pPr>
      <w:r>
        <w:rPr>
          <w:rFonts w:ascii="Arial" w:cs="Arial" w:eastAsia="Arial" w:hAnsi="Arial"/>
          <w:sz w:val="21"/>
          <w:szCs w:val="21"/>
          <w:color w:val="0070FF"/>
        </w:rPr>
        <w:t>Notes to the Consolidated Financial Statements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SUMMARY OF SIGNIFICANT ACCOUNTING POLICIES</w:t>
      </w:r>
    </w:p>
    <w:p>
      <w:pPr>
        <w:spacing w:after="0" w:line="27"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i w:val="1"/>
          <w:iCs w:val="1"/>
          <w:color w:val="F20000"/>
        </w:rPr>
        <w:t xml:space="preserve">General </w:t>
      </w:r>
      <w:r>
        <w:rPr>
          <w:rFonts w:ascii="Arial" w:cs="Arial" w:eastAsia="Arial" w:hAnsi="Arial"/>
          <w:sz w:val="15"/>
          <w:szCs w:val="15"/>
          <w:color w:val="000000"/>
        </w:rPr>
        <w:t>ChevronTexaco manages its investments in and provides administrative,</w:t>
      </w:r>
      <w:r>
        <w:rPr>
          <w:rFonts w:ascii="Arial" w:cs="Arial" w:eastAsia="Arial" w:hAnsi="Arial"/>
          <w:sz w:val="15"/>
          <w:szCs w:val="15"/>
          <w:i w:val="1"/>
          <w:iCs w:val="1"/>
          <w:color w:val="F20000"/>
        </w:rPr>
        <w:t xml:space="preserve"> </w:t>
      </w:r>
      <w:r>
        <w:rPr>
          <w:rFonts w:ascii="Arial" w:cs="Arial" w:eastAsia="Arial" w:hAnsi="Arial"/>
          <w:sz w:val="15"/>
          <w:szCs w:val="15"/>
          <w:color w:val="000000"/>
        </w:rPr>
        <w:t>financial and management support to U.S. and foreign subsidiaries and affiliates that engage in fully integrated petroleum operations, chemicals operations and coal mining activities. In addition, ChevronTexaco holds investments in power generation and gasification businesses. Collectively, these companies operate in more than 180 countries. Petroleum operations consist of exploring for, developing and producing crude oil and natural gas; refining crude oil into finished petroleum products; marketing crude oil, natural gas and the many products derived from petroleum; and transporting crude oil, natural gas and petroleum products by pipelines, marine vessels, motor equipment and rail car. Chemicals operations include the manufacture and marketing of commodity petrochemicals, plastics for industrial uses, and fuel and lube oil additives.</w:t>
      </w:r>
    </w:p>
    <w:p>
      <w:pPr>
        <w:spacing w:after="0" w:line="6" w:lineRule="exact"/>
        <w:rPr>
          <w:sz w:val="20"/>
          <w:szCs w:val="20"/>
          <w:color w:val="auto"/>
        </w:rPr>
      </w:pPr>
    </w:p>
    <w:p>
      <w:pPr>
        <w:ind w:right="120" w:firstLine="203"/>
        <w:spacing w:after="0" w:line="281" w:lineRule="auto"/>
        <w:rPr>
          <w:sz w:val="20"/>
          <w:szCs w:val="20"/>
          <w:color w:val="auto"/>
        </w:rPr>
      </w:pPr>
      <w:r>
        <w:rPr>
          <w:rFonts w:ascii="Arial" w:cs="Arial" w:eastAsia="Arial" w:hAnsi="Arial"/>
          <w:sz w:val="15"/>
          <w:szCs w:val="15"/>
          <w:color w:val="auto"/>
        </w:rPr>
        <w:t>In preparing its Consolidated Financial Statements, the company follows accounting principles generally accepted in the United States of America. This requires the use of estimates and assumptions that affect the assets, liabilities, revenues and expenses reported in the financial statements as well as amounts included in the notes thereto, including discussion and disclosure of contingent liabilities. While the company uses its best estimates and judgments, actual results could differ from these estimates as future confirming events occur.</w:t>
      </w:r>
    </w:p>
    <w:p>
      <w:pPr>
        <w:spacing w:after="0" w:line="4" w:lineRule="exact"/>
        <w:rPr>
          <w:sz w:val="20"/>
          <w:szCs w:val="20"/>
          <w:color w:val="auto"/>
        </w:rPr>
      </w:pPr>
    </w:p>
    <w:p>
      <w:pPr>
        <w:ind w:firstLine="200"/>
        <w:spacing w:after="0" w:line="272" w:lineRule="auto"/>
        <w:rPr>
          <w:sz w:val="20"/>
          <w:szCs w:val="20"/>
          <w:color w:val="auto"/>
        </w:rPr>
      </w:pPr>
      <w:r>
        <w:rPr>
          <w:rFonts w:ascii="Arial" w:cs="Arial" w:eastAsia="Arial" w:hAnsi="Arial"/>
          <w:sz w:val="16"/>
          <w:szCs w:val="16"/>
          <w:color w:val="auto"/>
        </w:rPr>
        <w:t>The nature of the company’s operations and the many countries in which it operates subject it to changing economic, regulatory and political conditions. The company does not believe it is vulnerable to the risk of near-term severe impact as a result of any concentration of its activities.</w:t>
      </w:r>
    </w:p>
    <w:p>
      <w:pPr>
        <w:spacing w:after="0" w:line="175"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i w:val="1"/>
          <w:iCs w:val="1"/>
          <w:color w:val="F20000"/>
        </w:rPr>
        <w:t xml:space="preserve">Subsidiary and Affiliated Companies </w:t>
      </w:r>
      <w:r>
        <w:rPr>
          <w:rFonts w:ascii="Arial" w:cs="Arial" w:eastAsia="Arial" w:hAnsi="Arial"/>
          <w:sz w:val="15"/>
          <w:szCs w:val="15"/>
          <w:color w:val="000000"/>
        </w:rPr>
        <w:t>The Consolidated Financial Statements</w:t>
      </w:r>
      <w:r>
        <w:rPr>
          <w:rFonts w:ascii="Arial" w:cs="Arial" w:eastAsia="Arial" w:hAnsi="Arial"/>
          <w:sz w:val="15"/>
          <w:szCs w:val="15"/>
          <w:i w:val="1"/>
          <w:iCs w:val="1"/>
          <w:color w:val="F20000"/>
        </w:rPr>
        <w:t xml:space="preserve"> </w:t>
      </w:r>
      <w:r>
        <w:rPr>
          <w:rFonts w:ascii="Arial" w:cs="Arial" w:eastAsia="Arial" w:hAnsi="Arial"/>
          <w:sz w:val="15"/>
          <w:szCs w:val="15"/>
          <w:color w:val="000000"/>
        </w:rPr>
        <w:t>include the accounts of controlled subsidiary companies more than 50 percent owned. Investments in and advances to affiliates in which the company has a substantial ownership interest of approximately 20 percent to 50 percent or for which the company exercises significant influence but not control over policy decisions are accounted for by the equity method. As part of that accounting, the company recognizes gains and losses that arise from the issuance of stock by an affiliate that results in changes in the company’s proportionate share of the dollar amount of the affiliate’s equity currently in income. Deferred income taxes are provided for these gains and losses.</w:t>
      </w:r>
    </w:p>
    <w:p>
      <w:pPr>
        <w:spacing w:after="0" w:line="3" w:lineRule="exact"/>
        <w:rPr>
          <w:sz w:val="20"/>
          <w:szCs w:val="20"/>
          <w:color w:val="auto"/>
        </w:rPr>
      </w:pPr>
    </w:p>
    <w:p>
      <w:pPr>
        <w:ind w:firstLine="203"/>
        <w:spacing w:after="0" w:line="286" w:lineRule="auto"/>
        <w:rPr>
          <w:sz w:val="20"/>
          <w:szCs w:val="20"/>
          <w:color w:val="auto"/>
        </w:rPr>
      </w:pPr>
      <w:r>
        <w:rPr>
          <w:rFonts w:ascii="Arial" w:cs="Arial" w:eastAsia="Arial" w:hAnsi="Arial"/>
          <w:sz w:val="15"/>
          <w:szCs w:val="15"/>
          <w:color w:val="auto"/>
        </w:rPr>
        <w:t>Investments are assessed for possible impairment when there are indications that the fair value of the investment may be below the company’s carrying value. When such a condition is deemed to be other than temporary, the carrying value of the investment is written down to its fair value, and the amount of the write-down is included in net income. 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 allow for any anticipated recovery in the investment’s market value. The new cost basis of investments in the common stock of these equity investees is not changed for subsequent recov-</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0070FF"/>
        </w:rPr>
        <w:t>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135890</wp:posOffset>
            </wp:positionV>
            <wp:extent cx="8890" cy="6260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6260465"/>
                    </a:xfrm>
                    <a:prstGeom prst="rect">
                      <a:avLst/>
                    </a:prstGeom>
                    <a:noFill/>
                  </pic:spPr>
                </pic:pic>
              </a:graphicData>
            </a:graphic>
          </wp:anchor>
        </w:drawing>
      </w:r>
    </w:p>
    <w:p>
      <w:pPr>
        <w:spacing w:after="0" w:line="25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eries in fair value. Subsequent recoveries in the carrying value of other investments are reported in “Other comprehensive income.”</w:t>
      </w:r>
    </w:p>
    <w:p>
      <w:pPr>
        <w:spacing w:after="0" w:line="1" w:lineRule="exact"/>
        <w:rPr>
          <w:sz w:val="20"/>
          <w:szCs w:val="20"/>
          <w:color w:val="auto"/>
        </w:rPr>
      </w:pPr>
    </w:p>
    <w:p>
      <w:pPr>
        <w:ind w:right="220" w:firstLine="203"/>
        <w:spacing w:after="0" w:line="314" w:lineRule="auto"/>
        <w:rPr>
          <w:sz w:val="20"/>
          <w:szCs w:val="20"/>
          <w:color w:val="auto"/>
        </w:rPr>
      </w:pPr>
      <w:r>
        <w:rPr>
          <w:rFonts w:ascii="Arial" w:cs="Arial" w:eastAsia="Arial" w:hAnsi="Arial"/>
          <w:sz w:val="14"/>
          <w:szCs w:val="14"/>
          <w:color w:val="auto"/>
        </w:rPr>
        <w:t>Differences between the company’s carrying value of an equity investment and its underlying equity in the net assets of the affiliate are assigned to the extent practicable to specific assets and liabilities based on the company’s analysis of the various factors giving rise to the difference. The company’s share of the affiliate’s reported earnings is adjusted quarterly to reflect the difference between these allocated values and the affiliate’s historical book values.</w:t>
      </w:r>
    </w:p>
    <w:p>
      <w:pPr>
        <w:spacing w:after="0" w:line="150" w:lineRule="exact"/>
        <w:rPr>
          <w:sz w:val="20"/>
          <w:szCs w:val="20"/>
          <w:color w:val="auto"/>
        </w:rPr>
      </w:pPr>
    </w:p>
    <w:p>
      <w:pPr>
        <w:ind w:right="60"/>
        <w:spacing w:after="0" w:line="307" w:lineRule="auto"/>
        <w:rPr>
          <w:sz w:val="20"/>
          <w:szCs w:val="20"/>
          <w:color w:val="auto"/>
        </w:rPr>
      </w:pPr>
      <w:r>
        <w:rPr>
          <w:rFonts w:ascii="Arial" w:cs="Arial" w:eastAsia="Arial" w:hAnsi="Arial"/>
          <w:sz w:val="14"/>
          <w:szCs w:val="14"/>
          <w:i w:val="1"/>
          <w:iCs w:val="1"/>
          <w:color w:val="F20000"/>
        </w:rPr>
        <w:t xml:space="preserve">Derivatives </w:t>
      </w:r>
      <w:r>
        <w:rPr>
          <w:rFonts w:ascii="Arial" w:cs="Arial" w:eastAsia="Arial" w:hAnsi="Arial"/>
          <w:sz w:val="14"/>
          <w:szCs w:val="14"/>
          <w:color w:val="000000"/>
        </w:rPr>
        <w:t>The majority of the company’s activity in commodity derivative</w:t>
      </w:r>
      <w:r>
        <w:rPr>
          <w:rFonts w:ascii="Arial" w:cs="Arial" w:eastAsia="Arial" w:hAnsi="Arial"/>
          <w:sz w:val="14"/>
          <w:szCs w:val="14"/>
          <w:i w:val="1"/>
          <w:iCs w:val="1"/>
          <w:color w:val="F20000"/>
        </w:rPr>
        <w:t xml:space="preserve"> </w:t>
      </w:r>
      <w:r>
        <w:rPr>
          <w:rFonts w:ascii="Arial" w:cs="Arial" w:eastAsia="Arial" w:hAnsi="Arial"/>
          <w:sz w:val="14"/>
          <w:szCs w:val="14"/>
          <w:color w:val="000000"/>
        </w:rPr>
        <w:t>instruments is intended to manage the price risk posed by physical transactions. For some of this derivative activity, generally limited to large, discrete or infrequently occurring transactions, the company may elect to apply fair value or cash flow hedge accounting. For other similar derivative instruments, generally because of the short-term nature of the contracts or their limited use, the company has elected not to apply hedge accounting, and changes in the fair value of those contracts are reflected in current income. For the company’s trading activity, gains and losses from the derivative instruments are reported in current income. For derivative instruments relating to foreign currency exposures, gains and losses are reported in current income. Interest rate swaps — hedging a portion of the company’s fixed-rate debt — are accounted for as fair value hedges, whereas interest rate swaps relating to a portion of the company’s floating-rate debt are recorded at fair value on the Consolidated Balance Sheet with resulting gains and losses reflected in income.</w:t>
      </w:r>
    </w:p>
    <w:p>
      <w:pPr>
        <w:spacing w:after="0" w:line="156"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i w:val="1"/>
          <w:iCs w:val="1"/>
          <w:color w:val="F20000"/>
        </w:rPr>
        <w:t xml:space="preserve">Short-Term Investments </w:t>
      </w:r>
      <w:r>
        <w:rPr>
          <w:rFonts w:ascii="Arial" w:cs="Arial" w:eastAsia="Arial" w:hAnsi="Arial"/>
          <w:sz w:val="16"/>
          <w:szCs w:val="16"/>
          <w:color w:val="000000"/>
        </w:rPr>
        <w:t>All short-term investments are classified as available for</w:t>
      </w:r>
      <w:r>
        <w:rPr>
          <w:rFonts w:ascii="Arial" w:cs="Arial" w:eastAsia="Arial" w:hAnsi="Arial"/>
          <w:sz w:val="16"/>
          <w:szCs w:val="16"/>
          <w:i w:val="1"/>
          <w:iCs w:val="1"/>
          <w:color w:val="F20000"/>
        </w:rPr>
        <w:t xml:space="preserve"> </w:t>
      </w:r>
      <w:r>
        <w:rPr>
          <w:rFonts w:ascii="Arial" w:cs="Arial" w:eastAsia="Arial" w:hAnsi="Arial"/>
          <w:sz w:val="16"/>
          <w:szCs w:val="16"/>
          <w:color w:val="000000"/>
        </w:rPr>
        <w:t>sale and are in highly liquid debt or equity securities. Those investments that are part of the company’s cash management portfolio with original maturities of three months or less are reported as “Cash equivalents.” The balance of the short-term investments is reported as “Marketable securities.” Short-term investments are marked-to-market with any unrealized gains or losses included in “Other comprehensive income.”</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i w:val="1"/>
          <w:iCs w:val="1"/>
          <w:color w:val="F20000"/>
        </w:rPr>
        <w:t xml:space="preserve">Inventories </w:t>
      </w:r>
      <w:r>
        <w:rPr>
          <w:rFonts w:ascii="Arial" w:cs="Arial" w:eastAsia="Arial" w:hAnsi="Arial"/>
          <w:sz w:val="16"/>
          <w:szCs w:val="16"/>
          <w:color w:val="000000"/>
        </w:rPr>
        <w:t>Crude oil, petroleum products and chemicals are generally stated at cost,</w:t>
      </w:r>
      <w:r>
        <w:rPr>
          <w:rFonts w:ascii="Arial" w:cs="Arial" w:eastAsia="Arial" w:hAnsi="Arial"/>
          <w:sz w:val="16"/>
          <w:szCs w:val="16"/>
          <w:i w:val="1"/>
          <w:iCs w:val="1"/>
          <w:color w:val="F20000"/>
        </w:rPr>
        <w:t xml:space="preserve"> </w:t>
      </w:r>
      <w:r>
        <w:rPr>
          <w:rFonts w:ascii="Arial" w:cs="Arial" w:eastAsia="Arial" w:hAnsi="Arial"/>
          <w:sz w:val="16"/>
          <w:szCs w:val="16"/>
          <w:color w:val="000000"/>
        </w:rPr>
        <w:t>using a Last-In, First-Out (LIFO) method. In the aggregate, these costs are below market. “Materials, supplies and other” inventories generally are stated at average cost.</w:t>
      </w:r>
    </w:p>
    <w:p>
      <w:pPr>
        <w:spacing w:after="0" w:line="176"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i w:val="1"/>
          <w:iCs w:val="1"/>
          <w:color w:val="F20000"/>
        </w:rPr>
        <w:t xml:space="preserve">Properties, Plant and Equipment </w:t>
      </w:r>
      <w:r>
        <w:rPr>
          <w:rFonts w:ascii="Arial" w:cs="Arial" w:eastAsia="Arial" w:hAnsi="Arial"/>
          <w:sz w:val="14"/>
          <w:szCs w:val="14"/>
          <w:color w:val="000000"/>
        </w:rPr>
        <w:t>The successful efforts method is used for oil and</w:t>
      </w:r>
      <w:r>
        <w:rPr>
          <w:rFonts w:ascii="Arial" w:cs="Arial" w:eastAsia="Arial" w:hAnsi="Arial"/>
          <w:sz w:val="14"/>
          <w:szCs w:val="14"/>
          <w:i w:val="1"/>
          <w:iCs w:val="1"/>
          <w:color w:val="F20000"/>
        </w:rPr>
        <w:t xml:space="preserve"> </w:t>
      </w:r>
      <w:r>
        <w:rPr>
          <w:rFonts w:ascii="Arial" w:cs="Arial" w:eastAsia="Arial" w:hAnsi="Arial"/>
          <w:sz w:val="14"/>
          <w:szCs w:val="14"/>
          <w:color w:val="000000"/>
        </w:rPr>
        <w:t>gas exploration and production activities. All costs for development wells, related plant and equipment, proved mineral interests in oil and gas properties, and related asset retirement obligation (ARO) assets are capitalized. Costs of exploratory wells are capitalized pending determination of whether the wells found proved reserves. Costs of wells that are assigned proved reserves remain capitalized. Costs also are capitalized for wells that find commercially producible reserves that cannot be classified as proved, pending one or more of the following: (1) decisions on additional major capital expenditures, (2) the results of additional exploratory wells that are under way or firmly planned, and (3) securing final regulatory approvals for development. Otherwise, well costs are expensed if a deter-</w:t>
      </w:r>
    </w:p>
    <w:p>
      <w:pPr>
        <w:spacing w:after="0" w:line="219" w:lineRule="exact"/>
        <w:rPr>
          <w:sz w:val="20"/>
          <w:szCs w:val="20"/>
          <w:color w:val="auto"/>
        </w:rPr>
      </w:pPr>
    </w:p>
    <w:p>
      <w:pPr>
        <w:sectPr>
          <w:pgSz w:w="11900" w:h="16838" w:orient="portrait"/>
          <w:cols w:equalWidth="0" w:num="2">
            <w:col w:w="5460" w:space="420"/>
            <w:col w:w="5540"/>
          </w:cols>
          <w:pgMar w:left="240" w:top="419" w:right="2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0070FF"/>
        </w:rPr>
        <w:t>NOTE 1. SUMMARY OF SIGNIFICANT ACCOUNTING POLICIES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4988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1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mination as to whether proved reserves were found cannot be made within one year following completion of drilling. All other exploratory wells and costs are expensed.</w:t>
      </w:r>
    </w:p>
    <w:p>
      <w:pPr>
        <w:spacing w:after="0" w:line="2" w:lineRule="exact"/>
        <w:rPr>
          <w:sz w:val="20"/>
          <w:szCs w:val="20"/>
          <w:color w:val="auto"/>
        </w:rPr>
      </w:pPr>
    </w:p>
    <w:p>
      <w:pPr>
        <w:ind w:right="20" w:firstLine="203"/>
        <w:spacing w:after="0" w:line="301" w:lineRule="auto"/>
        <w:rPr>
          <w:sz w:val="20"/>
          <w:szCs w:val="20"/>
          <w:color w:val="auto"/>
        </w:rPr>
      </w:pPr>
      <w:r>
        <w:rPr>
          <w:rFonts w:ascii="Arial" w:cs="Arial" w:eastAsia="Arial" w:hAnsi="Arial"/>
          <w:sz w:val="14"/>
          <w:szCs w:val="14"/>
          <w:color w:val="auto"/>
        </w:rPr>
        <w:t>Long-lived assets to be held and used, including proved oil and gas properties, are assessed for possible impairment by comparing their carrying values with the undiscounted future net before-tax cash flows. Events that can trigger assessments for possible impairments include write-downs of proved reserves based on field performance, significant decreases in the market value of an asset, significant change in the extent or manner of use, physical change in an asset, and an expectation that, more likely than not, a long-lived asset or asset group will be sold or otherwise disposed of significantly before the end of its previously estimated useful life. Impaired assets are written down to their estimated fair values, generally their discounted future net before-tax cash flows. For proved oil and gas properties in the United States, the company generally performs the impairment review on an individual field basis. Outside the United States, reviews are performed on a country, concession or field basis, as appropriate. Impairment amounts are recorded as incremental “Depreciation, depletion and amortization” expense.</w:t>
      </w:r>
    </w:p>
    <w:p>
      <w:pPr>
        <w:spacing w:after="0" w:line="9" w:lineRule="exact"/>
        <w:rPr>
          <w:sz w:val="20"/>
          <w:szCs w:val="20"/>
          <w:color w:val="auto"/>
        </w:rPr>
      </w:pPr>
    </w:p>
    <w:p>
      <w:pPr>
        <w:ind w:right="60" w:firstLine="203"/>
        <w:spacing w:after="0" w:line="264" w:lineRule="auto"/>
        <w:rPr>
          <w:sz w:val="20"/>
          <w:szCs w:val="20"/>
          <w:color w:val="auto"/>
        </w:rPr>
      </w:pPr>
      <w:r>
        <w:rPr>
          <w:rFonts w:ascii="Arial" w:cs="Arial" w:eastAsia="Arial" w:hAnsi="Arial"/>
          <w:sz w:val="16"/>
          <w:szCs w:val="16"/>
          <w:color w:val="auto"/>
        </w:rPr>
        <w:t>Long-lived assets that are held for sale are evaluated for possible impairment by comparing the carrying value with the fair value less the cost to sell. If the net book value exceeds the sales value, the asset is considered impaired resulting in an adjustment to the lower value.</w:t>
      </w:r>
    </w:p>
    <w:p>
      <w:pPr>
        <w:spacing w:after="0" w:line="1" w:lineRule="exact"/>
        <w:rPr>
          <w:sz w:val="20"/>
          <w:szCs w:val="20"/>
          <w:color w:val="auto"/>
        </w:rPr>
      </w:pPr>
    </w:p>
    <w:p>
      <w:pPr>
        <w:ind w:right="60" w:firstLine="203"/>
        <w:spacing w:after="0" w:line="281" w:lineRule="auto"/>
        <w:rPr>
          <w:sz w:val="20"/>
          <w:szCs w:val="20"/>
          <w:color w:val="auto"/>
        </w:rPr>
      </w:pPr>
      <w:r>
        <w:rPr>
          <w:rFonts w:ascii="Arial" w:cs="Arial" w:eastAsia="Arial" w:hAnsi="Arial"/>
          <w:sz w:val="15"/>
          <w:szCs w:val="15"/>
          <w:color w:val="auto"/>
        </w:rPr>
        <w:t>Effective January 1, 2003, the company implemented Financial Accounting Standards Board Statement No. 143, “Accounting for Asset Retirement Obligations” (FAS 143), in which the fair value of a liability for an asset retirement obligation is recorded as an asset and a liability when there is a legal obligation associated with the retirement of a long-lived asset and the amount can be reasonably estimated. See also Note 25 on page FS-50 relating to asset retirement obligations, which includes additional information on the company’s adoption of FAS 143. Previously, for oil, gas and coal producing properties, a provision was made through depreciation expense for anticipated abandonment and restoration costs at the end of the property’s useful life.</w:t>
      </w:r>
    </w:p>
    <w:p>
      <w:pPr>
        <w:spacing w:after="0" w:line="6" w:lineRule="exact"/>
        <w:rPr>
          <w:sz w:val="20"/>
          <w:szCs w:val="20"/>
          <w:color w:val="auto"/>
        </w:rPr>
      </w:pPr>
    </w:p>
    <w:p>
      <w:pPr>
        <w:ind w:right="160" w:firstLine="203"/>
        <w:spacing w:after="0" w:line="281" w:lineRule="auto"/>
        <w:rPr>
          <w:sz w:val="20"/>
          <w:szCs w:val="20"/>
          <w:color w:val="auto"/>
        </w:rPr>
      </w:pPr>
      <w:r>
        <w:rPr>
          <w:rFonts w:ascii="Arial" w:cs="Arial" w:eastAsia="Arial" w:hAnsi="Arial"/>
          <w:sz w:val="15"/>
          <w:szCs w:val="15"/>
          <w:color w:val="auto"/>
        </w:rPr>
        <w:t>Depreciation and depletion of all capitalized costs of proved oil and gas producing properties, except mineral interests, are expensed using the unit-of-production method by individual field as the proved developed reserves are produced. Depletion expenses for capitalized costs of proved mineral interests are recognized using the unit-of-production method by individual field as the related proved reserves are produced. Periodic valuation provisions for impairment of capitalized costs of unproved mineral interests are expensed.</w:t>
      </w:r>
    </w:p>
    <w:p>
      <w:pPr>
        <w:spacing w:after="0" w:line="4" w:lineRule="exact"/>
        <w:rPr>
          <w:sz w:val="20"/>
          <w:szCs w:val="20"/>
          <w:color w:val="auto"/>
        </w:rPr>
      </w:pPr>
    </w:p>
    <w:p>
      <w:pPr>
        <w:ind w:right="40" w:firstLine="203"/>
        <w:spacing w:after="0" w:line="264" w:lineRule="auto"/>
        <w:rPr>
          <w:sz w:val="20"/>
          <w:szCs w:val="20"/>
          <w:color w:val="auto"/>
        </w:rPr>
      </w:pPr>
      <w:r>
        <w:rPr>
          <w:rFonts w:ascii="Arial" w:cs="Arial" w:eastAsia="Arial" w:hAnsi="Arial"/>
          <w:sz w:val="16"/>
          <w:szCs w:val="16"/>
          <w:color w:val="auto"/>
        </w:rPr>
        <w:t>Depreciation and depletion expenses for coal assets are determined using the unit-of-production method as the proved reserves are produced. The capitalized costs of all other plant and equipment are depreciated or amortized over their estimated useful lives. In general, the declining-balance method is used to depreciate plant and equipment in the United States; the straight-line method generally is used to depreciate international plant and equipment and to amortize all capitalized leased assets.</w:t>
      </w:r>
    </w:p>
    <w:p>
      <w:pPr>
        <w:spacing w:after="0" w:line="1" w:lineRule="exact"/>
        <w:rPr>
          <w:sz w:val="20"/>
          <w:szCs w:val="20"/>
          <w:color w:val="auto"/>
        </w:rPr>
      </w:pPr>
    </w:p>
    <w:p>
      <w:pPr>
        <w:ind w:firstLine="203"/>
        <w:spacing w:after="0" w:line="272" w:lineRule="auto"/>
        <w:rPr>
          <w:sz w:val="20"/>
          <w:szCs w:val="20"/>
          <w:color w:val="auto"/>
        </w:rPr>
      </w:pPr>
      <w:r>
        <w:rPr>
          <w:rFonts w:ascii="Arial" w:cs="Arial" w:eastAsia="Arial" w:hAnsi="Arial"/>
          <w:sz w:val="16"/>
          <w:szCs w:val="16"/>
          <w:color w:val="auto"/>
        </w:rPr>
        <w:t>Gains or losses are not recognized for normal retirements of properties, plant and equipment subject to composite group amortization or depreciation. Gains or losses from abnormal retirements are recorded as expenses and from sales as “Other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both"/>
        <w:ind w:right="100" w:firstLine="203"/>
        <w:spacing w:after="0" w:line="278" w:lineRule="auto"/>
        <w:rPr>
          <w:sz w:val="20"/>
          <w:szCs w:val="20"/>
          <w:color w:val="auto"/>
        </w:rPr>
      </w:pPr>
      <w:r>
        <w:rPr>
          <w:rFonts w:ascii="Arial" w:cs="Arial" w:eastAsia="Arial" w:hAnsi="Arial"/>
          <w:sz w:val="16"/>
          <w:szCs w:val="16"/>
          <w:color w:val="auto"/>
        </w:rPr>
        <w:t>Expenditures for maintenance, repairs and minor renewals to maintain facilities in operating condition are generally expensed as incurred. Major replacements and renewals are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-441960</wp:posOffset>
            </wp:positionV>
            <wp:extent cx="8890" cy="65601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6560185"/>
                    </a:xfrm>
                    <a:prstGeom prst="rect">
                      <a:avLst/>
                    </a:prstGeom>
                    <a:noFill/>
                  </pic:spPr>
                </pic:pic>
              </a:graphicData>
            </a:graphic>
          </wp:anchor>
        </w:drawing>
      </w:r>
    </w:p>
    <w:p>
      <w:pPr>
        <w:spacing w:after="0" w:line="151"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i w:val="1"/>
          <w:iCs w:val="1"/>
          <w:color w:val="F20000"/>
        </w:rPr>
        <w:t xml:space="preserve">Environmental Expenditures </w:t>
      </w:r>
      <w:r>
        <w:rPr>
          <w:rFonts w:ascii="Arial" w:cs="Arial" w:eastAsia="Arial" w:hAnsi="Arial"/>
          <w:sz w:val="14"/>
          <w:szCs w:val="14"/>
          <w:color w:val="000000"/>
        </w:rPr>
        <w:t>Environmental expenditures that relate to ongoing</w:t>
      </w:r>
      <w:r>
        <w:rPr>
          <w:rFonts w:ascii="Arial" w:cs="Arial" w:eastAsia="Arial" w:hAnsi="Arial"/>
          <w:sz w:val="14"/>
          <w:szCs w:val="14"/>
          <w:i w:val="1"/>
          <w:iCs w:val="1"/>
          <w:color w:val="F20000"/>
        </w:rPr>
        <w:t xml:space="preserve"> </w:t>
      </w:r>
      <w:r>
        <w:rPr>
          <w:rFonts w:ascii="Arial" w:cs="Arial" w:eastAsia="Arial" w:hAnsi="Arial"/>
          <w:sz w:val="14"/>
          <w:szCs w:val="14"/>
          <w:color w:val="000000"/>
        </w:rPr>
        <w:t>operations or to conditions caused by past operations are expensed. Expenditures that create future benefits or contribute to future revenue generation are capitalized.</w:t>
      </w:r>
    </w:p>
    <w:p>
      <w:pPr>
        <w:spacing w:after="0" w:line="2" w:lineRule="exact"/>
        <w:rPr>
          <w:sz w:val="20"/>
          <w:szCs w:val="20"/>
          <w:color w:val="auto"/>
        </w:rPr>
      </w:pPr>
    </w:p>
    <w:p>
      <w:pPr>
        <w:ind w:firstLine="203"/>
        <w:spacing w:after="0" w:line="281" w:lineRule="auto"/>
        <w:rPr>
          <w:sz w:val="20"/>
          <w:szCs w:val="20"/>
          <w:color w:val="auto"/>
        </w:rPr>
      </w:pPr>
      <w:r>
        <w:rPr>
          <w:rFonts w:ascii="Arial" w:cs="Arial" w:eastAsia="Arial" w:hAnsi="Arial"/>
          <w:sz w:val="15"/>
          <w:szCs w:val="15"/>
          <w:color w:val="auto"/>
        </w:rPr>
        <w:t>Liabilities related to future remediation costs are recorded when environmental assessments and/or cleanups are probable and the costs can be reasonably estimated. For the company’s U.S. and Canadian marketing facilities, the accrual is based in part on the probability that a future remediation commitment will be required. For oil, gas and coal producing properties, a liability for an asset retirement obligation is made following FAS 143, which the company implemented effective January 1, 2003. See Note 25 on page FS-50 related to FAS 143.</w:t>
      </w:r>
    </w:p>
    <w:p>
      <w:pPr>
        <w:spacing w:after="0" w:line="4" w:lineRule="exact"/>
        <w:rPr>
          <w:sz w:val="20"/>
          <w:szCs w:val="20"/>
          <w:color w:val="auto"/>
        </w:rPr>
      </w:pPr>
    </w:p>
    <w:p>
      <w:pPr>
        <w:ind w:right="180" w:firstLine="203"/>
        <w:spacing w:after="0" w:line="264" w:lineRule="auto"/>
        <w:rPr>
          <w:sz w:val="20"/>
          <w:szCs w:val="20"/>
          <w:color w:val="auto"/>
        </w:rPr>
      </w:pPr>
      <w:r>
        <w:rPr>
          <w:rFonts w:ascii="Arial" w:cs="Arial" w:eastAsia="Arial" w:hAnsi="Arial"/>
          <w:sz w:val="16"/>
          <w:szCs w:val="16"/>
          <w:color w:val="auto"/>
        </w:rPr>
        <w:t>For Superfund sites, the company records a liability for its designated share of the probable and estimable costs and probable amounts for other potentially responsible parties when mandated by the regulatory agencies because the other parties are not able to pay their respective shares.</w:t>
      </w:r>
    </w:p>
    <w:p>
      <w:pPr>
        <w:spacing w:after="0" w:line="1" w:lineRule="exact"/>
        <w:rPr>
          <w:sz w:val="20"/>
          <w:szCs w:val="20"/>
          <w:color w:val="auto"/>
        </w:rPr>
      </w:pPr>
    </w:p>
    <w:p>
      <w:pPr>
        <w:ind w:firstLine="200"/>
        <w:spacing w:after="0" w:line="270" w:lineRule="auto"/>
        <w:rPr>
          <w:sz w:val="20"/>
          <w:szCs w:val="20"/>
          <w:color w:val="auto"/>
        </w:rPr>
      </w:pPr>
      <w:r>
        <w:rPr>
          <w:rFonts w:ascii="Arial" w:cs="Arial" w:eastAsia="Arial" w:hAnsi="Arial"/>
          <w:sz w:val="16"/>
          <w:szCs w:val="16"/>
          <w:color w:val="auto"/>
        </w:rPr>
        <w:t>The company records the gross amount of its liability based on its best estimate of future costs using currently available technology and applying current regulations as well as the company’s own internal environmental policies. Future amounts are not discounted. Recoveries or reimbursements are recorded as assets when receipt is reasonably assured.</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5"/>
          <w:szCs w:val="15"/>
          <w:i w:val="1"/>
          <w:iCs w:val="1"/>
          <w:color w:val="F20000"/>
        </w:rPr>
        <w:t xml:space="preserve">Currency Translation </w:t>
      </w:r>
      <w:r>
        <w:rPr>
          <w:rFonts w:ascii="Arial" w:cs="Arial" w:eastAsia="Arial" w:hAnsi="Arial"/>
          <w:sz w:val="15"/>
          <w:szCs w:val="15"/>
          <w:color w:val="000000"/>
        </w:rPr>
        <w:t>The U.S. dollar is the functional currency for substantially all</w:t>
      </w:r>
      <w:r>
        <w:rPr>
          <w:rFonts w:ascii="Arial" w:cs="Arial" w:eastAsia="Arial" w:hAnsi="Arial"/>
          <w:sz w:val="15"/>
          <w:szCs w:val="15"/>
          <w:i w:val="1"/>
          <w:iCs w:val="1"/>
          <w:color w:val="F20000"/>
        </w:rPr>
        <w:t xml:space="preserve"> </w:t>
      </w:r>
      <w:r>
        <w:rPr>
          <w:rFonts w:ascii="Arial" w:cs="Arial" w:eastAsia="Arial" w:hAnsi="Arial"/>
          <w:sz w:val="15"/>
          <w:szCs w:val="15"/>
          <w:color w:val="000000"/>
        </w:rPr>
        <w:t>of the company’s consolidated operations and those of its equity affiliates. For those operations, all gains or losses from currency translations are currently included in income. The cumulative translation effects for those few entities, both consolidated and affiliated, using functional currencies other than the U.S. dollar are included in the currency translation adjustment in “Stockholders’ equity.”</w:t>
      </w:r>
    </w:p>
    <w:p>
      <w:pPr>
        <w:spacing w:after="0" w:line="163"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i w:val="1"/>
          <w:iCs w:val="1"/>
          <w:color w:val="F20000"/>
        </w:rPr>
        <w:t xml:space="preserve">Revenue Recognition </w:t>
      </w:r>
      <w:r>
        <w:rPr>
          <w:rFonts w:ascii="Arial" w:cs="Arial" w:eastAsia="Arial" w:hAnsi="Arial"/>
          <w:sz w:val="15"/>
          <w:szCs w:val="15"/>
          <w:color w:val="000000"/>
        </w:rPr>
        <w:t>Revenues associated with sales of crude oil, natural gas, coal,</w:t>
      </w:r>
      <w:r>
        <w:rPr>
          <w:rFonts w:ascii="Arial" w:cs="Arial" w:eastAsia="Arial" w:hAnsi="Arial"/>
          <w:sz w:val="15"/>
          <w:szCs w:val="15"/>
          <w:i w:val="1"/>
          <w:iCs w:val="1"/>
          <w:color w:val="F20000"/>
        </w:rPr>
        <w:t xml:space="preserve"> </w:t>
      </w:r>
      <w:r>
        <w:rPr>
          <w:rFonts w:ascii="Arial" w:cs="Arial" w:eastAsia="Arial" w:hAnsi="Arial"/>
          <w:sz w:val="15"/>
          <w:szCs w:val="15"/>
          <w:color w:val="000000"/>
        </w:rPr>
        <w:t>petroleum and chemicals products, and all other sources are recorded when title passes to the customer, net of royalties, discounts and allowances, as applicable. Revenues from natural gas production from properties in which ChevronTexaco has an interest with other producers are generally recognized on the basis of the company’s net working interest (entitlement method).</w:t>
      </w:r>
    </w:p>
    <w:p>
      <w:pPr>
        <w:spacing w:after="0" w:line="163" w:lineRule="exact"/>
        <w:rPr>
          <w:sz w:val="20"/>
          <w:szCs w:val="20"/>
          <w:color w:val="auto"/>
        </w:rPr>
      </w:pPr>
    </w:p>
    <w:p>
      <w:pPr>
        <w:spacing w:after="0" w:line="310" w:lineRule="auto"/>
        <w:rPr>
          <w:sz w:val="20"/>
          <w:szCs w:val="20"/>
          <w:color w:val="auto"/>
        </w:rPr>
      </w:pPr>
      <w:r>
        <w:rPr>
          <w:rFonts w:ascii="Arial" w:cs="Arial" w:eastAsia="Arial" w:hAnsi="Arial"/>
          <w:sz w:val="14"/>
          <w:szCs w:val="14"/>
          <w:i w:val="1"/>
          <w:iCs w:val="1"/>
          <w:color w:val="F20000"/>
        </w:rPr>
        <w:t xml:space="preserve">Stock Compensation </w:t>
      </w:r>
      <w:r>
        <w:rPr>
          <w:rFonts w:ascii="Arial" w:cs="Arial" w:eastAsia="Arial" w:hAnsi="Arial"/>
          <w:sz w:val="14"/>
          <w:szCs w:val="14"/>
          <w:color w:val="000000"/>
        </w:rPr>
        <w:t>At December 31, 2003, the company had stock-based</w:t>
      </w:r>
      <w:r>
        <w:rPr>
          <w:rFonts w:ascii="Arial" w:cs="Arial" w:eastAsia="Arial" w:hAnsi="Arial"/>
          <w:sz w:val="14"/>
          <w:szCs w:val="14"/>
          <w:i w:val="1"/>
          <w:iCs w:val="1"/>
          <w:color w:val="F20000"/>
        </w:rPr>
        <w:t xml:space="preserve"> </w:t>
      </w:r>
      <w:r>
        <w:rPr>
          <w:rFonts w:ascii="Arial" w:cs="Arial" w:eastAsia="Arial" w:hAnsi="Arial"/>
          <w:sz w:val="14"/>
          <w:szCs w:val="14"/>
          <w:color w:val="000000"/>
        </w:rPr>
        <w:t>employee compensation plans, which are described more fully in Note 22 beginning on page FS-46. The company accounts for those plans under the recognition and measurement principles of Accounting Principles Board (APB) Opinion No. 25, “Accounting for Stock Issued to Employees,” and related interpretations. The following table illustrates the effect on net income and earnings per share if the company had applied the fair-value-recognition provisions of Financial Accounting Standards Board (FASB) Statement No. 123, “Accounting for Stock-Based Compensation,” to stock-based employee compensation:</w:t>
      </w:r>
    </w:p>
    <w:p>
      <w:pPr>
        <w:spacing w:after="0" w:line="1016" w:lineRule="exact"/>
        <w:rPr>
          <w:sz w:val="20"/>
          <w:szCs w:val="20"/>
          <w:color w:val="auto"/>
        </w:rPr>
      </w:pPr>
    </w:p>
    <w:p>
      <w:pPr>
        <w:sectPr>
          <w:pgSz w:w="11900" w:h="16838" w:orient="portrait"/>
          <w:cols w:equalWidth="0" w:num="2">
            <w:col w:w="5480" w:space="400"/>
            <w:col w:w="5460"/>
          </w:cols>
          <w:pgMar w:left="240" w:top="419" w:right="319" w:bottom="1440" w:gutter="0" w:footer="0" w:header="0"/>
        </w:sectPr>
      </w:pP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220345</wp:posOffset>
            </wp:positionV>
            <wp:extent cx="8890" cy="71691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716915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ind w:left="20"/>
              <w:spacing w:after="0"/>
              <w:rPr>
                <w:sz w:val="20"/>
                <w:szCs w:val="20"/>
                <w:color w:val="auto"/>
              </w:rPr>
            </w:pPr>
            <w:r>
              <w:rPr>
                <w:rFonts w:ascii="Arial" w:cs="Arial" w:eastAsia="Arial" w:hAnsi="Arial"/>
                <w:sz w:val="27"/>
                <w:szCs w:val="27"/>
                <w:b w:val="1"/>
                <w:bCs w:val="1"/>
                <w:color w:val="0070FF"/>
              </w:rPr>
              <w:t>»</w:t>
            </w:r>
          </w:p>
        </w:tc>
        <w:tc>
          <w:tcPr>
            <w:tcW w:w="20" w:type="dxa"/>
            <w:vAlign w:val="bottom"/>
          </w:tcPr>
          <w:p>
            <w:pPr>
              <w:spacing w:after="0"/>
              <w:rPr>
                <w:sz w:val="3"/>
                <w:szCs w:val="3"/>
                <w:color w:val="auto"/>
              </w:rPr>
            </w:pPr>
          </w:p>
        </w:tc>
        <w:tc>
          <w:tcPr>
            <w:tcW w:w="5180" w:type="dxa"/>
            <w:vAlign w:val="bottom"/>
            <w:gridSpan w:val="7"/>
            <w:vMerge w:val="restart"/>
          </w:tcPr>
          <w:p>
            <w:pPr>
              <w:jc w:val="right"/>
              <w:spacing w:after="0"/>
              <w:rPr>
                <w:sz w:val="20"/>
                <w:szCs w:val="20"/>
                <w:color w:val="auto"/>
              </w:rPr>
            </w:pPr>
            <w:r>
              <w:rPr>
                <w:rFonts w:ascii="Arial" w:cs="Arial" w:eastAsia="Arial" w:hAnsi="Arial"/>
                <w:sz w:val="14"/>
                <w:szCs w:val="14"/>
                <w:i w:val="1"/>
                <w:iCs w:val="1"/>
                <w:color w:val="0070FF"/>
                <w:w w:val="82"/>
              </w:rPr>
              <w:t>Notes to the Consolidated Financial Statements</w:t>
            </w:r>
            <w:r>
              <w:rPr>
                <w:rFonts w:ascii="Arial" w:cs="Arial" w:eastAsia="Arial" w:hAnsi="Arial"/>
                <w:sz w:val="25"/>
                <w:szCs w:val="25"/>
                <w:i w:val="1"/>
                <w:iCs w:val="1"/>
                <w:color w:val="0070FF"/>
                <w:w w:val="82"/>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gridSpan w:val="7"/>
          </w:tcPr>
          <w:p>
            <w:pPr>
              <w:spacing w:after="0"/>
              <w:rPr>
                <w:sz w:val="20"/>
                <w:szCs w:val="20"/>
                <w:color w:val="auto"/>
              </w:rPr>
            </w:pPr>
            <w:r>
              <w:rPr>
                <w:rFonts w:ascii="Arial" w:cs="Arial" w:eastAsia="Arial" w:hAnsi="Arial"/>
                <w:sz w:val="14"/>
                <w:szCs w:val="14"/>
                <w:color w:val="0070FF"/>
                <w:w w:val="98"/>
              </w:rPr>
              <w:t>NOTE 1. SUMMARY OF SIGNIFICANT ACCOUNTING POLICIES – Continued</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Borders>
              <w:bottom w:val="single" w:sz="8" w:color="0070FF"/>
            </w:tcBorders>
          </w:tcPr>
          <w:p>
            <w:pPr>
              <w:spacing w:after="0"/>
              <w:rPr>
                <w:sz w:val="24"/>
                <w:szCs w:val="24"/>
                <w:color w:val="auto"/>
              </w:rPr>
            </w:pPr>
          </w:p>
        </w:tc>
        <w:tc>
          <w:tcPr>
            <w:tcW w:w="480" w:type="dxa"/>
            <w:vAlign w:val="bottom"/>
            <w:tcBorders>
              <w:bottom w:val="single" w:sz="8" w:color="0070FF"/>
            </w:tcBorders>
          </w:tcPr>
          <w:p>
            <w:pPr>
              <w:spacing w:after="0"/>
              <w:rPr>
                <w:sz w:val="24"/>
                <w:szCs w:val="24"/>
                <w:color w:val="auto"/>
              </w:rPr>
            </w:pPr>
          </w:p>
        </w:tc>
        <w:tc>
          <w:tcPr>
            <w:tcW w:w="1480" w:type="dxa"/>
            <w:vAlign w:val="bottom"/>
            <w:tcBorders>
              <w:bottom w:val="single" w:sz="8" w:color="0070FF"/>
            </w:tcBorders>
            <w:gridSpan w:val="4"/>
          </w:tcPr>
          <w:p>
            <w:pPr>
              <w:jc w:val="right"/>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42"/>
        </w:trPr>
        <w:tc>
          <w:tcPr>
            <w:tcW w:w="280" w:type="dxa"/>
            <w:vAlign w:val="bottom"/>
            <w:tcBorders>
              <w:bottom w:val="single" w:sz="8" w:color="0070FF"/>
            </w:tcBorders>
          </w:tcPr>
          <w:p>
            <w:pPr>
              <w:spacing w:after="0"/>
              <w:rPr>
                <w:sz w:val="12"/>
                <w:szCs w:val="12"/>
                <w:color w:val="auto"/>
              </w:rPr>
            </w:pPr>
          </w:p>
        </w:tc>
        <w:tc>
          <w:tcPr>
            <w:tcW w:w="20" w:type="dxa"/>
            <w:vAlign w:val="bottom"/>
            <w:tcBorders>
              <w:bottom w:val="single" w:sz="8" w:color="0070FF"/>
            </w:tcBorders>
          </w:tcPr>
          <w:p>
            <w:pPr>
              <w:spacing w:after="0"/>
              <w:rPr>
                <w:sz w:val="12"/>
                <w:szCs w:val="12"/>
                <w:color w:val="auto"/>
              </w:rPr>
            </w:pPr>
          </w:p>
        </w:tc>
        <w:tc>
          <w:tcPr>
            <w:tcW w:w="314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jc w:val="right"/>
              <w:ind w:right="89"/>
              <w:spacing w:after="0" w:line="142" w:lineRule="exact"/>
              <w:rPr>
                <w:sz w:val="20"/>
                <w:szCs w:val="20"/>
                <w:color w:val="auto"/>
              </w:rPr>
            </w:pPr>
            <w:r>
              <w:rPr>
                <w:rFonts w:ascii="Arial" w:cs="Arial" w:eastAsia="Arial" w:hAnsi="Arial"/>
                <w:sz w:val="14"/>
                <w:szCs w:val="14"/>
                <w:b w:val="1"/>
                <w:bCs w:val="1"/>
                <w:color w:val="auto"/>
                <w:w w:val="96"/>
              </w:rPr>
              <w:t>2003</w:t>
            </w:r>
          </w:p>
        </w:tc>
        <w:tc>
          <w:tcPr>
            <w:tcW w:w="300" w:type="dxa"/>
            <w:vAlign w:val="bottom"/>
            <w:tcBorders>
              <w:bottom w:val="single" w:sz="8" w:color="0070FF"/>
            </w:tcBorders>
          </w:tcPr>
          <w:p>
            <w:pPr>
              <w:spacing w:after="0"/>
              <w:rPr>
                <w:sz w:val="12"/>
                <w:szCs w:val="12"/>
                <w:color w:val="auto"/>
              </w:rPr>
            </w:pPr>
          </w:p>
        </w:tc>
        <w:tc>
          <w:tcPr>
            <w:tcW w:w="580" w:type="dxa"/>
            <w:vAlign w:val="bottom"/>
            <w:tcBorders>
              <w:bottom w:val="single" w:sz="8" w:color="0070FF"/>
            </w:tcBorders>
          </w:tcPr>
          <w:p>
            <w:pPr>
              <w:jc w:val="right"/>
              <w:ind w:right="169"/>
              <w:spacing w:after="0" w:line="142" w:lineRule="exact"/>
              <w:rPr>
                <w:sz w:val="20"/>
                <w:szCs w:val="20"/>
                <w:color w:val="auto"/>
              </w:rPr>
            </w:pPr>
            <w:r>
              <w:rPr>
                <w:rFonts w:ascii="Arial" w:cs="Arial" w:eastAsia="Arial" w:hAnsi="Arial"/>
                <w:sz w:val="14"/>
                <w:szCs w:val="14"/>
                <w:color w:val="auto"/>
              </w:rPr>
              <w:t>2002</w:t>
            </w:r>
          </w:p>
        </w:tc>
        <w:tc>
          <w:tcPr>
            <w:tcW w:w="200" w:type="dxa"/>
            <w:vAlign w:val="bottom"/>
            <w:tcBorders>
              <w:bottom w:val="single" w:sz="8" w:color="0070FF"/>
            </w:tcBorders>
          </w:tcPr>
          <w:p>
            <w:pPr>
              <w:spacing w:after="0"/>
              <w:rPr>
                <w:sz w:val="12"/>
                <w:szCs w:val="12"/>
                <w:color w:val="auto"/>
              </w:rPr>
            </w:pPr>
          </w:p>
        </w:tc>
        <w:tc>
          <w:tcPr>
            <w:tcW w:w="40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344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Net income, as reported</w:t>
            </w:r>
          </w:p>
        </w:tc>
        <w:tc>
          <w:tcPr>
            <w:tcW w:w="8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ind w:right="89"/>
              <w:spacing w:after="0" w:line="137" w:lineRule="exact"/>
              <w:rPr>
                <w:sz w:val="20"/>
                <w:szCs w:val="20"/>
                <w:color w:val="auto"/>
              </w:rPr>
            </w:pPr>
            <w:r>
              <w:rPr>
                <w:rFonts w:ascii="Arial" w:cs="Arial" w:eastAsia="Arial" w:hAnsi="Arial"/>
                <w:sz w:val="14"/>
                <w:szCs w:val="14"/>
                <w:b w:val="1"/>
                <w:bCs w:val="1"/>
                <w:color w:val="auto"/>
                <w:w w:val="85"/>
              </w:rPr>
              <w:t>7,230</w:t>
            </w:r>
          </w:p>
        </w:tc>
        <w:tc>
          <w:tcPr>
            <w:tcW w:w="30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69"/>
              <w:spacing w:after="0" w:line="137" w:lineRule="exact"/>
              <w:rPr>
                <w:sz w:val="20"/>
                <w:szCs w:val="20"/>
                <w:color w:val="auto"/>
              </w:rPr>
            </w:pPr>
            <w:r>
              <w:rPr>
                <w:rFonts w:ascii="Arial" w:cs="Arial" w:eastAsia="Arial" w:hAnsi="Arial"/>
                <w:sz w:val="14"/>
                <w:szCs w:val="14"/>
                <w:color w:val="auto"/>
                <w:w w:val="91"/>
              </w:rPr>
              <w:t>1,132</w:t>
            </w:r>
          </w:p>
        </w:tc>
        <w:tc>
          <w:tcPr>
            <w:tcW w:w="20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37" w:lineRule="exact"/>
              <w:rPr>
                <w:sz w:val="20"/>
                <w:szCs w:val="20"/>
                <w:color w:val="auto"/>
              </w:rPr>
            </w:pPr>
            <w:r>
              <w:rPr>
                <w:rFonts w:ascii="Arial" w:cs="Arial" w:eastAsia="Arial" w:hAnsi="Arial"/>
                <w:sz w:val="14"/>
                <w:szCs w:val="14"/>
                <w:color w:val="auto"/>
                <w:w w:val="91"/>
              </w:rPr>
              <w:t>3,288</w:t>
            </w:r>
          </w:p>
        </w:tc>
        <w:tc>
          <w:tcPr>
            <w:tcW w:w="0" w:type="dxa"/>
            <w:vAlign w:val="bottom"/>
          </w:tcPr>
          <w:p>
            <w:pPr>
              <w:spacing w:after="0"/>
              <w:rPr>
                <w:sz w:val="1"/>
                <w:szCs w:val="1"/>
                <w:color w:val="auto"/>
              </w:rPr>
            </w:pPr>
          </w:p>
        </w:tc>
      </w:tr>
      <w:tr>
        <w:trPr>
          <w:trHeight w:val="149"/>
        </w:trPr>
        <w:tc>
          <w:tcPr>
            <w:tcW w:w="3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 Stock-based employee compensation expense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included in reported net income determined</w:t>
            </w:r>
          </w:p>
        </w:tc>
        <w:tc>
          <w:tcPr>
            <w:tcW w:w="80" w:type="dxa"/>
            <w:vAlign w:val="bottom"/>
          </w:tcPr>
          <w:p>
            <w:pPr>
              <w:spacing w:after="0"/>
              <w:rPr>
                <w:sz w:val="12"/>
                <w:szCs w:val="12"/>
                <w:color w:val="auto"/>
              </w:rPr>
            </w:pPr>
          </w:p>
        </w:tc>
        <w:tc>
          <w:tcPr>
            <w:tcW w:w="4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under APB No. 25, net of related tax effects</w:t>
            </w: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3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Deduct: Total stock-based employee compensation</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expense determined under fair-value-based</w:t>
            </w:r>
          </w:p>
        </w:tc>
        <w:tc>
          <w:tcPr>
            <w:tcW w:w="80" w:type="dxa"/>
            <w:vAlign w:val="bottom"/>
          </w:tcPr>
          <w:p>
            <w:pPr>
              <w:spacing w:after="0"/>
              <w:rPr>
                <w:sz w:val="12"/>
                <w:szCs w:val="12"/>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method for all awards, net of related tax effects</w:t>
            </w:r>
          </w:p>
        </w:tc>
        <w:tc>
          <w:tcPr>
            <w:tcW w:w="8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vMerge w:val="continue"/>
          </w:tcPr>
          <w:p>
            <w:pPr>
              <w:spacing w:after="0"/>
              <w:rPr>
                <w:sz w:val="14"/>
                <w:szCs w:val="14"/>
                <w:color w:val="auto"/>
              </w:rPr>
            </w:pPr>
          </w:p>
        </w:tc>
        <w:tc>
          <w:tcPr>
            <w:tcW w:w="3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(48)</w:t>
            </w:r>
          </w:p>
        </w:tc>
        <w:tc>
          <w:tcPr>
            <w:tcW w:w="20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76"/>
        </w:trPr>
        <w:tc>
          <w:tcPr>
            <w:tcW w:w="3440" w:type="dxa"/>
            <w:vAlign w:val="bottom"/>
            <w:tcBorders>
              <w:bottom w:val="single" w:sz="8" w:color="0070FF"/>
            </w:tcBorders>
            <w:gridSpan w:val="3"/>
          </w:tcPr>
          <w:p>
            <w:pPr>
              <w:ind w:left="20"/>
              <w:spacing w:after="0" w:line="155" w:lineRule="exact"/>
              <w:rPr>
                <w:sz w:val="20"/>
                <w:szCs w:val="20"/>
                <w:color w:val="auto"/>
              </w:rPr>
            </w:pPr>
            <w:r>
              <w:rPr>
                <w:rFonts w:ascii="Arial" w:cs="Arial" w:eastAsia="Arial" w:hAnsi="Arial"/>
                <w:sz w:val="14"/>
                <w:szCs w:val="14"/>
                <w:color w:val="auto"/>
              </w:rPr>
              <w:t>Pro forma net income</w:t>
            </w: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b w:val="1"/>
                <w:bCs w:val="1"/>
                <w:color w:val="auto"/>
                <w:w w:val="85"/>
              </w:rPr>
              <w:t>7,205</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w w:val="91"/>
              </w:rPr>
              <w:t>1,083</w:t>
            </w:r>
          </w:p>
        </w:tc>
        <w:tc>
          <w:tcPr>
            <w:tcW w:w="2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1"/>
              </w:rPr>
              <w:t>3,202</w:t>
            </w:r>
          </w:p>
        </w:tc>
        <w:tc>
          <w:tcPr>
            <w:tcW w:w="0" w:type="dxa"/>
            <w:vAlign w:val="bottom"/>
          </w:tcPr>
          <w:p>
            <w:pPr>
              <w:spacing w:after="0"/>
              <w:rPr>
                <w:sz w:val="1"/>
                <w:szCs w:val="1"/>
                <w:color w:val="auto"/>
              </w:rPr>
            </w:pPr>
          </w:p>
        </w:tc>
      </w:tr>
      <w:tr>
        <w:trPr>
          <w:trHeight w:val="143"/>
        </w:trPr>
        <w:tc>
          <w:tcPr>
            <w:tcW w:w="344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Earnings per share:*</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6.97</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40" w:type="dxa"/>
            <w:vAlign w:val="bottom"/>
            <w:gridSpan w:val="3"/>
          </w:tcPr>
          <w:p>
            <w:pPr>
              <w:ind w:left="140"/>
              <w:spacing w:after="0" w:line="145" w:lineRule="exact"/>
              <w:rPr>
                <w:sz w:val="20"/>
                <w:szCs w:val="20"/>
                <w:color w:val="auto"/>
              </w:rPr>
            </w:pPr>
            <w:r>
              <w:rPr>
                <w:rFonts w:ascii="Arial" w:cs="Arial" w:eastAsia="Arial" w:hAnsi="Arial"/>
                <w:sz w:val="14"/>
                <w:szCs w:val="14"/>
                <w:color w:val="auto"/>
              </w:rPr>
              <w:t>Basic – as reported</w:t>
            </w: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69"/>
              <w:spacing w:after="0" w:line="145" w:lineRule="exact"/>
              <w:rPr>
                <w:sz w:val="20"/>
                <w:szCs w:val="20"/>
                <w:color w:val="auto"/>
              </w:rPr>
            </w:pPr>
            <w:r>
              <w:rPr>
                <w:rFonts w:ascii="Arial" w:cs="Arial" w:eastAsia="Arial" w:hAnsi="Arial"/>
                <w:sz w:val="14"/>
                <w:szCs w:val="14"/>
                <w:color w:val="auto"/>
              </w:rPr>
              <w:t>1.07</w:t>
            </w:r>
          </w:p>
        </w:tc>
        <w:tc>
          <w:tcPr>
            <w:tcW w:w="2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3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Basic – pro forma</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6.94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3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Diluted – as reported</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6.96</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Diluted – pro forma</w:t>
            </w:r>
          </w:p>
        </w:tc>
        <w:tc>
          <w:tcPr>
            <w:tcW w:w="8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b w:val="1"/>
                <w:bCs w:val="1"/>
                <w:color w:val="auto"/>
              </w:rPr>
              <w:t>6.93</w:t>
            </w:r>
          </w:p>
        </w:tc>
        <w:tc>
          <w:tcPr>
            <w:tcW w:w="3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1.02</w:t>
            </w:r>
          </w:p>
        </w:tc>
        <w:tc>
          <w:tcPr>
            <w:tcW w:w="2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40" w:right="120" w:hanging="128"/>
        <w:spacing w:after="0" w:line="237" w:lineRule="auto"/>
        <w:tabs>
          <w:tab w:leader="none" w:pos="1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in 2003 include a benefit of $0.16 for the company’s share of a capital stock transaction of its Dynegy Inc. affiliate, which under the applicable accounting rules was recorded directly to the company’s retained earnings and not included in net income for the period.</w:t>
      </w:r>
    </w:p>
    <w:p>
      <w:pPr>
        <w:spacing w:after="0" w:line="18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i w:val="1"/>
          <w:iCs w:val="1"/>
          <w:color w:val="F20000"/>
        </w:rPr>
        <w:t xml:space="preserve">Basis of Presentation - Merger of Chevron and Texaco </w:t>
      </w:r>
      <w:r>
        <w:rPr>
          <w:rFonts w:ascii="Arial" w:cs="Arial" w:eastAsia="Arial" w:hAnsi="Arial"/>
          <w:sz w:val="16"/>
          <w:szCs w:val="16"/>
          <w:color w:val="000000"/>
        </w:rPr>
        <w:t>On October 9, 2001, Texaco</w:t>
      </w:r>
      <w:r>
        <w:rPr>
          <w:rFonts w:ascii="Arial" w:cs="Arial" w:eastAsia="Arial" w:hAnsi="Arial"/>
          <w:sz w:val="16"/>
          <w:szCs w:val="16"/>
          <w:i w:val="1"/>
          <w:iCs w:val="1"/>
          <w:color w:val="F20000"/>
        </w:rPr>
        <w:t xml:space="preserve"> </w:t>
      </w:r>
      <w:r>
        <w:rPr>
          <w:rFonts w:ascii="Arial" w:cs="Arial" w:eastAsia="Arial" w:hAnsi="Arial"/>
          <w:sz w:val="16"/>
          <w:szCs w:val="16"/>
          <w:color w:val="000000"/>
        </w:rPr>
        <w:t>Inc. (Texaco) became a wholly owned subsidiary of Chevron Corporation (Chevron) pursuant to a merger transaction, and Chevron changed its name to ChevronTexaco Corporation (ChevronTexaco). The combination was accounted for as a pooling of interests.</w:t>
      </w:r>
    </w:p>
    <w:p>
      <w:pPr>
        <w:spacing w:after="0" w:line="1" w:lineRule="exact"/>
        <w:rPr>
          <w:sz w:val="20"/>
          <w:szCs w:val="20"/>
          <w:color w:val="auto"/>
        </w:rPr>
      </w:pPr>
    </w:p>
    <w:p>
      <w:pPr>
        <w:ind w:right="180" w:firstLine="200"/>
        <w:spacing w:after="0" w:line="264" w:lineRule="auto"/>
        <w:rPr>
          <w:sz w:val="20"/>
          <w:szCs w:val="20"/>
          <w:color w:val="auto"/>
        </w:rPr>
      </w:pPr>
      <w:r>
        <w:rPr>
          <w:rFonts w:ascii="Arial" w:cs="Arial" w:eastAsia="Arial" w:hAnsi="Arial"/>
          <w:sz w:val="16"/>
          <w:szCs w:val="16"/>
          <w:color w:val="auto"/>
        </w:rPr>
        <w:t>These Consolidated Financial Statements give retroactive effect to the merger, with all periods presented as if Chevron and Texaco had always been combined. Certain reclassifications have been made to conform the separate presentations of Chevron and Texaco. The reclassifications had no impact on the amount of net income or stockholders’ equity.</w:t>
      </w:r>
    </w:p>
    <w:p>
      <w:pPr>
        <w:spacing w:after="0" w:line="1" w:lineRule="exact"/>
        <w:rPr>
          <w:sz w:val="20"/>
          <w:szCs w:val="20"/>
          <w:color w:val="auto"/>
        </w:rPr>
      </w:pPr>
    </w:p>
    <w:p>
      <w:pPr>
        <w:ind w:right="60" w:firstLine="200"/>
        <w:spacing w:after="0" w:line="269" w:lineRule="auto"/>
        <w:rPr>
          <w:sz w:val="20"/>
          <w:szCs w:val="20"/>
          <w:color w:val="auto"/>
        </w:rPr>
      </w:pPr>
      <w:r>
        <w:rPr>
          <w:rFonts w:ascii="Arial" w:cs="Arial" w:eastAsia="Arial" w:hAnsi="Arial"/>
          <w:sz w:val="16"/>
          <w:szCs w:val="16"/>
          <w:color w:val="auto"/>
        </w:rPr>
        <w:t>The Consolidated Financial Statements include the accounts of all majority-owned, controlled subsidiaries after the elimination of significant intercompany accounts and transactions. Included in the consolidation are the accounts of the Caltex Group of Companies (Caltex), a joint venture owned 50 percent each by Chevron and Texaco prior to the merger and accounted for under the equity method by both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FF"/>
        </w:rPr>
        <w:t>NOTE 2.</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FF"/>
        </w:rPr>
        <w:t>TEXACO MERGER TRANSACTION AND EXTRAORDINARY ITEM</w:t>
      </w:r>
    </w:p>
    <w:p>
      <w:pPr>
        <w:spacing w:after="0" w:line="27" w:lineRule="exact"/>
        <w:rPr>
          <w:sz w:val="20"/>
          <w:szCs w:val="20"/>
          <w:color w:val="auto"/>
        </w:rPr>
      </w:pPr>
    </w:p>
    <w:p>
      <w:pPr>
        <w:ind w:left="1" w:right="100"/>
        <w:spacing w:after="0" w:line="275" w:lineRule="auto"/>
        <w:rPr>
          <w:sz w:val="20"/>
          <w:szCs w:val="20"/>
          <w:color w:val="auto"/>
        </w:rPr>
      </w:pPr>
      <w:r>
        <w:rPr>
          <w:rFonts w:ascii="Arial" w:cs="Arial" w:eastAsia="Arial" w:hAnsi="Arial"/>
          <w:sz w:val="16"/>
          <w:szCs w:val="16"/>
          <w:color w:val="auto"/>
        </w:rPr>
        <w:t>The following table presents summarized financial data for the combined company for the period prior to the merger.</w:t>
      </w:r>
    </w:p>
    <w:p>
      <w:pPr>
        <w:spacing w:after="0" w:line="10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w w:val="97"/>
              </w:rPr>
              <w:t>Nine months ended</w:t>
            </w:r>
          </w:p>
        </w:tc>
      </w:tr>
      <w:tr>
        <w:trPr>
          <w:trHeight w:val="15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September 30</w:t>
            </w:r>
          </w:p>
        </w:tc>
      </w:tr>
      <w:tr>
        <w:trPr>
          <w:trHeight w:val="142"/>
        </w:trPr>
        <w:tc>
          <w:tcPr>
            <w:tcW w:w="20" w:type="dxa"/>
            <w:vAlign w:val="bottom"/>
          </w:tcPr>
          <w:p>
            <w:pPr>
              <w:spacing w:after="0"/>
              <w:rPr>
                <w:sz w:val="12"/>
                <w:szCs w:val="12"/>
                <w:color w:val="auto"/>
              </w:rPr>
            </w:pPr>
          </w:p>
        </w:tc>
        <w:tc>
          <w:tcPr>
            <w:tcW w:w="4200" w:type="dxa"/>
            <w:vAlign w:val="bottom"/>
            <w:tcBorders>
              <w:bottom w:val="single" w:sz="8" w:color="0070FF"/>
            </w:tcBorders>
          </w:tcPr>
          <w:p>
            <w:pPr>
              <w:spacing w:after="0"/>
              <w:rPr>
                <w:sz w:val="12"/>
                <w:szCs w:val="12"/>
                <w:color w:val="auto"/>
              </w:rPr>
            </w:pPr>
          </w:p>
        </w:tc>
        <w:tc>
          <w:tcPr>
            <w:tcW w:w="800" w:type="dxa"/>
            <w:vAlign w:val="bottom"/>
            <w:tcBorders>
              <w:top w:val="single" w:sz="8" w:color="0070FF"/>
              <w:bottom w:val="single" w:sz="8" w:color="0070FF"/>
            </w:tcBorders>
          </w:tcPr>
          <w:p>
            <w:pPr>
              <w:spacing w:after="0"/>
              <w:rPr>
                <w:sz w:val="12"/>
                <w:szCs w:val="12"/>
                <w:color w:val="auto"/>
              </w:rPr>
            </w:pPr>
          </w:p>
        </w:tc>
        <w:tc>
          <w:tcPr>
            <w:tcW w:w="40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60" w:type="dxa"/>
            <w:vAlign w:val="bottom"/>
            <w:tcBorders>
              <w:bottom w:val="single" w:sz="8" w:color="0070FF"/>
            </w:tcBorders>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4200" w:type="dxa"/>
            <w:vAlign w:val="bottom"/>
          </w:tcPr>
          <w:p>
            <w:pPr>
              <w:spacing w:after="0" w:line="137" w:lineRule="exact"/>
              <w:rPr>
                <w:sz w:val="20"/>
                <w:szCs w:val="20"/>
                <w:color w:val="auto"/>
              </w:rPr>
            </w:pPr>
            <w:r>
              <w:rPr>
                <w:rFonts w:ascii="Arial" w:cs="Arial" w:eastAsia="Arial" w:hAnsi="Arial"/>
                <w:sz w:val="14"/>
                <w:szCs w:val="14"/>
                <w:b w:val="1"/>
                <w:bCs w:val="1"/>
                <w:color w:val="auto"/>
              </w:rPr>
              <w:t>Revenues and other income</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4200" w:type="dxa"/>
            <w:vAlign w:val="bottom"/>
          </w:tcPr>
          <w:p>
            <w:pPr>
              <w:ind w:left="120"/>
              <w:spacing w:after="0" w:line="159" w:lineRule="exact"/>
              <w:rPr>
                <w:sz w:val="20"/>
                <w:szCs w:val="20"/>
                <w:color w:val="auto"/>
              </w:rPr>
            </w:pPr>
            <w:r>
              <w:rPr>
                <w:rFonts w:ascii="Arial" w:cs="Arial" w:eastAsia="Arial" w:hAnsi="Arial"/>
                <w:sz w:val="14"/>
                <w:szCs w:val="14"/>
                <w:color w:val="auto"/>
              </w:rPr>
              <w:t>Chevron</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8"/>
              </w:rPr>
              <w:t>37,213</w:t>
            </w:r>
          </w:p>
        </w:tc>
        <w:tc>
          <w:tcPr>
            <w:tcW w:w="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200" w:type="dxa"/>
            <w:vAlign w:val="bottom"/>
          </w:tcPr>
          <w:p>
            <w:pPr>
              <w:ind w:left="120"/>
              <w:spacing w:after="0" w:line="189" w:lineRule="exact"/>
              <w:rPr>
                <w:sz w:val="20"/>
                <w:szCs w:val="20"/>
                <w:color w:val="auto"/>
              </w:rPr>
            </w:pPr>
            <w:r>
              <w:rPr>
                <w:rFonts w:ascii="Arial" w:cs="Arial" w:eastAsia="Arial" w:hAnsi="Arial"/>
                <w:sz w:val="13"/>
                <w:szCs w:val="13"/>
                <w:color w:val="auto"/>
              </w:rPr>
              <w:t>Texaco</w:t>
            </w:r>
            <w:r>
              <w:rPr>
                <w:rFonts w:ascii="Arial" w:cs="Arial" w:eastAsia="Arial" w:hAnsi="Arial"/>
                <w:sz w:val="21"/>
                <w:szCs w:val="21"/>
                <w:color w:val="auto"/>
                <w:vertAlign w:val="superscript"/>
              </w:rPr>
              <w:t>1</w:t>
            </w:r>
          </w:p>
        </w:tc>
        <w:tc>
          <w:tcPr>
            <w:tcW w:w="8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39,469</w:t>
            </w:r>
          </w:p>
        </w:tc>
        <w:tc>
          <w:tcPr>
            <w:tcW w:w="6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4200" w:type="dxa"/>
            <w:vAlign w:val="bottom"/>
            <w:tcBorders>
              <w:bottom w:val="single" w:sz="8" w:color="0070FF"/>
            </w:tcBorders>
          </w:tcPr>
          <w:p>
            <w:pPr>
              <w:ind w:left="120"/>
              <w:spacing w:after="0" w:line="198" w:lineRule="exact"/>
              <w:rPr>
                <w:sz w:val="20"/>
                <w:szCs w:val="20"/>
                <w:color w:val="auto"/>
              </w:rPr>
            </w:pPr>
            <w:r>
              <w:rPr>
                <w:rFonts w:ascii="Arial" w:cs="Arial" w:eastAsia="Arial" w:hAnsi="Arial"/>
                <w:sz w:val="14"/>
                <w:szCs w:val="14"/>
                <w:color w:val="auto"/>
              </w:rPr>
              <w:t>Adjustments/eliminations</w:t>
            </w:r>
            <w:r>
              <w:rPr>
                <w:rFonts w:ascii="Arial" w:cs="Arial" w:eastAsia="Arial" w:hAnsi="Arial"/>
                <w:sz w:val="22"/>
                <w:szCs w:val="22"/>
                <w:color w:val="auto"/>
                <w:vertAlign w:val="superscript"/>
              </w:rPr>
              <w:t>2</w:t>
            </w:r>
          </w:p>
        </w:tc>
        <w:tc>
          <w:tcPr>
            <w:tcW w:w="800" w:type="dxa"/>
            <w:vAlign w:val="bottom"/>
            <w:tcBorders>
              <w:bottom w:val="single" w:sz="8" w:color="0070FF"/>
            </w:tcBorders>
          </w:tcPr>
          <w:p>
            <w:pPr>
              <w:spacing w:after="0"/>
              <w:rPr>
                <w:sz w:val="17"/>
                <w:szCs w:val="17"/>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8,103</w:t>
            </w:r>
          </w:p>
        </w:tc>
        <w:tc>
          <w:tcPr>
            <w:tcW w:w="60" w:type="dxa"/>
            <w:vAlign w:val="bottom"/>
            <w:tcBorders>
              <w:bottom w:val="single" w:sz="8" w:color="0070FF"/>
            </w:tcBorders>
          </w:tcPr>
          <w:p>
            <w:pPr>
              <w:spacing w:after="0"/>
              <w:rPr>
                <w:sz w:val="17"/>
                <w:szCs w:val="17"/>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42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ChevronTexaco</w:t>
            </w:r>
          </w:p>
        </w:tc>
        <w:tc>
          <w:tcPr>
            <w:tcW w:w="8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8"/>
              </w:rPr>
              <w:t>84,785</w:t>
            </w:r>
          </w:p>
        </w:tc>
        <w:tc>
          <w:tcPr>
            <w:tcW w:w="60" w:type="dxa"/>
            <w:vAlign w:val="bottom"/>
            <w:tcBorders>
              <w:bottom w:val="single" w:sz="8" w:color="0070FF"/>
            </w:tcBorders>
          </w:tcPr>
          <w:p>
            <w:pPr>
              <w:spacing w:after="0"/>
              <w:rPr>
                <w:sz w:val="15"/>
                <w:szCs w:val="15"/>
                <w:color w:val="auto"/>
              </w:rPr>
            </w:pPr>
          </w:p>
        </w:tc>
      </w:tr>
      <w:tr>
        <w:trPr>
          <w:trHeight w:val="143"/>
        </w:trPr>
        <w:tc>
          <w:tcPr>
            <w:tcW w:w="4220" w:type="dxa"/>
            <w:vAlign w:val="bottom"/>
            <w:gridSpan w:val="2"/>
          </w:tcPr>
          <w:p>
            <w:pPr>
              <w:spacing w:after="0" w:line="143" w:lineRule="exact"/>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4200" w:type="dxa"/>
            <w:vAlign w:val="bottom"/>
          </w:tcPr>
          <w:p>
            <w:pPr>
              <w:ind w:left="120"/>
              <w:spacing w:after="0" w:line="159" w:lineRule="exact"/>
              <w:rPr>
                <w:sz w:val="20"/>
                <w:szCs w:val="20"/>
                <w:color w:val="auto"/>
              </w:rPr>
            </w:pPr>
            <w:r>
              <w:rPr>
                <w:rFonts w:ascii="Arial" w:cs="Arial" w:eastAsia="Arial" w:hAnsi="Arial"/>
                <w:sz w:val="14"/>
                <w:szCs w:val="14"/>
                <w:color w:val="auto"/>
              </w:rPr>
              <w:t>Chevron</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4,092</w:t>
            </w:r>
          </w:p>
        </w:tc>
        <w:tc>
          <w:tcPr>
            <w:tcW w:w="6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4200" w:type="dxa"/>
            <w:vAlign w:val="bottom"/>
            <w:tcBorders>
              <w:bottom w:val="single" w:sz="8" w:color="0070FF"/>
            </w:tcBorders>
          </w:tcPr>
          <w:p>
            <w:pPr>
              <w:ind w:left="120"/>
              <w:spacing w:after="0" w:line="198" w:lineRule="exact"/>
              <w:rPr>
                <w:sz w:val="20"/>
                <w:szCs w:val="20"/>
                <w:color w:val="auto"/>
              </w:rPr>
            </w:pPr>
            <w:r>
              <w:rPr>
                <w:rFonts w:ascii="Arial" w:cs="Arial" w:eastAsia="Arial" w:hAnsi="Arial"/>
                <w:sz w:val="14"/>
                <w:szCs w:val="14"/>
                <w:color w:val="auto"/>
              </w:rPr>
              <w:t>Texaco</w:t>
            </w:r>
            <w:r>
              <w:rPr>
                <w:rFonts w:ascii="Arial" w:cs="Arial" w:eastAsia="Arial" w:hAnsi="Arial"/>
                <w:sz w:val="22"/>
                <w:szCs w:val="22"/>
                <w:color w:val="auto"/>
                <w:vertAlign w:val="superscript"/>
              </w:rPr>
              <w:t>1</w:t>
            </w:r>
          </w:p>
        </w:tc>
        <w:tc>
          <w:tcPr>
            <w:tcW w:w="800" w:type="dxa"/>
            <w:vAlign w:val="bottom"/>
            <w:tcBorders>
              <w:bottom w:val="single" w:sz="8" w:color="0070FF"/>
            </w:tcBorders>
          </w:tcPr>
          <w:p>
            <w:pPr>
              <w:spacing w:after="0"/>
              <w:rPr>
                <w:sz w:val="17"/>
                <w:szCs w:val="17"/>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2,214</w:t>
            </w:r>
          </w:p>
        </w:tc>
        <w:tc>
          <w:tcPr>
            <w:tcW w:w="60" w:type="dxa"/>
            <w:vAlign w:val="bottom"/>
            <w:tcBorders>
              <w:bottom w:val="single" w:sz="8" w:color="0070FF"/>
            </w:tcBorders>
          </w:tcPr>
          <w:p>
            <w:pPr>
              <w:spacing w:after="0"/>
              <w:rPr>
                <w:sz w:val="17"/>
                <w:szCs w:val="17"/>
                <w:color w:val="auto"/>
              </w:rPr>
            </w:pPr>
          </w:p>
        </w:tc>
      </w:tr>
      <w:tr>
        <w:trPr>
          <w:trHeight w:val="147"/>
        </w:trPr>
        <w:tc>
          <w:tcPr>
            <w:tcW w:w="20" w:type="dxa"/>
            <w:vAlign w:val="bottom"/>
          </w:tcPr>
          <w:p>
            <w:pPr>
              <w:spacing w:after="0"/>
              <w:rPr>
                <w:sz w:val="12"/>
                <w:szCs w:val="12"/>
                <w:color w:val="auto"/>
              </w:rPr>
            </w:pPr>
          </w:p>
        </w:tc>
        <w:tc>
          <w:tcPr>
            <w:tcW w:w="4200" w:type="dxa"/>
            <w:vAlign w:val="bottom"/>
          </w:tcPr>
          <w:p>
            <w:pPr>
              <w:ind w:left="120"/>
              <w:spacing w:after="0" w:line="147" w:lineRule="exact"/>
              <w:rPr>
                <w:sz w:val="20"/>
                <w:szCs w:val="20"/>
                <w:color w:val="auto"/>
              </w:rPr>
            </w:pPr>
            <w:r>
              <w:rPr>
                <w:rFonts w:ascii="Arial" w:cs="Arial" w:eastAsia="Arial" w:hAnsi="Arial"/>
                <w:sz w:val="14"/>
                <w:szCs w:val="14"/>
                <w:color w:val="auto"/>
              </w:rPr>
              <w:t>Net income, before extraordinary item</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rPr>
              <w:t>6,306</w:t>
            </w:r>
          </w:p>
        </w:tc>
        <w:tc>
          <w:tcPr>
            <w:tcW w:w="60" w:type="dxa"/>
            <w:vAlign w:val="bottom"/>
          </w:tcPr>
          <w:p>
            <w:pPr>
              <w:spacing w:after="0"/>
              <w:rPr>
                <w:sz w:val="12"/>
                <w:szCs w:val="12"/>
                <w:color w:val="auto"/>
              </w:rPr>
            </w:pPr>
          </w:p>
        </w:tc>
      </w:tr>
      <w:tr>
        <w:trPr>
          <w:trHeight w:val="198"/>
        </w:trPr>
        <w:tc>
          <w:tcPr>
            <w:tcW w:w="20" w:type="dxa"/>
            <w:vAlign w:val="bottom"/>
          </w:tcPr>
          <w:p>
            <w:pPr>
              <w:spacing w:after="0"/>
              <w:rPr>
                <w:sz w:val="17"/>
                <w:szCs w:val="17"/>
                <w:color w:val="auto"/>
              </w:rPr>
            </w:pPr>
          </w:p>
        </w:tc>
        <w:tc>
          <w:tcPr>
            <w:tcW w:w="4200" w:type="dxa"/>
            <w:vAlign w:val="bottom"/>
            <w:tcBorders>
              <w:bottom w:val="single" w:sz="8" w:color="0070FF"/>
            </w:tcBorders>
          </w:tcPr>
          <w:p>
            <w:pPr>
              <w:ind w:left="120"/>
              <w:spacing w:after="0" w:line="198" w:lineRule="exact"/>
              <w:rPr>
                <w:sz w:val="20"/>
                <w:szCs w:val="20"/>
                <w:color w:val="auto"/>
              </w:rPr>
            </w:pPr>
            <w:r>
              <w:rPr>
                <w:rFonts w:ascii="Arial" w:cs="Arial" w:eastAsia="Arial" w:hAnsi="Arial"/>
                <w:sz w:val="14"/>
                <w:szCs w:val="14"/>
                <w:color w:val="auto"/>
              </w:rPr>
              <w:t>Extraordinary loss net of income tax</w:t>
            </w:r>
            <w:r>
              <w:rPr>
                <w:rFonts w:ascii="Arial" w:cs="Arial" w:eastAsia="Arial" w:hAnsi="Arial"/>
                <w:sz w:val="22"/>
                <w:szCs w:val="22"/>
                <w:color w:val="auto"/>
                <w:vertAlign w:val="superscript"/>
              </w:rPr>
              <w:t>3</w:t>
            </w:r>
          </w:p>
        </w:tc>
        <w:tc>
          <w:tcPr>
            <w:tcW w:w="800" w:type="dxa"/>
            <w:vAlign w:val="bottom"/>
            <w:tcBorders>
              <w:bottom w:val="single" w:sz="8" w:color="0070FF"/>
            </w:tcBorders>
          </w:tcPr>
          <w:p>
            <w:pPr>
              <w:spacing w:after="0"/>
              <w:rPr>
                <w:sz w:val="17"/>
                <w:szCs w:val="17"/>
                <w:color w:val="auto"/>
              </w:rPr>
            </w:pPr>
          </w:p>
        </w:tc>
        <w:tc>
          <w:tcPr>
            <w:tcW w:w="460" w:type="dxa"/>
            <w:vAlign w:val="bottom"/>
            <w:tcBorders>
              <w:bottom w:val="single" w:sz="8" w:color="0070FF"/>
            </w:tcBorders>
            <w:gridSpan w:val="2"/>
          </w:tcPr>
          <w:p>
            <w:pPr>
              <w:jc w:val="right"/>
              <w:ind w:right="20"/>
              <w:spacing w:after="0"/>
              <w:rPr>
                <w:sz w:val="20"/>
                <w:szCs w:val="20"/>
                <w:color w:val="auto"/>
              </w:rPr>
            </w:pPr>
            <w:r>
              <w:rPr>
                <w:rFonts w:ascii="Arial" w:cs="Arial" w:eastAsia="Arial" w:hAnsi="Arial"/>
                <w:sz w:val="14"/>
                <w:szCs w:val="14"/>
                <w:color w:val="auto"/>
              </w:rPr>
              <w:t>(496)</w:t>
            </w:r>
          </w:p>
        </w:tc>
      </w:tr>
      <w:tr>
        <w:trPr>
          <w:trHeight w:val="176"/>
        </w:trPr>
        <w:tc>
          <w:tcPr>
            <w:tcW w:w="20" w:type="dxa"/>
            <w:vAlign w:val="bottom"/>
            <w:tcBorders>
              <w:bottom w:val="single" w:sz="8" w:color="0070FF"/>
            </w:tcBorders>
          </w:tcPr>
          <w:p>
            <w:pPr>
              <w:spacing w:after="0"/>
              <w:rPr>
                <w:sz w:val="15"/>
                <w:szCs w:val="15"/>
                <w:color w:val="auto"/>
              </w:rPr>
            </w:pPr>
          </w:p>
        </w:tc>
        <w:tc>
          <w:tcPr>
            <w:tcW w:w="42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ChevronTexaco</w:t>
            </w:r>
          </w:p>
        </w:tc>
        <w:tc>
          <w:tcPr>
            <w:tcW w:w="8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5,810</w:t>
            </w:r>
          </w:p>
        </w:tc>
        <w:tc>
          <w:tcPr>
            <w:tcW w:w="60" w:type="dxa"/>
            <w:vAlign w:val="bottom"/>
            <w:tcBorders>
              <w:bottom w:val="single" w:sz="8" w:color="0070FF"/>
            </w:tcBorders>
          </w:tcPr>
          <w:p>
            <w:pPr>
              <w:spacing w:after="0"/>
              <w:rPr>
                <w:sz w:val="15"/>
                <w:szCs w:val="15"/>
                <w:color w:val="auto"/>
              </w:rPr>
            </w:pPr>
          </w:p>
        </w:tc>
      </w:tr>
    </w:tbl>
    <w:p>
      <w:pPr>
        <w:spacing w:after="0" w:line="16" w:lineRule="exact"/>
        <w:rPr>
          <w:sz w:val="20"/>
          <w:szCs w:val="20"/>
          <w:color w:val="auto"/>
        </w:rPr>
      </w:pPr>
    </w:p>
    <w:p>
      <w:pPr>
        <w:ind w:left="121" w:hanging="121"/>
        <w:spacing w:after="0"/>
        <w:tabs>
          <w:tab w:leader="none" w:pos="121" w:val="left"/>
        </w:tabs>
        <w:numPr>
          <w:ilvl w:val="0"/>
          <w:numId w:val="39"/>
        </w:numPr>
        <w:rPr>
          <w:rFonts w:ascii="Arial" w:cs="Arial" w:eastAsia="Arial" w:hAnsi="Arial"/>
          <w:sz w:val="10"/>
          <w:szCs w:val="10"/>
          <w:color w:val="auto"/>
        </w:rPr>
      </w:pPr>
      <w:r>
        <w:rPr>
          <w:rFonts w:ascii="Arial" w:cs="Arial" w:eastAsia="Arial" w:hAnsi="Arial"/>
          <w:sz w:val="12"/>
          <w:szCs w:val="12"/>
          <w:color w:val="auto"/>
        </w:rPr>
        <w:t>Includes certain reclassification adjustments to conform to historical Chevron presentation.</w:t>
      </w:r>
    </w:p>
    <w:p>
      <w:pPr>
        <w:spacing w:after="0" w:line="10" w:lineRule="exact"/>
        <w:rPr>
          <w:rFonts w:ascii="Arial" w:cs="Arial" w:eastAsia="Arial" w:hAnsi="Arial"/>
          <w:sz w:val="10"/>
          <w:szCs w:val="10"/>
          <w:color w:val="auto"/>
        </w:rPr>
      </w:pPr>
    </w:p>
    <w:p>
      <w:pPr>
        <w:ind w:left="1"/>
        <w:spacing w:after="0"/>
        <w:rPr>
          <w:rFonts w:ascii="Arial" w:cs="Arial" w:eastAsia="Arial" w:hAnsi="Arial"/>
          <w:sz w:val="10"/>
          <w:szCs w:val="10"/>
          <w:color w:val="auto"/>
        </w:rPr>
      </w:pPr>
      <w:r>
        <w:rPr>
          <w:rFonts w:ascii="Arial" w:cs="Arial" w:eastAsia="Arial" w:hAnsi="Arial"/>
          <w:sz w:val="10"/>
          <w:szCs w:val="10"/>
          <w:color w:val="auto"/>
        </w:rPr>
        <w:t xml:space="preserve">2  </w:t>
      </w:r>
      <w:r>
        <w:rPr>
          <w:rFonts w:ascii="Arial" w:cs="Arial" w:eastAsia="Arial" w:hAnsi="Arial"/>
          <w:sz w:val="11"/>
          <w:szCs w:val="11"/>
          <w:color w:val="auto"/>
        </w:rPr>
        <w:t>Consolidation of former equity operations and intercompany eliminations.</w:t>
      </w:r>
    </w:p>
    <w:p>
      <w:pPr>
        <w:spacing w:after="0" w:line="22" w:lineRule="exact"/>
        <w:rPr>
          <w:rFonts w:ascii="Arial" w:cs="Arial" w:eastAsia="Arial" w:hAnsi="Arial"/>
          <w:sz w:val="10"/>
          <w:szCs w:val="10"/>
          <w:color w:val="auto"/>
        </w:rPr>
      </w:pPr>
    </w:p>
    <w:p>
      <w:pPr>
        <w:ind w:left="1"/>
        <w:spacing w:after="0"/>
        <w:rPr>
          <w:rFonts w:ascii="Arial" w:cs="Arial" w:eastAsia="Arial" w:hAnsi="Arial"/>
          <w:sz w:val="10"/>
          <w:szCs w:val="10"/>
          <w:color w:val="auto"/>
        </w:rPr>
      </w:pPr>
      <w:r>
        <w:rPr>
          <w:rFonts w:ascii="Arial" w:cs="Arial" w:eastAsia="Arial" w:hAnsi="Arial"/>
          <w:sz w:val="10"/>
          <w:szCs w:val="10"/>
          <w:color w:val="auto"/>
        </w:rPr>
        <w:t xml:space="preserve">3  </w:t>
      </w:r>
      <w:r>
        <w:rPr>
          <w:rFonts w:ascii="Arial" w:cs="Arial" w:eastAsia="Arial" w:hAnsi="Arial"/>
          <w:sz w:val="11"/>
          <w:szCs w:val="11"/>
          <w:color w:val="auto"/>
        </w:rPr>
        <w:t>Loss associated with the sales of the company’s interests in Equilon and Motiva.</w:t>
      </w:r>
    </w:p>
    <w:p>
      <w:pPr>
        <w:spacing w:after="0" w:line="213" w:lineRule="exact"/>
        <w:rPr>
          <w:sz w:val="20"/>
          <w:szCs w:val="20"/>
          <w:color w:val="auto"/>
        </w:rPr>
      </w:pPr>
    </w:p>
    <w:p>
      <w:pPr>
        <w:ind w:left="1" w:right="20" w:firstLine="194"/>
        <w:spacing w:after="0" w:line="265" w:lineRule="auto"/>
        <w:rPr>
          <w:sz w:val="20"/>
          <w:szCs w:val="20"/>
          <w:color w:val="auto"/>
        </w:rPr>
      </w:pPr>
      <w:r>
        <w:rPr>
          <w:rFonts w:ascii="Arial" w:cs="Arial" w:eastAsia="Arial" w:hAnsi="Arial"/>
          <w:sz w:val="16"/>
          <w:szCs w:val="16"/>
          <w:color w:val="auto"/>
        </w:rPr>
        <w:t>At the time of the merger, each share of Texaco common stock was converted, on a tax-free basis, into the right to receive 0.77 shares of ChevronTexaco common stock. Approximately 425 million additional shares of common stock were issued, representing about 40 percent of the outstanding ChevronTexaco common stock after the merger.</w:t>
      </w:r>
    </w:p>
    <w:p>
      <w:pPr>
        <w:spacing w:after="0" w:line="1" w:lineRule="exact"/>
        <w:rPr>
          <w:sz w:val="20"/>
          <w:szCs w:val="20"/>
          <w:color w:val="auto"/>
        </w:rPr>
      </w:pPr>
    </w:p>
    <w:p>
      <w:pPr>
        <w:ind w:left="1" w:right="100" w:firstLine="194"/>
        <w:spacing w:after="0" w:line="264" w:lineRule="auto"/>
        <w:rPr>
          <w:sz w:val="20"/>
          <w:szCs w:val="20"/>
          <w:color w:val="auto"/>
        </w:rPr>
      </w:pPr>
      <w:r>
        <w:rPr>
          <w:rFonts w:ascii="Arial" w:cs="Arial" w:eastAsia="Arial" w:hAnsi="Arial"/>
          <w:sz w:val="16"/>
          <w:szCs w:val="16"/>
          <w:color w:val="auto"/>
        </w:rPr>
        <w:t>As a condition of approving the merger, the U.S. Federal Trade Commission (FTC) required the divestment of certain Texaco assets: Texaco’s investments in its U.S. refining, marketing and transportation affiliates, Equilon Enterprises LLC (Equilon) and Motiva Enterprises LLC (Motiva), as well as other interests in U.S. natural gas processing and transportation facilities and general aviation fuel marketing.</w:t>
      </w:r>
    </w:p>
    <w:p>
      <w:pPr>
        <w:spacing w:after="0" w:line="1" w:lineRule="exact"/>
        <w:rPr>
          <w:sz w:val="20"/>
          <w:szCs w:val="20"/>
          <w:color w:val="auto"/>
        </w:rPr>
      </w:pPr>
    </w:p>
    <w:p>
      <w:pPr>
        <w:ind w:left="1" w:right="100" w:firstLine="194"/>
        <w:spacing w:after="0" w:line="264" w:lineRule="auto"/>
        <w:rPr>
          <w:sz w:val="20"/>
          <w:szCs w:val="20"/>
          <w:color w:val="auto"/>
        </w:rPr>
      </w:pPr>
      <w:r>
        <w:rPr>
          <w:rFonts w:ascii="Arial" w:cs="Arial" w:eastAsia="Arial" w:hAnsi="Arial"/>
          <w:sz w:val="16"/>
          <w:szCs w:val="16"/>
          <w:color w:val="auto"/>
        </w:rPr>
        <w:t>At the time of the merger, Texaco placed its interests in Equilon and Motiva in trust, as required by the FTC. Because the company no longer exercised significant influence over these investments, the associated accounting method was changed from equity to cost basis.</w:t>
      </w:r>
    </w:p>
    <w:p>
      <w:pPr>
        <w:spacing w:after="0" w:line="1" w:lineRule="exact"/>
        <w:rPr>
          <w:sz w:val="20"/>
          <w:szCs w:val="20"/>
          <w:color w:val="auto"/>
        </w:rPr>
      </w:pPr>
    </w:p>
    <w:p>
      <w:pPr>
        <w:ind w:left="1" w:right="20" w:firstLine="203"/>
        <w:spacing w:after="0" w:line="264" w:lineRule="auto"/>
        <w:rPr>
          <w:sz w:val="20"/>
          <w:szCs w:val="20"/>
          <w:color w:val="auto"/>
        </w:rPr>
      </w:pPr>
      <w:r>
        <w:rPr>
          <w:rFonts w:ascii="Arial" w:cs="Arial" w:eastAsia="Arial" w:hAnsi="Arial"/>
          <w:sz w:val="16"/>
          <w:szCs w:val="16"/>
          <w:color w:val="auto"/>
        </w:rPr>
        <w:t>Net income for 2001 included a loss of $643, net of a tax benefit of $144 ($0.61 per common share – diluted), related to the disposition of assets that were required as a condition of the FTC approval of the merger and other assets that were made duplicative by the merger. All such assets sold as a result of the merger provided net income of approximately $375 in 2001. The after-tax loss on these dispositions was reported as an extraordinary item in accordance with pooling-of-interests accounting requirements.</w:t>
      </w:r>
    </w:p>
    <w:p>
      <w:pPr>
        <w:spacing w:after="0" w:line="1" w:lineRule="exact"/>
        <w:rPr>
          <w:sz w:val="20"/>
          <w:szCs w:val="20"/>
          <w:color w:val="auto"/>
        </w:rPr>
      </w:pPr>
    </w:p>
    <w:p>
      <w:pPr>
        <w:jc w:val="both"/>
        <w:ind w:left="1" w:right="140" w:firstLine="203"/>
        <w:spacing w:after="0" w:line="276" w:lineRule="auto"/>
        <w:rPr>
          <w:sz w:val="20"/>
          <w:szCs w:val="20"/>
          <w:color w:val="auto"/>
        </w:rPr>
      </w:pPr>
      <w:r>
        <w:rPr>
          <w:rFonts w:ascii="Arial" w:cs="Arial" w:eastAsia="Arial" w:hAnsi="Arial"/>
          <w:sz w:val="16"/>
          <w:szCs w:val="16"/>
          <w:color w:val="auto"/>
        </w:rPr>
        <w:t>Included in the total after-tax loss was a loss of $564 connected with the sale of interests in Equilon and Motiva. Proceeds from the sale, which closed in February 2002, were approximately $2,200.</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FF"/>
        </w:rPr>
        <w:t>NOTE 3.</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70FF"/>
        </w:rPr>
        <w:t>SPECIAL ITEMS AND OTHER FINANCIAL INFORMATION</w:t>
      </w:r>
    </w:p>
    <w:p>
      <w:pPr>
        <w:spacing w:after="0" w:line="27" w:lineRule="exact"/>
        <w:rPr>
          <w:sz w:val="20"/>
          <w:szCs w:val="20"/>
          <w:color w:val="auto"/>
        </w:rPr>
      </w:pPr>
    </w:p>
    <w:p>
      <w:pPr>
        <w:ind w:left="1" w:right="20"/>
        <w:spacing w:after="0" w:line="259" w:lineRule="auto"/>
        <w:rPr>
          <w:sz w:val="20"/>
          <w:szCs w:val="20"/>
          <w:color w:val="auto"/>
        </w:rPr>
      </w:pPr>
      <w:r>
        <w:rPr>
          <w:rFonts w:ascii="Arial" w:cs="Arial" w:eastAsia="Arial" w:hAnsi="Arial"/>
          <w:sz w:val="16"/>
          <w:szCs w:val="16"/>
          <w:color w:val="auto"/>
        </w:rPr>
        <w:t>Net income for each period presented includes amounts categorized by the company as “special items,” which management separately identifies to assist in the identification and explanation of the trend of results.</w:t>
      </w:r>
    </w:p>
    <w:p>
      <w:pPr>
        <w:spacing w:after="0" w:line="2" w:lineRule="exact"/>
        <w:rPr>
          <w:sz w:val="20"/>
          <w:szCs w:val="20"/>
          <w:color w:val="auto"/>
        </w:rPr>
      </w:pPr>
    </w:p>
    <w:p>
      <w:pPr>
        <w:ind w:left="1" w:right="720" w:firstLine="203"/>
        <w:spacing w:after="0" w:line="323" w:lineRule="auto"/>
        <w:rPr>
          <w:sz w:val="20"/>
          <w:szCs w:val="20"/>
          <w:color w:val="auto"/>
        </w:rPr>
      </w:pPr>
      <w:r>
        <w:rPr>
          <w:rFonts w:ascii="Arial" w:cs="Arial" w:eastAsia="Arial" w:hAnsi="Arial"/>
          <w:sz w:val="15"/>
          <w:szCs w:val="15"/>
          <w:color w:val="auto"/>
        </w:rPr>
        <w:t>Listed in the following table are categories of these items and their net (decrease) increase to net income, after related tax effects.</w:t>
      </w:r>
    </w:p>
    <w:p>
      <w:pPr>
        <w:spacing w:after="0" w:line="200" w:lineRule="exact"/>
        <w:rPr>
          <w:sz w:val="20"/>
          <w:szCs w:val="20"/>
          <w:color w:val="auto"/>
        </w:rPr>
      </w:pPr>
    </w:p>
    <w:p>
      <w:pPr>
        <w:sectPr>
          <w:pgSz w:w="11900" w:h="16838" w:orient="portrait"/>
          <w:cols w:equalWidth="0" w:num="2">
            <w:col w:w="5480" w:space="399"/>
            <w:col w:w="5481"/>
          </w:cols>
          <w:pgMar w:left="240" w:top="419" w:right="299" w:bottom="1440" w:gutter="0" w:footer="0" w:header="0"/>
          <w:type w:val="continuous"/>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0070FF"/>
        </w:rPr>
        <w:t>NOTE 3. SPECIAL ITEMS AND OTHER FINANCIAL INFORMATION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4988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1660" w:type="dxa"/>
            <w:vAlign w:val="bottom"/>
            <w:tcBorders>
              <w:bottom w:val="single" w:sz="8" w:color="0070FF"/>
            </w:tcBorders>
            <w:gridSpan w:val="4"/>
          </w:tcPr>
          <w:p>
            <w:pPr>
              <w:jc w:val="right"/>
              <w:spacing w:after="0"/>
              <w:rPr>
                <w:sz w:val="20"/>
                <w:szCs w:val="20"/>
                <w:color w:val="auto"/>
              </w:rPr>
            </w:pPr>
            <w:r>
              <w:rPr>
                <w:rFonts w:ascii="Arial" w:cs="Arial" w:eastAsia="Arial" w:hAnsi="Arial"/>
                <w:sz w:val="14"/>
                <w:szCs w:val="14"/>
                <w:color w:val="auto"/>
                <w:w w:val="98"/>
              </w:rPr>
              <w:t>Year ended December 31</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0070FF"/>
            </w:tcBorders>
          </w:tcPr>
          <w:p>
            <w:pPr>
              <w:spacing w:after="0"/>
              <w:rPr>
                <w:sz w:val="12"/>
                <w:szCs w:val="12"/>
                <w:color w:val="auto"/>
              </w:rPr>
            </w:pPr>
          </w:p>
        </w:tc>
        <w:tc>
          <w:tcPr>
            <w:tcW w:w="248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400" w:type="dxa"/>
            <w:vAlign w:val="bottom"/>
            <w:tcBorders>
              <w:bottom w:val="single" w:sz="8" w:color="0070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3"/>
              </w:rPr>
              <w:t>2003</w:t>
            </w:r>
          </w:p>
        </w:tc>
        <w:tc>
          <w:tcPr>
            <w:tcW w:w="160" w:type="dxa"/>
            <w:vAlign w:val="bottom"/>
            <w:tcBorders>
              <w:bottom w:val="single" w:sz="8" w:color="0070FF"/>
            </w:tcBorders>
          </w:tcPr>
          <w:p>
            <w:pPr>
              <w:spacing w:after="0"/>
              <w:rPr>
                <w:sz w:val="12"/>
                <w:szCs w:val="12"/>
                <w:color w:val="auto"/>
              </w:rPr>
            </w:pPr>
          </w:p>
        </w:tc>
        <w:tc>
          <w:tcPr>
            <w:tcW w:w="520" w:type="dxa"/>
            <w:vAlign w:val="bottom"/>
            <w:tcBorders>
              <w:bottom w:val="single" w:sz="8" w:color="0070FF"/>
            </w:tcBorders>
          </w:tcPr>
          <w:p>
            <w:pPr>
              <w:jc w:val="right"/>
              <w:ind w:right="68"/>
              <w:spacing w:after="0" w:line="142" w:lineRule="exact"/>
              <w:rPr>
                <w:sz w:val="20"/>
                <w:szCs w:val="20"/>
                <w:color w:val="auto"/>
              </w:rPr>
            </w:pPr>
            <w:r>
              <w:rPr>
                <w:rFonts w:ascii="Arial" w:cs="Arial" w:eastAsia="Arial" w:hAnsi="Arial"/>
                <w:sz w:val="14"/>
                <w:szCs w:val="14"/>
                <w:color w:val="auto"/>
              </w:rPr>
              <w:t>2002</w:t>
            </w:r>
          </w:p>
        </w:tc>
        <w:tc>
          <w:tcPr>
            <w:tcW w:w="5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12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Special Items</w:t>
            </w: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Asset write-offs and revaluations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Exploration and Production</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(103)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60" w:type="dxa"/>
            <w:vAlign w:val="bottom"/>
          </w:tcPr>
          <w:p>
            <w:pPr>
              <w:ind w:left="280"/>
              <w:spacing w:after="0" w:line="145" w:lineRule="exact"/>
              <w:rPr>
                <w:sz w:val="20"/>
                <w:szCs w:val="20"/>
                <w:color w:val="auto"/>
              </w:rPr>
            </w:pPr>
            <w:r>
              <w:rPr>
                <w:rFonts w:ascii="Arial" w:cs="Arial" w:eastAsia="Arial" w:hAnsi="Arial"/>
                <w:sz w:val="14"/>
                <w:szCs w:val="14"/>
                <w:color w:val="auto"/>
              </w:rPr>
              <w:t>Impairments</w:t>
            </w:r>
          </w:p>
        </w:tc>
        <w:tc>
          <w:tcPr>
            <w:tcW w:w="2480" w:type="dxa"/>
            <w:vAlign w:val="bottom"/>
          </w:tcPr>
          <w:p>
            <w:pPr>
              <w:ind w:left="80"/>
              <w:spacing w:after="0" w:line="145" w:lineRule="exact"/>
              <w:rPr>
                <w:sz w:val="20"/>
                <w:szCs w:val="20"/>
                <w:color w:val="auto"/>
              </w:rPr>
            </w:pPr>
            <w:r>
              <w:rPr>
                <w:rFonts w:ascii="Arial" w:cs="Arial" w:eastAsia="Arial" w:hAnsi="Arial"/>
                <w:sz w:val="14"/>
                <w:szCs w:val="14"/>
                <w:color w:val="auto"/>
              </w:rPr>
              <w:t>- United States</w:t>
            </w:r>
          </w:p>
        </w:tc>
        <w:tc>
          <w:tcPr>
            <w:tcW w:w="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line="145" w:lineRule="exact"/>
              <w:rPr>
                <w:sz w:val="20"/>
                <w:szCs w:val="20"/>
                <w:color w:val="auto"/>
              </w:rPr>
            </w:pPr>
            <w:r>
              <w:rPr>
                <w:rFonts w:ascii="Arial" w:cs="Arial" w:eastAsia="Arial" w:hAnsi="Arial"/>
                <w:sz w:val="14"/>
                <w:szCs w:val="14"/>
                <w:color w:val="auto"/>
              </w:rPr>
              <w:t>(183)</w:t>
            </w: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w w:val="99"/>
              </w:rPr>
              <w:t>$ (1,168)</w:t>
            </w: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2480" w:type="dxa"/>
            <w:vAlign w:val="bottom"/>
          </w:tcPr>
          <w:p>
            <w:pPr>
              <w:ind w:left="80"/>
              <w:spacing w:after="0" w:line="153" w:lineRule="exact"/>
              <w:rPr>
                <w:sz w:val="20"/>
                <w:szCs w:val="20"/>
                <w:color w:val="auto"/>
              </w:rPr>
            </w:pPr>
            <w:r>
              <w:rPr>
                <w:rFonts w:ascii="Arial" w:cs="Arial" w:eastAsia="Arial" w:hAnsi="Arial"/>
                <w:sz w:val="14"/>
                <w:szCs w:val="14"/>
                <w:color w:val="auto"/>
              </w:rPr>
              <w:t>- International</w:t>
            </w:r>
          </w:p>
        </w:tc>
        <w:tc>
          <w:tcPr>
            <w:tcW w:w="8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3"/>
                <w:szCs w:val="13"/>
                <w:color w:val="auto"/>
              </w:rPr>
            </w:pPr>
          </w:p>
        </w:tc>
        <w:tc>
          <w:tcPr>
            <w:tcW w:w="520" w:type="dxa"/>
            <w:vAlign w:val="bottom"/>
          </w:tcPr>
          <w:p>
            <w:pPr>
              <w:jc w:val="right"/>
              <w:ind w:right="8"/>
              <w:spacing w:after="0" w:line="153" w:lineRule="exact"/>
              <w:rPr>
                <w:sz w:val="20"/>
                <w:szCs w:val="20"/>
                <w:color w:val="auto"/>
              </w:rPr>
            </w:pPr>
            <w:r>
              <w:rPr>
                <w:rFonts w:ascii="Arial" w:cs="Arial" w:eastAsia="Arial" w:hAnsi="Arial"/>
                <w:sz w:val="14"/>
                <w:szCs w:val="14"/>
                <w:color w:val="auto"/>
              </w:rPr>
              <w:t>(100)</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37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Refining, Marketing and Transportation</w:t>
            </w:r>
          </w:p>
        </w:tc>
        <w:tc>
          <w:tcPr>
            <w:tcW w:w="80" w:type="dxa"/>
            <w:vAlign w:val="bottom"/>
          </w:tcPr>
          <w:p>
            <w:pPr>
              <w:spacing w:after="0"/>
              <w:rPr>
                <w:sz w:val="12"/>
                <w:szCs w:val="12"/>
                <w:color w:val="auto"/>
              </w:rPr>
            </w:pPr>
          </w:p>
        </w:tc>
        <w:tc>
          <w:tcPr>
            <w:tcW w:w="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60" w:type="dxa"/>
            <w:vAlign w:val="bottom"/>
          </w:tcPr>
          <w:p>
            <w:pPr>
              <w:ind w:left="280"/>
              <w:spacing w:after="0" w:line="145" w:lineRule="exact"/>
              <w:rPr>
                <w:sz w:val="20"/>
                <w:szCs w:val="20"/>
                <w:color w:val="auto"/>
              </w:rPr>
            </w:pPr>
            <w:r>
              <w:rPr>
                <w:rFonts w:ascii="Arial" w:cs="Arial" w:eastAsia="Arial" w:hAnsi="Arial"/>
                <w:sz w:val="14"/>
                <w:szCs w:val="14"/>
                <w:color w:val="auto"/>
              </w:rPr>
              <w:t>Impairments</w:t>
            </w:r>
          </w:p>
        </w:tc>
        <w:tc>
          <w:tcPr>
            <w:tcW w:w="2480" w:type="dxa"/>
            <w:vAlign w:val="bottom"/>
          </w:tcPr>
          <w:p>
            <w:pPr>
              <w:ind w:left="80"/>
              <w:spacing w:after="0" w:line="145" w:lineRule="exact"/>
              <w:rPr>
                <w:sz w:val="20"/>
                <w:szCs w:val="20"/>
                <w:color w:val="auto"/>
              </w:rPr>
            </w:pPr>
            <w:r>
              <w:rPr>
                <w:rFonts w:ascii="Arial" w:cs="Arial" w:eastAsia="Arial" w:hAnsi="Arial"/>
                <w:sz w:val="14"/>
                <w:szCs w:val="14"/>
                <w:color w:val="auto"/>
              </w:rPr>
              <w:t>- United States</w:t>
            </w: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8"/>
              <w:spacing w:after="0" w:line="145" w:lineRule="exact"/>
              <w:rPr>
                <w:sz w:val="20"/>
                <w:szCs w:val="20"/>
                <w:color w:val="auto"/>
              </w:rPr>
            </w:pPr>
            <w:r>
              <w:rPr>
                <w:rFonts w:ascii="Arial" w:cs="Arial" w:eastAsia="Arial" w:hAnsi="Arial"/>
                <w:sz w:val="14"/>
                <w:szCs w:val="14"/>
                <w:color w:val="auto"/>
              </w:rPr>
              <w:t>(66)</w:t>
            </w: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60" w:type="dxa"/>
            <w:vAlign w:val="bottom"/>
            <w:vMerge w:val="restart"/>
          </w:tcPr>
          <w:p>
            <w:pPr>
              <w:ind w:left="140"/>
              <w:spacing w:after="0"/>
              <w:rPr>
                <w:sz w:val="20"/>
                <w:szCs w:val="20"/>
                <w:color w:val="auto"/>
              </w:rPr>
            </w:pPr>
            <w:r>
              <w:rPr>
                <w:rFonts w:ascii="Arial" w:cs="Arial" w:eastAsia="Arial" w:hAnsi="Arial"/>
                <w:sz w:val="14"/>
                <w:szCs w:val="14"/>
                <w:color w:val="auto"/>
              </w:rPr>
              <w:t>Chemicals</w:t>
            </w:r>
          </w:p>
        </w:tc>
        <w:tc>
          <w:tcPr>
            <w:tcW w:w="2480" w:type="dxa"/>
            <w:vAlign w:val="bottom"/>
          </w:tcPr>
          <w:p>
            <w:pPr>
              <w:ind w:left="80"/>
              <w:spacing w:after="0"/>
              <w:rPr>
                <w:sz w:val="20"/>
                <w:szCs w:val="20"/>
                <w:color w:val="auto"/>
              </w:rPr>
            </w:pPr>
            <w:r>
              <w:rPr>
                <w:rFonts w:ascii="Arial" w:cs="Arial" w:eastAsia="Arial" w:hAnsi="Arial"/>
                <w:sz w:val="14"/>
                <w:szCs w:val="14"/>
                <w:color w:val="auto"/>
              </w:rPr>
              <w:t>- International</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7"/>
              </w:rPr>
              <w:t>(123)</w:t>
            </w:r>
          </w:p>
        </w:tc>
        <w:tc>
          <w:tcPr>
            <w:tcW w:w="16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Manufacturing facility</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Impairment</w:t>
            </w:r>
          </w:p>
        </w:tc>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 United States</w:t>
            </w:r>
          </w:p>
        </w:tc>
        <w:tc>
          <w:tcPr>
            <w:tcW w:w="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Other asset write-offs</w:t>
            </w:r>
          </w:p>
        </w:tc>
        <w:tc>
          <w:tcPr>
            <w:tcW w:w="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1260" w:type="dxa"/>
            <w:vAlign w:val="bottom"/>
          </w:tcPr>
          <w:p>
            <w:pPr>
              <w:ind w:left="140"/>
              <w:spacing w:after="0" w:line="149" w:lineRule="exact"/>
              <w:rPr>
                <w:sz w:val="20"/>
                <w:szCs w:val="20"/>
                <w:color w:val="auto"/>
              </w:rPr>
            </w:pPr>
            <w:r>
              <w:rPr>
                <w:rFonts w:ascii="Arial" w:cs="Arial" w:eastAsia="Arial" w:hAnsi="Arial"/>
                <w:sz w:val="14"/>
                <w:szCs w:val="14"/>
                <w:color w:val="auto"/>
              </w:rPr>
              <w:t>All Other</w:t>
            </w: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40" w:type="dxa"/>
            <w:vAlign w:val="bottom"/>
            <w:gridSpan w:val="2"/>
          </w:tcPr>
          <w:p>
            <w:pPr>
              <w:ind w:left="280"/>
              <w:spacing w:after="0"/>
              <w:rPr>
                <w:sz w:val="20"/>
                <w:szCs w:val="20"/>
                <w:color w:val="auto"/>
              </w:rPr>
            </w:pPr>
            <w:r>
              <w:rPr>
                <w:rFonts w:ascii="Arial" w:cs="Arial" w:eastAsia="Arial" w:hAnsi="Arial"/>
                <w:sz w:val="14"/>
                <w:szCs w:val="14"/>
                <w:color w:val="auto"/>
              </w:rPr>
              <w:t>Other asset write-offs</w:t>
            </w: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vMerge w:val="continue"/>
          </w:tcPr>
          <w:p>
            <w:pPr>
              <w:spacing w:after="0"/>
              <w:rPr>
                <w:sz w:val="14"/>
                <w:szCs w:val="14"/>
                <w:color w:val="auto"/>
              </w:rPr>
            </w:pP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6"/>
        </w:trPr>
        <w:tc>
          <w:tcPr>
            <w:tcW w:w="1260" w:type="dxa"/>
            <w:vAlign w:val="bottom"/>
            <w:tcBorders>
              <w:bottom w:val="single" w:sz="8" w:color="0070FF"/>
            </w:tcBorders>
          </w:tcPr>
          <w:p>
            <w:pPr>
              <w:spacing w:after="0"/>
              <w:rPr>
                <w:sz w:val="13"/>
                <w:szCs w:val="13"/>
                <w:color w:val="auto"/>
              </w:rPr>
            </w:pPr>
          </w:p>
        </w:tc>
        <w:tc>
          <w:tcPr>
            <w:tcW w:w="248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97"/>
              </w:rPr>
              <w:t>(340)</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(485)</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37"/>
        </w:trPr>
        <w:tc>
          <w:tcPr>
            <w:tcW w:w="1260" w:type="dxa"/>
            <w:vAlign w:val="bottom"/>
          </w:tcPr>
          <w:p>
            <w:pPr>
              <w:ind w:left="20"/>
              <w:spacing w:after="0" w:line="137" w:lineRule="exact"/>
              <w:rPr>
                <w:sz w:val="20"/>
                <w:szCs w:val="20"/>
                <w:color w:val="auto"/>
              </w:rPr>
            </w:pPr>
            <w:r>
              <w:rPr>
                <w:rFonts w:ascii="Arial" w:cs="Arial" w:eastAsia="Arial" w:hAnsi="Arial"/>
                <w:sz w:val="14"/>
                <w:szCs w:val="14"/>
                <w:color w:val="auto"/>
              </w:rPr>
              <w:t>Asset dispositions</w:t>
            </w: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Exploration and Production</w:t>
            </w:r>
          </w:p>
        </w:tc>
        <w:tc>
          <w:tcPr>
            <w:tcW w:w="80" w:type="dxa"/>
            <w:vAlign w:val="bottom"/>
          </w:tcPr>
          <w:p>
            <w:pPr>
              <w:spacing w:after="0"/>
              <w:rPr>
                <w:sz w:val="12"/>
                <w:szCs w:val="12"/>
                <w:color w:val="auto"/>
              </w:rPr>
            </w:pPr>
          </w:p>
        </w:tc>
        <w:tc>
          <w:tcPr>
            <w:tcW w:w="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60" w:type="dxa"/>
            <w:vAlign w:val="bottom"/>
          </w:tcPr>
          <w:p>
            <w:pPr>
              <w:ind w:left="140"/>
              <w:spacing w:after="0" w:line="145" w:lineRule="exact"/>
              <w:rPr>
                <w:sz w:val="20"/>
                <w:szCs w:val="20"/>
                <w:color w:val="auto"/>
              </w:rPr>
            </w:pPr>
            <w:r>
              <w:rPr>
                <w:rFonts w:ascii="Arial" w:cs="Arial" w:eastAsia="Arial" w:hAnsi="Arial"/>
                <w:sz w:val="14"/>
                <w:szCs w:val="14"/>
                <w:color w:val="auto"/>
              </w:rPr>
              <w:t>United States</w:t>
            </w: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3"/>
        </w:trPr>
        <w:tc>
          <w:tcPr>
            <w:tcW w:w="1260" w:type="dxa"/>
            <w:vAlign w:val="bottom"/>
          </w:tcPr>
          <w:p>
            <w:pPr>
              <w:ind w:left="140"/>
              <w:spacing w:after="0" w:line="153" w:lineRule="exact"/>
              <w:rPr>
                <w:sz w:val="20"/>
                <w:szCs w:val="20"/>
                <w:color w:val="auto"/>
              </w:rPr>
            </w:pPr>
            <w:r>
              <w:rPr>
                <w:rFonts w:ascii="Arial" w:cs="Arial" w:eastAsia="Arial" w:hAnsi="Arial"/>
                <w:sz w:val="14"/>
                <w:szCs w:val="14"/>
                <w:color w:val="auto"/>
              </w:rPr>
              <w:t>International</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32</w:t>
            </w:r>
          </w:p>
        </w:tc>
        <w:tc>
          <w:tcPr>
            <w:tcW w:w="160" w:type="dxa"/>
            <w:vAlign w:val="bottom"/>
          </w:tcPr>
          <w:p>
            <w:pPr>
              <w:spacing w:after="0"/>
              <w:rPr>
                <w:sz w:val="13"/>
                <w:szCs w:val="13"/>
                <w:color w:val="auto"/>
              </w:rPr>
            </w:pPr>
          </w:p>
        </w:tc>
        <w:tc>
          <w:tcPr>
            <w:tcW w:w="520" w:type="dxa"/>
            <w:vAlign w:val="bottom"/>
          </w:tcPr>
          <w:p>
            <w:pPr>
              <w:jc w:val="right"/>
              <w:ind w:right="68"/>
              <w:spacing w:after="0" w:line="15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Refining, Marketing and Transportation</w:t>
            </w:r>
          </w:p>
        </w:tc>
        <w:tc>
          <w:tcPr>
            <w:tcW w:w="80" w:type="dxa"/>
            <w:vAlign w:val="bottom"/>
          </w:tcPr>
          <w:p>
            <w:pPr>
              <w:spacing w:after="0"/>
              <w:rPr>
                <w:sz w:val="12"/>
                <w:szCs w:val="12"/>
                <w:color w:val="auto"/>
              </w:rPr>
            </w:pPr>
          </w:p>
        </w:tc>
        <w:tc>
          <w:tcPr>
            <w:tcW w:w="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60" w:type="dxa"/>
            <w:vAlign w:val="bottom"/>
          </w:tcPr>
          <w:p>
            <w:pPr>
              <w:ind w:left="140"/>
              <w:spacing w:after="0" w:line="145" w:lineRule="exact"/>
              <w:rPr>
                <w:sz w:val="20"/>
                <w:szCs w:val="20"/>
                <w:color w:val="auto"/>
              </w:rPr>
            </w:pPr>
            <w:r>
              <w:rPr>
                <w:rFonts w:ascii="Arial" w:cs="Arial" w:eastAsia="Arial" w:hAnsi="Arial"/>
                <w:sz w:val="14"/>
                <w:szCs w:val="14"/>
                <w:color w:val="auto"/>
              </w:rPr>
              <w:t>United States</w:t>
            </w: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26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248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(24)</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260" w:type="dxa"/>
            <w:vAlign w:val="bottom"/>
            <w:tcBorders>
              <w:bottom w:val="single" w:sz="8" w:color="0070FF"/>
            </w:tcBorders>
          </w:tcPr>
          <w:p>
            <w:pPr>
              <w:spacing w:after="0"/>
              <w:rPr>
                <w:sz w:val="13"/>
                <w:szCs w:val="13"/>
                <w:color w:val="auto"/>
              </w:rPr>
            </w:pPr>
          </w:p>
        </w:tc>
        <w:tc>
          <w:tcPr>
            <w:tcW w:w="248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122</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6"/>
        </w:trPr>
        <w:tc>
          <w:tcPr>
            <w:tcW w:w="12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Tax adjustments</w:t>
            </w:r>
          </w:p>
        </w:tc>
        <w:tc>
          <w:tcPr>
            <w:tcW w:w="248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118</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60</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0070FF"/>
            </w:tcBorders>
            <w:gridSpan w:val="2"/>
          </w:tcPr>
          <w:p>
            <w:pPr>
              <w:ind w:left="20"/>
              <w:spacing w:after="0" w:line="155" w:lineRule="exact"/>
              <w:rPr>
                <w:sz w:val="20"/>
                <w:szCs w:val="20"/>
                <w:color w:val="auto"/>
              </w:rPr>
            </w:pPr>
            <w:r>
              <w:rPr>
                <w:rFonts w:ascii="Arial" w:cs="Arial" w:eastAsia="Arial" w:hAnsi="Arial"/>
                <w:sz w:val="14"/>
                <w:szCs w:val="14"/>
                <w:color w:val="auto"/>
              </w:rPr>
              <w:t>Environmental remediation provisions</w:t>
            </w:r>
          </w:p>
        </w:tc>
        <w:tc>
          <w:tcPr>
            <w:tcW w:w="8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97"/>
              </w:rPr>
              <w:t>(132)</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(160)</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3"/>
        </w:trPr>
        <w:tc>
          <w:tcPr>
            <w:tcW w:w="37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Restructuring and reorganizations</w:t>
            </w:r>
          </w:p>
        </w:tc>
        <w:tc>
          <w:tcPr>
            <w:tcW w:w="8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7"/>
              </w:rPr>
              <w:t>(146)</w:t>
            </w:r>
          </w:p>
        </w:tc>
        <w:tc>
          <w:tcPr>
            <w:tcW w:w="160" w:type="dxa"/>
            <w:vAlign w:val="bottom"/>
          </w:tcPr>
          <w:p>
            <w:pPr>
              <w:spacing w:after="0"/>
              <w:rPr>
                <w:sz w:val="11"/>
                <w:szCs w:val="11"/>
                <w:color w:val="auto"/>
              </w:rPr>
            </w:pPr>
          </w:p>
        </w:tc>
        <w:tc>
          <w:tcPr>
            <w:tcW w:w="520" w:type="dxa"/>
            <w:vAlign w:val="bottom"/>
          </w:tcPr>
          <w:p>
            <w:pPr>
              <w:jc w:val="right"/>
              <w:ind w:right="68"/>
              <w:spacing w:after="0" w:line="13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Merger-related expenses</w:t>
            </w:r>
          </w:p>
        </w:tc>
        <w:tc>
          <w:tcPr>
            <w:tcW w:w="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(386)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49"/>
        </w:trPr>
        <w:tc>
          <w:tcPr>
            <w:tcW w:w="3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Extraordinary loss on merger-related asset sales</w:t>
            </w:r>
          </w:p>
        </w:tc>
        <w:tc>
          <w:tcPr>
            <w:tcW w:w="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71"/>
        </w:trPr>
        <w:tc>
          <w:tcPr>
            <w:tcW w:w="3740" w:type="dxa"/>
            <w:vAlign w:val="bottom"/>
            <w:tcBorders>
              <w:bottom w:val="single" w:sz="8" w:color="0070FF"/>
            </w:tcBorders>
            <w:gridSpan w:val="2"/>
          </w:tcPr>
          <w:p>
            <w:pPr>
              <w:ind w:left="20"/>
              <w:spacing w:after="0"/>
              <w:rPr>
                <w:sz w:val="20"/>
                <w:szCs w:val="20"/>
                <w:color w:val="auto"/>
              </w:rPr>
            </w:pPr>
            <w:r>
              <w:rPr>
                <w:rFonts w:ascii="Arial" w:cs="Arial" w:eastAsia="Arial" w:hAnsi="Arial"/>
                <w:sz w:val="14"/>
                <w:szCs w:val="14"/>
                <w:color w:val="auto"/>
              </w:rPr>
              <w:t>Litigation and provisions</w:t>
            </w: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(57)</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260" w:type="dxa"/>
            <w:vAlign w:val="bottom"/>
          </w:tcPr>
          <w:p>
            <w:pPr>
              <w:ind w:left="20"/>
              <w:spacing w:after="0" w:line="137" w:lineRule="exact"/>
              <w:rPr>
                <w:sz w:val="20"/>
                <w:szCs w:val="20"/>
                <w:color w:val="auto"/>
              </w:rPr>
            </w:pPr>
            <w:r>
              <w:rPr>
                <w:rFonts w:ascii="Arial" w:cs="Arial" w:eastAsia="Arial" w:hAnsi="Arial"/>
                <w:sz w:val="14"/>
                <w:szCs w:val="14"/>
                <w:color w:val="auto"/>
              </w:rPr>
              <w:t>Dynegy-related</w:t>
            </w: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4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Impairments – equity share</w:t>
            </w: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8"/>
              <w:spacing w:after="0" w:line="145" w:lineRule="exact"/>
              <w:rPr>
                <w:sz w:val="20"/>
                <w:szCs w:val="20"/>
                <w:color w:val="auto"/>
              </w:rPr>
            </w:pPr>
            <w:r>
              <w:rPr>
                <w:rFonts w:ascii="Arial" w:cs="Arial" w:eastAsia="Arial" w:hAnsi="Arial"/>
                <w:sz w:val="14"/>
                <w:szCs w:val="14"/>
                <w:color w:val="auto"/>
              </w:rPr>
              <w:t>(531)</w:t>
            </w: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Asset dispositions – equity share</w:t>
            </w:r>
          </w:p>
        </w:tc>
        <w:tc>
          <w:tcPr>
            <w:tcW w:w="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260" w:type="dxa"/>
            <w:vAlign w:val="bottom"/>
          </w:tcPr>
          <w:p>
            <w:pPr>
              <w:ind w:left="140"/>
              <w:spacing w:after="0"/>
              <w:rPr>
                <w:sz w:val="20"/>
                <w:szCs w:val="20"/>
                <w:color w:val="auto"/>
              </w:rPr>
            </w:pPr>
            <w:r>
              <w:rPr>
                <w:rFonts w:ascii="Arial" w:cs="Arial" w:eastAsia="Arial" w:hAnsi="Arial"/>
                <w:sz w:val="14"/>
                <w:szCs w:val="14"/>
                <w:color w:val="auto"/>
              </w:rPr>
              <w:t>Other</w:t>
            </w:r>
          </w:p>
        </w:tc>
        <w:tc>
          <w:tcPr>
            <w:tcW w:w="248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365</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w w:val="94"/>
              </w:rPr>
              <w:t>(1,626)</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260" w:type="dxa"/>
            <w:vAlign w:val="bottom"/>
            <w:tcBorders>
              <w:bottom w:val="single" w:sz="8" w:color="0070FF"/>
            </w:tcBorders>
          </w:tcPr>
          <w:p>
            <w:pPr>
              <w:spacing w:after="0"/>
              <w:rPr>
                <w:sz w:val="13"/>
                <w:szCs w:val="13"/>
                <w:color w:val="auto"/>
              </w:rPr>
            </w:pPr>
          </w:p>
        </w:tc>
        <w:tc>
          <w:tcPr>
            <w:tcW w:w="248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325</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w w:val="94"/>
              </w:rPr>
              <w:t>(2,306)</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2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w w:val="96"/>
              </w:rPr>
              <w:t>Total Special Items</w:t>
            </w:r>
          </w:p>
        </w:tc>
        <w:tc>
          <w:tcPr>
            <w:tcW w:w="2480" w:type="dxa"/>
            <w:vAlign w:val="bottom"/>
            <w:tcBorders>
              <w:bottom w:val="single" w:sz="8" w:color="0070FF"/>
            </w:tcBorders>
          </w:tcPr>
          <w:p>
            <w:pPr>
              <w:spacing w:after="0"/>
              <w:rPr>
                <w:sz w:val="15"/>
                <w:szCs w:val="15"/>
                <w:color w:val="auto"/>
              </w:rPr>
            </w:pP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(53)</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w w:val="94"/>
              </w:rPr>
              <w:t>(3,334)</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9"/>
              </w:rPr>
              <w:t>$ (3,522)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203"/>
        <w:spacing w:after="0" w:line="282" w:lineRule="auto"/>
        <w:rPr>
          <w:sz w:val="20"/>
          <w:szCs w:val="20"/>
          <w:color w:val="auto"/>
        </w:rPr>
      </w:pPr>
      <w:r>
        <w:rPr>
          <w:rFonts w:ascii="Arial" w:cs="Arial" w:eastAsia="Arial" w:hAnsi="Arial"/>
          <w:sz w:val="15"/>
          <w:szCs w:val="15"/>
          <w:color w:val="auto"/>
        </w:rPr>
        <w:t>In 2003, the company recorded impairments of $103 and $30, respectively, for various U.S. and international oil and gas producing properties, reflecting lower expected recovery of proved reserves or a write-down to market value for assets in anticipation of sale. Impairments of $123 on downstream assets were for the conversion of a refinery to a products terminal and a write-down to market value for assets in anticipation of sale. Also in 2003, ChevronTexaco exchanged its Dynegy Series B Preferred Stock for cash, notes and Series C Preferred Stock. The $365 difference between the fair value of these items and the company’s carrying value was included in net income.</w:t>
      </w:r>
    </w:p>
    <w:p>
      <w:pPr>
        <w:spacing w:after="0" w:line="3" w:lineRule="exact"/>
        <w:rPr>
          <w:sz w:val="20"/>
          <w:szCs w:val="20"/>
          <w:color w:val="auto"/>
        </w:rPr>
      </w:pPr>
    </w:p>
    <w:p>
      <w:pPr>
        <w:ind w:right="80" w:firstLine="203"/>
        <w:spacing w:after="0" w:line="288" w:lineRule="auto"/>
        <w:rPr>
          <w:sz w:val="20"/>
          <w:szCs w:val="20"/>
          <w:color w:val="auto"/>
        </w:rPr>
      </w:pPr>
      <w:r>
        <w:rPr>
          <w:rFonts w:ascii="Arial" w:cs="Arial" w:eastAsia="Arial" w:hAnsi="Arial"/>
          <w:sz w:val="15"/>
          <w:szCs w:val="15"/>
          <w:color w:val="auto"/>
        </w:rPr>
        <w:t>In 2002, the company recorded write-downs of $1,626 of its investment in Dynegy common and preferred stock and $136 of its investment in its publicly traded Caltex Australia affiliate to their respective estimated fair values. The write-downs were required because the declines in the fair values of the investments below their carrying values were deemed to be other than temporary. Refer to Note 14 on pages FS-38 and FS-39 for additional information on the company’s investment in Dynegy and Caltex Australia.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20" w:firstLine="194"/>
        <w:spacing w:after="0" w:line="264" w:lineRule="auto"/>
        <w:rPr>
          <w:sz w:val="20"/>
          <w:szCs w:val="20"/>
          <w:color w:val="auto"/>
        </w:rPr>
      </w:pPr>
      <w:r>
        <w:rPr>
          <w:rFonts w:ascii="Arial" w:cs="Arial" w:eastAsia="Arial" w:hAnsi="Arial"/>
          <w:sz w:val="16"/>
          <w:szCs w:val="16"/>
          <w:color w:val="auto"/>
        </w:rPr>
        <w:t>Also in 2002, impairments of $183 were recorded for various U.S. exploration and production properties and $100 for international projects. Impairments in 2001 included $1,022 for the Midway Sunset Field in California – the result of a write-down in proved oil reserve quantities – upon determination of a lower-than-projected oil recovery from the field’s steam injection process. A $247 impairment of the LL-652 Field in Venezuela was also recorded in 2001 – as slower-than-expected reservoir repressurization resulted in a reduction in the projected volumes of oil recoverable during the company’s remaining contract period of operation. Impairments included in “Asset write-offs and revaluations” were for assets held for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-1321435</wp:posOffset>
            </wp:positionV>
            <wp:extent cx="8890" cy="6595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6595110"/>
                    </a:xfrm>
                    <a:prstGeom prst="rect">
                      <a:avLst/>
                    </a:prstGeom>
                    <a:noFill/>
                  </pic:spPr>
                </pic:pic>
              </a:graphicData>
            </a:graphic>
          </wp:anchor>
        </w:drawing>
      </w:r>
    </w:p>
    <w:p>
      <w:pPr>
        <w:ind w:right="140" w:firstLine="200"/>
        <w:spacing w:after="0" w:line="276" w:lineRule="auto"/>
        <w:rPr>
          <w:sz w:val="20"/>
          <w:szCs w:val="20"/>
          <w:color w:val="auto"/>
        </w:rPr>
      </w:pPr>
      <w:r>
        <w:rPr>
          <w:rFonts w:ascii="Arial" w:cs="Arial" w:eastAsia="Arial" w:hAnsi="Arial"/>
          <w:sz w:val="16"/>
          <w:szCs w:val="16"/>
          <w:color w:val="auto"/>
        </w:rPr>
        <w:t>The aggregate effects on income statement categories from special items are reflected in the following table, including ChevronTexaco’s proportionate share of special items related to equity affiliates.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spacing w:after="0"/>
              <w:rPr>
                <w:sz w:val="14"/>
                <w:szCs w:val="14"/>
                <w:color w:val="auto"/>
              </w:rPr>
            </w:pPr>
          </w:p>
        </w:tc>
        <w:tc>
          <w:tcPr>
            <w:tcW w:w="1500" w:type="dxa"/>
            <w:vAlign w:val="bottom"/>
            <w:tcBorders>
              <w:bottom w:val="single" w:sz="8" w:color="0070FF"/>
            </w:tcBorders>
            <w:gridSpan w:val="4"/>
          </w:tcPr>
          <w:p>
            <w:pPr>
              <w:jc w:val="right"/>
              <w:ind w:right="8"/>
              <w:spacing w:after="0"/>
              <w:rPr>
                <w:sz w:val="20"/>
                <w:szCs w:val="20"/>
                <w:color w:val="auto"/>
              </w:rPr>
            </w:pPr>
            <w:r>
              <w:rPr>
                <w:rFonts w:ascii="Arial" w:cs="Arial" w:eastAsia="Arial" w:hAnsi="Arial"/>
                <w:sz w:val="14"/>
                <w:szCs w:val="14"/>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400" w:type="dxa"/>
            <w:vAlign w:val="bottom"/>
            <w:tcBorders>
              <w:bottom w:val="single" w:sz="8" w:color="0070FF"/>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2003</w:t>
            </w:r>
          </w:p>
        </w:tc>
        <w:tc>
          <w:tcPr>
            <w:tcW w:w="240" w:type="dxa"/>
            <w:vAlign w:val="bottom"/>
            <w:tcBorders>
              <w:bottom w:val="single" w:sz="8" w:color="0070FF"/>
            </w:tcBorders>
          </w:tcPr>
          <w:p>
            <w:pPr>
              <w:spacing w:after="0"/>
              <w:rPr>
                <w:sz w:val="12"/>
                <w:szCs w:val="12"/>
                <w:color w:val="auto"/>
              </w:rPr>
            </w:pPr>
          </w:p>
        </w:tc>
        <w:tc>
          <w:tcPr>
            <w:tcW w:w="540" w:type="dxa"/>
            <w:vAlign w:val="bottom"/>
            <w:tcBorders>
              <w:bottom w:val="single" w:sz="8" w:color="0070FF"/>
            </w:tcBorders>
          </w:tcPr>
          <w:p>
            <w:pPr>
              <w:jc w:val="right"/>
              <w:ind w:right="68"/>
              <w:spacing w:after="0" w:line="142" w:lineRule="exact"/>
              <w:rPr>
                <w:sz w:val="20"/>
                <w:szCs w:val="20"/>
                <w:color w:val="auto"/>
              </w:rPr>
            </w:pPr>
            <w:r>
              <w:rPr>
                <w:rFonts w:ascii="Arial" w:cs="Arial" w:eastAsia="Arial" w:hAnsi="Arial"/>
                <w:sz w:val="14"/>
                <w:szCs w:val="14"/>
                <w:color w:val="auto"/>
              </w:rPr>
              <w:t>2002</w:t>
            </w:r>
          </w:p>
        </w:tc>
        <w:tc>
          <w:tcPr>
            <w:tcW w:w="22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jc w:val="right"/>
              <w:ind w:right="8"/>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00" w:type="dxa"/>
            <w:vAlign w:val="bottom"/>
          </w:tcPr>
          <w:p>
            <w:pPr>
              <w:spacing w:after="0" w:line="137" w:lineRule="exact"/>
              <w:rPr>
                <w:sz w:val="20"/>
                <w:szCs w:val="20"/>
                <w:color w:val="auto"/>
              </w:rPr>
            </w:pPr>
            <w:r>
              <w:rPr>
                <w:rFonts w:ascii="Arial" w:cs="Arial" w:eastAsia="Arial" w:hAnsi="Arial"/>
                <w:sz w:val="14"/>
                <w:szCs w:val="14"/>
                <w:b w:val="1"/>
                <w:bCs w:val="1"/>
                <w:color w:val="auto"/>
              </w:rPr>
              <w:t>Revenues and other income</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179</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Arial" w:cs="Arial" w:eastAsia="Arial" w:hAnsi="Arial"/>
                <w:sz w:val="14"/>
                <w:szCs w:val="14"/>
                <w:color w:val="auto"/>
              </w:rPr>
              <w:t>Income (loss) from equity affiliates</w:t>
            </w:r>
          </w:p>
        </w:tc>
        <w:tc>
          <w:tcPr>
            <w:tcW w:w="56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5" w:lineRule="exact"/>
              <w:rPr>
                <w:sz w:val="20"/>
                <w:szCs w:val="20"/>
                <w:color w:val="auto"/>
              </w:rPr>
            </w:pPr>
            <w:r>
              <w:rPr>
                <w:rFonts w:ascii="Arial" w:cs="Arial" w:eastAsia="Arial" w:hAnsi="Arial"/>
                <w:sz w:val="14"/>
                <w:szCs w:val="14"/>
                <w:color w:val="auto"/>
              </w:rPr>
              <w:t>(829)</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Other income</w:t>
            </w:r>
          </w:p>
        </w:tc>
        <w:tc>
          <w:tcPr>
            <w:tcW w:w="48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217</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6"/>
        </w:trPr>
        <w:tc>
          <w:tcPr>
            <w:tcW w:w="30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Total revenues and other income</w:t>
            </w:r>
          </w:p>
        </w:tc>
        <w:tc>
          <w:tcPr>
            <w:tcW w:w="48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396</w:t>
            </w:r>
          </w:p>
        </w:tc>
        <w:tc>
          <w:tcPr>
            <w:tcW w:w="2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(829)</w:t>
            </w:r>
          </w:p>
        </w:tc>
        <w:tc>
          <w:tcPr>
            <w:tcW w:w="220" w:type="dxa"/>
            <w:vAlign w:val="bottom"/>
            <w:tcBorders>
              <w:bottom w:val="single" w:sz="8" w:color="0070FF"/>
            </w:tcBorders>
          </w:tcPr>
          <w:p>
            <w:pPr>
              <w:spacing w:after="0"/>
              <w:rPr>
                <w:sz w:val="13"/>
                <w:szCs w:val="13"/>
                <w:color w:val="auto"/>
              </w:rPr>
            </w:pPr>
          </w:p>
        </w:tc>
        <w:tc>
          <w:tcPr>
            <w:tcW w:w="5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7"/>
        </w:trPr>
        <w:tc>
          <w:tcPr>
            <w:tcW w:w="302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Costs and other deductions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329</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Arial" w:cs="Arial" w:eastAsia="Arial" w:hAnsi="Arial"/>
                <w:sz w:val="14"/>
                <w:szCs w:val="14"/>
                <w:color w:val="auto"/>
              </w:rPr>
              <w:t>Operating expenses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68"/>
              <w:spacing w:after="0" w:line="145" w:lineRule="exact"/>
              <w:rPr>
                <w:sz w:val="20"/>
                <w:szCs w:val="20"/>
                <w:color w:val="auto"/>
              </w:rPr>
            </w:pPr>
            <w:r>
              <w:rPr>
                <w:rFonts w:ascii="Arial" w:cs="Arial" w:eastAsia="Arial" w:hAnsi="Arial"/>
                <w:sz w:val="14"/>
                <w:szCs w:val="14"/>
                <w:color w:val="auto"/>
              </w:rPr>
              <w:t>259</w:t>
            </w:r>
          </w:p>
        </w:tc>
        <w:tc>
          <w:tcPr>
            <w:tcW w:w="220" w:type="dxa"/>
            <w:vAlign w:val="bottom"/>
          </w:tcPr>
          <w:p>
            <w:pPr>
              <w:spacing w:after="0"/>
              <w:rPr>
                <w:sz w:val="12"/>
                <w:szCs w:val="12"/>
                <w:color w:val="auto"/>
              </w:rPr>
            </w:pPr>
          </w:p>
        </w:tc>
        <w:tc>
          <w:tcPr>
            <w:tcW w:w="500" w:type="dxa"/>
            <w:vAlign w:val="bottom"/>
          </w:tcPr>
          <w:p>
            <w:pPr>
              <w:jc w:val="right"/>
              <w:ind w:right="8"/>
              <w:spacing w:after="0" w:line="14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146</w:t>
            </w:r>
          </w:p>
        </w:tc>
        <w:tc>
          <w:tcPr>
            <w:tcW w:w="2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180</w:t>
            </w:r>
          </w:p>
        </w:tc>
        <w:tc>
          <w:tcPr>
            <w:tcW w:w="22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depletion and amortization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286</w:t>
            </w:r>
          </w:p>
        </w:tc>
        <w:tc>
          <w:tcPr>
            <w:tcW w:w="2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298</w:t>
            </w:r>
          </w:p>
        </w:tc>
        <w:tc>
          <w:tcPr>
            <w:tcW w:w="22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expenses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576</w:t>
            </w:r>
          </w:p>
        </w:tc>
        <w:tc>
          <w:tcPr>
            <w:tcW w:w="22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Taxes other than on income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Write-down of investments in Dynegy Inc.</w:t>
            </w:r>
          </w:p>
        </w:tc>
        <w:tc>
          <w:tcPr>
            <w:tcW w:w="48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1,796</w:t>
            </w:r>
          </w:p>
        </w:tc>
        <w:tc>
          <w:tcPr>
            <w:tcW w:w="22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0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Total costs and other deductions</w:t>
            </w:r>
          </w:p>
        </w:tc>
        <w:tc>
          <w:tcPr>
            <w:tcW w:w="48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761</w:t>
            </w:r>
          </w:p>
        </w:tc>
        <w:tc>
          <w:tcPr>
            <w:tcW w:w="2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3,109</w:t>
            </w:r>
          </w:p>
        </w:tc>
        <w:tc>
          <w:tcPr>
            <w:tcW w:w="220" w:type="dxa"/>
            <w:vAlign w:val="bottom"/>
            <w:tcBorders>
              <w:bottom w:val="single" w:sz="8" w:color="0070FF"/>
            </w:tcBorders>
          </w:tcPr>
          <w:p>
            <w:pPr>
              <w:spacing w:after="0"/>
              <w:rPr>
                <w:sz w:val="13"/>
                <w:szCs w:val="13"/>
                <w:color w:val="auto"/>
              </w:rPr>
            </w:pPr>
          </w:p>
        </w:tc>
        <w:tc>
          <w:tcPr>
            <w:tcW w:w="50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4,033</w:t>
            </w:r>
          </w:p>
        </w:tc>
        <w:tc>
          <w:tcPr>
            <w:tcW w:w="0" w:type="dxa"/>
            <w:vAlign w:val="bottom"/>
          </w:tcPr>
          <w:p>
            <w:pPr>
              <w:spacing w:after="0"/>
              <w:rPr>
                <w:sz w:val="1"/>
                <w:szCs w:val="1"/>
                <w:color w:val="auto"/>
              </w:rPr>
            </w:pPr>
          </w:p>
        </w:tc>
      </w:tr>
      <w:tr>
        <w:trPr>
          <w:trHeight w:val="133"/>
        </w:trPr>
        <w:tc>
          <w:tcPr>
            <w:tcW w:w="30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Income before income tax expense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7"/>
              </w:rPr>
              <w:t>(365)</w:t>
            </w:r>
          </w:p>
        </w:tc>
        <w:tc>
          <w:tcPr>
            <w:tcW w:w="240" w:type="dxa"/>
            <w:vAlign w:val="bottom"/>
          </w:tcPr>
          <w:p>
            <w:pPr>
              <w:spacing w:after="0"/>
              <w:rPr>
                <w:sz w:val="11"/>
                <w:szCs w:val="11"/>
                <w:color w:val="auto"/>
              </w:rPr>
            </w:pPr>
          </w:p>
        </w:tc>
        <w:tc>
          <w:tcPr>
            <w:tcW w:w="540" w:type="dxa"/>
            <w:vAlign w:val="bottom"/>
          </w:tcPr>
          <w:p>
            <w:pPr>
              <w:jc w:val="right"/>
              <w:ind w:right="28"/>
              <w:spacing w:after="0" w:line="133" w:lineRule="exact"/>
              <w:rPr>
                <w:sz w:val="20"/>
                <w:szCs w:val="20"/>
                <w:color w:val="auto"/>
              </w:rPr>
            </w:pPr>
            <w:r>
              <w:rPr>
                <w:rFonts w:ascii="Arial" w:cs="Arial" w:eastAsia="Arial" w:hAnsi="Arial"/>
                <w:sz w:val="14"/>
                <w:szCs w:val="14"/>
                <w:color w:val="auto"/>
                <w:w w:val="94"/>
              </w:rPr>
              <w:t>(3,938)</w:t>
            </w:r>
          </w:p>
        </w:tc>
        <w:tc>
          <w:tcPr>
            <w:tcW w:w="2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w w:val="99"/>
              </w:rPr>
              <w:t>(4,072)</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Income tax benefit</w:t>
            </w:r>
          </w:p>
        </w:tc>
        <w:tc>
          <w:tcPr>
            <w:tcW w:w="48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w w:val="97"/>
              </w:rPr>
              <w:t>(312)</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(604)</w:t>
            </w:r>
          </w:p>
        </w:tc>
        <w:tc>
          <w:tcPr>
            <w:tcW w:w="22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99"/>
              </w:rPr>
              <w:t>(1,193)</w:t>
            </w:r>
          </w:p>
        </w:tc>
        <w:tc>
          <w:tcPr>
            <w:tcW w:w="0" w:type="dxa"/>
            <w:vAlign w:val="bottom"/>
          </w:tcPr>
          <w:p>
            <w:pPr>
              <w:spacing w:after="0"/>
              <w:rPr>
                <w:sz w:val="1"/>
                <w:szCs w:val="1"/>
                <w:color w:val="auto"/>
              </w:rPr>
            </w:pPr>
          </w:p>
        </w:tc>
      </w:tr>
      <w:tr>
        <w:trPr>
          <w:trHeight w:val="133"/>
        </w:trPr>
        <w:tc>
          <w:tcPr>
            <w:tcW w:w="30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Net income before extraordinary item</w:t>
            </w:r>
          </w:p>
        </w:tc>
        <w:tc>
          <w:tcPr>
            <w:tcW w:w="560" w:type="dxa"/>
            <w:vAlign w:val="bottom"/>
            <w:gridSpan w:val="2"/>
          </w:tcPr>
          <w:p>
            <w:pPr>
              <w:jc w:val="right"/>
              <w:ind w:right="20"/>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(53)</w:t>
            </w:r>
          </w:p>
        </w:tc>
        <w:tc>
          <w:tcPr>
            <w:tcW w:w="2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33" w:lineRule="exact"/>
              <w:rPr>
                <w:sz w:val="20"/>
                <w:szCs w:val="20"/>
                <w:color w:val="auto"/>
              </w:rPr>
            </w:pPr>
            <w:r>
              <w:rPr>
                <w:rFonts w:ascii="Arial" w:cs="Arial" w:eastAsia="Arial" w:hAnsi="Arial"/>
                <w:sz w:val="14"/>
                <w:szCs w:val="14"/>
                <w:color w:val="auto"/>
                <w:w w:val="94"/>
              </w:rPr>
              <w:t>(3,334)</w:t>
            </w:r>
          </w:p>
        </w:tc>
        <w:tc>
          <w:tcPr>
            <w:tcW w:w="2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w w:val="99"/>
              </w:rPr>
              <w:t>(2,879)</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Extraordinary loss, net of income tax</w:t>
            </w:r>
          </w:p>
        </w:tc>
        <w:tc>
          <w:tcPr>
            <w:tcW w:w="48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76"/>
        </w:trPr>
        <w:tc>
          <w:tcPr>
            <w:tcW w:w="30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Net income</w:t>
            </w:r>
          </w:p>
        </w:tc>
        <w:tc>
          <w:tcPr>
            <w:tcW w:w="560" w:type="dxa"/>
            <w:vAlign w:val="bottom"/>
            <w:tcBorders>
              <w:bottom w:val="single" w:sz="8" w:color="0070FF"/>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(53)</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w w:val="94"/>
              </w:rPr>
              <w:t>(3,334)</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9"/>
              </w:rPr>
              <w:t>(3,522)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financial information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1800" w:type="dxa"/>
            <w:vAlign w:val="bottom"/>
            <w:tcBorders>
              <w:bottom w:val="single" w:sz="8" w:color="0070FF"/>
            </w:tcBorders>
            <w:gridSpan w:val="5"/>
          </w:tcPr>
          <w:p>
            <w:pPr>
              <w:jc w:val="right"/>
              <w:ind w:right="9"/>
              <w:spacing w:after="0"/>
              <w:rPr>
                <w:sz w:val="20"/>
                <w:szCs w:val="20"/>
                <w:color w:val="auto"/>
              </w:rPr>
            </w:pPr>
            <w:r>
              <w:rPr>
                <w:rFonts w:ascii="Arial" w:cs="Arial" w:eastAsia="Arial" w:hAnsi="Arial"/>
                <w:sz w:val="14"/>
                <w:szCs w:val="14"/>
                <w:color w:val="auto"/>
              </w:rPr>
              <w:t>Year ended December 31</w:t>
            </w:r>
          </w:p>
        </w:tc>
      </w:tr>
      <w:tr>
        <w:trPr>
          <w:trHeight w:val="142"/>
        </w:trPr>
        <w:tc>
          <w:tcPr>
            <w:tcW w:w="20" w:type="dxa"/>
            <w:vAlign w:val="bottom"/>
          </w:tcPr>
          <w:p>
            <w:pPr>
              <w:spacing w:after="0"/>
              <w:rPr>
                <w:sz w:val="12"/>
                <w:szCs w:val="12"/>
                <w:color w:val="auto"/>
              </w:rPr>
            </w:pPr>
          </w:p>
        </w:tc>
        <w:tc>
          <w:tcPr>
            <w:tcW w:w="2860" w:type="dxa"/>
            <w:vAlign w:val="bottom"/>
            <w:tcBorders>
              <w:bottom w:val="single" w:sz="8" w:color="0070FF"/>
            </w:tcBorders>
          </w:tcPr>
          <w:p>
            <w:pPr>
              <w:spacing w:after="0"/>
              <w:rPr>
                <w:sz w:val="12"/>
                <w:szCs w:val="12"/>
                <w:color w:val="auto"/>
              </w:rPr>
            </w:pPr>
          </w:p>
        </w:tc>
        <w:tc>
          <w:tcPr>
            <w:tcW w:w="680" w:type="dxa"/>
            <w:vAlign w:val="bottom"/>
            <w:tcBorders>
              <w:bottom w:val="single" w:sz="8" w:color="0070FF"/>
            </w:tcBorders>
          </w:tcPr>
          <w:p>
            <w:pPr>
              <w:spacing w:after="0"/>
              <w:rPr>
                <w:sz w:val="12"/>
                <w:szCs w:val="12"/>
                <w:color w:val="auto"/>
              </w:rPr>
            </w:pPr>
          </w:p>
        </w:tc>
        <w:tc>
          <w:tcPr>
            <w:tcW w:w="12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jc w:val="right"/>
              <w:ind w:right="89"/>
              <w:spacing w:after="0" w:line="142"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jc w:val="right"/>
              <w:ind w:right="89"/>
              <w:spacing w:after="0" w:line="142" w:lineRule="exact"/>
              <w:rPr>
                <w:sz w:val="20"/>
                <w:szCs w:val="20"/>
                <w:color w:val="auto"/>
              </w:rPr>
            </w:pPr>
            <w:r>
              <w:rPr>
                <w:rFonts w:ascii="Arial" w:cs="Arial" w:eastAsia="Arial" w:hAnsi="Arial"/>
                <w:sz w:val="14"/>
                <w:szCs w:val="14"/>
                <w:color w:val="auto"/>
                <w:w w:val="96"/>
              </w:rPr>
              <w:t>2002</w:t>
            </w:r>
          </w:p>
        </w:tc>
        <w:tc>
          <w:tcPr>
            <w:tcW w:w="220" w:type="dxa"/>
            <w:vAlign w:val="bottom"/>
            <w:tcBorders>
              <w:bottom w:val="single" w:sz="8" w:color="0070FF"/>
            </w:tcBorders>
          </w:tcPr>
          <w:p>
            <w:pPr>
              <w:spacing w:after="0"/>
              <w:rPr>
                <w:sz w:val="12"/>
                <w:szCs w:val="12"/>
                <w:color w:val="auto"/>
              </w:rPr>
            </w:pPr>
          </w:p>
        </w:tc>
        <w:tc>
          <w:tcPr>
            <w:tcW w:w="400" w:type="dxa"/>
            <w:vAlign w:val="bottom"/>
            <w:tcBorders>
              <w:bottom w:val="single" w:sz="8" w:color="0070FF"/>
            </w:tcBorders>
          </w:tcPr>
          <w:p>
            <w:pPr>
              <w:jc w:val="right"/>
              <w:ind w:right="9"/>
              <w:spacing w:after="0" w:line="142" w:lineRule="exact"/>
              <w:rPr>
                <w:sz w:val="20"/>
                <w:szCs w:val="20"/>
                <w:color w:val="auto"/>
              </w:rPr>
            </w:pPr>
            <w:r>
              <w:rPr>
                <w:rFonts w:ascii="Arial" w:cs="Arial" w:eastAsia="Arial" w:hAnsi="Arial"/>
                <w:sz w:val="14"/>
                <w:szCs w:val="14"/>
                <w:color w:val="auto"/>
                <w:w w:val="96"/>
              </w:rPr>
              <w:t>2001</w:t>
            </w:r>
          </w:p>
        </w:tc>
      </w:tr>
      <w:tr>
        <w:trPr>
          <w:trHeight w:val="133"/>
        </w:trPr>
        <w:tc>
          <w:tcPr>
            <w:tcW w:w="20" w:type="dxa"/>
            <w:vAlign w:val="bottom"/>
          </w:tcPr>
          <w:p>
            <w:pPr>
              <w:spacing w:after="0"/>
              <w:rPr>
                <w:sz w:val="11"/>
                <w:szCs w:val="11"/>
                <w:color w:val="auto"/>
              </w:rPr>
            </w:pPr>
          </w:p>
        </w:tc>
        <w:tc>
          <w:tcPr>
            <w:tcW w:w="2860" w:type="dxa"/>
            <w:vAlign w:val="bottom"/>
          </w:tcPr>
          <w:p>
            <w:pPr>
              <w:spacing w:after="0" w:line="133" w:lineRule="exact"/>
              <w:rPr>
                <w:sz w:val="20"/>
                <w:szCs w:val="20"/>
                <w:color w:val="auto"/>
              </w:rPr>
            </w:pPr>
            <w:r>
              <w:rPr>
                <w:rFonts w:ascii="Arial" w:cs="Arial" w:eastAsia="Arial" w:hAnsi="Arial"/>
                <w:sz w:val="14"/>
                <w:szCs w:val="14"/>
                <w:color w:val="auto"/>
              </w:rPr>
              <w:t>Total financing interest and debt costs</w:t>
            </w:r>
          </w:p>
        </w:tc>
        <w:tc>
          <w:tcPr>
            <w:tcW w:w="800" w:type="dxa"/>
            <w:vAlign w:val="bottom"/>
            <w:gridSpan w:val="2"/>
          </w:tcPr>
          <w:p>
            <w:pPr>
              <w:jc w:val="right"/>
              <w:ind w:right="40"/>
              <w:spacing w:after="0" w:line="133"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89"/>
              <w:spacing w:after="0" w:line="133" w:lineRule="exact"/>
              <w:rPr>
                <w:sz w:val="20"/>
                <w:szCs w:val="20"/>
                <w:color w:val="auto"/>
              </w:rPr>
            </w:pPr>
            <w:r>
              <w:rPr>
                <w:rFonts w:ascii="Arial" w:cs="Arial" w:eastAsia="Arial" w:hAnsi="Arial"/>
                <w:sz w:val="14"/>
                <w:szCs w:val="14"/>
                <w:b w:val="1"/>
                <w:bCs w:val="1"/>
                <w:color w:val="auto"/>
              </w:rPr>
              <w:t>549</w:t>
            </w:r>
          </w:p>
        </w:tc>
        <w:tc>
          <w:tcPr>
            <w:tcW w:w="2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89"/>
              <w:spacing w:after="0" w:line="133" w:lineRule="exact"/>
              <w:rPr>
                <w:sz w:val="20"/>
                <w:szCs w:val="20"/>
                <w:color w:val="auto"/>
              </w:rPr>
            </w:pPr>
            <w:r>
              <w:rPr>
                <w:rFonts w:ascii="Arial" w:cs="Arial" w:eastAsia="Arial" w:hAnsi="Arial"/>
                <w:sz w:val="14"/>
                <w:szCs w:val="14"/>
                <w:color w:val="auto"/>
              </w:rPr>
              <w:t>632</w:t>
            </w:r>
          </w:p>
        </w:tc>
        <w:tc>
          <w:tcPr>
            <w:tcW w:w="2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9"/>
              <w:spacing w:after="0" w:line="133" w:lineRule="exact"/>
              <w:rPr>
                <w:sz w:val="20"/>
                <w:szCs w:val="20"/>
                <w:color w:val="auto"/>
              </w:rPr>
            </w:pPr>
            <w:r>
              <w:rPr>
                <w:rFonts w:ascii="Arial" w:cs="Arial" w:eastAsia="Arial" w:hAnsi="Arial"/>
                <w:sz w:val="14"/>
                <w:szCs w:val="14"/>
                <w:color w:val="auto"/>
              </w:rPr>
              <w:t>955</w:t>
            </w:r>
          </w:p>
        </w:tc>
      </w:tr>
      <w:tr>
        <w:trPr>
          <w:trHeight w:val="171"/>
        </w:trPr>
        <w:tc>
          <w:tcPr>
            <w:tcW w:w="288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Less: Capitalized interest</w:t>
            </w:r>
          </w:p>
        </w:tc>
        <w:tc>
          <w:tcPr>
            <w:tcW w:w="68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b w:val="1"/>
                <w:bCs w:val="1"/>
                <w:color w:val="auto"/>
              </w:rPr>
              <w:t>75</w:t>
            </w:r>
          </w:p>
        </w:tc>
        <w:tc>
          <w:tcPr>
            <w:tcW w:w="22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9"/>
              <w:spacing w:after="0"/>
              <w:rPr>
                <w:sz w:val="20"/>
                <w:szCs w:val="20"/>
                <w:color w:val="auto"/>
              </w:rPr>
            </w:pPr>
            <w:r>
              <w:rPr>
                <w:rFonts w:ascii="Arial" w:cs="Arial" w:eastAsia="Arial" w:hAnsi="Arial"/>
                <w:sz w:val="14"/>
                <w:szCs w:val="14"/>
                <w:color w:val="auto"/>
              </w:rPr>
              <w:t>122</w:t>
            </w:r>
          </w:p>
        </w:tc>
      </w:tr>
      <w:tr>
        <w:trPr>
          <w:trHeight w:val="176"/>
        </w:trPr>
        <w:tc>
          <w:tcPr>
            <w:tcW w:w="288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Interest and debt expense</w:t>
            </w:r>
          </w:p>
        </w:tc>
        <w:tc>
          <w:tcPr>
            <w:tcW w:w="80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b w:val="1"/>
                <w:bCs w:val="1"/>
                <w:color w:val="auto"/>
              </w:rPr>
              <w:t>474</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565</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833</w:t>
            </w:r>
          </w:p>
        </w:tc>
      </w:tr>
      <w:tr>
        <w:trPr>
          <w:trHeight w:val="139"/>
        </w:trPr>
        <w:tc>
          <w:tcPr>
            <w:tcW w:w="2880" w:type="dxa"/>
            <w:vAlign w:val="bottom"/>
            <w:gridSpan w:val="2"/>
          </w:tcPr>
          <w:p>
            <w:pPr>
              <w:spacing w:after="0" w:line="139" w:lineRule="exact"/>
              <w:rPr>
                <w:sz w:val="20"/>
                <w:szCs w:val="20"/>
                <w:color w:val="auto"/>
              </w:rPr>
            </w:pPr>
            <w:r>
              <w:rPr>
                <w:rFonts w:ascii="Arial" w:cs="Arial" w:eastAsia="Arial" w:hAnsi="Arial"/>
                <w:sz w:val="14"/>
                <w:szCs w:val="14"/>
                <w:color w:val="auto"/>
              </w:rPr>
              <w:t>Research and development expenses</w:t>
            </w:r>
          </w:p>
        </w:tc>
        <w:tc>
          <w:tcPr>
            <w:tcW w:w="800" w:type="dxa"/>
            <w:vAlign w:val="bottom"/>
            <w:gridSpan w:val="2"/>
          </w:tcPr>
          <w:p>
            <w:pPr>
              <w:jc w:val="right"/>
              <w:ind w:right="40"/>
              <w:spacing w:after="0" w:line="13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89"/>
              <w:spacing w:after="0" w:line="139" w:lineRule="exact"/>
              <w:rPr>
                <w:sz w:val="20"/>
                <w:szCs w:val="20"/>
                <w:color w:val="auto"/>
              </w:rPr>
            </w:pPr>
            <w:r>
              <w:rPr>
                <w:rFonts w:ascii="Arial" w:cs="Arial" w:eastAsia="Arial" w:hAnsi="Arial"/>
                <w:sz w:val="14"/>
                <w:szCs w:val="14"/>
                <w:b w:val="1"/>
                <w:bCs w:val="1"/>
                <w:color w:val="auto"/>
              </w:rPr>
              <w:t>238</w:t>
            </w:r>
          </w:p>
        </w:tc>
        <w:tc>
          <w:tcPr>
            <w:tcW w:w="2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89"/>
              <w:spacing w:after="0" w:line="139" w:lineRule="exact"/>
              <w:rPr>
                <w:sz w:val="20"/>
                <w:szCs w:val="20"/>
                <w:color w:val="auto"/>
              </w:rPr>
            </w:pPr>
            <w:r>
              <w:rPr>
                <w:rFonts w:ascii="Arial" w:cs="Arial" w:eastAsia="Arial" w:hAnsi="Arial"/>
                <w:sz w:val="14"/>
                <w:szCs w:val="14"/>
                <w:color w:val="auto"/>
              </w:rPr>
              <w:t>221</w:t>
            </w:r>
          </w:p>
        </w:tc>
        <w:tc>
          <w:tcPr>
            <w:tcW w:w="2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9"/>
              <w:spacing w:after="0" w:line="139" w:lineRule="exact"/>
              <w:rPr>
                <w:sz w:val="20"/>
                <w:szCs w:val="20"/>
                <w:color w:val="auto"/>
              </w:rPr>
            </w:pPr>
            <w:r>
              <w:rPr>
                <w:rFonts w:ascii="Arial" w:cs="Arial" w:eastAsia="Arial" w:hAnsi="Arial"/>
                <w:sz w:val="14"/>
                <w:szCs w:val="14"/>
                <w:color w:val="auto"/>
              </w:rPr>
              <w:t>209</w:t>
            </w:r>
          </w:p>
        </w:tc>
      </w:tr>
      <w:tr>
        <w:trPr>
          <w:trHeight w:val="192"/>
        </w:trPr>
        <w:tc>
          <w:tcPr>
            <w:tcW w:w="288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Foreign currency (losses) gains*</w:t>
            </w:r>
          </w:p>
        </w:tc>
        <w:tc>
          <w:tcPr>
            <w:tcW w:w="800" w:type="dxa"/>
            <w:vAlign w:val="bottom"/>
            <w:tcBorders>
              <w:bottom w:val="single" w:sz="8" w:color="0070FF"/>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(404)</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9"/>
              <w:spacing w:after="0"/>
              <w:rPr>
                <w:sz w:val="20"/>
                <w:szCs w:val="20"/>
                <w:color w:val="auto"/>
              </w:rPr>
            </w:pPr>
            <w:r>
              <w:rPr>
                <w:rFonts w:ascii="Arial" w:cs="Arial" w:eastAsia="Arial" w:hAnsi="Arial"/>
                <w:sz w:val="14"/>
                <w:szCs w:val="14"/>
                <w:color w:val="auto"/>
              </w:rPr>
              <w:t>191</w:t>
            </w:r>
          </w:p>
        </w:tc>
      </w:tr>
    </w:tbl>
    <w:p>
      <w:pPr>
        <w:spacing w:after="0" w:line="7" w:lineRule="exact"/>
        <w:rPr>
          <w:sz w:val="20"/>
          <w:szCs w:val="20"/>
          <w:color w:val="auto"/>
        </w:rPr>
      </w:pPr>
    </w:p>
    <w:p>
      <w:pPr>
        <w:ind w:left="120" w:right="120" w:hanging="116"/>
        <w:spacing w:after="0" w:line="252" w:lineRule="auto"/>
        <w:tabs>
          <w:tab w:leader="none" w:pos="1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Includes $(96), $(66) and $12 in 2003, 2002 and 2001, respectively, for the company’s share of equity affiliates’ foreign currency (losses) gains.</w:t>
      </w:r>
    </w:p>
    <w:p>
      <w:pPr>
        <w:spacing w:after="0" w:line="179" w:lineRule="exact"/>
        <w:rPr>
          <w:sz w:val="20"/>
          <w:szCs w:val="20"/>
          <w:color w:val="auto"/>
        </w:rPr>
      </w:pPr>
    </w:p>
    <w:p>
      <w:pPr>
        <w:ind w:right="20" w:firstLine="200"/>
        <w:spacing w:after="0" w:line="271" w:lineRule="auto"/>
        <w:rPr>
          <w:sz w:val="20"/>
          <w:szCs w:val="20"/>
          <w:color w:val="auto"/>
        </w:rPr>
      </w:pPr>
      <w:r>
        <w:rPr>
          <w:rFonts w:ascii="Arial" w:cs="Arial" w:eastAsia="Arial" w:hAnsi="Arial"/>
          <w:sz w:val="16"/>
          <w:szCs w:val="16"/>
          <w:color w:val="auto"/>
        </w:rPr>
        <w:t>The excess of market value over the carrying value of inventories for which the LIFO method is used was $2,106, $1,571 and $1,580 at December 31, 2003, 2002 and 2001, respectively. Market value is generally based on average acquisition costs for the year. LIFO profits of $82, $13 and $10 were included in net income for the years 2003, 2002 and 2001, respectively.</w:t>
      </w:r>
    </w:p>
    <w:p>
      <w:pPr>
        <w:spacing w:after="0" w:line="1032" w:lineRule="exact"/>
        <w:rPr>
          <w:sz w:val="20"/>
          <w:szCs w:val="20"/>
          <w:color w:val="auto"/>
        </w:rPr>
      </w:pPr>
    </w:p>
    <w:p>
      <w:pPr>
        <w:sectPr>
          <w:pgSz w:w="11900" w:h="16838" w:orient="portrait"/>
          <w:cols w:equalWidth="0" w:num="2">
            <w:col w:w="5480" w:space="400"/>
            <w:col w:w="5480"/>
          </w:cols>
          <w:pgMar w:left="240" w:top="419" w:right="29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68" w:name="page69"/>
    <w:bookmarkEnd w:id="6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220345</wp:posOffset>
            </wp:positionV>
            <wp:extent cx="8890" cy="64573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6457315"/>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4.</w:t>
      </w:r>
    </w:p>
    <w:p>
      <w:pPr>
        <w:spacing w:after="0" w:line="167"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b w:val="1"/>
          <w:bCs w:val="1"/>
          <w:color w:val="0070FF"/>
        </w:rPr>
        <w:t>INFORMATION RELATING TO THE CONSOLIDATED STATEMENT OF CASH FLOWS</w:t>
      </w:r>
    </w:p>
    <w:p>
      <w:pPr>
        <w:spacing w:after="0"/>
        <w:rPr>
          <w:sz w:val="20"/>
          <w:szCs w:val="20"/>
          <w:color w:val="auto"/>
        </w:rPr>
      </w:pPr>
      <w:r>
        <w:rPr>
          <w:rFonts w:ascii="Arial" w:cs="Arial" w:eastAsia="Arial" w:hAnsi="Arial"/>
          <w:sz w:val="16"/>
          <w:szCs w:val="16"/>
          <w:color w:val="auto"/>
        </w:rPr>
        <w:t>“Net decrease in operating working capital” is composed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1760" w:type="dxa"/>
            <w:vAlign w:val="bottom"/>
            <w:tcBorders>
              <w:bottom w:val="single" w:sz="8" w:color="0070FF"/>
            </w:tcBorders>
            <w:gridSpan w:val="5"/>
          </w:tcPr>
          <w:p>
            <w:pPr>
              <w:jc w:val="right"/>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0070FF"/>
            </w:tcBorders>
          </w:tcPr>
          <w:p>
            <w:pPr>
              <w:spacing w:after="0"/>
              <w:rPr>
                <w:sz w:val="12"/>
                <w:szCs w:val="12"/>
                <w:color w:val="auto"/>
              </w:rPr>
            </w:pPr>
          </w:p>
        </w:tc>
        <w:tc>
          <w:tcPr>
            <w:tcW w:w="520" w:type="dxa"/>
            <w:vAlign w:val="bottom"/>
            <w:tcBorders>
              <w:bottom w:val="single" w:sz="8" w:color="0070FF"/>
            </w:tcBorders>
          </w:tcPr>
          <w:p>
            <w:pPr>
              <w:jc w:val="right"/>
              <w:ind w:right="68"/>
              <w:spacing w:after="0" w:line="142" w:lineRule="exact"/>
              <w:rPr>
                <w:sz w:val="20"/>
                <w:szCs w:val="20"/>
                <w:color w:val="auto"/>
              </w:rPr>
            </w:pPr>
            <w:r>
              <w:rPr>
                <w:rFonts w:ascii="Arial" w:cs="Arial" w:eastAsia="Arial" w:hAnsi="Arial"/>
                <w:sz w:val="14"/>
                <w:szCs w:val="14"/>
                <w:color w:val="auto"/>
              </w:rPr>
              <w:t>2002</w:t>
            </w:r>
          </w:p>
        </w:tc>
        <w:tc>
          <w:tcPr>
            <w:tcW w:w="140" w:type="dxa"/>
            <w:vAlign w:val="bottom"/>
            <w:tcBorders>
              <w:bottom w:val="single" w:sz="8" w:color="0070FF"/>
            </w:tcBorders>
          </w:tcPr>
          <w:p>
            <w:pPr>
              <w:spacing w:after="0"/>
              <w:rPr>
                <w:sz w:val="12"/>
                <w:szCs w:val="12"/>
                <w:color w:val="auto"/>
              </w:rPr>
            </w:pPr>
          </w:p>
        </w:tc>
        <w:tc>
          <w:tcPr>
            <w:tcW w:w="44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3"/>
        </w:trPr>
        <w:tc>
          <w:tcPr>
            <w:tcW w:w="3640" w:type="dxa"/>
            <w:vAlign w:val="bottom"/>
          </w:tcPr>
          <w:p>
            <w:pPr>
              <w:ind w:left="20"/>
              <w:spacing w:after="0" w:line="133" w:lineRule="exact"/>
              <w:rPr>
                <w:sz w:val="20"/>
                <w:szCs w:val="20"/>
                <w:color w:val="auto"/>
              </w:rPr>
            </w:pPr>
            <w:r>
              <w:rPr>
                <w:rFonts w:ascii="Arial" w:cs="Arial" w:eastAsia="Arial" w:hAnsi="Arial"/>
                <w:sz w:val="14"/>
                <w:szCs w:val="14"/>
                <w:color w:val="auto"/>
              </w:rPr>
              <w:t>(Increase) decrease in accounts and notes receivable</w:t>
            </w:r>
          </w:p>
        </w:tc>
        <w:tc>
          <w:tcPr>
            <w:tcW w:w="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(265)</w:t>
            </w:r>
          </w:p>
        </w:tc>
        <w:tc>
          <w:tcPr>
            <w:tcW w:w="1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line="133" w:lineRule="exact"/>
              <w:rPr>
                <w:sz w:val="20"/>
                <w:szCs w:val="20"/>
                <w:color w:val="auto"/>
              </w:rPr>
            </w:pPr>
            <w:r>
              <w:rPr>
                <w:rFonts w:ascii="Arial" w:cs="Arial" w:eastAsia="Arial" w:hAnsi="Arial"/>
                <w:sz w:val="14"/>
                <w:szCs w:val="14"/>
                <w:color w:val="auto"/>
                <w:w w:val="94"/>
              </w:rPr>
              <w:t>(1,135)</w:t>
            </w:r>
          </w:p>
        </w:tc>
        <w:tc>
          <w:tcPr>
            <w:tcW w:w="1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3" w:lineRule="exact"/>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53"/>
        </w:trPr>
        <w:tc>
          <w:tcPr>
            <w:tcW w:w="3640" w:type="dxa"/>
            <w:vAlign w:val="bottom"/>
          </w:tcPr>
          <w:p>
            <w:pPr>
              <w:ind w:left="20"/>
              <w:spacing w:after="0" w:line="153" w:lineRule="exact"/>
              <w:rPr>
                <w:sz w:val="20"/>
                <w:szCs w:val="20"/>
                <w:color w:val="auto"/>
              </w:rPr>
            </w:pPr>
            <w:r>
              <w:rPr>
                <w:rFonts w:ascii="Arial" w:cs="Arial" w:eastAsia="Arial" w:hAnsi="Arial"/>
                <w:sz w:val="14"/>
                <w:szCs w:val="14"/>
                <w:color w:val="auto"/>
              </w:rPr>
              <w:t>Decrease (increase) in inventories</w:t>
            </w:r>
          </w:p>
        </w:tc>
        <w:tc>
          <w:tcPr>
            <w:tcW w:w="80" w:type="dxa"/>
            <w:vAlign w:val="bottom"/>
          </w:tcPr>
          <w:p>
            <w:pPr>
              <w:spacing w:after="0"/>
              <w:rPr>
                <w:sz w:val="13"/>
                <w:szCs w:val="13"/>
                <w:color w:val="auto"/>
              </w:rPr>
            </w:pPr>
          </w:p>
        </w:tc>
        <w:tc>
          <w:tcPr>
            <w:tcW w:w="500" w:type="dxa"/>
            <w:vAlign w:val="bottom"/>
          </w:tcPr>
          <w:p>
            <w:pPr>
              <w:jc w:val="right"/>
              <w:ind w:right="49"/>
              <w:spacing w:after="0" w:line="153" w:lineRule="exact"/>
              <w:rPr>
                <w:sz w:val="20"/>
                <w:szCs w:val="20"/>
                <w:color w:val="auto"/>
              </w:rPr>
            </w:pPr>
            <w:r>
              <w:rPr>
                <w:rFonts w:ascii="Arial" w:cs="Arial" w:eastAsia="Arial" w:hAnsi="Arial"/>
                <w:sz w:val="14"/>
                <w:szCs w:val="14"/>
                <w:b w:val="1"/>
                <w:bCs w:val="1"/>
                <w:color w:val="auto"/>
              </w:rPr>
              <w:t>115</w:t>
            </w:r>
          </w:p>
        </w:tc>
        <w:tc>
          <w:tcPr>
            <w:tcW w:w="160" w:type="dxa"/>
            <w:vAlign w:val="bottom"/>
          </w:tcPr>
          <w:p>
            <w:pPr>
              <w:spacing w:after="0"/>
              <w:rPr>
                <w:sz w:val="13"/>
                <w:szCs w:val="13"/>
                <w:color w:val="auto"/>
              </w:rPr>
            </w:pPr>
          </w:p>
        </w:tc>
        <w:tc>
          <w:tcPr>
            <w:tcW w:w="520" w:type="dxa"/>
            <w:vAlign w:val="bottom"/>
          </w:tcPr>
          <w:p>
            <w:pPr>
              <w:jc w:val="right"/>
              <w:ind w:right="68"/>
              <w:spacing w:after="0" w:line="153" w:lineRule="exact"/>
              <w:rPr>
                <w:sz w:val="20"/>
                <w:szCs w:val="20"/>
                <w:color w:val="auto"/>
              </w:rPr>
            </w:pPr>
            <w:r>
              <w:rPr>
                <w:rFonts w:ascii="Arial" w:cs="Arial" w:eastAsia="Arial" w:hAnsi="Arial"/>
                <w:sz w:val="14"/>
                <w:szCs w:val="14"/>
                <w:color w:val="auto"/>
              </w:rPr>
              <w:t>185</w:t>
            </w:r>
          </w:p>
        </w:tc>
        <w:tc>
          <w:tcPr>
            <w:tcW w:w="14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3640" w:type="dxa"/>
            <w:vAlign w:val="bottom"/>
          </w:tcPr>
          <w:p>
            <w:pPr>
              <w:ind w:left="20"/>
              <w:spacing w:after="0" w:line="149" w:lineRule="exact"/>
              <w:rPr>
                <w:sz w:val="20"/>
                <w:szCs w:val="20"/>
                <w:color w:val="auto"/>
              </w:rPr>
            </w:pPr>
            <w:r>
              <w:rPr>
                <w:rFonts w:ascii="Arial" w:cs="Arial" w:eastAsia="Arial" w:hAnsi="Arial"/>
                <w:sz w:val="14"/>
                <w:szCs w:val="14"/>
                <w:color w:val="auto"/>
                <w:w w:val="98"/>
              </w:rPr>
              <w:t>Decrease (increase) in prepaid expenses and other current</w:t>
            </w:r>
          </w:p>
        </w:tc>
        <w:tc>
          <w:tcPr>
            <w:tcW w:w="80" w:type="dxa"/>
            <w:vAlign w:val="bottom"/>
          </w:tcPr>
          <w:p>
            <w:pPr>
              <w:spacing w:after="0"/>
              <w:rPr>
                <w:sz w:val="12"/>
                <w:szCs w:val="12"/>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261</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ind w:left="140"/>
              <w:spacing w:after="0" w:line="149" w:lineRule="exact"/>
              <w:rPr>
                <w:sz w:val="20"/>
                <w:szCs w:val="20"/>
                <w:color w:val="auto"/>
              </w:rPr>
            </w:pPr>
            <w:r>
              <w:rPr>
                <w:rFonts w:ascii="Arial" w:cs="Arial" w:eastAsia="Arial" w:hAnsi="Arial"/>
                <w:sz w:val="14"/>
                <w:szCs w:val="14"/>
                <w:color w:val="auto"/>
              </w:rPr>
              <w:t>assets</w:t>
            </w: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3640" w:type="dxa"/>
            <w:vAlign w:val="bottom"/>
          </w:tcPr>
          <w:p>
            <w:pPr>
              <w:ind w:left="20"/>
              <w:spacing w:after="0" w:line="149" w:lineRule="exact"/>
              <w:rPr>
                <w:sz w:val="20"/>
                <w:szCs w:val="20"/>
                <w:color w:val="auto"/>
              </w:rPr>
            </w:pPr>
            <w:r>
              <w:rPr>
                <w:rFonts w:ascii="Arial" w:cs="Arial" w:eastAsia="Arial" w:hAnsi="Arial"/>
                <w:sz w:val="14"/>
                <w:szCs w:val="14"/>
                <w:color w:val="auto"/>
              </w:rPr>
              <w:t>Increase (decrease) in accounts payable and accrued</w:t>
            </w:r>
          </w:p>
        </w:tc>
        <w:tc>
          <w:tcPr>
            <w:tcW w:w="80" w:type="dxa"/>
            <w:vAlign w:val="bottom"/>
          </w:tcPr>
          <w:p>
            <w:pPr>
              <w:spacing w:after="0"/>
              <w:rPr>
                <w:sz w:val="12"/>
                <w:szCs w:val="12"/>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242</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40" w:type="dxa"/>
            <w:vAlign w:val="bottom"/>
          </w:tcPr>
          <w:p>
            <w:pPr>
              <w:ind w:left="140"/>
              <w:spacing w:after="0" w:line="145" w:lineRule="exact"/>
              <w:rPr>
                <w:sz w:val="20"/>
                <w:szCs w:val="20"/>
                <w:color w:val="auto"/>
              </w:rPr>
            </w:pPr>
            <w:r>
              <w:rPr>
                <w:rFonts w:ascii="Arial" w:cs="Arial" w:eastAsia="Arial" w:hAnsi="Arial"/>
                <w:sz w:val="14"/>
                <w:szCs w:val="14"/>
                <w:color w:val="auto"/>
              </w:rPr>
              <w:t>liabilities</w:t>
            </w: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1,845</w:t>
            </w:r>
          </w:p>
        </w:tc>
        <w:tc>
          <w:tcPr>
            <w:tcW w:w="14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(Decrease) increase in income and other taxes payable</w:t>
            </w:r>
          </w:p>
        </w:tc>
        <w:tc>
          <w:tcPr>
            <w:tcW w:w="8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(191)</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138</w:t>
            </w:r>
          </w:p>
        </w:tc>
        <w:tc>
          <w:tcPr>
            <w:tcW w:w="14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Net decrease in operating working capital</w:t>
            </w: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162</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1,125</w:t>
            </w:r>
          </w:p>
        </w:tc>
        <w:tc>
          <w:tcPr>
            <w:tcW w:w="1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43"/>
        </w:trPr>
        <w:tc>
          <w:tcPr>
            <w:tcW w:w="3640" w:type="dxa"/>
            <w:vAlign w:val="bottom"/>
          </w:tcPr>
          <w:p>
            <w:pPr>
              <w:ind w:left="20"/>
              <w:spacing w:after="0" w:line="143" w:lineRule="exact"/>
              <w:rPr>
                <w:sz w:val="20"/>
                <w:szCs w:val="20"/>
                <w:color w:val="auto"/>
              </w:rPr>
            </w:pPr>
            <w:r>
              <w:rPr>
                <w:rFonts w:ascii="Arial" w:cs="Arial" w:eastAsia="Arial" w:hAnsi="Arial"/>
                <w:sz w:val="14"/>
                <w:szCs w:val="14"/>
                <w:color w:val="auto"/>
              </w:rPr>
              <w:t>Net cash provided by operating activities includes the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ind w:left="140"/>
              <w:spacing w:after="0" w:line="149" w:lineRule="exact"/>
              <w:rPr>
                <w:sz w:val="20"/>
                <w:szCs w:val="20"/>
                <w:color w:val="auto"/>
              </w:rPr>
            </w:pPr>
            <w:r>
              <w:rPr>
                <w:rFonts w:ascii="Arial" w:cs="Arial" w:eastAsia="Arial" w:hAnsi="Arial"/>
                <w:sz w:val="14"/>
                <w:szCs w:val="14"/>
                <w:color w:val="auto"/>
              </w:rPr>
              <w:t>following cash payments for interest and income taxes:</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467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40" w:type="dxa"/>
            <w:vAlign w:val="bottom"/>
          </w:tcPr>
          <w:p>
            <w:pPr>
              <w:ind w:left="20"/>
              <w:spacing w:after="0" w:line="145" w:lineRule="exact"/>
              <w:rPr>
                <w:sz w:val="20"/>
                <w:szCs w:val="20"/>
                <w:color w:val="auto"/>
              </w:rPr>
            </w:pPr>
            <w:r>
              <w:rPr>
                <w:rFonts w:ascii="Arial" w:cs="Arial" w:eastAsia="Arial" w:hAnsi="Arial"/>
                <w:sz w:val="14"/>
                <w:szCs w:val="14"/>
                <w:color w:val="auto"/>
              </w:rPr>
              <w:t>Interest paid on debt (net of capitalized interest)</w:t>
            </w:r>
          </w:p>
        </w:tc>
        <w:tc>
          <w:tcPr>
            <w:tcW w:w="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533</w:t>
            </w: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Income taxes paid</w:t>
            </w:r>
          </w:p>
        </w:tc>
        <w:tc>
          <w:tcPr>
            <w:tcW w:w="8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5,316</w:t>
            </w:r>
          </w:p>
        </w:tc>
        <w:tc>
          <w:tcPr>
            <w:tcW w:w="1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2,916</w:t>
            </w:r>
          </w:p>
        </w:tc>
        <w:tc>
          <w:tcPr>
            <w:tcW w:w="1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143"/>
        </w:trPr>
        <w:tc>
          <w:tcPr>
            <w:tcW w:w="3640" w:type="dxa"/>
            <w:vAlign w:val="bottom"/>
          </w:tcPr>
          <w:p>
            <w:pPr>
              <w:ind w:left="20"/>
              <w:spacing w:after="0" w:line="143" w:lineRule="exact"/>
              <w:rPr>
                <w:sz w:val="20"/>
                <w:szCs w:val="20"/>
                <w:color w:val="auto"/>
              </w:rPr>
            </w:pPr>
            <w:r>
              <w:rPr>
                <w:rFonts w:ascii="Arial" w:cs="Arial" w:eastAsia="Arial" w:hAnsi="Arial"/>
                <w:sz w:val="14"/>
                <w:szCs w:val="14"/>
                <w:color w:val="auto"/>
                <w:w w:val="96"/>
              </w:rPr>
              <w:t>Net (purchases) sales of marketable securities consist of the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ind w:left="140"/>
              <w:spacing w:after="0" w:line="149" w:lineRule="exact"/>
              <w:rPr>
                <w:sz w:val="20"/>
                <w:szCs w:val="20"/>
                <w:color w:val="auto"/>
              </w:rPr>
            </w:pPr>
            <w:r>
              <w:rPr>
                <w:rFonts w:ascii="Arial" w:cs="Arial" w:eastAsia="Arial" w:hAnsi="Arial"/>
                <w:sz w:val="14"/>
                <w:szCs w:val="14"/>
                <w:color w:val="auto"/>
              </w:rPr>
              <w:t>following gross amounts:</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(3,563)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40" w:type="dxa"/>
            <w:vAlign w:val="bottom"/>
          </w:tcPr>
          <w:p>
            <w:pPr>
              <w:ind w:left="20"/>
              <w:spacing w:after="0" w:line="145" w:lineRule="exact"/>
              <w:rPr>
                <w:sz w:val="20"/>
                <w:szCs w:val="20"/>
                <w:color w:val="auto"/>
              </w:rPr>
            </w:pPr>
            <w:r>
              <w:rPr>
                <w:rFonts w:ascii="Arial" w:cs="Arial" w:eastAsia="Arial" w:hAnsi="Arial"/>
                <w:sz w:val="14"/>
                <w:szCs w:val="14"/>
                <w:color w:val="auto"/>
              </w:rPr>
              <w:t>Marketable securities purchased</w:t>
            </w:r>
          </w:p>
        </w:tc>
        <w:tc>
          <w:tcPr>
            <w:tcW w:w="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line="145" w:lineRule="exact"/>
              <w:rPr>
                <w:sz w:val="20"/>
                <w:szCs w:val="20"/>
                <w:color w:val="auto"/>
              </w:rPr>
            </w:pPr>
            <w:r>
              <w:rPr>
                <w:rFonts w:ascii="Arial" w:cs="Arial" w:eastAsia="Arial" w:hAnsi="Arial"/>
                <w:sz w:val="14"/>
                <w:szCs w:val="14"/>
                <w:color w:val="auto"/>
                <w:w w:val="94"/>
              </w:rPr>
              <w:t>(5,789)</w:t>
            </w: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w w:val="94"/>
              </w:rPr>
              <w:t>(2,848)</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Marketable securities sold</w:t>
            </w:r>
          </w:p>
        </w:tc>
        <w:tc>
          <w:tcPr>
            <w:tcW w:w="8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3,716</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5,998</w:t>
            </w:r>
          </w:p>
        </w:tc>
        <w:tc>
          <w:tcPr>
            <w:tcW w:w="14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Net sales (purchases) of marketable securities</w:t>
            </w: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153</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209</w:t>
            </w:r>
          </w:p>
        </w:tc>
        <w:tc>
          <w:tcPr>
            <w:tcW w:w="1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firstLine="200"/>
        <w:spacing w:after="0" w:line="265" w:lineRule="auto"/>
        <w:rPr>
          <w:sz w:val="20"/>
          <w:szCs w:val="20"/>
          <w:color w:val="auto"/>
        </w:rPr>
      </w:pPr>
      <w:r>
        <w:rPr>
          <w:rFonts w:ascii="Arial" w:cs="Arial" w:eastAsia="Arial" w:hAnsi="Arial"/>
          <w:sz w:val="16"/>
          <w:szCs w:val="16"/>
          <w:color w:val="auto"/>
        </w:rPr>
        <w:t>The 2003 “Net Cash Provided by Operating Activities” includes an $890 “Decrease in other deferred charges” and a decrease of the same amount in “Other” related to balance sheet reclassifications for certain pension-related assets and liabilities, in accordance with the requirements of FAS 87, “Employers’ Accounting for Pensions.”</w:t>
      </w:r>
    </w:p>
    <w:p>
      <w:pPr>
        <w:spacing w:after="0" w:line="1" w:lineRule="exact"/>
        <w:rPr>
          <w:sz w:val="20"/>
          <w:szCs w:val="20"/>
          <w:color w:val="auto"/>
        </w:rPr>
      </w:pPr>
    </w:p>
    <w:p>
      <w:pPr>
        <w:ind w:right="40" w:firstLine="200"/>
        <w:spacing w:after="0" w:line="295" w:lineRule="auto"/>
        <w:rPr>
          <w:sz w:val="20"/>
          <w:szCs w:val="20"/>
          <w:color w:val="auto"/>
        </w:rPr>
      </w:pPr>
      <w:r>
        <w:rPr>
          <w:rFonts w:ascii="Arial" w:cs="Arial" w:eastAsia="Arial" w:hAnsi="Arial"/>
          <w:sz w:val="15"/>
          <w:szCs w:val="15"/>
          <w:color w:val="auto"/>
        </w:rPr>
        <w:t>The major components of “Capital expenditures” and the reconciliation of this amount to the capital and exploratory expenditures, excluding equity in affiliates, presented in the Management’s Discussion and Analysis of Financial Condition and Results of Operations (MD&amp;A) are detailed in the following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0070FF"/>
            </w:tcBorders>
            <w:gridSpan w:val="4"/>
          </w:tcPr>
          <w:p>
            <w:pPr>
              <w:jc w:val="right"/>
              <w:ind w:right="1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0070FF"/>
            </w:tcBorders>
          </w:tcPr>
          <w:p>
            <w:pPr>
              <w:spacing w:after="0"/>
              <w:rPr>
                <w:sz w:val="12"/>
                <w:szCs w:val="12"/>
                <w:color w:val="auto"/>
              </w:rPr>
            </w:pPr>
          </w:p>
        </w:tc>
        <w:tc>
          <w:tcPr>
            <w:tcW w:w="100" w:type="dxa"/>
            <w:vAlign w:val="bottom"/>
            <w:tcBorders>
              <w:bottom w:val="single" w:sz="8" w:color="0070FF"/>
            </w:tcBorders>
          </w:tcPr>
          <w:p>
            <w:pPr>
              <w:spacing w:after="0"/>
              <w:rPr>
                <w:sz w:val="12"/>
                <w:szCs w:val="12"/>
                <w:color w:val="auto"/>
              </w:rPr>
            </w:pPr>
          </w:p>
        </w:tc>
        <w:tc>
          <w:tcPr>
            <w:tcW w:w="540" w:type="dxa"/>
            <w:vAlign w:val="bottom"/>
            <w:tcBorders>
              <w:bottom w:val="single" w:sz="8" w:color="0070FF"/>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2003</w:t>
            </w:r>
          </w:p>
        </w:tc>
        <w:tc>
          <w:tcPr>
            <w:tcW w:w="640" w:type="dxa"/>
            <w:vAlign w:val="bottom"/>
            <w:tcBorders>
              <w:bottom w:val="single" w:sz="8" w:color="0070FF"/>
            </w:tcBorders>
          </w:tcPr>
          <w:p>
            <w:pPr>
              <w:jc w:val="right"/>
              <w:ind w:right="68"/>
              <w:spacing w:after="0" w:line="142" w:lineRule="exact"/>
              <w:rPr>
                <w:sz w:val="20"/>
                <w:szCs w:val="20"/>
                <w:color w:val="auto"/>
              </w:rPr>
            </w:pPr>
            <w:r>
              <w:rPr>
                <w:rFonts w:ascii="Arial" w:cs="Arial" w:eastAsia="Arial" w:hAnsi="Arial"/>
                <w:sz w:val="14"/>
                <w:szCs w:val="14"/>
                <w:color w:val="auto"/>
              </w:rPr>
              <w:t>2002</w:t>
            </w:r>
          </w:p>
        </w:tc>
        <w:tc>
          <w:tcPr>
            <w:tcW w:w="16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jc w:val="right"/>
              <w:ind w:right="10"/>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line="187" w:lineRule="exact"/>
              <w:rPr>
                <w:sz w:val="20"/>
                <w:szCs w:val="20"/>
                <w:color w:val="auto"/>
              </w:rPr>
            </w:pPr>
            <w:r>
              <w:rPr>
                <w:rFonts w:ascii="Arial" w:cs="Arial" w:eastAsia="Arial" w:hAnsi="Arial"/>
                <w:sz w:val="13"/>
                <w:szCs w:val="13"/>
                <w:color w:val="auto"/>
              </w:rPr>
              <w:t>Additions to properties, plant and equipment</w:t>
            </w:r>
            <w:r>
              <w:rPr>
                <w:rFonts w:ascii="Arial" w:cs="Arial" w:eastAsia="Arial" w:hAnsi="Arial"/>
                <w:sz w:val="21"/>
                <w:szCs w:val="21"/>
                <w:color w:val="auto"/>
                <w:vertAlign w:val="superscript"/>
              </w:rPr>
              <w:t>1</w:t>
            </w: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$4,953</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$6,262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6,445</w:t>
            </w: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Additions to investments</w:t>
            </w:r>
          </w:p>
        </w:tc>
        <w:tc>
          <w:tcPr>
            <w:tcW w:w="6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687</w:t>
            </w: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1,138</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1"/>
                <w:szCs w:val="11"/>
                <w:color w:val="auto"/>
              </w:rPr>
              <w:t>2,902</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Current-year dry-hole expenditures</w:t>
            </w:r>
          </w:p>
        </w:tc>
        <w:tc>
          <w:tcPr>
            <w:tcW w:w="6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132</w:t>
            </w: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252</w:t>
            </w:r>
          </w:p>
        </w:tc>
        <w:tc>
          <w:tcPr>
            <w:tcW w:w="160" w:type="dxa"/>
            <w:vAlign w:val="bottom"/>
          </w:tcPr>
          <w:p>
            <w:pPr>
              <w:spacing w:after="0"/>
              <w:rPr>
                <w:sz w:val="12"/>
                <w:szCs w:val="12"/>
                <w:color w:val="auto"/>
              </w:rPr>
            </w:pPr>
          </w:p>
        </w:tc>
        <w:tc>
          <w:tcPr>
            <w:tcW w:w="4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Payments for other liabilities and assets, net</w:t>
            </w:r>
          </w:p>
        </w:tc>
        <w:tc>
          <w:tcPr>
            <w:tcW w:w="640" w:type="dxa"/>
            <w:vAlign w:val="bottom"/>
            <w:tcBorders>
              <w:bottom w:val="single" w:sz="8" w:color="0070FF"/>
            </w:tcBorders>
            <w:gridSpan w:val="2"/>
          </w:tcPr>
          <w:p>
            <w:pPr>
              <w:jc w:val="right"/>
              <w:ind w:right="12"/>
              <w:spacing w:after="0"/>
              <w:rPr>
                <w:sz w:val="20"/>
                <w:szCs w:val="20"/>
                <w:color w:val="auto"/>
              </w:rPr>
            </w:pPr>
            <w:r>
              <w:rPr>
                <w:rFonts w:ascii="Arial" w:cs="Arial" w:eastAsia="Arial" w:hAnsi="Arial"/>
                <w:sz w:val="14"/>
                <w:szCs w:val="14"/>
                <w:b w:val="1"/>
                <w:bCs w:val="1"/>
                <w:color w:val="auto"/>
              </w:rPr>
              <w:t>(147)</w:t>
            </w:r>
          </w:p>
        </w:tc>
        <w:tc>
          <w:tcPr>
            <w:tcW w:w="6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(55)</w:t>
            </w:r>
          </w:p>
        </w:tc>
        <w:tc>
          <w:tcPr>
            <w:tcW w:w="16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3"/>
        </w:trPr>
        <w:tc>
          <w:tcPr>
            <w:tcW w:w="3560" w:type="dxa"/>
            <w:vAlign w:val="bottom"/>
            <w:gridSpan w:val="2"/>
          </w:tcPr>
          <w:p>
            <w:pPr>
              <w:spacing w:after="0" w:line="133" w:lineRule="exact"/>
              <w:rPr>
                <w:sz w:val="20"/>
                <w:szCs w:val="20"/>
                <w:color w:val="auto"/>
              </w:rPr>
            </w:pPr>
            <w:r>
              <w:rPr>
                <w:rFonts w:ascii="Arial" w:cs="Arial" w:eastAsia="Arial" w:hAnsi="Arial"/>
                <w:sz w:val="14"/>
                <w:szCs w:val="14"/>
                <w:color w:val="auto"/>
              </w:rPr>
              <w:t>Capital expenditures</w:t>
            </w:r>
          </w:p>
        </w:tc>
        <w:tc>
          <w:tcPr>
            <w:tcW w:w="640" w:type="dxa"/>
            <w:vAlign w:val="bottom"/>
            <w:gridSpan w:val="2"/>
          </w:tcPr>
          <w:p>
            <w:pPr>
              <w:jc w:val="right"/>
              <w:ind w:right="72"/>
              <w:spacing w:after="0" w:line="133" w:lineRule="exact"/>
              <w:rPr>
                <w:sz w:val="20"/>
                <w:szCs w:val="20"/>
                <w:color w:val="auto"/>
              </w:rPr>
            </w:pPr>
            <w:r>
              <w:rPr>
                <w:rFonts w:ascii="Arial" w:cs="Arial" w:eastAsia="Arial" w:hAnsi="Arial"/>
                <w:sz w:val="14"/>
                <w:szCs w:val="14"/>
                <w:b w:val="1"/>
                <w:bCs w:val="1"/>
                <w:color w:val="auto"/>
              </w:rPr>
              <w:t>5,625</w:t>
            </w:r>
          </w:p>
        </w:tc>
        <w:tc>
          <w:tcPr>
            <w:tcW w:w="640" w:type="dxa"/>
            <w:vAlign w:val="bottom"/>
          </w:tcPr>
          <w:p>
            <w:pPr>
              <w:jc w:val="right"/>
              <w:ind w:right="68"/>
              <w:spacing w:after="0" w:line="133" w:lineRule="exact"/>
              <w:rPr>
                <w:sz w:val="20"/>
                <w:szCs w:val="20"/>
                <w:color w:val="auto"/>
              </w:rPr>
            </w:pPr>
            <w:r>
              <w:rPr>
                <w:rFonts w:ascii="Arial" w:cs="Arial" w:eastAsia="Arial" w:hAnsi="Arial"/>
                <w:sz w:val="14"/>
                <w:szCs w:val="14"/>
                <w:color w:val="auto"/>
              </w:rPr>
              <w:t>7,597</w:t>
            </w:r>
          </w:p>
        </w:tc>
        <w:tc>
          <w:tcPr>
            <w:tcW w:w="160" w:type="dxa"/>
            <w:vAlign w:val="bottom"/>
          </w:tcPr>
          <w:p>
            <w:pPr>
              <w:spacing w:after="0"/>
              <w:rPr>
                <w:sz w:val="11"/>
                <w:szCs w:val="11"/>
                <w:color w:val="auto"/>
              </w:rPr>
            </w:pPr>
          </w:p>
        </w:tc>
        <w:tc>
          <w:tcPr>
            <w:tcW w:w="480" w:type="dxa"/>
            <w:vAlign w:val="bottom"/>
          </w:tcPr>
          <w:p>
            <w:pPr>
              <w:jc w:val="right"/>
              <w:ind w:right="10"/>
              <w:spacing w:after="0" w:line="133" w:lineRule="exact"/>
              <w:rPr>
                <w:sz w:val="20"/>
                <w:szCs w:val="20"/>
                <w:color w:val="auto"/>
              </w:rPr>
            </w:pPr>
            <w:r>
              <w:rPr>
                <w:rFonts w:ascii="Arial" w:cs="Arial" w:eastAsia="Arial" w:hAnsi="Arial"/>
                <w:sz w:val="14"/>
                <w:szCs w:val="14"/>
                <w:color w:val="auto"/>
              </w:rPr>
              <w:t>9,713</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line="153" w:lineRule="exact"/>
              <w:rPr>
                <w:sz w:val="20"/>
                <w:szCs w:val="20"/>
                <w:color w:val="auto"/>
              </w:rPr>
            </w:pPr>
            <w:r>
              <w:rPr>
                <w:rFonts w:ascii="Arial" w:cs="Arial" w:eastAsia="Arial" w:hAnsi="Arial"/>
                <w:sz w:val="14"/>
                <w:szCs w:val="14"/>
                <w:color w:val="auto"/>
              </w:rPr>
              <w:t>Expensed exploration expenditures</w:t>
            </w:r>
          </w:p>
        </w:tc>
        <w:tc>
          <w:tcPr>
            <w:tcW w:w="640" w:type="dxa"/>
            <w:vAlign w:val="bottom"/>
            <w:gridSpan w:val="2"/>
          </w:tcPr>
          <w:p>
            <w:pPr>
              <w:jc w:val="right"/>
              <w:ind w:right="72"/>
              <w:spacing w:after="0" w:line="153" w:lineRule="exact"/>
              <w:rPr>
                <w:sz w:val="20"/>
                <w:szCs w:val="20"/>
                <w:color w:val="auto"/>
              </w:rPr>
            </w:pPr>
            <w:r>
              <w:rPr>
                <w:rFonts w:ascii="Arial" w:cs="Arial" w:eastAsia="Arial" w:hAnsi="Arial"/>
                <w:sz w:val="14"/>
                <w:szCs w:val="14"/>
                <w:b w:val="1"/>
                <w:bCs w:val="1"/>
                <w:color w:val="auto"/>
              </w:rPr>
              <w:t>315</w:t>
            </w:r>
          </w:p>
        </w:tc>
        <w:tc>
          <w:tcPr>
            <w:tcW w:w="640" w:type="dxa"/>
            <w:vAlign w:val="bottom"/>
          </w:tcPr>
          <w:p>
            <w:pPr>
              <w:jc w:val="right"/>
              <w:ind w:right="68"/>
              <w:spacing w:after="0" w:line="153" w:lineRule="exact"/>
              <w:rPr>
                <w:sz w:val="20"/>
                <w:szCs w:val="20"/>
                <w:color w:val="auto"/>
              </w:rPr>
            </w:pPr>
            <w:r>
              <w:rPr>
                <w:rFonts w:ascii="Arial" w:cs="Arial" w:eastAsia="Arial" w:hAnsi="Arial"/>
                <w:sz w:val="14"/>
                <w:szCs w:val="14"/>
                <w:color w:val="auto"/>
              </w:rPr>
              <w:t>303</w:t>
            </w:r>
          </w:p>
        </w:tc>
        <w:tc>
          <w:tcPr>
            <w:tcW w:w="160" w:type="dxa"/>
            <w:vAlign w:val="bottom"/>
          </w:tcPr>
          <w:p>
            <w:pPr>
              <w:spacing w:after="0"/>
              <w:rPr>
                <w:sz w:val="13"/>
                <w:szCs w:val="13"/>
                <w:color w:val="auto"/>
              </w:rPr>
            </w:pPr>
          </w:p>
        </w:tc>
        <w:tc>
          <w:tcPr>
            <w:tcW w:w="480" w:type="dxa"/>
            <w:vAlign w:val="bottom"/>
          </w:tcPr>
          <w:p>
            <w:pPr>
              <w:jc w:val="right"/>
              <w:ind w:right="10"/>
              <w:spacing w:after="0" w:line="153"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w w:val="95"/>
              </w:rPr>
              <w:t>Payments of long-term debt and other financing obligations,</w:t>
            </w:r>
          </w:p>
        </w:tc>
        <w:tc>
          <w:tcPr>
            <w:tcW w:w="64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286</w:t>
            </w:r>
            <w:r>
              <w:rPr>
                <w:rFonts w:ascii="Arial" w:cs="Arial" w:eastAsia="Arial" w:hAnsi="Arial"/>
                <w:sz w:val="23"/>
                <w:szCs w:val="23"/>
                <w:b w:val="1"/>
                <w:bCs w:val="1"/>
                <w:color w:val="auto"/>
                <w:vertAlign w:val="superscript"/>
              </w:rPr>
              <w:t>3</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210</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net</w:t>
            </w:r>
          </w:p>
        </w:tc>
        <w:tc>
          <w:tcPr>
            <w:tcW w:w="640" w:type="dxa"/>
            <w:vAlign w:val="bottom"/>
            <w:tcBorders>
              <w:bottom w:val="single" w:sz="8" w:color="0070FF"/>
            </w:tcBorders>
            <w:gridSpan w:val="2"/>
            <w:vMerge w:val="continue"/>
          </w:tcPr>
          <w:p>
            <w:pPr>
              <w:spacing w:after="0"/>
              <w:rPr>
                <w:sz w:val="14"/>
                <w:szCs w:val="14"/>
                <w:color w:val="auto"/>
              </w:rPr>
            </w:pPr>
          </w:p>
        </w:tc>
        <w:tc>
          <w:tcPr>
            <w:tcW w:w="6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Pr>
          <w:p>
            <w:pPr>
              <w:spacing w:after="0" w:line="137" w:lineRule="exact"/>
              <w:rPr>
                <w:sz w:val="20"/>
                <w:szCs w:val="20"/>
                <w:color w:val="auto"/>
              </w:rPr>
            </w:pPr>
            <w:r>
              <w:rPr>
                <w:rFonts w:ascii="Arial" w:cs="Arial" w:eastAsia="Arial" w:hAnsi="Arial"/>
                <w:sz w:val="14"/>
                <w:szCs w:val="14"/>
                <w:color w:val="auto"/>
              </w:rPr>
              <w:t>Capital and exploratory expenditures, excluding equity</w:t>
            </w:r>
          </w:p>
        </w:tc>
        <w:tc>
          <w:tcPr>
            <w:tcW w:w="64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6,226</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tcPr>
          <w:p>
            <w:pPr>
              <w:ind w:left="120"/>
              <w:spacing w:after="0" w:line="145" w:lineRule="exact"/>
              <w:rPr>
                <w:sz w:val="20"/>
                <w:szCs w:val="20"/>
                <w:color w:val="auto"/>
              </w:rPr>
            </w:pPr>
            <w:r>
              <w:rPr>
                <w:rFonts w:ascii="Arial" w:cs="Arial" w:eastAsia="Arial" w:hAnsi="Arial"/>
                <w:sz w:val="14"/>
                <w:szCs w:val="14"/>
                <w:color w:val="auto"/>
              </w:rPr>
              <w:t>affiliates</w:t>
            </w:r>
          </w:p>
        </w:tc>
        <w:tc>
          <w:tcPr>
            <w:tcW w:w="640" w:type="dxa"/>
            <w:vAlign w:val="bottom"/>
            <w:gridSpan w:val="2"/>
            <w:vMerge w:val="continue"/>
          </w:tcPr>
          <w:p>
            <w:pPr>
              <w:spacing w:after="0"/>
              <w:rPr>
                <w:sz w:val="12"/>
                <w:szCs w:val="12"/>
                <w:color w:val="auto"/>
              </w:rPr>
            </w:pPr>
          </w:p>
        </w:tc>
        <w:tc>
          <w:tcPr>
            <w:tcW w:w="640" w:type="dxa"/>
            <w:vAlign w:val="bottom"/>
          </w:tcPr>
          <w:p>
            <w:pPr>
              <w:jc w:val="right"/>
              <w:ind w:right="68"/>
              <w:spacing w:after="0" w:line="145" w:lineRule="exact"/>
              <w:rPr>
                <w:sz w:val="20"/>
                <w:szCs w:val="20"/>
                <w:color w:val="auto"/>
              </w:rPr>
            </w:pPr>
            <w:r>
              <w:rPr>
                <w:rFonts w:ascii="Arial" w:cs="Arial" w:eastAsia="Arial" w:hAnsi="Arial"/>
                <w:sz w:val="14"/>
                <w:szCs w:val="14"/>
                <w:color w:val="auto"/>
              </w:rPr>
              <w:t>7,902</w:t>
            </w:r>
          </w:p>
        </w:tc>
        <w:tc>
          <w:tcPr>
            <w:tcW w:w="160" w:type="dxa"/>
            <w:vAlign w:val="bottom"/>
          </w:tcPr>
          <w:p>
            <w:pPr>
              <w:spacing w:after="0"/>
              <w:rPr>
                <w:sz w:val="12"/>
                <w:szCs w:val="12"/>
                <w:color w:val="auto"/>
              </w:rPr>
            </w:pPr>
          </w:p>
        </w:tc>
        <w:tc>
          <w:tcPr>
            <w:tcW w:w="480" w:type="dxa"/>
            <w:vAlign w:val="bottom"/>
          </w:tcPr>
          <w:p>
            <w:pPr>
              <w:jc w:val="right"/>
              <w:ind w:right="10"/>
              <w:spacing w:after="0" w:line="145" w:lineRule="exact"/>
              <w:rPr>
                <w:sz w:val="20"/>
                <w:szCs w:val="20"/>
                <w:color w:val="auto"/>
              </w:rPr>
            </w:pPr>
            <w:r>
              <w:rPr>
                <w:rFonts w:ascii="Arial" w:cs="Arial" w:eastAsia="Arial" w:hAnsi="Arial"/>
                <w:sz w:val="14"/>
                <w:szCs w:val="14"/>
                <w:color w:val="auto"/>
                <w:w w:val="88"/>
              </w:rPr>
              <w:t>10,316</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Equity in affiliates’ expenditures</w:t>
            </w:r>
          </w:p>
        </w:tc>
        <w:tc>
          <w:tcPr>
            <w:tcW w:w="640" w:type="dxa"/>
            <w:vAlign w:val="bottom"/>
            <w:tcBorders>
              <w:bottom w:val="single" w:sz="8" w:color="0070FF"/>
            </w:tcBorders>
            <w:gridSpan w:val="2"/>
          </w:tcPr>
          <w:p>
            <w:pPr>
              <w:jc w:val="right"/>
              <w:ind w:right="72"/>
              <w:spacing w:after="0"/>
              <w:rPr>
                <w:sz w:val="20"/>
                <w:szCs w:val="20"/>
                <w:color w:val="auto"/>
              </w:rPr>
            </w:pPr>
            <w:r>
              <w:rPr>
                <w:rFonts w:ascii="Arial" w:cs="Arial" w:eastAsia="Arial" w:hAnsi="Arial"/>
                <w:sz w:val="14"/>
                <w:szCs w:val="14"/>
                <w:b w:val="1"/>
                <w:bCs w:val="1"/>
                <w:color w:val="auto"/>
              </w:rPr>
              <w:t>1,137</w:t>
            </w:r>
          </w:p>
        </w:tc>
        <w:tc>
          <w:tcPr>
            <w:tcW w:w="6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1,353</w:t>
            </w:r>
          </w:p>
        </w:tc>
        <w:tc>
          <w:tcPr>
            <w:tcW w:w="16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ind w:right="10"/>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Capital and exploratory expenditures, including equity</w:t>
            </w:r>
          </w:p>
        </w:tc>
        <w:tc>
          <w:tcPr>
            <w:tcW w:w="64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$7,363</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affiliates</w:t>
            </w:r>
          </w:p>
        </w:tc>
        <w:tc>
          <w:tcPr>
            <w:tcW w:w="640" w:type="dxa"/>
            <w:vAlign w:val="bottom"/>
            <w:tcBorders>
              <w:bottom w:val="single" w:sz="8" w:color="0070FF"/>
            </w:tcBorders>
            <w:gridSpan w:val="2"/>
            <w:vMerge w:val="continue"/>
          </w:tcPr>
          <w:p>
            <w:pPr>
              <w:spacing w:after="0"/>
              <w:rPr>
                <w:sz w:val="16"/>
                <w:szCs w:val="16"/>
                <w:color w:val="auto"/>
              </w:rPr>
            </w:pPr>
          </w:p>
        </w:tc>
        <w:tc>
          <w:tcPr>
            <w:tcW w:w="6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$9,255</w:t>
            </w:r>
          </w:p>
        </w:tc>
        <w:tc>
          <w:tcPr>
            <w:tcW w:w="1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ind w:right="10"/>
              <w:spacing w:after="0"/>
              <w:rPr>
                <w:sz w:val="20"/>
                <w:szCs w:val="20"/>
                <w:color w:val="auto"/>
              </w:rPr>
            </w:pPr>
            <w:r>
              <w:rPr>
                <w:rFonts w:ascii="Arial" w:cs="Arial" w:eastAsia="Arial" w:hAnsi="Arial"/>
                <w:sz w:val="14"/>
                <w:szCs w:val="14"/>
                <w:color w:val="auto"/>
                <w:w w:val="88"/>
              </w:rPr>
              <w:t>12,028</w:t>
            </w:r>
          </w:p>
        </w:tc>
        <w:tc>
          <w:tcPr>
            <w:tcW w:w="0" w:type="dxa"/>
            <w:vAlign w:val="bottom"/>
          </w:tcPr>
          <w:p>
            <w:pPr>
              <w:spacing w:after="0"/>
              <w:rPr>
                <w:sz w:val="1"/>
                <w:szCs w:val="1"/>
                <w:color w:val="auto"/>
              </w:rPr>
            </w:pPr>
          </w:p>
        </w:tc>
      </w:tr>
    </w:tbl>
    <w:p>
      <w:pPr>
        <w:ind w:left="460" w:hanging="100"/>
        <w:spacing w:after="0" w:line="187" w:lineRule="auto"/>
        <w:tabs>
          <w:tab w:leader="none" w:pos="460" w:val="left"/>
        </w:tabs>
        <w:numPr>
          <w:ilvl w:val="0"/>
          <w:numId w:val="41"/>
        </w:numPr>
        <w:rPr>
          <w:rFonts w:ascii="Arial" w:cs="Arial" w:eastAsia="Arial" w:hAnsi="Arial"/>
          <w:sz w:val="17"/>
          <w:szCs w:val="17"/>
          <w:color w:val="auto"/>
          <w:vertAlign w:val="superscript"/>
        </w:rPr>
      </w:pPr>
      <w:r>
        <w:rPr>
          <w:rFonts w:ascii="Arial" w:cs="Arial" w:eastAsia="Arial" w:hAnsi="Arial"/>
          <w:sz w:val="11"/>
          <w:szCs w:val="11"/>
          <w:color w:val="auto"/>
        </w:rPr>
        <w:t>Net of noncash items of $1,183 in 2003, $195 in 2002 and $63 in 2001.</w:t>
      </w:r>
    </w:p>
    <w:p>
      <w:pPr>
        <w:ind w:left="360"/>
        <w:spacing w:after="0" w:line="187" w:lineRule="auto"/>
        <w:rPr>
          <w:rFonts w:ascii="Arial" w:cs="Arial" w:eastAsia="Arial" w:hAnsi="Arial"/>
          <w:sz w:val="17"/>
          <w:szCs w:val="17"/>
          <w:color w:val="auto"/>
          <w:vertAlign w:val="superscript"/>
        </w:rPr>
      </w:pPr>
      <w:r>
        <w:rPr>
          <w:rFonts w:ascii="Arial" w:cs="Arial" w:eastAsia="Arial" w:hAnsi="Arial"/>
          <w:sz w:val="15"/>
          <w:szCs w:val="15"/>
          <w:color w:val="auto"/>
          <w:vertAlign w:val="superscript"/>
        </w:rPr>
        <w:t>2</w:t>
      </w:r>
      <w:r>
        <w:rPr>
          <w:rFonts w:ascii="Arial" w:cs="Arial" w:eastAsia="Arial" w:hAnsi="Arial"/>
          <w:sz w:val="10"/>
          <w:szCs w:val="10"/>
          <w:color w:val="auto"/>
        </w:rPr>
        <w:t xml:space="preserve"> Includes $1,500 for investment in Dynegy preferred stock.</w:t>
      </w:r>
    </w:p>
    <w:p>
      <w:pPr>
        <w:ind w:left="460" w:right="280" w:hanging="103"/>
        <w:spacing w:after="0" w:line="183" w:lineRule="auto"/>
        <w:rPr>
          <w:rFonts w:ascii="Arial" w:cs="Arial" w:eastAsia="Arial" w:hAnsi="Arial"/>
          <w:sz w:val="17"/>
          <w:szCs w:val="17"/>
          <w:color w:val="auto"/>
          <w:vertAlign w:val="superscript"/>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Deferred payments of $210 related to 1993 acquisition of an interest in the Tengizchevroil joint venture were made in 2003 and 2001.</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70FF"/>
        </w:rPr>
        <w:t>NOTE 5.</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70FF"/>
        </w:rPr>
        <w:t>SUMMARIZED FINANCIAL DATA — CHEVRON U.S.A. INC.</w:t>
      </w:r>
    </w:p>
    <w:p>
      <w:pPr>
        <w:spacing w:after="0" w:line="27" w:lineRule="exact"/>
        <w:rPr>
          <w:sz w:val="20"/>
          <w:szCs w:val="20"/>
          <w:color w:val="auto"/>
        </w:rPr>
      </w:pPr>
    </w:p>
    <w:p>
      <w:pPr>
        <w:ind w:left="360" w:right="20"/>
        <w:spacing w:after="0" w:line="300" w:lineRule="auto"/>
        <w:rPr>
          <w:sz w:val="20"/>
          <w:szCs w:val="20"/>
          <w:color w:val="auto"/>
        </w:rPr>
      </w:pPr>
      <w:r>
        <w:rPr>
          <w:rFonts w:ascii="Arial" w:cs="Arial" w:eastAsia="Arial" w:hAnsi="Arial"/>
          <w:sz w:val="14"/>
          <w:szCs w:val="14"/>
          <w:color w:val="auto"/>
        </w:rPr>
        <w:t>Chevron U.S.A. Inc. (CUSA) is a major subsidiary of Chevron-Texaco Corporation. CUSA and its subsidiaries manage and operate most of ChevronTexaco’s U.S. businesses. Assets include those related to the exploration and production of crude oil, natural gas and natural gas liquids and those associated with the refining, marketing, supply and distribution of products derived from petroleum, other than natural gas liquids, excluding most of the regulated pipeline operations of ChevronTexaco. CUSA also holds ChevronTexaco’s investments in the CPChem joint venture and Dynegy, which are accounted for using the equity method.</w:t>
      </w:r>
    </w:p>
    <w:p>
      <w:pPr>
        <w:spacing w:after="0" w:line="1" w:lineRule="exact"/>
        <w:rPr>
          <w:sz w:val="20"/>
          <w:szCs w:val="20"/>
          <w:color w:val="auto"/>
        </w:rPr>
      </w:pPr>
    </w:p>
    <w:p>
      <w:pPr>
        <w:ind w:left="360" w:right="40" w:firstLine="203"/>
        <w:spacing w:after="0" w:line="308" w:lineRule="auto"/>
        <w:rPr>
          <w:sz w:val="20"/>
          <w:szCs w:val="20"/>
          <w:color w:val="auto"/>
        </w:rPr>
      </w:pPr>
      <w:r>
        <w:rPr>
          <w:rFonts w:ascii="Arial" w:cs="Arial" w:eastAsia="Arial" w:hAnsi="Arial"/>
          <w:sz w:val="14"/>
          <w:szCs w:val="14"/>
          <w:color w:val="auto"/>
        </w:rPr>
        <w:t>During 2002 and 2003, ChevronTexaco implemented legal reorganizations in which certain ChevronTexaco subsidiaries transferred assets to or under CUSA and other ChevronTexaco companies were merged with and into CUSA. The summarized financial information for CUSA and its consolidated subsidiaries presented in the table below gives retroactive effect to the reorganization in a manner similar to a pooling of interests, with all periods presented as if the companies had always been combined and the reorganization had occurred on January 1, 2001. However, the financial information included below may not reflect the financial position and operating results in the future or the historical results in the periods presented had the reorganization actually occurred on January 1, 2001.</w:t>
      </w:r>
    </w:p>
    <w:p>
      <w:pPr>
        <w:spacing w:after="0" w:line="10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Borders>
              <w:bottom w:val="single" w:sz="8" w:color="0070FF"/>
            </w:tcBorders>
          </w:tcPr>
          <w:p>
            <w:pPr>
              <w:spacing w:after="0"/>
              <w:rPr>
                <w:sz w:val="14"/>
                <w:szCs w:val="14"/>
                <w:color w:val="auto"/>
              </w:rPr>
            </w:pPr>
          </w:p>
        </w:tc>
        <w:tc>
          <w:tcPr>
            <w:tcW w:w="144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w w:val="84"/>
              </w:rPr>
              <w:t>Year ended December 31</w:t>
            </w:r>
          </w:p>
        </w:tc>
      </w:tr>
      <w:tr>
        <w:trPr>
          <w:trHeight w:val="142"/>
        </w:trPr>
        <w:tc>
          <w:tcPr>
            <w:tcW w:w="20" w:type="dxa"/>
            <w:vAlign w:val="bottom"/>
          </w:tcPr>
          <w:p>
            <w:pPr>
              <w:spacing w:after="0"/>
              <w:rPr>
                <w:sz w:val="12"/>
                <w:szCs w:val="12"/>
                <w:color w:val="auto"/>
              </w:rPr>
            </w:pPr>
          </w:p>
        </w:tc>
        <w:tc>
          <w:tcPr>
            <w:tcW w:w="2760" w:type="dxa"/>
            <w:vAlign w:val="bottom"/>
            <w:tcBorders>
              <w:bottom w:val="single" w:sz="8" w:color="0070FF"/>
            </w:tcBorders>
          </w:tcPr>
          <w:p>
            <w:pPr>
              <w:spacing w:after="0"/>
              <w:rPr>
                <w:sz w:val="12"/>
                <w:szCs w:val="12"/>
                <w:color w:val="auto"/>
              </w:rPr>
            </w:pPr>
          </w:p>
        </w:tc>
        <w:tc>
          <w:tcPr>
            <w:tcW w:w="78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820" w:type="dxa"/>
            <w:vAlign w:val="bottom"/>
            <w:tcBorders>
              <w:bottom w:val="single" w:sz="8" w:color="0070FF"/>
            </w:tcBorders>
          </w:tcPr>
          <w:p>
            <w:pPr>
              <w:jc w:val="right"/>
              <w:ind w:right="70"/>
              <w:spacing w:after="0" w:line="142" w:lineRule="exact"/>
              <w:rPr>
                <w:sz w:val="20"/>
                <w:szCs w:val="20"/>
                <w:color w:val="auto"/>
              </w:rPr>
            </w:pPr>
            <w:r>
              <w:rPr>
                <w:rFonts w:ascii="Arial" w:cs="Arial" w:eastAsia="Arial" w:hAnsi="Arial"/>
                <w:sz w:val="14"/>
                <w:szCs w:val="14"/>
                <w:color w:val="auto"/>
              </w:rPr>
              <w:t>2002</w:t>
            </w:r>
          </w:p>
        </w:tc>
        <w:tc>
          <w:tcPr>
            <w:tcW w:w="62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r>
      <w:tr>
        <w:trPr>
          <w:trHeight w:val="133"/>
        </w:trPr>
        <w:tc>
          <w:tcPr>
            <w:tcW w:w="20" w:type="dxa"/>
            <w:vAlign w:val="bottom"/>
          </w:tcPr>
          <w:p>
            <w:pPr>
              <w:spacing w:after="0"/>
              <w:rPr>
                <w:sz w:val="11"/>
                <w:szCs w:val="11"/>
                <w:color w:val="auto"/>
              </w:rPr>
            </w:pPr>
          </w:p>
        </w:tc>
        <w:tc>
          <w:tcPr>
            <w:tcW w:w="2760" w:type="dxa"/>
            <w:vAlign w:val="bottom"/>
          </w:tcPr>
          <w:p>
            <w:pPr>
              <w:spacing w:after="0" w:line="133" w:lineRule="exact"/>
              <w:rPr>
                <w:sz w:val="20"/>
                <w:szCs w:val="20"/>
                <w:color w:val="auto"/>
              </w:rPr>
            </w:pPr>
            <w:r>
              <w:rPr>
                <w:rFonts w:ascii="Arial" w:cs="Arial" w:eastAsia="Arial" w:hAnsi="Arial"/>
                <w:sz w:val="14"/>
                <w:szCs w:val="14"/>
                <w:color w:val="auto"/>
              </w:rPr>
              <w:t>Sales and other operating revenues</w:t>
            </w:r>
          </w:p>
        </w:tc>
        <w:tc>
          <w:tcPr>
            <w:tcW w:w="12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$ 82,845</w:t>
            </w:r>
          </w:p>
        </w:tc>
        <w:tc>
          <w:tcPr>
            <w:tcW w:w="820" w:type="dxa"/>
            <w:vAlign w:val="bottom"/>
          </w:tcPr>
          <w:p>
            <w:pPr>
              <w:jc w:val="right"/>
              <w:ind w:right="70"/>
              <w:spacing w:after="0" w:line="133" w:lineRule="exact"/>
              <w:rPr>
                <w:sz w:val="20"/>
                <w:szCs w:val="20"/>
                <w:color w:val="auto"/>
              </w:rPr>
            </w:pPr>
            <w:r>
              <w:rPr>
                <w:rFonts w:ascii="Arial" w:cs="Arial" w:eastAsia="Arial" w:hAnsi="Arial"/>
                <w:sz w:val="14"/>
                <w:szCs w:val="14"/>
                <w:color w:val="auto"/>
              </w:rPr>
              <w:t>$ 66,910</w:t>
            </w:r>
          </w:p>
        </w:tc>
        <w:tc>
          <w:tcPr>
            <w:tcW w:w="620" w:type="dxa"/>
            <w:vAlign w:val="bottom"/>
          </w:tcPr>
          <w:p>
            <w:pPr>
              <w:jc w:val="right"/>
              <w:spacing w:after="0" w:line="133" w:lineRule="exact"/>
              <w:rPr>
                <w:sz w:val="20"/>
                <w:szCs w:val="20"/>
                <w:color w:val="auto"/>
              </w:rPr>
            </w:pPr>
            <w:r>
              <w:rPr>
                <w:rFonts w:ascii="Arial" w:cs="Arial" w:eastAsia="Arial" w:hAnsi="Arial"/>
                <w:sz w:val="14"/>
                <w:szCs w:val="14"/>
                <w:color w:val="auto"/>
                <w:w w:val="99"/>
              </w:rPr>
              <w:t>$ 57,576</w:t>
            </w: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Total costs and other deductions</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78,448</w:t>
            </w:r>
          </w:p>
        </w:tc>
        <w:tc>
          <w:tcPr>
            <w:tcW w:w="820" w:type="dxa"/>
            <w:vAlign w:val="bottom"/>
          </w:tcPr>
          <w:p>
            <w:pPr>
              <w:jc w:val="right"/>
              <w:ind w:right="70"/>
              <w:spacing w:after="0" w:line="149" w:lineRule="exact"/>
              <w:rPr>
                <w:sz w:val="20"/>
                <w:szCs w:val="20"/>
                <w:color w:val="auto"/>
              </w:rPr>
            </w:pPr>
            <w:r>
              <w:rPr>
                <w:rFonts w:ascii="Arial" w:cs="Arial" w:eastAsia="Arial" w:hAnsi="Arial"/>
                <w:sz w:val="14"/>
                <w:szCs w:val="14"/>
                <w:color w:val="auto"/>
              </w:rPr>
              <w:t>68,579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56,371</w:t>
            </w:r>
          </w:p>
        </w:tc>
      </w:tr>
      <w:tr>
        <w:trPr>
          <w:trHeight w:val="192"/>
        </w:trPr>
        <w:tc>
          <w:tcPr>
            <w:tcW w:w="278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Net income (loss)*</w:t>
            </w:r>
          </w:p>
        </w:tc>
        <w:tc>
          <w:tcPr>
            <w:tcW w:w="126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b w:val="1"/>
                <w:bCs w:val="1"/>
                <w:color w:val="auto"/>
              </w:rPr>
              <w:t>3,083</w:t>
            </w:r>
          </w:p>
        </w:tc>
        <w:tc>
          <w:tcPr>
            <w:tcW w:w="820" w:type="dxa"/>
            <w:vAlign w:val="bottom"/>
            <w:tcBorders>
              <w:bottom w:val="single" w:sz="8" w:color="0070FF"/>
            </w:tcBorders>
          </w:tcPr>
          <w:p>
            <w:pPr>
              <w:jc w:val="right"/>
              <w:ind w:right="10"/>
              <w:spacing w:after="0"/>
              <w:rPr>
                <w:sz w:val="20"/>
                <w:szCs w:val="20"/>
                <w:color w:val="auto"/>
              </w:rPr>
            </w:pPr>
            <w:r>
              <w:rPr>
                <w:rFonts w:ascii="Arial" w:cs="Arial" w:eastAsia="Arial" w:hAnsi="Arial"/>
                <w:sz w:val="14"/>
                <w:szCs w:val="14"/>
                <w:color w:val="auto"/>
              </w:rPr>
              <w:t>(1,895)</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1,268</w:t>
            </w:r>
          </w:p>
        </w:tc>
      </w:tr>
    </w:tbl>
    <w:p>
      <w:pPr>
        <w:spacing w:after="0" w:line="7" w:lineRule="exact"/>
        <w:rPr>
          <w:sz w:val="20"/>
          <w:szCs w:val="20"/>
          <w:color w:val="auto"/>
        </w:rPr>
      </w:pPr>
    </w:p>
    <w:p>
      <w:pPr>
        <w:ind w:left="360"/>
        <w:spacing w:after="0"/>
        <w:rPr>
          <w:sz w:val="20"/>
          <w:szCs w:val="20"/>
          <w:color w:val="auto"/>
        </w:rPr>
      </w:pPr>
      <w:r>
        <w:rPr>
          <w:rFonts w:ascii="Arial" w:cs="Arial" w:eastAsia="Arial" w:hAnsi="Arial"/>
          <w:sz w:val="9"/>
          <w:szCs w:val="9"/>
          <w:color w:val="auto"/>
        </w:rPr>
        <w:t>* 2003 net income includes a charge of $323 million for the cumulative effect of changes in accounting principles.</w:t>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118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At December 31</w:t>
            </w:r>
          </w:p>
        </w:tc>
      </w:tr>
      <w:tr>
        <w:trPr>
          <w:trHeight w:val="142"/>
        </w:trPr>
        <w:tc>
          <w:tcPr>
            <w:tcW w:w="20" w:type="dxa"/>
            <w:vAlign w:val="bottom"/>
          </w:tcPr>
          <w:p>
            <w:pPr>
              <w:spacing w:after="0"/>
              <w:rPr>
                <w:sz w:val="12"/>
                <w:szCs w:val="12"/>
                <w:color w:val="auto"/>
              </w:rPr>
            </w:pPr>
          </w:p>
        </w:tc>
        <w:tc>
          <w:tcPr>
            <w:tcW w:w="2600" w:type="dxa"/>
            <w:vAlign w:val="bottom"/>
            <w:tcBorders>
              <w:bottom w:val="single" w:sz="8" w:color="0070FF"/>
            </w:tcBorders>
          </w:tcPr>
          <w:p>
            <w:pPr>
              <w:spacing w:after="0"/>
              <w:rPr>
                <w:sz w:val="12"/>
                <w:szCs w:val="12"/>
                <w:color w:val="auto"/>
              </w:rPr>
            </w:pPr>
          </w:p>
        </w:tc>
        <w:tc>
          <w:tcPr>
            <w:tcW w:w="160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520" w:type="dxa"/>
            <w:vAlign w:val="bottom"/>
            <w:tcBorders>
              <w:bottom w:val="single" w:sz="8" w:color="0070FF"/>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r>
      <w:tr>
        <w:trPr>
          <w:trHeight w:val="133"/>
        </w:trPr>
        <w:tc>
          <w:tcPr>
            <w:tcW w:w="20" w:type="dxa"/>
            <w:vAlign w:val="bottom"/>
          </w:tcPr>
          <w:p>
            <w:pPr>
              <w:spacing w:after="0"/>
              <w:rPr>
                <w:sz w:val="11"/>
                <w:szCs w:val="11"/>
                <w:color w:val="auto"/>
              </w:rPr>
            </w:pPr>
          </w:p>
        </w:tc>
        <w:tc>
          <w:tcPr>
            <w:tcW w:w="2600" w:type="dxa"/>
            <w:vAlign w:val="bottom"/>
          </w:tcPr>
          <w:p>
            <w:pPr>
              <w:spacing w:after="0" w:line="133" w:lineRule="exact"/>
              <w:rPr>
                <w:sz w:val="20"/>
                <w:szCs w:val="20"/>
                <w:color w:val="auto"/>
              </w:rPr>
            </w:pPr>
            <w:r>
              <w:rPr>
                <w:rFonts w:ascii="Arial" w:cs="Arial" w:eastAsia="Arial" w:hAnsi="Arial"/>
                <w:sz w:val="14"/>
                <w:szCs w:val="14"/>
                <w:color w:val="auto"/>
              </w:rPr>
              <w:t>Current assets</w:t>
            </w:r>
          </w:p>
        </w:tc>
        <w:tc>
          <w:tcPr>
            <w:tcW w:w="1680" w:type="dxa"/>
            <w:vAlign w:val="bottom"/>
            <w:gridSpan w:val="2"/>
          </w:tcPr>
          <w:p>
            <w:pPr>
              <w:ind w:left="1600"/>
              <w:spacing w:after="0" w:line="133" w:lineRule="exact"/>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ind w:right="31"/>
              <w:spacing w:after="0" w:line="133" w:lineRule="exact"/>
              <w:rPr>
                <w:sz w:val="20"/>
                <w:szCs w:val="20"/>
                <w:color w:val="auto"/>
              </w:rPr>
            </w:pPr>
            <w:r>
              <w:rPr>
                <w:rFonts w:ascii="Arial" w:cs="Arial" w:eastAsia="Arial" w:hAnsi="Arial"/>
                <w:sz w:val="14"/>
                <w:szCs w:val="14"/>
                <w:b w:val="1"/>
                <w:bCs w:val="1"/>
                <w:color w:val="auto"/>
                <w:w w:val="93"/>
              </w:rPr>
              <w:t>15,539</w:t>
            </w:r>
          </w:p>
        </w:tc>
        <w:tc>
          <w:tcPr>
            <w:tcW w:w="180" w:type="dxa"/>
            <w:vAlign w:val="bottom"/>
          </w:tcPr>
          <w:p>
            <w:pPr>
              <w:ind w:left="100"/>
              <w:spacing w:after="0" w:line="133"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w w:val="93"/>
              </w:rPr>
              <w:t>13,244</w:t>
            </w: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31"/>
              <w:spacing w:after="0" w:line="149" w:lineRule="exact"/>
              <w:rPr>
                <w:sz w:val="20"/>
                <w:szCs w:val="20"/>
                <w:color w:val="auto"/>
              </w:rPr>
            </w:pPr>
            <w:r>
              <w:rPr>
                <w:rFonts w:ascii="Arial" w:cs="Arial" w:eastAsia="Arial" w:hAnsi="Arial"/>
                <w:sz w:val="14"/>
                <w:szCs w:val="14"/>
                <w:b w:val="1"/>
                <w:bCs w:val="1"/>
                <w:color w:val="auto"/>
                <w:w w:val="93"/>
              </w:rPr>
              <w:t>21,348</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24,563</w:t>
            </w: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31"/>
              <w:spacing w:after="0" w:line="149" w:lineRule="exact"/>
              <w:rPr>
                <w:sz w:val="20"/>
                <w:szCs w:val="20"/>
                <w:color w:val="auto"/>
              </w:rPr>
            </w:pPr>
            <w:r>
              <w:rPr>
                <w:rFonts w:ascii="Arial" w:cs="Arial" w:eastAsia="Arial" w:hAnsi="Arial"/>
                <w:sz w:val="14"/>
                <w:szCs w:val="14"/>
                <w:b w:val="1"/>
                <w:bCs w:val="1"/>
                <w:color w:val="auto"/>
                <w:w w:val="93"/>
              </w:rPr>
              <w:t>13,122</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19,170</w:t>
            </w: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31"/>
              <w:spacing w:after="0" w:line="149" w:lineRule="exact"/>
              <w:rPr>
                <w:sz w:val="20"/>
                <w:szCs w:val="20"/>
                <w:color w:val="auto"/>
              </w:rPr>
            </w:pPr>
            <w:r>
              <w:rPr>
                <w:rFonts w:ascii="Arial" w:cs="Arial" w:eastAsia="Arial" w:hAnsi="Arial"/>
                <w:sz w:val="14"/>
                <w:szCs w:val="14"/>
                <w:b w:val="1"/>
                <w:bCs w:val="1"/>
                <w:color w:val="auto"/>
                <w:w w:val="93"/>
              </w:rPr>
              <w:t>14,136</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12,977</w:t>
            </w:r>
          </w:p>
        </w:tc>
      </w:tr>
      <w:tr>
        <w:trPr>
          <w:trHeight w:val="192"/>
        </w:trPr>
        <w:tc>
          <w:tcPr>
            <w:tcW w:w="26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Net equity</w:t>
            </w:r>
          </w:p>
        </w:tc>
        <w:tc>
          <w:tcPr>
            <w:tcW w:w="1600" w:type="dxa"/>
            <w:vAlign w:val="bottom"/>
            <w:tcBorders>
              <w:bottom w:val="single" w:sz="8" w:color="0070FF"/>
            </w:tcBorders>
          </w:tcPr>
          <w:p>
            <w:pPr>
              <w:spacing w:after="0"/>
              <w:rPr>
                <w:sz w:val="16"/>
                <w:szCs w:val="16"/>
                <w:color w:val="auto"/>
              </w:rPr>
            </w:pPr>
          </w:p>
        </w:tc>
        <w:tc>
          <w:tcPr>
            <w:tcW w:w="80" w:type="dxa"/>
            <w:vAlign w:val="bottom"/>
            <w:tcBorders>
              <w:bottom w:val="single" w:sz="8" w:color="0070FF"/>
            </w:tcBorders>
          </w:tcPr>
          <w:p>
            <w:pPr>
              <w:spacing w:after="0"/>
              <w:rPr>
                <w:sz w:val="16"/>
                <w:szCs w:val="16"/>
                <w:color w:val="auto"/>
              </w:rPr>
            </w:pPr>
          </w:p>
        </w:tc>
        <w:tc>
          <w:tcPr>
            <w:tcW w:w="520" w:type="dxa"/>
            <w:vAlign w:val="bottom"/>
            <w:tcBorders>
              <w:bottom w:val="single" w:sz="8" w:color="0070FF"/>
            </w:tcBorders>
          </w:tcPr>
          <w:p>
            <w:pPr>
              <w:jc w:val="right"/>
              <w:ind w:right="31"/>
              <w:spacing w:after="0"/>
              <w:rPr>
                <w:sz w:val="20"/>
                <w:szCs w:val="20"/>
                <w:color w:val="auto"/>
              </w:rPr>
            </w:pPr>
            <w:r>
              <w:rPr>
                <w:rFonts w:ascii="Arial" w:cs="Arial" w:eastAsia="Arial" w:hAnsi="Arial"/>
                <w:sz w:val="14"/>
                <w:szCs w:val="14"/>
                <w:b w:val="1"/>
                <w:bCs w:val="1"/>
                <w:color w:val="auto"/>
              </w:rPr>
              <w:t>9,629</w:t>
            </w:r>
          </w:p>
        </w:tc>
        <w:tc>
          <w:tcPr>
            <w:tcW w:w="180" w:type="dxa"/>
            <w:vAlign w:val="bottom"/>
            <w:tcBorders>
              <w:bottom w:val="single" w:sz="8" w:color="0070FF"/>
            </w:tcBorders>
          </w:tcPr>
          <w:p>
            <w:pPr>
              <w:spacing w:after="0"/>
              <w:rPr>
                <w:sz w:val="16"/>
                <w:szCs w:val="16"/>
                <w:color w:val="auto"/>
              </w:rPr>
            </w:pP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5,660</w:t>
            </w:r>
          </w:p>
        </w:tc>
      </w:tr>
      <w:tr>
        <w:trPr>
          <w:trHeight w:val="156"/>
        </w:trPr>
        <w:tc>
          <w:tcPr>
            <w:tcW w:w="2620" w:type="dxa"/>
            <w:vAlign w:val="bottom"/>
            <w:gridSpan w:val="2"/>
          </w:tcPr>
          <w:p>
            <w:pPr>
              <w:spacing w:after="0"/>
              <w:rPr>
                <w:sz w:val="20"/>
                <w:szCs w:val="20"/>
                <w:color w:val="auto"/>
              </w:rPr>
            </w:pPr>
            <w:r>
              <w:rPr>
                <w:rFonts w:ascii="Arial" w:cs="Arial" w:eastAsia="Arial" w:hAnsi="Arial"/>
                <w:sz w:val="12"/>
                <w:szCs w:val="12"/>
                <w:color w:val="auto"/>
              </w:rPr>
              <w:t>Memo: Total debt</w:t>
            </w:r>
          </w:p>
        </w:tc>
        <w:tc>
          <w:tcPr>
            <w:tcW w:w="1680" w:type="dxa"/>
            <w:vAlign w:val="bottom"/>
            <w:gridSpan w:val="2"/>
          </w:tcPr>
          <w:p>
            <w:pPr>
              <w:ind w:left="160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Pr>
          <w:p>
            <w:pPr>
              <w:jc w:val="right"/>
              <w:ind w:right="31"/>
              <w:spacing w:after="0"/>
              <w:rPr>
                <w:sz w:val="20"/>
                <w:szCs w:val="20"/>
                <w:color w:val="auto"/>
              </w:rPr>
            </w:pPr>
            <w:r>
              <w:rPr>
                <w:rFonts w:ascii="Arial" w:cs="Arial" w:eastAsia="Arial" w:hAnsi="Arial"/>
                <w:sz w:val="12"/>
                <w:szCs w:val="12"/>
                <w:b w:val="1"/>
                <w:bCs w:val="1"/>
                <w:color w:val="auto"/>
              </w:rPr>
              <w:t>9,091</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8,137</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FS-32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132715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40"/>
            <w:col w:w="5840"/>
          </w:cols>
          <w:pgMar w:left="240" w:top="419" w:right="2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0070FF"/>
        </w:rPr>
        <w:t>NOTE 5. SUMMARIZED FINANCIAL DATA — CHEVRON U.S.A. INC.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34988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340" w:firstLine="203"/>
        <w:spacing w:after="0" w:line="329" w:lineRule="auto"/>
        <w:rPr>
          <w:sz w:val="20"/>
          <w:szCs w:val="20"/>
          <w:color w:val="auto"/>
        </w:rPr>
      </w:pPr>
      <w:r>
        <w:rPr>
          <w:rFonts w:ascii="Arial" w:cs="Arial" w:eastAsia="Arial" w:hAnsi="Arial"/>
          <w:sz w:val="15"/>
          <w:szCs w:val="15"/>
          <w:color w:val="auto"/>
        </w:rPr>
        <w:t>CUSA’s net loss of $1,895 for 2002 included net charges of $2,555 for asset write-downs and dispositions, of which $2,306 was related to Dynegy.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6.</w:t>
      </w:r>
    </w:p>
    <w:p>
      <w:pPr>
        <w:spacing w:after="0" w:line="167" w:lineRule="exact"/>
        <w:rPr>
          <w:sz w:val="20"/>
          <w:szCs w:val="20"/>
          <w:color w:val="auto"/>
        </w:rPr>
      </w:pPr>
    </w:p>
    <w:p>
      <w:pPr>
        <w:ind w:right="860"/>
        <w:spacing w:after="0" w:line="261" w:lineRule="auto"/>
        <w:rPr>
          <w:sz w:val="20"/>
          <w:szCs w:val="20"/>
          <w:color w:val="auto"/>
        </w:rPr>
      </w:pPr>
      <w:r>
        <w:rPr>
          <w:rFonts w:ascii="Arial" w:cs="Arial" w:eastAsia="Arial" w:hAnsi="Arial"/>
          <w:sz w:val="16"/>
          <w:szCs w:val="16"/>
          <w:b w:val="1"/>
          <w:bCs w:val="1"/>
          <w:color w:val="0070FF"/>
        </w:rPr>
        <w:t>SUMMARIZED FINANCIAL DATA — CHEVRON TRANSPORT CORPORATION LTD.</w:t>
      </w:r>
    </w:p>
    <w:p>
      <w:pPr>
        <w:spacing w:after="0" w:line="265" w:lineRule="auto"/>
        <w:rPr>
          <w:sz w:val="20"/>
          <w:szCs w:val="20"/>
          <w:color w:val="auto"/>
        </w:rPr>
      </w:pPr>
      <w:r>
        <w:rPr>
          <w:rFonts w:ascii="Arial" w:cs="Arial" w:eastAsia="Arial" w:hAnsi="Arial"/>
          <w:sz w:val="16"/>
          <w:szCs w:val="16"/>
          <w:color w:val="auto"/>
        </w:rPr>
        <w:t>Chevron Transport Corporation Ltd. (CTC), incorporated in Bermuda, is an indirect, wholly owned subsidiary of ChevronTexaco Corporation. CTC is the principal operator of ChevronTexaco’s international tanker fleet and is engaged in the marine transportation of crude oil and refined petroleum products. Most of CTC’s shipping revenue is derived from providing transportation services to other ChevronTexaco companies. ChevronTexaco Corporation has guaranteed this subsidiary’s obligations in connection with certain debt securities issued by a third party. Summarized financial information for CTC and its consolidated subsidiaries is presented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4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w w:val="84"/>
              </w:rPr>
              <w:t>Year ended December 31</w:t>
            </w:r>
          </w:p>
        </w:tc>
      </w:tr>
      <w:tr>
        <w:trPr>
          <w:trHeight w:val="142"/>
        </w:trPr>
        <w:tc>
          <w:tcPr>
            <w:tcW w:w="4040" w:type="dxa"/>
            <w:vAlign w:val="bottom"/>
            <w:tcBorders>
              <w:bottom w:val="single" w:sz="8" w:color="0070FF"/>
            </w:tcBorders>
          </w:tcPr>
          <w:p>
            <w:pPr>
              <w:spacing w:after="0"/>
              <w:rPr>
                <w:sz w:val="12"/>
                <w:szCs w:val="12"/>
                <w:color w:val="auto"/>
              </w:rPr>
            </w:pPr>
          </w:p>
        </w:tc>
        <w:tc>
          <w:tcPr>
            <w:tcW w:w="460" w:type="dxa"/>
            <w:vAlign w:val="bottom"/>
            <w:tcBorders>
              <w:bottom w:val="single" w:sz="8" w:color="0070FF"/>
            </w:tcBorders>
          </w:tcPr>
          <w:p>
            <w:pPr>
              <w:jc w:val="right"/>
              <w:ind w:right="90"/>
              <w:spacing w:after="0" w:line="142" w:lineRule="exact"/>
              <w:rPr>
                <w:sz w:val="20"/>
                <w:szCs w:val="20"/>
                <w:color w:val="auto"/>
              </w:rPr>
            </w:pPr>
            <w:r>
              <w:rPr>
                <w:rFonts w:ascii="Arial" w:cs="Arial" w:eastAsia="Arial" w:hAnsi="Arial"/>
                <w:sz w:val="14"/>
                <w:szCs w:val="14"/>
                <w:b w:val="1"/>
                <w:bCs w:val="1"/>
                <w:color w:val="auto"/>
                <w:w w:val="89"/>
              </w:rPr>
              <w:t>2003</w:t>
            </w:r>
          </w:p>
        </w:tc>
        <w:tc>
          <w:tcPr>
            <w:tcW w:w="500" w:type="dxa"/>
            <w:vAlign w:val="bottom"/>
            <w:tcBorders>
              <w:bottom w:val="single" w:sz="8" w:color="0070FF"/>
            </w:tcBorders>
          </w:tcPr>
          <w:p>
            <w:pPr>
              <w:jc w:val="right"/>
              <w:ind w:right="49"/>
              <w:spacing w:after="0" w:line="142" w:lineRule="exact"/>
              <w:rPr>
                <w:sz w:val="20"/>
                <w:szCs w:val="20"/>
                <w:color w:val="auto"/>
              </w:rPr>
            </w:pPr>
            <w:r>
              <w:rPr>
                <w:rFonts w:ascii="Arial" w:cs="Arial" w:eastAsia="Arial" w:hAnsi="Arial"/>
                <w:sz w:val="14"/>
                <w:szCs w:val="14"/>
                <w:color w:val="auto"/>
              </w:rPr>
              <w:t>2002</w:t>
            </w:r>
          </w:p>
        </w:tc>
        <w:tc>
          <w:tcPr>
            <w:tcW w:w="4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r>
      <w:tr>
        <w:trPr>
          <w:trHeight w:val="133"/>
        </w:trPr>
        <w:tc>
          <w:tcPr>
            <w:tcW w:w="4040" w:type="dxa"/>
            <w:vAlign w:val="bottom"/>
          </w:tcPr>
          <w:p>
            <w:pPr>
              <w:ind w:left="20"/>
              <w:spacing w:after="0" w:line="133" w:lineRule="exact"/>
              <w:rPr>
                <w:sz w:val="20"/>
                <w:szCs w:val="20"/>
                <w:color w:val="auto"/>
              </w:rPr>
            </w:pPr>
            <w:r>
              <w:rPr>
                <w:rFonts w:ascii="Arial" w:cs="Arial" w:eastAsia="Arial" w:hAnsi="Arial"/>
                <w:sz w:val="14"/>
                <w:szCs w:val="14"/>
                <w:color w:val="auto"/>
              </w:rPr>
              <w:t>Sales and other operating revenues</w:t>
            </w:r>
          </w:p>
        </w:tc>
        <w:tc>
          <w:tcPr>
            <w:tcW w:w="460" w:type="dxa"/>
            <w:vAlign w:val="bottom"/>
          </w:tcPr>
          <w:p>
            <w:pPr>
              <w:jc w:val="right"/>
              <w:ind w:right="90"/>
              <w:spacing w:after="0" w:line="133" w:lineRule="exact"/>
              <w:rPr>
                <w:sz w:val="20"/>
                <w:szCs w:val="20"/>
                <w:color w:val="auto"/>
              </w:rPr>
            </w:pPr>
            <w:r>
              <w:rPr>
                <w:rFonts w:ascii="Arial" w:cs="Arial" w:eastAsia="Arial" w:hAnsi="Arial"/>
                <w:sz w:val="14"/>
                <w:szCs w:val="14"/>
                <w:b w:val="1"/>
                <w:bCs w:val="1"/>
                <w:color w:val="auto"/>
                <w:w w:val="79"/>
              </w:rPr>
              <w:t>$ 601</w:t>
            </w:r>
          </w:p>
        </w:tc>
        <w:tc>
          <w:tcPr>
            <w:tcW w:w="500" w:type="dxa"/>
            <w:vAlign w:val="bottom"/>
          </w:tcPr>
          <w:p>
            <w:pPr>
              <w:jc w:val="right"/>
              <w:ind w:right="49"/>
              <w:spacing w:after="0" w:line="133" w:lineRule="exact"/>
              <w:rPr>
                <w:sz w:val="20"/>
                <w:szCs w:val="20"/>
                <w:color w:val="auto"/>
              </w:rPr>
            </w:pPr>
            <w:r>
              <w:rPr>
                <w:rFonts w:ascii="Arial" w:cs="Arial" w:eastAsia="Arial" w:hAnsi="Arial"/>
                <w:sz w:val="14"/>
                <w:szCs w:val="14"/>
                <w:color w:val="auto"/>
              </w:rPr>
              <w:t>$ 850</w:t>
            </w: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rPr>
              <w:t>$ 859</w:t>
            </w:r>
          </w:p>
        </w:tc>
      </w:tr>
      <w:tr>
        <w:trPr>
          <w:trHeight w:val="149"/>
        </w:trPr>
        <w:tc>
          <w:tcPr>
            <w:tcW w:w="4040" w:type="dxa"/>
            <w:vAlign w:val="bottom"/>
          </w:tcPr>
          <w:p>
            <w:pPr>
              <w:ind w:left="20"/>
              <w:spacing w:after="0" w:line="149" w:lineRule="exact"/>
              <w:rPr>
                <w:sz w:val="20"/>
                <w:szCs w:val="20"/>
                <w:color w:val="auto"/>
              </w:rPr>
            </w:pPr>
            <w:r>
              <w:rPr>
                <w:rFonts w:ascii="Arial" w:cs="Arial" w:eastAsia="Arial" w:hAnsi="Arial"/>
                <w:sz w:val="14"/>
                <w:szCs w:val="14"/>
                <w:color w:val="auto"/>
              </w:rPr>
              <w:t>Total costs and other deductions</w:t>
            </w:r>
          </w:p>
        </w:tc>
        <w:tc>
          <w:tcPr>
            <w:tcW w:w="460" w:type="dxa"/>
            <w:vAlign w:val="bottom"/>
          </w:tcPr>
          <w:p>
            <w:pPr>
              <w:jc w:val="right"/>
              <w:ind w:right="90"/>
              <w:spacing w:after="0" w:line="149" w:lineRule="exact"/>
              <w:rPr>
                <w:sz w:val="20"/>
                <w:szCs w:val="20"/>
                <w:color w:val="auto"/>
              </w:rPr>
            </w:pPr>
            <w:r>
              <w:rPr>
                <w:rFonts w:ascii="Arial" w:cs="Arial" w:eastAsia="Arial" w:hAnsi="Arial"/>
                <w:sz w:val="14"/>
                <w:szCs w:val="14"/>
                <w:b w:val="1"/>
                <w:bCs w:val="1"/>
                <w:color w:val="auto"/>
              </w:rPr>
              <w:t>535</w:t>
            </w:r>
          </w:p>
        </w:tc>
        <w:tc>
          <w:tcPr>
            <w:tcW w:w="5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922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r>
      <w:tr>
        <w:trPr>
          <w:trHeight w:val="192"/>
        </w:trPr>
        <w:tc>
          <w:tcPr>
            <w:tcW w:w="40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tcBorders>
              <w:bottom w:val="single" w:sz="8" w:color="0070FF"/>
            </w:tcBorders>
          </w:tcPr>
          <w:p>
            <w:pPr>
              <w:jc w:val="right"/>
              <w:ind w:right="90"/>
              <w:spacing w:after="0"/>
              <w:rPr>
                <w:sz w:val="20"/>
                <w:szCs w:val="20"/>
                <w:color w:val="auto"/>
              </w:rPr>
            </w:pPr>
            <w:r>
              <w:rPr>
                <w:rFonts w:ascii="Arial" w:cs="Arial" w:eastAsia="Arial" w:hAnsi="Arial"/>
                <w:sz w:val="14"/>
                <w:szCs w:val="14"/>
                <w:b w:val="1"/>
                <w:bCs w:val="1"/>
                <w:color w:val="auto"/>
              </w:rPr>
              <w:t>50</w:t>
            </w: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(79)</w:t>
            </w: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67</w:t>
            </w:r>
          </w:p>
        </w:tc>
      </w:tr>
      <w:tr>
        <w:trPr>
          <w:trHeight w:val="311"/>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w w:val="88"/>
              </w:rPr>
              <w:t>At December 31</w:t>
            </w:r>
          </w:p>
        </w:tc>
      </w:tr>
      <w:tr>
        <w:trPr>
          <w:trHeight w:val="142"/>
        </w:trPr>
        <w:tc>
          <w:tcPr>
            <w:tcW w:w="4040" w:type="dxa"/>
            <w:vAlign w:val="bottom"/>
            <w:tcBorders>
              <w:bottom w:val="single" w:sz="8" w:color="0070FF"/>
            </w:tcBorders>
          </w:tcPr>
          <w:p>
            <w:pPr>
              <w:spacing w:after="0"/>
              <w:rPr>
                <w:sz w:val="12"/>
                <w:szCs w:val="12"/>
                <w:color w:val="auto"/>
              </w:rPr>
            </w:pPr>
          </w:p>
        </w:tc>
        <w:tc>
          <w:tcPr>
            <w:tcW w:w="46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r>
      <w:tr>
        <w:trPr>
          <w:trHeight w:val="133"/>
        </w:trPr>
        <w:tc>
          <w:tcPr>
            <w:tcW w:w="4040" w:type="dxa"/>
            <w:vAlign w:val="bottom"/>
          </w:tcPr>
          <w:p>
            <w:pPr>
              <w:ind w:left="20"/>
              <w:spacing w:after="0" w:line="133" w:lineRule="exact"/>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1"/>
                <w:szCs w:val="11"/>
                <w:color w:val="auto"/>
              </w:rPr>
            </w:pPr>
          </w:p>
        </w:tc>
        <w:tc>
          <w:tcPr>
            <w:tcW w:w="500" w:type="dxa"/>
            <w:vAlign w:val="bottom"/>
          </w:tcPr>
          <w:p>
            <w:pPr>
              <w:jc w:val="right"/>
              <w:ind w:right="69"/>
              <w:spacing w:after="0" w:line="133" w:lineRule="exact"/>
              <w:rPr>
                <w:sz w:val="20"/>
                <w:szCs w:val="20"/>
                <w:color w:val="auto"/>
              </w:rPr>
            </w:pPr>
            <w:r>
              <w:rPr>
                <w:rFonts w:ascii="Arial" w:cs="Arial" w:eastAsia="Arial" w:hAnsi="Arial"/>
                <w:sz w:val="14"/>
                <w:szCs w:val="14"/>
                <w:b w:val="1"/>
                <w:bCs w:val="1"/>
                <w:color w:val="auto"/>
                <w:w w:val="96"/>
              </w:rPr>
              <w:t>$ 116</w:t>
            </w: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rPr>
              <w:t>$ 273</w:t>
            </w:r>
          </w:p>
        </w:tc>
      </w:tr>
      <w:tr>
        <w:trPr>
          <w:trHeight w:val="149"/>
        </w:trPr>
        <w:tc>
          <w:tcPr>
            <w:tcW w:w="4040" w:type="dxa"/>
            <w:vAlign w:val="bottom"/>
          </w:tcPr>
          <w:p>
            <w:pPr>
              <w:ind w:left="20"/>
              <w:spacing w:after="0" w:line="149" w:lineRule="exact"/>
              <w:rPr>
                <w:sz w:val="20"/>
                <w:szCs w:val="20"/>
                <w:color w:val="auto"/>
              </w:rPr>
            </w:pPr>
            <w:r>
              <w:rPr>
                <w:rFonts w:ascii="Arial" w:cs="Arial" w:eastAsia="Arial" w:hAnsi="Arial"/>
                <w:sz w:val="14"/>
                <w:szCs w:val="14"/>
                <w:color w:val="auto"/>
              </w:rPr>
              <w:t>Other assets</w:t>
            </w:r>
          </w:p>
        </w:tc>
        <w:tc>
          <w:tcPr>
            <w:tcW w:w="4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338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464</w:t>
            </w:r>
          </w:p>
        </w:tc>
      </w:tr>
      <w:tr>
        <w:trPr>
          <w:trHeight w:val="149"/>
        </w:trPr>
        <w:tc>
          <w:tcPr>
            <w:tcW w:w="4040" w:type="dxa"/>
            <w:vAlign w:val="bottom"/>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96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r>
      <w:tr>
        <w:trPr>
          <w:trHeight w:val="149"/>
        </w:trPr>
        <w:tc>
          <w:tcPr>
            <w:tcW w:w="4040" w:type="dxa"/>
            <w:vAlign w:val="bottom"/>
          </w:tcPr>
          <w:p>
            <w:pPr>
              <w:ind w:left="20"/>
              <w:spacing w:after="0" w:line="149" w:lineRule="exact"/>
              <w:rPr>
                <w:sz w:val="20"/>
                <w:szCs w:val="20"/>
                <w:color w:val="auto"/>
              </w:rPr>
            </w:pPr>
            <w:r>
              <w:rPr>
                <w:rFonts w:ascii="Arial" w:cs="Arial" w:eastAsia="Arial" w:hAnsi="Arial"/>
                <w:sz w:val="14"/>
                <w:szCs w:val="14"/>
                <w:color w:val="auto"/>
              </w:rPr>
              <w:t>Other liabilities</w:t>
            </w:r>
          </w:p>
        </w:tc>
        <w:tc>
          <w:tcPr>
            <w:tcW w:w="460" w:type="dxa"/>
            <w:vAlign w:val="bottom"/>
          </w:tcPr>
          <w:p>
            <w:pPr>
              <w:spacing w:after="0"/>
              <w:rPr>
                <w:sz w:val="12"/>
                <w:szCs w:val="12"/>
                <w:color w:val="auto"/>
              </w:rPr>
            </w:pPr>
          </w:p>
        </w:tc>
        <w:tc>
          <w:tcPr>
            <w:tcW w:w="50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243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r>
      <w:tr>
        <w:trPr>
          <w:trHeight w:val="192"/>
        </w:trPr>
        <w:tc>
          <w:tcPr>
            <w:tcW w:w="40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Net equity</w:t>
            </w:r>
          </w:p>
        </w:tc>
        <w:tc>
          <w:tcPr>
            <w:tcW w:w="460" w:type="dxa"/>
            <w:vAlign w:val="bottom"/>
            <w:tcBorders>
              <w:bottom w:val="single" w:sz="8" w:color="0070FF"/>
            </w:tcBorders>
          </w:tcPr>
          <w:p>
            <w:pPr>
              <w:spacing w:after="0"/>
              <w:rPr>
                <w:sz w:val="16"/>
                <w:szCs w:val="16"/>
                <w:color w:val="auto"/>
              </w:rPr>
            </w:pPr>
          </w:p>
        </w:tc>
        <w:tc>
          <w:tcPr>
            <w:tcW w:w="5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115</w:t>
            </w: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59</w:t>
            </w:r>
          </w:p>
        </w:tc>
      </w:tr>
    </w:tbl>
    <w:p>
      <w:pPr>
        <w:spacing w:after="0" w:line="206" w:lineRule="exact"/>
        <w:rPr>
          <w:sz w:val="20"/>
          <w:szCs w:val="20"/>
          <w:color w:val="auto"/>
        </w:rPr>
      </w:pPr>
    </w:p>
    <w:p>
      <w:pPr>
        <w:ind w:right="400" w:firstLine="203"/>
        <w:spacing w:after="0" w:line="266" w:lineRule="auto"/>
        <w:rPr>
          <w:sz w:val="20"/>
          <w:szCs w:val="20"/>
          <w:color w:val="auto"/>
        </w:rPr>
      </w:pPr>
      <w:r>
        <w:rPr>
          <w:rFonts w:ascii="Arial" w:cs="Arial" w:eastAsia="Arial" w:hAnsi="Arial"/>
          <w:sz w:val="16"/>
          <w:szCs w:val="16"/>
          <w:color w:val="auto"/>
        </w:rPr>
        <w:t>During 2003, CTC’s paid-in capital increased by $6 from additional capital contributions and settlements.</w:t>
      </w:r>
    </w:p>
    <w:p>
      <w:pPr>
        <w:spacing w:after="0" w:line="1" w:lineRule="exact"/>
        <w:rPr>
          <w:sz w:val="20"/>
          <w:szCs w:val="20"/>
          <w:color w:val="auto"/>
        </w:rPr>
      </w:pPr>
    </w:p>
    <w:p>
      <w:pPr>
        <w:ind w:right="220" w:firstLine="200"/>
        <w:spacing w:after="0" w:line="288" w:lineRule="auto"/>
        <w:rPr>
          <w:sz w:val="20"/>
          <w:szCs w:val="20"/>
          <w:color w:val="auto"/>
        </w:rPr>
      </w:pPr>
      <w:r>
        <w:rPr>
          <w:rFonts w:ascii="Arial" w:cs="Arial" w:eastAsia="Arial" w:hAnsi="Arial"/>
          <w:sz w:val="16"/>
          <w:szCs w:val="16"/>
          <w:color w:val="auto"/>
        </w:rPr>
        <w:t>There were no restrictions on CTC’s ability to pay dividends or make loans or advances at December 31, 2003.</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STOCKHOLDERS’ EQUITY</w:t>
      </w:r>
    </w:p>
    <w:p>
      <w:pPr>
        <w:spacing w:after="0" w:line="2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Retained earnings at December 31, 2003 and 2002, included approximately $1,300 and $1,600, respectively, for the company’s share of undistributed earnings of equity affiliates.</w:t>
      </w:r>
    </w:p>
    <w:p>
      <w:pPr>
        <w:spacing w:after="0" w:line="2" w:lineRule="exact"/>
        <w:rPr>
          <w:sz w:val="20"/>
          <w:szCs w:val="20"/>
          <w:color w:val="auto"/>
        </w:rPr>
      </w:pPr>
    </w:p>
    <w:p>
      <w:pPr>
        <w:ind w:right="20" w:firstLine="203"/>
        <w:spacing w:after="0" w:line="301" w:lineRule="auto"/>
        <w:rPr>
          <w:sz w:val="20"/>
          <w:szCs w:val="20"/>
          <w:color w:val="auto"/>
        </w:rPr>
      </w:pPr>
      <w:r>
        <w:rPr>
          <w:rFonts w:ascii="Arial" w:cs="Arial" w:eastAsia="Arial" w:hAnsi="Arial"/>
          <w:sz w:val="14"/>
          <w:szCs w:val="14"/>
          <w:color w:val="auto"/>
        </w:rPr>
        <w:t>Upon the merger of Chevron and Texaco, the authorized common stock of ChevronTexaco was increased from 2 billion shares of $0.75 par value to 4 billion shares of $0.75 par value. Under the terms of the merger agreement, approximately 425 million shares of ChevronTexaco common stock were issued in exchange for all of the outstanding shares of Texaco common stock based upon an exchange ratio of 0.77 of a ChevronTexaco share for each Texaco share. Texaco’s common stock held in treasury was canceled at the effective time of the merger.</w:t>
      </w:r>
    </w:p>
    <w:p>
      <w:pPr>
        <w:spacing w:after="0" w:line="5" w:lineRule="exact"/>
        <w:rPr>
          <w:sz w:val="20"/>
          <w:szCs w:val="20"/>
          <w:color w:val="auto"/>
        </w:rPr>
      </w:pPr>
    </w:p>
    <w:p>
      <w:pPr>
        <w:ind w:right="80" w:firstLine="203"/>
        <w:spacing w:after="0" w:line="312" w:lineRule="auto"/>
        <w:rPr>
          <w:sz w:val="20"/>
          <w:szCs w:val="20"/>
          <w:color w:val="auto"/>
        </w:rPr>
      </w:pPr>
      <w:r>
        <w:rPr>
          <w:rFonts w:ascii="Arial" w:cs="Arial" w:eastAsia="Arial" w:hAnsi="Arial"/>
          <w:sz w:val="14"/>
          <w:szCs w:val="14"/>
          <w:color w:val="auto"/>
        </w:rPr>
        <w:t>In 1998, in connection with the renewal of Chevron’s Stockholder Rights Plan, Chevron declared a dividend distribution on each outstanding share of its common stock of one Right to purchase participating preferred stock. The Rights issued under the plan became exercisable, unless redeemed earlier by ChevronTexaco, if a person or group commenced a tender or exchange offer or acquired or obtained the right to acquire 10 percent or more of the outstanding shares of common stock without the prior consent of ChevronTexaco. In October 2002,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Stockholder Rights agreement was amended so that the Rights would expire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-145415</wp:posOffset>
            </wp:positionV>
            <wp:extent cx="8890" cy="69634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696341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November 2003, five years earlier than the initial expiration date in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November 2008. No event made the Rights exercisable prior to their expiration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November 2003.</w:t>
      </w:r>
    </w:p>
    <w:p>
      <w:pPr>
        <w:spacing w:after="0" w:line="19" w:lineRule="exact"/>
        <w:rPr>
          <w:sz w:val="20"/>
          <w:szCs w:val="20"/>
          <w:color w:val="auto"/>
        </w:rPr>
      </w:pPr>
    </w:p>
    <w:p>
      <w:pPr>
        <w:ind w:right="20" w:firstLine="203"/>
        <w:spacing w:after="0" w:line="264" w:lineRule="auto"/>
        <w:rPr>
          <w:sz w:val="20"/>
          <w:szCs w:val="20"/>
          <w:color w:val="auto"/>
        </w:rPr>
      </w:pPr>
      <w:r>
        <w:rPr>
          <w:rFonts w:ascii="Arial" w:cs="Arial" w:eastAsia="Arial" w:hAnsi="Arial"/>
          <w:sz w:val="16"/>
          <w:szCs w:val="16"/>
          <w:color w:val="auto"/>
        </w:rPr>
        <w:t>Until June 2001, there were 1,200 shares of Texaco cumulative variable rate preferred stock, called Market Auction Preferred Shares (MAPS), outstanding, with an aggregate value of $300. The MAPS were redeemed in June 2001, at a liquidation preference of $250,000 per share, plus premium and accrued and unpaid dividends.</w:t>
      </w:r>
    </w:p>
    <w:p>
      <w:pPr>
        <w:spacing w:after="0" w:line="1" w:lineRule="exact"/>
        <w:rPr>
          <w:sz w:val="20"/>
          <w:szCs w:val="20"/>
          <w:color w:val="auto"/>
        </w:rPr>
      </w:pPr>
    </w:p>
    <w:p>
      <w:pPr>
        <w:ind w:right="180" w:firstLine="194"/>
        <w:spacing w:after="0" w:line="269" w:lineRule="auto"/>
        <w:rPr>
          <w:sz w:val="20"/>
          <w:szCs w:val="20"/>
          <w:color w:val="auto"/>
        </w:rPr>
      </w:pPr>
      <w:r>
        <w:rPr>
          <w:rFonts w:ascii="Arial" w:cs="Arial" w:eastAsia="Arial" w:hAnsi="Arial"/>
          <w:sz w:val="16"/>
          <w:szCs w:val="16"/>
          <w:color w:val="auto"/>
        </w:rPr>
        <w:t>At December 31, 2003, 30 million shares of ChevronTexaco’s authorized but unissued common stock were reserved for issuance under the ChevronTexaco Corporation Long-Term Incentive Plan (LTIP), which was approved by the stockholders in 1990. Through the end of 2003, all of the plan’s common stock requirements were met from the company’s treasury stock, and there had been no issuances of reserved shares.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FINANCIAL AND DERIVATIVE INSTRUMENTS</w:t>
      </w:r>
    </w:p>
    <w:p>
      <w:pPr>
        <w:spacing w:after="0" w:line="27" w:lineRule="exact"/>
        <w:rPr>
          <w:sz w:val="20"/>
          <w:szCs w:val="20"/>
          <w:color w:val="auto"/>
        </w:rPr>
      </w:pPr>
    </w:p>
    <w:p>
      <w:pPr>
        <w:jc w:val="both"/>
        <w:ind w:right="300"/>
        <w:spacing w:after="0" w:line="259" w:lineRule="auto"/>
        <w:rPr>
          <w:sz w:val="20"/>
          <w:szCs w:val="20"/>
          <w:color w:val="auto"/>
        </w:rPr>
      </w:pPr>
      <w:r>
        <w:rPr>
          <w:rFonts w:ascii="Arial" w:cs="Arial" w:eastAsia="Arial" w:hAnsi="Arial"/>
          <w:sz w:val="16"/>
          <w:szCs w:val="16"/>
          <w:i w:val="1"/>
          <w:iCs w:val="1"/>
          <w:color w:val="F20000"/>
        </w:rPr>
        <w:t xml:space="preserve">Commodity Derivative Instruments </w:t>
      </w:r>
      <w:r>
        <w:rPr>
          <w:rFonts w:ascii="Arial" w:cs="Arial" w:eastAsia="Arial" w:hAnsi="Arial"/>
          <w:sz w:val="16"/>
          <w:szCs w:val="16"/>
          <w:color w:val="000000"/>
        </w:rPr>
        <w:t>ChevronTexaco is exposed to market risks</w:t>
      </w:r>
      <w:r>
        <w:rPr>
          <w:rFonts w:ascii="Arial" w:cs="Arial" w:eastAsia="Arial" w:hAnsi="Arial"/>
          <w:sz w:val="16"/>
          <w:szCs w:val="16"/>
          <w:i w:val="1"/>
          <w:iCs w:val="1"/>
          <w:color w:val="F20000"/>
        </w:rPr>
        <w:t xml:space="preserve"> </w:t>
      </w:r>
      <w:r>
        <w:rPr>
          <w:rFonts w:ascii="Arial" w:cs="Arial" w:eastAsia="Arial" w:hAnsi="Arial"/>
          <w:sz w:val="16"/>
          <w:szCs w:val="16"/>
          <w:color w:val="000000"/>
        </w:rPr>
        <w:t>related to price volatility of crude oil, refined products, natural gas and refinery feedstock.</w:t>
      </w:r>
    </w:p>
    <w:p>
      <w:pPr>
        <w:spacing w:after="0" w:line="2" w:lineRule="exact"/>
        <w:rPr>
          <w:sz w:val="20"/>
          <w:szCs w:val="20"/>
          <w:color w:val="auto"/>
        </w:rPr>
      </w:pPr>
    </w:p>
    <w:p>
      <w:pPr>
        <w:ind w:right="80" w:firstLine="200"/>
        <w:spacing w:after="0" w:line="281" w:lineRule="auto"/>
        <w:rPr>
          <w:sz w:val="20"/>
          <w:szCs w:val="20"/>
          <w:color w:val="auto"/>
        </w:rPr>
      </w:pPr>
      <w:r>
        <w:rPr>
          <w:rFonts w:ascii="Arial" w:cs="Arial" w:eastAsia="Arial" w:hAnsi="Arial"/>
          <w:sz w:val="15"/>
          <w:szCs w:val="15"/>
          <w:color w:val="auto"/>
        </w:rPr>
        <w:t>The company uses derivative commodity instruments to manage this exposure on a small portion of its activity, including: firm commitments and anticipated transactions for the purchase or sale of crude oil; feedstock purchases for company refineries; crude oil and refined products inventories; and fixed-price contracts to sell natural gas and natural gas liquids.</w:t>
      </w:r>
    </w:p>
    <w:p>
      <w:pPr>
        <w:spacing w:after="0" w:line="3" w:lineRule="exact"/>
        <w:rPr>
          <w:sz w:val="20"/>
          <w:szCs w:val="20"/>
          <w:color w:val="auto"/>
        </w:rPr>
      </w:pPr>
    </w:p>
    <w:p>
      <w:pPr>
        <w:ind w:right="240" w:firstLine="200"/>
        <w:spacing w:after="0" w:line="264" w:lineRule="auto"/>
        <w:rPr>
          <w:sz w:val="20"/>
          <w:szCs w:val="20"/>
          <w:color w:val="auto"/>
        </w:rPr>
      </w:pPr>
      <w:r>
        <w:rPr>
          <w:rFonts w:ascii="Arial" w:cs="Arial" w:eastAsia="Arial" w:hAnsi="Arial"/>
          <w:sz w:val="16"/>
          <w:szCs w:val="16"/>
          <w:color w:val="auto"/>
        </w:rPr>
        <w:t>The company also uses derivative commodity instruments for limited trading purposes.</w:t>
      </w:r>
    </w:p>
    <w:p>
      <w:pPr>
        <w:ind w:firstLine="200"/>
        <w:spacing w:after="0" w:line="301" w:lineRule="auto"/>
        <w:rPr>
          <w:sz w:val="20"/>
          <w:szCs w:val="20"/>
          <w:color w:val="auto"/>
        </w:rPr>
      </w:pPr>
      <w:r>
        <w:rPr>
          <w:rFonts w:ascii="Arial" w:cs="Arial" w:eastAsia="Arial" w:hAnsi="Arial"/>
          <w:sz w:val="14"/>
          <w:szCs w:val="14"/>
          <w:color w:val="auto"/>
        </w:rPr>
        <w:t>The company maintains a policy of requiring that an International Swaps and Derivatives Association Agreement govern derivative contracts with certain counterparties to mitigate credit risk. Depending on the nature of the derivative transaction, bilateral collateral arrangements may also be required. When the company is engaged in more than one outstanding derivative transaction with the same counterparty and also has a legally enforceable netting agreement with that counterparty, the “net” mark-to-market exposure represents the netting of the positive and negative exposures with that counterparty and a reasonable measure of the company’s credit risk. It is the company’s policy to use other netting agreements with certain counterparties with which it conducts significant transactions.</w:t>
      </w:r>
    </w:p>
    <w:p>
      <w:pPr>
        <w:spacing w:after="0" w:line="7" w:lineRule="exact"/>
        <w:rPr>
          <w:sz w:val="20"/>
          <w:szCs w:val="20"/>
          <w:color w:val="auto"/>
        </w:rPr>
      </w:pPr>
    </w:p>
    <w:p>
      <w:pPr>
        <w:ind w:firstLine="200"/>
        <w:spacing w:after="0" w:line="267" w:lineRule="auto"/>
        <w:rPr>
          <w:sz w:val="20"/>
          <w:szCs w:val="20"/>
          <w:color w:val="auto"/>
        </w:rPr>
      </w:pPr>
      <w:r>
        <w:rPr>
          <w:rFonts w:ascii="Arial" w:cs="Arial" w:eastAsia="Arial" w:hAnsi="Arial"/>
          <w:sz w:val="16"/>
          <w:szCs w:val="16"/>
          <w:color w:val="auto"/>
        </w:rPr>
        <w:t>The fair values of the outstanding contracts are reported on the Consolidated Balance Sheet as “Accounts and notes receivable,” “Accounts payable,” “Long-term receivables — net,” and “Deferred credits and other noncurrent obligations.” Gains and losses on the company’s risk management activities are reported as either “Sales and other operating revenues” or “Purchased crude oil and products,” whereas trading gains and losses are reported as “Other income.” These activities are reported under “Operating activities” in the Consolidated Statement of Cash Flows.</w:t>
      </w:r>
    </w:p>
    <w:p>
      <w:pPr>
        <w:spacing w:after="0" w:line="182" w:lineRule="exact"/>
        <w:rPr>
          <w:sz w:val="20"/>
          <w:szCs w:val="20"/>
          <w:color w:val="auto"/>
        </w:rPr>
      </w:pPr>
    </w:p>
    <w:p>
      <w:pPr>
        <w:jc w:val="both"/>
        <w:ind w:right="120"/>
        <w:spacing w:after="0" w:line="315" w:lineRule="auto"/>
        <w:rPr>
          <w:sz w:val="20"/>
          <w:szCs w:val="20"/>
          <w:color w:val="auto"/>
        </w:rPr>
      </w:pPr>
      <w:r>
        <w:rPr>
          <w:rFonts w:ascii="Arial" w:cs="Arial" w:eastAsia="Arial" w:hAnsi="Arial"/>
          <w:sz w:val="14"/>
          <w:szCs w:val="14"/>
          <w:i w:val="1"/>
          <w:iCs w:val="1"/>
          <w:color w:val="F20000"/>
        </w:rPr>
        <w:t xml:space="preserve">Foreign Currency </w:t>
      </w:r>
      <w:r>
        <w:rPr>
          <w:rFonts w:ascii="Arial" w:cs="Arial" w:eastAsia="Arial" w:hAnsi="Arial"/>
          <w:sz w:val="14"/>
          <w:szCs w:val="14"/>
          <w:color w:val="000000"/>
        </w:rPr>
        <w:t>The company enters into forward exchange contracts, generally</w:t>
      </w:r>
      <w:r>
        <w:rPr>
          <w:rFonts w:ascii="Arial" w:cs="Arial" w:eastAsia="Arial" w:hAnsi="Arial"/>
          <w:sz w:val="14"/>
          <w:szCs w:val="14"/>
          <w:i w:val="1"/>
          <w:iCs w:val="1"/>
          <w:color w:val="F20000"/>
        </w:rPr>
        <w:t xml:space="preserve"> </w:t>
      </w:r>
      <w:r>
        <w:rPr>
          <w:rFonts w:ascii="Arial" w:cs="Arial" w:eastAsia="Arial" w:hAnsi="Arial"/>
          <w:sz w:val="14"/>
          <w:szCs w:val="14"/>
          <w:color w:val="000000"/>
        </w:rPr>
        <w:t>with terms of 180 days or less, to manage some of its foreign currency exposures. These exposures include revenue and anticipated purchase transactions, including foreign currency capital expenditures and lease commitments, forecasted to occur within 180 days. The forward exchange contracts are recorded at fair value on the balance sheet with resulting gains and losses reflected in income.</w:t>
      </w:r>
    </w:p>
    <w:p>
      <w:pPr>
        <w:spacing w:after="0" w:line="630" w:lineRule="exact"/>
        <w:rPr>
          <w:sz w:val="20"/>
          <w:szCs w:val="20"/>
          <w:color w:val="auto"/>
        </w:rPr>
      </w:pPr>
    </w:p>
    <w:p>
      <w:pPr>
        <w:sectPr>
          <w:pgSz w:w="11900" w:h="16838" w:orient="portrait"/>
          <w:cols w:equalWidth="0" w:num="2">
            <w:col w:w="5480" w:space="400"/>
            <w:col w:w="5440"/>
          </w:cols>
          <w:pgMar w:left="240" w:top="419" w:right="339" w:bottom="1440" w:gutter="0" w:footer="0" w:header="0"/>
        </w:sectPr>
      </w:pP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FS-33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0070FF"/>
        </w:rPr>
        <w:t>NOTE 8. FINANCIAL AND DERIVATIVE INSTRUMENTS — Continued</w:t>
      </w:r>
    </w:p>
    <w:p>
      <w:pPr>
        <w:spacing w:after="0" w:line="306" w:lineRule="exact"/>
        <w:rPr>
          <w:sz w:val="20"/>
          <w:szCs w:val="20"/>
          <w:color w:val="auto"/>
        </w:rPr>
      </w:pPr>
    </w:p>
    <w:p>
      <w:pPr>
        <w:jc w:val="both"/>
        <w:ind w:right="280" w:firstLine="200"/>
        <w:spacing w:after="0" w:line="324" w:lineRule="auto"/>
        <w:rPr>
          <w:sz w:val="20"/>
          <w:szCs w:val="20"/>
          <w:color w:val="auto"/>
        </w:rPr>
      </w:pPr>
      <w:r>
        <w:rPr>
          <w:rFonts w:ascii="Arial" w:cs="Arial" w:eastAsia="Arial" w:hAnsi="Arial"/>
          <w:sz w:val="14"/>
          <w:szCs w:val="14"/>
          <w:color w:val="auto"/>
        </w:rPr>
        <w:t>The fair values of the outstanding contracts are reported on the Consolidated Balance Sheet as “Accounts and notes receivable” or “Accounts payable,” with gains and losses reported as “Other income.” These activities are reported under “Operating activities” in the Consolidated Statement of Cash Flows.</w:t>
      </w:r>
    </w:p>
    <w:p>
      <w:pPr>
        <w:spacing w:after="0" w:line="14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i w:val="1"/>
          <w:iCs w:val="1"/>
          <w:color w:val="F20000"/>
        </w:rPr>
        <w:t xml:space="preserve">Interest Rates </w:t>
      </w:r>
      <w:r>
        <w:rPr>
          <w:rFonts w:ascii="Arial" w:cs="Arial" w:eastAsia="Arial" w:hAnsi="Arial"/>
          <w:sz w:val="15"/>
          <w:szCs w:val="15"/>
          <w:color w:val="000000"/>
        </w:rPr>
        <w:t>The company enters into interest rate swaps as part of its overall</w:t>
      </w:r>
      <w:r>
        <w:rPr>
          <w:rFonts w:ascii="Arial" w:cs="Arial" w:eastAsia="Arial" w:hAnsi="Arial"/>
          <w:sz w:val="15"/>
          <w:szCs w:val="15"/>
          <w:i w:val="1"/>
          <w:iCs w:val="1"/>
          <w:color w:val="F20000"/>
        </w:rPr>
        <w:t xml:space="preserve"> </w:t>
      </w:r>
      <w:r>
        <w:rPr>
          <w:rFonts w:ascii="Arial" w:cs="Arial" w:eastAsia="Arial" w:hAnsi="Arial"/>
          <w:sz w:val="15"/>
          <w:szCs w:val="15"/>
          <w:color w:val="000000"/>
        </w:rPr>
        <w:t>strategy to manage the interest rate risk on its debt. Under the terms of the swaps, net cash settlements are based on the difference between fixed-rate and floating-rate interest amounts calculated by reference to agreed notional principal amounts. Interest rate swaps related to a portion of the company’s fixed-rate debt are accounted for as fair value hedges, whereas interest rate swaps related to a portion of the company’s floating-rate debt are recorded at fair value on the balance sheet with resulting gains and losses reflected in income.</w:t>
      </w:r>
    </w:p>
    <w:p>
      <w:pPr>
        <w:spacing w:after="0" w:line="3" w:lineRule="exact"/>
        <w:rPr>
          <w:sz w:val="20"/>
          <w:szCs w:val="20"/>
          <w:color w:val="auto"/>
        </w:rPr>
      </w:pPr>
    </w:p>
    <w:p>
      <w:pPr>
        <w:jc w:val="both"/>
        <w:ind w:right="220" w:firstLine="203"/>
        <w:spacing w:after="0" w:line="264" w:lineRule="auto"/>
        <w:rPr>
          <w:sz w:val="20"/>
          <w:szCs w:val="20"/>
          <w:color w:val="auto"/>
        </w:rPr>
      </w:pPr>
      <w:r>
        <w:rPr>
          <w:rFonts w:ascii="Arial" w:cs="Arial" w:eastAsia="Arial" w:hAnsi="Arial"/>
          <w:sz w:val="16"/>
          <w:szCs w:val="16"/>
          <w:color w:val="auto"/>
        </w:rPr>
        <w:t>During 2003, no new swaps were initiated. At year-end 2003, the interest rate swaps outstanding related to fixed-rate debt, and their weighted average maturity was approximately 4.6 years.</w:t>
      </w:r>
    </w:p>
    <w:p>
      <w:pPr>
        <w:spacing w:after="0" w:line="1" w:lineRule="exact"/>
        <w:rPr>
          <w:sz w:val="20"/>
          <w:szCs w:val="20"/>
          <w:color w:val="auto"/>
        </w:rPr>
      </w:pPr>
    </w:p>
    <w:p>
      <w:pPr>
        <w:ind w:right="40" w:firstLine="203"/>
        <w:spacing w:after="0" w:line="270" w:lineRule="auto"/>
        <w:rPr>
          <w:sz w:val="20"/>
          <w:szCs w:val="20"/>
          <w:color w:val="auto"/>
        </w:rPr>
      </w:pPr>
      <w:r>
        <w:rPr>
          <w:rFonts w:ascii="Arial" w:cs="Arial" w:eastAsia="Arial" w:hAnsi="Arial"/>
          <w:sz w:val="16"/>
          <w:szCs w:val="16"/>
          <w:color w:val="auto"/>
        </w:rPr>
        <w:t>Fair values of the interest rate swaps are reported on the Consolidated Balance Sheet as “Accounts and notes receivable” or “Accounts payable,” with gains and losses reported directly in income as part of “Interest and debt expense.” These activities are reported under “Operating activities” in the Consolidated Statement of Cash Flows.</w:t>
      </w:r>
    </w:p>
    <w:p>
      <w:pPr>
        <w:spacing w:after="0" w:line="17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i w:val="1"/>
          <w:iCs w:val="1"/>
          <w:color w:val="F20000"/>
        </w:rPr>
        <w:t xml:space="preserve">Fair Value </w:t>
      </w:r>
      <w:r>
        <w:rPr>
          <w:rFonts w:ascii="Arial" w:cs="Arial" w:eastAsia="Arial" w:hAnsi="Arial"/>
          <w:sz w:val="16"/>
          <w:szCs w:val="16"/>
          <w:color w:val="000000"/>
        </w:rPr>
        <w:t>Fair values are derived either from quoted market prices or, if not</w:t>
      </w:r>
      <w:r>
        <w:rPr>
          <w:rFonts w:ascii="Arial" w:cs="Arial" w:eastAsia="Arial" w:hAnsi="Arial"/>
          <w:sz w:val="16"/>
          <w:szCs w:val="16"/>
          <w:i w:val="1"/>
          <w:iCs w:val="1"/>
          <w:color w:val="F20000"/>
        </w:rPr>
        <w:t xml:space="preserve"> </w:t>
      </w:r>
      <w:r>
        <w:rPr>
          <w:rFonts w:ascii="Arial" w:cs="Arial" w:eastAsia="Arial" w:hAnsi="Arial"/>
          <w:sz w:val="16"/>
          <w:szCs w:val="16"/>
          <w:color w:val="000000"/>
        </w:rPr>
        <w:t>available, the present value of the expected cash flows. The fair values reflect the cash that would have been received or paid if the instruments were settled at year-end.</w:t>
      </w:r>
    </w:p>
    <w:p>
      <w:pPr>
        <w:spacing w:after="0" w:line="2" w:lineRule="exact"/>
        <w:rPr>
          <w:sz w:val="20"/>
          <w:szCs w:val="20"/>
          <w:color w:val="auto"/>
        </w:rPr>
      </w:pPr>
    </w:p>
    <w:p>
      <w:pPr>
        <w:ind w:right="240" w:firstLine="203"/>
        <w:spacing w:after="0" w:line="264" w:lineRule="auto"/>
        <w:rPr>
          <w:sz w:val="20"/>
          <w:szCs w:val="20"/>
          <w:color w:val="auto"/>
        </w:rPr>
      </w:pPr>
      <w:r>
        <w:rPr>
          <w:rFonts w:ascii="Arial" w:cs="Arial" w:eastAsia="Arial" w:hAnsi="Arial"/>
          <w:sz w:val="16"/>
          <w:szCs w:val="16"/>
          <w:color w:val="auto"/>
        </w:rPr>
        <w:t>Long-term debt of $7,229 and $7,296 had estimated fair values of $7,709 and $7,971 at December 31, 2003 and 2002, respectively.</w:t>
      </w:r>
    </w:p>
    <w:p>
      <w:pPr>
        <w:jc w:val="center"/>
        <w:ind w:right="100"/>
        <w:spacing w:after="0" w:line="301" w:lineRule="auto"/>
        <w:rPr>
          <w:sz w:val="20"/>
          <w:szCs w:val="20"/>
          <w:color w:val="auto"/>
        </w:rPr>
      </w:pPr>
      <w:r>
        <w:rPr>
          <w:rFonts w:ascii="Arial" w:cs="Arial" w:eastAsia="Arial" w:hAnsi="Arial"/>
          <w:sz w:val="14"/>
          <w:szCs w:val="14"/>
          <w:color w:val="auto"/>
        </w:rPr>
        <w:t>For interest rate swaps, the notional principal amounts of $665 and $665 had estimated fair values of $65 and $70 at December 31, 2003 and 2002, respectively. The company holds cash equivalents and U.S. dollar marketable securities in</w:t>
      </w:r>
    </w:p>
    <w:p>
      <w:pPr>
        <w:spacing w:after="0" w:line="2"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domestic and offshore portfolios. Eurodollar bonds, floating-rate notes, time deposits and commercial paper are the primary instruments held. Cash equivalents and marketable securities had fair values of $3,803 and $2,506 at December 31, 2003 and 2002, respectively. Of these balances, $2,803 and $1,682 at the respective year-ends were classified as cash equivalents that had average maturities under</w:t>
      </w:r>
    </w:p>
    <w:p>
      <w:pPr>
        <w:spacing w:after="0" w:line="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90 days. The remainder, classified as marketable securities, had average maturities of approximately 3.5 years.</w:t>
      </w:r>
    </w:p>
    <w:p>
      <w:pPr>
        <w:spacing w:after="0" w:line="162"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F20000"/>
        </w:rPr>
        <w:t xml:space="preserve">Concentrations of Credit Risk </w:t>
      </w:r>
      <w:r>
        <w:rPr>
          <w:rFonts w:ascii="Arial" w:cs="Arial" w:eastAsia="Arial" w:hAnsi="Arial"/>
          <w:sz w:val="15"/>
          <w:szCs w:val="15"/>
          <w:color w:val="000000"/>
        </w:rPr>
        <w:t>The company’s financial instruments that are exposed</w:t>
      </w:r>
      <w:r>
        <w:rPr>
          <w:rFonts w:ascii="Arial" w:cs="Arial" w:eastAsia="Arial" w:hAnsi="Arial"/>
          <w:sz w:val="15"/>
          <w:szCs w:val="15"/>
          <w:i w:val="1"/>
          <w:iCs w:val="1"/>
          <w:color w:val="F20000"/>
        </w:rPr>
        <w:t xml:space="preserve"> </w:t>
      </w:r>
      <w:r>
        <w:rPr>
          <w:rFonts w:ascii="Arial" w:cs="Arial" w:eastAsia="Arial" w:hAnsi="Arial"/>
          <w:sz w:val="15"/>
          <w:szCs w:val="15"/>
          <w:color w:val="000000"/>
        </w:rPr>
        <w:t>to concentrations of credit risk consist primarily of its cash equivalents, marketable securities, derivative financial instruments and trade receivables. The company’s short-term investments are placed with a wide array of financial institutions with high credit ratings. This diversified investment policy limits the company’s exposure both to credit risk and to concentrations of credit risk. Similar standards of diversity and creditworthiness are applied to the company’s counterparties in derivative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100" w:firstLine="200"/>
        <w:spacing w:after="0" w:line="270" w:lineRule="auto"/>
        <w:rPr>
          <w:sz w:val="20"/>
          <w:szCs w:val="20"/>
          <w:color w:val="auto"/>
        </w:rPr>
      </w:pPr>
      <w:r>
        <w:rPr>
          <w:rFonts w:ascii="Arial" w:cs="Arial" w:eastAsia="Arial" w:hAnsi="Arial"/>
          <w:sz w:val="16"/>
          <w:szCs w:val="16"/>
          <w:color w:val="auto"/>
        </w:rPr>
        <w:t>The trade receivable balances, reflecting the company’s diversified sources of revenue, are dispersed among the company’s broad customer base worldwide. As a consequence, concentrations of credit risk are limited. The company routinely assesses the financial strength of its customers. When the financial strength of a customer is not considered sufficient, Letters of Credit are the principal security obtained to support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-824865</wp:posOffset>
            </wp:positionV>
            <wp:extent cx="8890" cy="67062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6706235"/>
                    </a:xfrm>
                    <a:prstGeom prst="rect">
                      <a:avLst/>
                    </a:prstGeom>
                    <a:noFill/>
                  </pic:spPr>
                </pic:pic>
              </a:graphicData>
            </a:graphic>
          </wp:anchor>
        </w:drawing>
      </w:r>
    </w:p>
    <w:p>
      <w:pPr>
        <w:spacing w:after="0" w:line="156" w:lineRule="exact"/>
        <w:rPr>
          <w:sz w:val="20"/>
          <w:szCs w:val="20"/>
          <w:color w:val="auto"/>
        </w:rPr>
      </w:pPr>
    </w:p>
    <w:p>
      <w:pPr>
        <w:spacing w:after="0" w:line="282" w:lineRule="auto"/>
        <w:rPr>
          <w:sz w:val="20"/>
          <w:szCs w:val="20"/>
          <w:color w:val="auto"/>
        </w:rPr>
      </w:pPr>
      <w:r>
        <w:rPr>
          <w:rFonts w:ascii="Arial" w:cs="Arial" w:eastAsia="Arial" w:hAnsi="Arial"/>
          <w:sz w:val="15"/>
          <w:szCs w:val="15"/>
          <w:i w:val="1"/>
          <w:iCs w:val="1"/>
          <w:color w:val="F20000"/>
        </w:rPr>
        <w:t xml:space="preserve">Investment in Dynegy Notes and Preferred Stock </w:t>
      </w:r>
      <w:r>
        <w:rPr>
          <w:rFonts w:ascii="Arial" w:cs="Arial" w:eastAsia="Arial" w:hAnsi="Arial"/>
          <w:sz w:val="15"/>
          <w:szCs w:val="15"/>
          <w:color w:val="000000"/>
        </w:rPr>
        <w:t>At the beginning of 2003, the</w:t>
      </w:r>
      <w:r>
        <w:rPr>
          <w:rFonts w:ascii="Arial" w:cs="Arial" w:eastAsia="Arial" w:hAnsi="Arial"/>
          <w:sz w:val="15"/>
          <w:szCs w:val="15"/>
          <w:i w:val="1"/>
          <w:iCs w:val="1"/>
          <w:color w:val="F20000"/>
        </w:rPr>
        <w:t xml:space="preserve"> </w:t>
      </w:r>
      <w:r>
        <w:rPr>
          <w:rFonts w:ascii="Arial" w:cs="Arial" w:eastAsia="Arial" w:hAnsi="Arial"/>
          <w:sz w:val="15"/>
          <w:szCs w:val="15"/>
          <w:color w:val="000000"/>
        </w:rPr>
        <w:t>company held $1,500 aggregate principal amount of Dynegy Series B Preferred Stock, which was due for redemption at par value in November 2003. In August, the company exchanged its preferred stock for $225 in cash, $225 face value of Dynegy Junior Unsecured Subordinated Notes due 2016 and $400 face value of Dynegy Series C Convertible Preferred Stock with a stated maturity of 2033.</w:t>
      </w:r>
    </w:p>
    <w:p>
      <w:pPr>
        <w:spacing w:after="0" w:line="3" w:lineRule="exact"/>
        <w:rPr>
          <w:sz w:val="20"/>
          <w:szCs w:val="20"/>
          <w:color w:val="auto"/>
        </w:rPr>
      </w:pPr>
    </w:p>
    <w:p>
      <w:pPr>
        <w:ind w:right="20" w:firstLine="200"/>
        <w:spacing w:after="0" w:line="264" w:lineRule="auto"/>
        <w:rPr>
          <w:sz w:val="20"/>
          <w:szCs w:val="20"/>
          <w:color w:val="auto"/>
        </w:rPr>
      </w:pPr>
      <w:r>
        <w:rPr>
          <w:rFonts w:ascii="Arial" w:cs="Arial" w:eastAsia="Arial" w:hAnsi="Arial"/>
          <w:sz w:val="16"/>
          <w:szCs w:val="16"/>
          <w:color w:val="auto"/>
        </w:rPr>
        <w:t>The company recorded the Junior Notes and Series C Preferred Stock on the date of exchange at their fair values of $170 and $270, respectively, for a total of $440. Together with the $225 cash, the total amount recorded on the date of exchange was $665. A gain of $365 was included in net of income at that date for the difference between the $665 fair value received and the net balance sheet amount of $300 associated with the Series B shares.</w:t>
      </w:r>
    </w:p>
    <w:p>
      <w:pPr>
        <w:spacing w:after="0" w:line="1" w:lineRule="exact"/>
        <w:rPr>
          <w:sz w:val="20"/>
          <w:szCs w:val="20"/>
          <w:color w:val="auto"/>
        </w:rPr>
      </w:pPr>
    </w:p>
    <w:p>
      <w:pPr>
        <w:ind w:right="20" w:firstLine="194"/>
        <w:spacing w:after="0" w:line="267" w:lineRule="auto"/>
        <w:rPr>
          <w:sz w:val="20"/>
          <w:szCs w:val="20"/>
          <w:color w:val="auto"/>
        </w:rPr>
      </w:pPr>
      <w:r>
        <w:rPr>
          <w:rFonts w:ascii="Arial" w:cs="Arial" w:eastAsia="Arial" w:hAnsi="Arial"/>
          <w:sz w:val="16"/>
          <w:szCs w:val="16"/>
          <w:color w:val="auto"/>
        </w:rPr>
        <w:t>At December 31, 2003, the estimated fair values of the Junior Notes and Series C shares totaled $530. The $90 difference from the $440 recorded in August was recorded to “Investments and advances,” with an offsetting amount in “Other comprehensive income.” Future temporary changes in the estimated fair values of the new securities likewise will be reported in “Other comprehensive income.” However, if any future decline in fair value is deemed to be other than temporary, a charge against income in the period would be recorded. Interest that accrues on the notes and dividends payable on the preferred stock is recognized in income each period.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9.</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b w:val="1"/>
          <w:bCs w:val="1"/>
          <w:color w:val="0070FF"/>
        </w:rPr>
        <w:t xml:space="preserve">OPERATING SEGMENTS AND GEOGRAPHIC DATA </w:t>
      </w:r>
      <w:r>
        <w:rPr>
          <w:rFonts w:ascii="Arial" w:cs="Arial" w:eastAsia="Arial" w:hAnsi="Arial"/>
          <w:sz w:val="15"/>
          <w:szCs w:val="15"/>
          <w:color w:val="000000"/>
        </w:rPr>
        <w:t>ChevronTexaco separately manages its exploration and production; refining, marketing and transportation; and chemicals businesses. “All Other” activities include the company’s investment in Dynegy, coal mining operations, power and gasification businesses, worldwide cash management and debt financing activities, corporate administrative functions, insurance operations, real estate activities, technology companies, and expenses and net losses associated with the Chevron and Texaco merger. The company’s primary country of operation is the United States of America, its country of domicile. Other components of the company’s operations are reported as “International” (outside the United States).</w:t>
      </w:r>
    </w:p>
    <w:p>
      <w:pPr>
        <w:spacing w:after="0" w:line="168"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i w:val="1"/>
          <w:iCs w:val="1"/>
          <w:color w:val="F20000"/>
        </w:rPr>
        <w:t xml:space="preserve">Segment Earnings </w:t>
      </w:r>
      <w:r>
        <w:rPr>
          <w:rFonts w:ascii="Arial" w:cs="Arial" w:eastAsia="Arial" w:hAnsi="Arial"/>
          <w:sz w:val="15"/>
          <w:szCs w:val="15"/>
          <w:color w:val="000000"/>
        </w:rPr>
        <w:t>The company evaluates the performance of its operating</w:t>
      </w:r>
      <w:r>
        <w:rPr>
          <w:rFonts w:ascii="Arial" w:cs="Arial" w:eastAsia="Arial" w:hAnsi="Arial"/>
          <w:sz w:val="15"/>
          <w:szCs w:val="15"/>
          <w:i w:val="1"/>
          <w:iCs w:val="1"/>
          <w:color w:val="F20000"/>
        </w:rPr>
        <w:t xml:space="preserve"> </w:t>
      </w:r>
      <w:r>
        <w:rPr>
          <w:rFonts w:ascii="Arial" w:cs="Arial" w:eastAsia="Arial" w:hAnsi="Arial"/>
          <w:sz w:val="15"/>
          <w:szCs w:val="15"/>
          <w:color w:val="000000"/>
        </w:rPr>
        <w:t>segments on an after-tax basis, without considering the effects of debt financing interest expense or investment interest income, both of which are managed by the company on a worldwide basis. Corporate administrative costs and assets are not allocated to the operating segments. However, operating segments are billed for the direct use of corporate services. Non-billable costs and merger-related items remain at the corporate level. Included in net income for 2003 were net charges of $196 for the cumulative effect of accounting principle changes, primarily relating to a new accounting standard for recognizing asset retirement obligations. The net amount was composed of</w:t>
      </w:r>
    </w:p>
    <w:p>
      <w:pPr>
        <w:spacing w:after="0" w:line="306" w:lineRule="exact"/>
        <w:rPr>
          <w:sz w:val="20"/>
          <w:szCs w:val="20"/>
          <w:color w:val="auto"/>
        </w:rPr>
      </w:pPr>
    </w:p>
    <w:p>
      <w:pPr>
        <w:sectPr>
          <w:pgSz w:w="11900" w:h="16838" w:orient="portrait"/>
          <w:cols w:equalWidth="0" w:num="2">
            <w:col w:w="5480" w:space="400"/>
            <w:col w:w="5480"/>
          </w:cols>
          <w:pgMar w:left="240" w:top="419" w:right="299" w:bottom="1440" w:gutter="0" w:footer="0" w:header="0"/>
        </w:sectPr>
      </w:pP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220345</wp:posOffset>
            </wp:positionV>
            <wp:extent cx="8890" cy="6911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6911975"/>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0070FF"/>
        </w:rPr>
        <w:t>NOTE 9. OPERATING SEGMENTS AND GEOGRAPHIC DATA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34988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$350 of charges for U.S. Exploration and Production and credits of $145 and $9 for International Exploration and Production and All Other, respectively. After-tax segment income (loss) is presented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2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0070FF"/>
            </w:tcBorders>
          </w:tcPr>
          <w:p>
            <w:pPr>
              <w:spacing w:after="0"/>
              <w:rPr>
                <w:sz w:val="12"/>
                <w:szCs w:val="12"/>
                <w:color w:val="auto"/>
              </w:rPr>
            </w:pPr>
          </w:p>
        </w:tc>
        <w:tc>
          <w:tcPr>
            <w:tcW w:w="540" w:type="dxa"/>
            <w:vAlign w:val="bottom"/>
            <w:tcBorders>
              <w:bottom w:val="single" w:sz="8" w:color="0070FF"/>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2003</w:t>
            </w:r>
          </w:p>
        </w:tc>
        <w:tc>
          <w:tcPr>
            <w:tcW w:w="680" w:type="dxa"/>
            <w:vAlign w:val="bottom"/>
            <w:tcBorders>
              <w:bottom w:val="single" w:sz="8" w:color="0070FF"/>
            </w:tcBorders>
          </w:tcPr>
          <w:p>
            <w:pPr>
              <w:jc w:val="right"/>
              <w:ind w:right="48"/>
              <w:spacing w:after="0" w:line="142" w:lineRule="exact"/>
              <w:rPr>
                <w:sz w:val="20"/>
                <w:szCs w:val="20"/>
                <w:color w:val="auto"/>
              </w:rPr>
            </w:pPr>
            <w:r>
              <w:rPr>
                <w:rFonts w:ascii="Arial" w:cs="Arial" w:eastAsia="Arial" w:hAnsi="Arial"/>
                <w:sz w:val="14"/>
                <w:szCs w:val="14"/>
                <w:color w:val="auto"/>
              </w:rPr>
              <w:t>2002</w:t>
            </w:r>
          </w:p>
        </w:tc>
        <w:tc>
          <w:tcPr>
            <w:tcW w:w="60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36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Exploration and Production</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85"/>
              </w:rPr>
              <w:t>$ 2,833</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60" w:type="dxa"/>
            <w:vAlign w:val="bottom"/>
          </w:tcPr>
          <w:p>
            <w:pPr>
              <w:ind w:left="20"/>
              <w:spacing w:after="0" w:line="145" w:lineRule="exact"/>
              <w:rPr>
                <w:sz w:val="20"/>
                <w:szCs w:val="20"/>
                <w:color w:val="auto"/>
              </w:rPr>
            </w:pPr>
            <w:r>
              <w:rPr>
                <w:rFonts w:ascii="Arial" w:cs="Arial" w:eastAsia="Arial" w:hAnsi="Arial"/>
                <w:sz w:val="14"/>
                <w:szCs w:val="14"/>
                <w:color w:val="auto"/>
              </w:rPr>
              <w:t>United States</w:t>
            </w:r>
          </w:p>
        </w:tc>
        <w:tc>
          <w:tcPr>
            <w:tcW w:w="540" w:type="dxa"/>
            <w:vAlign w:val="bottom"/>
            <w:vMerge w:val="continue"/>
          </w:tcPr>
          <w:p>
            <w:pPr>
              <w:spacing w:after="0"/>
              <w:rPr>
                <w:sz w:val="12"/>
                <w:szCs w:val="12"/>
                <w:color w:val="auto"/>
              </w:rPr>
            </w:pPr>
          </w:p>
        </w:tc>
        <w:tc>
          <w:tcPr>
            <w:tcW w:w="6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$ 1,717</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$ 1,779</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3,365</w:t>
            </w: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2,839</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156"/>
        </w:trPr>
        <w:tc>
          <w:tcPr>
            <w:tcW w:w="36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Exploration and Production</w:t>
            </w:r>
          </w:p>
        </w:tc>
        <w:tc>
          <w:tcPr>
            <w:tcW w:w="54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6,198</w:t>
            </w:r>
          </w:p>
        </w:tc>
        <w:tc>
          <w:tcPr>
            <w:tcW w:w="6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4,556</w:t>
            </w: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4,312</w:t>
            </w:r>
          </w:p>
        </w:tc>
        <w:tc>
          <w:tcPr>
            <w:tcW w:w="0" w:type="dxa"/>
            <w:vAlign w:val="bottom"/>
          </w:tcPr>
          <w:p>
            <w:pPr>
              <w:spacing w:after="0"/>
              <w:rPr>
                <w:sz w:val="1"/>
                <w:szCs w:val="1"/>
                <w:color w:val="auto"/>
              </w:rPr>
            </w:pPr>
          </w:p>
        </w:tc>
      </w:tr>
      <w:tr>
        <w:trPr>
          <w:trHeight w:val="137"/>
        </w:trPr>
        <w:tc>
          <w:tcPr>
            <w:tcW w:w="36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Refining, Marketing and Transportation</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482</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60" w:type="dxa"/>
            <w:vAlign w:val="bottom"/>
          </w:tcPr>
          <w:p>
            <w:pPr>
              <w:ind w:left="20"/>
              <w:spacing w:after="0" w:line="145" w:lineRule="exact"/>
              <w:rPr>
                <w:sz w:val="20"/>
                <w:szCs w:val="20"/>
                <w:color w:val="auto"/>
              </w:rPr>
            </w:pPr>
            <w:r>
              <w:rPr>
                <w:rFonts w:ascii="Arial" w:cs="Arial" w:eastAsia="Arial" w:hAnsi="Arial"/>
                <w:sz w:val="14"/>
                <w:szCs w:val="14"/>
                <w:color w:val="auto"/>
              </w:rPr>
              <w:t>United States</w:t>
            </w:r>
          </w:p>
        </w:tc>
        <w:tc>
          <w:tcPr>
            <w:tcW w:w="540" w:type="dxa"/>
            <w:vAlign w:val="bottom"/>
            <w:vMerge w:val="continue"/>
          </w:tcPr>
          <w:p>
            <w:pPr>
              <w:spacing w:after="0"/>
              <w:rPr>
                <w:sz w:val="12"/>
                <w:szCs w:val="12"/>
                <w:color w:val="auto"/>
              </w:rPr>
            </w:pPr>
          </w:p>
        </w:tc>
        <w:tc>
          <w:tcPr>
            <w:tcW w:w="680" w:type="dxa"/>
            <w:vAlign w:val="bottom"/>
          </w:tcPr>
          <w:p>
            <w:pPr>
              <w:jc w:val="right"/>
              <w:ind w:right="8"/>
              <w:spacing w:after="0" w:line="145" w:lineRule="exact"/>
              <w:rPr>
                <w:sz w:val="20"/>
                <w:szCs w:val="20"/>
                <w:color w:val="auto"/>
              </w:rPr>
            </w:pPr>
            <w:r>
              <w:rPr>
                <w:rFonts w:ascii="Arial" w:cs="Arial" w:eastAsia="Arial" w:hAnsi="Arial"/>
                <w:sz w:val="14"/>
                <w:szCs w:val="14"/>
                <w:color w:val="auto"/>
              </w:rPr>
              <w:t>(398)</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685</w:t>
            </w: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31</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56"/>
        </w:trPr>
        <w:tc>
          <w:tcPr>
            <w:tcW w:w="36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Refining, Marketing and Transportation</w:t>
            </w:r>
          </w:p>
        </w:tc>
        <w:tc>
          <w:tcPr>
            <w:tcW w:w="54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1,167</w:t>
            </w:r>
          </w:p>
        </w:tc>
        <w:tc>
          <w:tcPr>
            <w:tcW w:w="68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(367)</w:t>
            </w: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37"/>
        </w:trPr>
        <w:tc>
          <w:tcPr>
            <w:tcW w:w="36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Chemicals</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5</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60" w:type="dxa"/>
            <w:vAlign w:val="bottom"/>
          </w:tcPr>
          <w:p>
            <w:pPr>
              <w:ind w:left="20"/>
              <w:spacing w:after="0" w:line="145" w:lineRule="exact"/>
              <w:rPr>
                <w:sz w:val="20"/>
                <w:szCs w:val="20"/>
                <w:color w:val="auto"/>
              </w:rPr>
            </w:pPr>
            <w:r>
              <w:rPr>
                <w:rFonts w:ascii="Arial" w:cs="Arial" w:eastAsia="Arial" w:hAnsi="Arial"/>
                <w:sz w:val="14"/>
                <w:szCs w:val="14"/>
                <w:color w:val="auto"/>
              </w:rPr>
              <w:t>United States</w:t>
            </w:r>
          </w:p>
        </w:tc>
        <w:tc>
          <w:tcPr>
            <w:tcW w:w="540" w:type="dxa"/>
            <w:vAlign w:val="bottom"/>
            <w:vMerge w:val="continue"/>
          </w:tcPr>
          <w:p>
            <w:pPr>
              <w:spacing w:after="0"/>
              <w:rPr>
                <w:sz w:val="12"/>
                <w:szCs w:val="12"/>
                <w:color w:val="auto"/>
              </w:rPr>
            </w:pPr>
          </w:p>
        </w:tc>
        <w:tc>
          <w:tcPr>
            <w:tcW w:w="6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13</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64</w:t>
            </w:r>
          </w:p>
        </w:tc>
        <w:tc>
          <w:tcPr>
            <w:tcW w:w="6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73</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6"/>
        </w:trPr>
        <w:tc>
          <w:tcPr>
            <w:tcW w:w="36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Chemicals</w:t>
            </w:r>
          </w:p>
        </w:tc>
        <w:tc>
          <w:tcPr>
            <w:tcW w:w="54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69</w:t>
            </w:r>
          </w:p>
        </w:tc>
        <w:tc>
          <w:tcPr>
            <w:tcW w:w="6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86</w:t>
            </w: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33"/>
        </w:trPr>
        <w:tc>
          <w:tcPr>
            <w:tcW w:w="366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Total Segment Income</w:t>
            </w:r>
          </w:p>
        </w:tc>
        <w:tc>
          <w:tcPr>
            <w:tcW w:w="540" w:type="dxa"/>
            <w:vAlign w:val="bottom"/>
          </w:tcPr>
          <w:p>
            <w:pPr>
              <w:jc w:val="right"/>
              <w:ind w:right="49"/>
              <w:spacing w:after="0" w:line="133" w:lineRule="exact"/>
              <w:rPr>
                <w:sz w:val="20"/>
                <w:szCs w:val="20"/>
                <w:color w:val="auto"/>
              </w:rPr>
            </w:pPr>
            <w:r>
              <w:rPr>
                <w:rFonts w:ascii="Arial" w:cs="Arial" w:eastAsia="Arial" w:hAnsi="Arial"/>
                <w:sz w:val="14"/>
                <w:szCs w:val="14"/>
                <w:b w:val="1"/>
                <w:bCs w:val="1"/>
                <w:color w:val="auto"/>
              </w:rPr>
              <w:t>7,434</w:t>
            </w: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color w:val="auto"/>
              </w:rPr>
              <w:t>4,275</w:t>
            </w:r>
          </w:p>
        </w:tc>
        <w:tc>
          <w:tcPr>
            <w:tcW w:w="600" w:type="dxa"/>
            <w:vAlign w:val="bottom"/>
          </w:tcPr>
          <w:p>
            <w:pPr>
              <w:jc w:val="right"/>
              <w:spacing w:after="0" w:line="133" w:lineRule="exact"/>
              <w:rPr>
                <w:sz w:val="20"/>
                <w:szCs w:val="20"/>
                <w:color w:val="auto"/>
              </w:rPr>
            </w:pPr>
            <w:r>
              <w:rPr>
                <w:rFonts w:ascii="Arial" w:cs="Arial" w:eastAsia="Arial" w:hAnsi="Arial"/>
                <w:sz w:val="14"/>
                <w:szCs w:val="14"/>
                <w:color w:val="auto"/>
              </w:rPr>
              <w:t>5,998</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Merger-related expenses</w:t>
            </w:r>
          </w:p>
        </w:tc>
        <w:tc>
          <w:tcPr>
            <w:tcW w:w="54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(386)</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Extraordinary loss</w:t>
            </w:r>
          </w:p>
        </w:tc>
        <w:tc>
          <w:tcPr>
            <w:tcW w:w="54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Interest expense</w:t>
            </w:r>
          </w:p>
        </w:tc>
        <w:tc>
          <w:tcPr>
            <w:tcW w:w="54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(352)</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(406)</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Interest income</w:t>
            </w:r>
          </w:p>
        </w:tc>
        <w:tc>
          <w:tcPr>
            <w:tcW w:w="54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75</w:t>
            </w: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73</w:t>
            </w:r>
          </w:p>
        </w:tc>
        <w:tc>
          <w:tcPr>
            <w:tcW w:w="68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(2,423)</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76"/>
        </w:trPr>
        <w:tc>
          <w:tcPr>
            <w:tcW w:w="36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Net Income</w:t>
            </w:r>
          </w:p>
        </w:tc>
        <w:tc>
          <w:tcPr>
            <w:tcW w:w="54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w w:val="93"/>
              </w:rPr>
              <w:t>$7,230</w:t>
            </w:r>
          </w:p>
        </w:tc>
        <w:tc>
          <w:tcPr>
            <w:tcW w:w="6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$ 1,132</w:t>
            </w: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$ 3,288</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80"/>
        <w:spacing w:after="0" w:line="369" w:lineRule="auto"/>
        <w:rPr>
          <w:sz w:val="20"/>
          <w:szCs w:val="20"/>
          <w:color w:val="auto"/>
        </w:rPr>
      </w:pPr>
      <w:r>
        <w:rPr>
          <w:rFonts w:ascii="Arial" w:cs="Arial" w:eastAsia="Arial" w:hAnsi="Arial"/>
          <w:sz w:val="14"/>
          <w:szCs w:val="14"/>
          <w:i w:val="1"/>
          <w:iCs w:val="1"/>
          <w:color w:val="F20000"/>
        </w:rPr>
        <w:t xml:space="preserve">Segment Assets </w:t>
      </w:r>
      <w:r>
        <w:rPr>
          <w:rFonts w:ascii="Arial" w:cs="Arial" w:eastAsia="Arial" w:hAnsi="Arial"/>
          <w:sz w:val="14"/>
          <w:szCs w:val="14"/>
          <w:color w:val="000000"/>
        </w:rPr>
        <w:t>Segment assets do not include intercompany investments or</w:t>
      </w:r>
      <w:r>
        <w:rPr>
          <w:rFonts w:ascii="Arial" w:cs="Arial" w:eastAsia="Arial" w:hAnsi="Arial"/>
          <w:sz w:val="14"/>
          <w:szCs w:val="14"/>
          <w:i w:val="1"/>
          <w:iCs w:val="1"/>
          <w:color w:val="F20000"/>
        </w:rPr>
        <w:t xml:space="preserve"> </w:t>
      </w:r>
      <w:r>
        <w:rPr>
          <w:rFonts w:ascii="Arial" w:cs="Arial" w:eastAsia="Arial" w:hAnsi="Arial"/>
          <w:sz w:val="14"/>
          <w:szCs w:val="14"/>
          <w:color w:val="000000"/>
        </w:rPr>
        <w:t>intercompany receivables. Segment assets at year-end 2003 and 2002 follow: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4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rPr>
              <w:t>At December 31</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2003</w:t>
            </w:r>
          </w:p>
        </w:tc>
        <w:tc>
          <w:tcPr>
            <w:tcW w:w="64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7"/>
        </w:trPr>
        <w:tc>
          <w:tcPr>
            <w:tcW w:w="42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Exploration and Production</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84"/>
              </w:rPr>
              <w:t>$ 12,501</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40" w:type="dxa"/>
            <w:vAlign w:val="bottom"/>
          </w:tcPr>
          <w:p>
            <w:pPr>
              <w:ind w:left="20"/>
              <w:spacing w:after="0" w:line="145" w:lineRule="exact"/>
              <w:rPr>
                <w:sz w:val="20"/>
                <w:szCs w:val="20"/>
                <w:color w:val="auto"/>
              </w:rPr>
            </w:pPr>
            <w:r>
              <w:rPr>
                <w:rFonts w:ascii="Arial" w:cs="Arial" w:eastAsia="Arial" w:hAnsi="Arial"/>
                <w:sz w:val="14"/>
                <w:szCs w:val="14"/>
                <w:color w:val="auto"/>
              </w:rPr>
              <w:t>United States</w:t>
            </w:r>
          </w:p>
        </w:tc>
        <w:tc>
          <w:tcPr>
            <w:tcW w:w="600" w:type="dxa"/>
            <w:vAlign w:val="bottom"/>
            <w:vMerge w:val="continue"/>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$ 11,671</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International</w:t>
            </w:r>
          </w:p>
        </w:tc>
        <w:tc>
          <w:tcPr>
            <w:tcW w:w="6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28,520</w:t>
            </w: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26,172</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Exploration and Production</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41,021</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37,843</w:t>
            </w:r>
          </w:p>
        </w:tc>
        <w:tc>
          <w:tcPr>
            <w:tcW w:w="0" w:type="dxa"/>
            <w:vAlign w:val="bottom"/>
          </w:tcPr>
          <w:p>
            <w:pPr>
              <w:spacing w:after="0"/>
              <w:rPr>
                <w:sz w:val="1"/>
                <w:szCs w:val="1"/>
                <w:color w:val="auto"/>
              </w:rPr>
            </w:pPr>
          </w:p>
        </w:tc>
      </w:tr>
      <w:tr>
        <w:trPr>
          <w:trHeight w:val="137"/>
        </w:trPr>
        <w:tc>
          <w:tcPr>
            <w:tcW w:w="42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Refining, Marketing and Transportation</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9,354</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40" w:type="dxa"/>
            <w:vAlign w:val="bottom"/>
          </w:tcPr>
          <w:p>
            <w:pPr>
              <w:ind w:left="20"/>
              <w:spacing w:after="0" w:line="145" w:lineRule="exact"/>
              <w:rPr>
                <w:sz w:val="20"/>
                <w:szCs w:val="20"/>
                <w:color w:val="auto"/>
              </w:rPr>
            </w:pPr>
            <w:r>
              <w:rPr>
                <w:rFonts w:ascii="Arial" w:cs="Arial" w:eastAsia="Arial" w:hAnsi="Arial"/>
                <w:sz w:val="14"/>
                <w:szCs w:val="14"/>
                <w:color w:val="auto"/>
              </w:rPr>
              <w:t>United States</w:t>
            </w:r>
          </w:p>
        </w:tc>
        <w:tc>
          <w:tcPr>
            <w:tcW w:w="600" w:type="dxa"/>
            <w:vAlign w:val="bottom"/>
            <w:vMerge w:val="continue"/>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9,681</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International</w:t>
            </w:r>
          </w:p>
        </w:tc>
        <w:tc>
          <w:tcPr>
            <w:tcW w:w="6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17,627</w:t>
            </w: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Refining, Marketing and Transportation</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26,981</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27,380</w:t>
            </w:r>
          </w:p>
        </w:tc>
        <w:tc>
          <w:tcPr>
            <w:tcW w:w="0" w:type="dxa"/>
            <w:vAlign w:val="bottom"/>
          </w:tcPr>
          <w:p>
            <w:pPr>
              <w:spacing w:after="0"/>
              <w:rPr>
                <w:sz w:val="1"/>
                <w:szCs w:val="1"/>
                <w:color w:val="auto"/>
              </w:rPr>
            </w:pPr>
          </w:p>
        </w:tc>
      </w:tr>
      <w:tr>
        <w:trPr>
          <w:trHeight w:val="137"/>
        </w:trPr>
        <w:tc>
          <w:tcPr>
            <w:tcW w:w="42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Chemicals</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2,165</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40" w:type="dxa"/>
            <w:vAlign w:val="bottom"/>
          </w:tcPr>
          <w:p>
            <w:pPr>
              <w:ind w:left="20"/>
              <w:spacing w:after="0" w:line="145" w:lineRule="exact"/>
              <w:rPr>
                <w:sz w:val="20"/>
                <w:szCs w:val="20"/>
                <w:color w:val="auto"/>
              </w:rPr>
            </w:pPr>
            <w:r>
              <w:rPr>
                <w:rFonts w:ascii="Arial" w:cs="Arial" w:eastAsia="Arial" w:hAnsi="Arial"/>
                <w:sz w:val="14"/>
                <w:szCs w:val="14"/>
                <w:color w:val="auto"/>
              </w:rPr>
              <w:t>United States</w:t>
            </w:r>
          </w:p>
        </w:tc>
        <w:tc>
          <w:tcPr>
            <w:tcW w:w="600" w:type="dxa"/>
            <w:vAlign w:val="bottom"/>
            <w:vMerge w:val="continue"/>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International</w:t>
            </w:r>
          </w:p>
        </w:tc>
        <w:tc>
          <w:tcPr>
            <w:tcW w:w="6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662</w:t>
            </w: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Chemicals</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2,827</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Segment Assets</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70,829</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68,075</w:t>
            </w:r>
          </w:p>
        </w:tc>
        <w:tc>
          <w:tcPr>
            <w:tcW w:w="0" w:type="dxa"/>
            <w:vAlign w:val="bottom"/>
          </w:tcPr>
          <w:p>
            <w:pPr>
              <w:spacing w:after="0"/>
              <w:rPr>
                <w:sz w:val="1"/>
                <w:szCs w:val="1"/>
                <w:color w:val="auto"/>
              </w:rPr>
            </w:pPr>
          </w:p>
        </w:tc>
      </w:tr>
      <w:tr>
        <w:trPr>
          <w:trHeight w:val="137"/>
        </w:trPr>
        <w:tc>
          <w:tcPr>
            <w:tcW w:w="42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All Other</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6,644</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40" w:type="dxa"/>
            <w:vAlign w:val="bottom"/>
          </w:tcPr>
          <w:p>
            <w:pPr>
              <w:ind w:left="20"/>
              <w:spacing w:after="0" w:line="145" w:lineRule="exact"/>
              <w:rPr>
                <w:sz w:val="20"/>
                <w:szCs w:val="20"/>
                <w:color w:val="auto"/>
              </w:rPr>
            </w:pPr>
            <w:r>
              <w:rPr>
                <w:rFonts w:ascii="Arial" w:cs="Arial" w:eastAsia="Arial" w:hAnsi="Arial"/>
                <w:sz w:val="14"/>
                <w:szCs w:val="14"/>
                <w:color w:val="auto"/>
              </w:rPr>
              <w:t>United States</w:t>
            </w:r>
          </w:p>
        </w:tc>
        <w:tc>
          <w:tcPr>
            <w:tcW w:w="600" w:type="dxa"/>
            <w:vAlign w:val="bottom"/>
            <w:vMerge w:val="continue"/>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5,364</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International</w:t>
            </w:r>
          </w:p>
        </w:tc>
        <w:tc>
          <w:tcPr>
            <w:tcW w:w="6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3,997</w:t>
            </w: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All Other</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10,641</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9,284</w:t>
            </w:r>
          </w:p>
        </w:tc>
        <w:tc>
          <w:tcPr>
            <w:tcW w:w="0" w:type="dxa"/>
            <w:vAlign w:val="bottom"/>
          </w:tcPr>
          <w:p>
            <w:pPr>
              <w:spacing w:after="0"/>
              <w:rPr>
                <w:sz w:val="1"/>
                <w:szCs w:val="1"/>
                <w:color w:val="auto"/>
              </w:rPr>
            </w:pPr>
          </w:p>
        </w:tc>
      </w:tr>
      <w:tr>
        <w:trPr>
          <w:trHeight w:val="133"/>
        </w:trPr>
        <w:tc>
          <w:tcPr>
            <w:tcW w:w="42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Total Assets – United States</w:t>
            </w:r>
          </w:p>
        </w:tc>
        <w:tc>
          <w:tcPr>
            <w:tcW w:w="600" w:type="dxa"/>
            <w:vAlign w:val="bottom"/>
          </w:tcPr>
          <w:p>
            <w:pPr>
              <w:jc w:val="right"/>
              <w:ind w:right="49"/>
              <w:spacing w:after="0" w:line="133" w:lineRule="exact"/>
              <w:rPr>
                <w:sz w:val="20"/>
                <w:szCs w:val="20"/>
                <w:color w:val="auto"/>
              </w:rPr>
            </w:pPr>
            <w:r>
              <w:rPr>
                <w:rFonts w:ascii="Arial" w:cs="Arial" w:eastAsia="Arial" w:hAnsi="Arial"/>
                <w:sz w:val="14"/>
                <w:szCs w:val="14"/>
                <w:b w:val="1"/>
                <w:bCs w:val="1"/>
                <w:color w:val="auto"/>
              </w:rPr>
              <w:t>30,664</w:t>
            </w:r>
          </w:p>
        </w:tc>
        <w:tc>
          <w:tcPr>
            <w:tcW w:w="640" w:type="dxa"/>
            <w:vAlign w:val="bottom"/>
          </w:tcPr>
          <w:p>
            <w:pPr>
              <w:jc w:val="right"/>
              <w:spacing w:after="0" w:line="133" w:lineRule="exact"/>
              <w:rPr>
                <w:sz w:val="20"/>
                <w:szCs w:val="20"/>
                <w:color w:val="auto"/>
              </w:rPr>
            </w:pPr>
            <w:r>
              <w:rPr>
                <w:rFonts w:ascii="Arial" w:cs="Arial" w:eastAsia="Arial" w:hAnsi="Arial"/>
                <w:sz w:val="14"/>
                <w:szCs w:val="14"/>
                <w:color w:val="auto"/>
              </w:rPr>
              <w:t>28,870</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0070FF"/>
            </w:tcBorders>
          </w:tcPr>
          <w:p>
            <w:pPr>
              <w:ind w:left="20"/>
              <w:spacing w:after="0"/>
              <w:rPr>
                <w:sz w:val="20"/>
                <w:szCs w:val="20"/>
                <w:color w:val="auto"/>
              </w:rPr>
            </w:pPr>
            <w:r>
              <w:rPr>
                <w:rFonts w:ascii="Arial" w:cs="Arial" w:eastAsia="Arial" w:hAnsi="Arial"/>
                <w:sz w:val="14"/>
                <w:szCs w:val="14"/>
                <w:b w:val="1"/>
                <w:bCs w:val="1"/>
                <w:color w:val="auto"/>
              </w:rPr>
              <w:t>Total Assets – International</w:t>
            </w:r>
          </w:p>
        </w:tc>
        <w:tc>
          <w:tcPr>
            <w:tcW w:w="6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50,806</w:t>
            </w:r>
          </w:p>
        </w:tc>
        <w:tc>
          <w:tcPr>
            <w:tcW w:w="6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48,489</w:t>
            </w:r>
          </w:p>
        </w:tc>
        <w:tc>
          <w:tcPr>
            <w:tcW w:w="0" w:type="dxa"/>
            <w:vAlign w:val="bottom"/>
          </w:tcPr>
          <w:p>
            <w:pPr>
              <w:spacing w:after="0"/>
              <w:rPr>
                <w:sz w:val="1"/>
                <w:szCs w:val="1"/>
                <w:color w:val="auto"/>
              </w:rPr>
            </w:pPr>
          </w:p>
        </w:tc>
      </w:tr>
      <w:tr>
        <w:trPr>
          <w:trHeight w:val="176"/>
        </w:trPr>
        <w:tc>
          <w:tcPr>
            <w:tcW w:w="424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b w:val="1"/>
                <w:bCs w:val="1"/>
                <w:color w:val="auto"/>
              </w:rPr>
              <w:t>Total Assets</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w w:val="84"/>
              </w:rPr>
              <w:t>$ 81,470</w:t>
            </w:r>
          </w:p>
        </w:tc>
        <w:tc>
          <w:tcPr>
            <w:tcW w:w="6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$ 77,359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360" w:right="80"/>
        <w:spacing w:after="0" w:line="283" w:lineRule="auto"/>
        <w:rPr>
          <w:sz w:val="20"/>
          <w:szCs w:val="20"/>
          <w:color w:val="auto"/>
        </w:rPr>
      </w:pPr>
      <w:r>
        <w:rPr>
          <w:rFonts w:ascii="Arial" w:cs="Arial" w:eastAsia="Arial" w:hAnsi="Arial"/>
          <w:sz w:val="15"/>
          <w:szCs w:val="15"/>
          <w:i w:val="1"/>
          <w:iCs w:val="1"/>
          <w:color w:val="F20000"/>
        </w:rPr>
        <w:t xml:space="preserve">Segment Sales and Other Operating Revenues </w:t>
      </w:r>
      <w:r>
        <w:rPr>
          <w:rFonts w:ascii="Arial" w:cs="Arial" w:eastAsia="Arial" w:hAnsi="Arial"/>
          <w:sz w:val="15"/>
          <w:szCs w:val="15"/>
          <w:color w:val="000000"/>
        </w:rPr>
        <w:t>Operating segment sales and other</w:t>
      </w:r>
      <w:r>
        <w:rPr>
          <w:rFonts w:ascii="Arial" w:cs="Arial" w:eastAsia="Arial" w:hAnsi="Arial"/>
          <w:sz w:val="15"/>
          <w:szCs w:val="15"/>
          <w:i w:val="1"/>
          <w:iCs w:val="1"/>
          <w:color w:val="F20000"/>
        </w:rPr>
        <w:t xml:space="preserve"> </w:t>
      </w:r>
      <w:r>
        <w:rPr>
          <w:rFonts w:ascii="Arial" w:cs="Arial" w:eastAsia="Arial" w:hAnsi="Arial"/>
          <w:sz w:val="15"/>
          <w:szCs w:val="15"/>
          <w:color w:val="000000"/>
        </w:rPr>
        <w:t>operating revenues, including internal transfers, for the years 2003, 2002 and 2001 are presented in the following table. Sales from the transfer of products between segments are at prices that approximate market prices.</w:t>
      </w:r>
    </w:p>
    <w:p>
      <w:pPr>
        <w:spacing w:after="0" w:line="1" w:lineRule="exact"/>
        <w:rPr>
          <w:sz w:val="20"/>
          <w:szCs w:val="20"/>
          <w:color w:val="auto"/>
        </w:rPr>
      </w:pPr>
    </w:p>
    <w:p>
      <w:pPr>
        <w:ind w:left="360" w:firstLine="203"/>
        <w:spacing w:after="0" w:line="281" w:lineRule="auto"/>
        <w:rPr>
          <w:sz w:val="20"/>
          <w:szCs w:val="20"/>
          <w:color w:val="auto"/>
        </w:rPr>
      </w:pPr>
      <w:r>
        <w:rPr>
          <w:rFonts w:ascii="Arial" w:cs="Arial" w:eastAsia="Arial" w:hAnsi="Arial"/>
          <w:sz w:val="15"/>
          <w:szCs w:val="15"/>
          <w:color w:val="auto"/>
        </w:rPr>
        <w:t>Revenues for the exploration and production segment are derived primarily from the production of crude oil and natural gas, as well as the sale of third-party production of natural gas. Revenues for the refining, marketing and transportation segment are derived from the refining and marketing of petroleum products, such as gasoline, jet fuel, gas oils, kerosene, lubricants, residual fuel oils and other products derived from crude oil. This segment also generates revenues from the transportation and trading of crude oil and refined products. Chemicals segment revenues are derived from the manufacture and sale of lube oil and fuel additives. Revenues from “All Other” activities include coal mining operations, power and gasification businesses, insurance operations, real estate activities, and technology companies.</w:t>
      </w:r>
    </w:p>
    <w:p>
      <w:pPr>
        <w:spacing w:after="0" w:line="7" w:lineRule="exact"/>
        <w:rPr>
          <w:sz w:val="20"/>
          <w:szCs w:val="20"/>
          <w:color w:val="auto"/>
        </w:rPr>
      </w:pPr>
    </w:p>
    <w:p>
      <w:pPr>
        <w:jc w:val="both"/>
        <w:ind w:left="360" w:right="60" w:firstLine="203"/>
        <w:spacing w:after="0" w:line="332" w:lineRule="auto"/>
        <w:rPr>
          <w:sz w:val="20"/>
          <w:szCs w:val="20"/>
          <w:color w:val="auto"/>
        </w:rPr>
      </w:pPr>
      <w:r>
        <w:rPr>
          <w:rFonts w:ascii="Arial" w:cs="Arial" w:eastAsia="Arial" w:hAnsi="Arial"/>
          <w:sz w:val="14"/>
          <w:szCs w:val="14"/>
          <w:color w:val="auto"/>
        </w:rPr>
        <w:t>Other than the United States, the only country where Chevron-Texaco generates significant revenues is the United Kingdom, where revenues amounted to $12,121, $10,816 and $10,350 in 2003, 2002 and 2001,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FS-35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132715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40"/>
            <w:col w:w="5800"/>
          </w:cols>
          <w:pgMar w:left="240" w:top="419" w:right="3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220345</wp:posOffset>
            </wp:positionV>
            <wp:extent cx="8890" cy="6517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651764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ind w:left="20"/>
              <w:spacing w:after="0"/>
              <w:rPr>
                <w:sz w:val="20"/>
                <w:szCs w:val="20"/>
                <w:color w:val="auto"/>
              </w:rPr>
            </w:pPr>
            <w:r>
              <w:rPr>
                <w:rFonts w:ascii="Arial" w:cs="Arial" w:eastAsia="Arial" w:hAnsi="Arial"/>
                <w:sz w:val="27"/>
                <w:szCs w:val="27"/>
                <w:b w:val="1"/>
                <w:bCs w:val="1"/>
                <w:color w:val="0070FF"/>
              </w:rPr>
              <w:t>»</w:t>
            </w:r>
          </w:p>
        </w:tc>
        <w:tc>
          <w:tcPr>
            <w:tcW w:w="20" w:type="dxa"/>
            <w:vAlign w:val="bottom"/>
          </w:tcPr>
          <w:p>
            <w:pPr>
              <w:spacing w:after="0"/>
              <w:rPr>
                <w:sz w:val="3"/>
                <w:szCs w:val="3"/>
                <w:color w:val="auto"/>
              </w:rPr>
            </w:pPr>
          </w:p>
        </w:tc>
        <w:tc>
          <w:tcPr>
            <w:tcW w:w="5180" w:type="dxa"/>
            <w:vAlign w:val="bottom"/>
            <w:gridSpan w:val="7"/>
            <w:vMerge w:val="restart"/>
          </w:tcPr>
          <w:p>
            <w:pPr>
              <w:jc w:val="right"/>
              <w:spacing w:after="0"/>
              <w:rPr>
                <w:sz w:val="20"/>
                <w:szCs w:val="20"/>
                <w:color w:val="auto"/>
              </w:rPr>
            </w:pPr>
            <w:r>
              <w:rPr>
                <w:rFonts w:ascii="Arial" w:cs="Arial" w:eastAsia="Arial" w:hAnsi="Arial"/>
                <w:sz w:val="14"/>
                <w:szCs w:val="14"/>
                <w:i w:val="1"/>
                <w:iCs w:val="1"/>
                <w:color w:val="0070FF"/>
                <w:w w:val="82"/>
              </w:rPr>
              <w:t>Notes to the Consolidated Financial Statements</w:t>
            </w:r>
            <w:r>
              <w:rPr>
                <w:rFonts w:ascii="Arial" w:cs="Arial" w:eastAsia="Arial" w:hAnsi="Arial"/>
                <w:sz w:val="25"/>
                <w:szCs w:val="25"/>
                <w:i w:val="1"/>
                <w:iCs w:val="1"/>
                <w:color w:val="0070FF"/>
                <w:w w:val="82"/>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800" w:type="dxa"/>
            <w:vAlign w:val="bottom"/>
            <w:gridSpan w:val="7"/>
          </w:tcPr>
          <w:p>
            <w:pPr>
              <w:spacing w:after="0"/>
              <w:rPr>
                <w:sz w:val="20"/>
                <w:szCs w:val="20"/>
                <w:color w:val="auto"/>
              </w:rPr>
            </w:pPr>
            <w:r>
              <w:rPr>
                <w:rFonts w:ascii="Arial" w:cs="Arial" w:eastAsia="Arial" w:hAnsi="Arial"/>
                <w:sz w:val="13"/>
                <w:szCs w:val="13"/>
                <w:color w:val="0070FF"/>
              </w:rPr>
              <w:t>NOTE 9. OPERATING SEGMENTS AND GEOGRAPHIC DATA – Continued</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Borders>
              <w:bottom w:val="single" w:sz="8" w:color="0070FF"/>
            </w:tcBorders>
          </w:tcPr>
          <w:p>
            <w:pPr>
              <w:spacing w:after="0"/>
              <w:rPr>
                <w:sz w:val="24"/>
                <w:szCs w:val="24"/>
                <w:color w:val="auto"/>
              </w:rPr>
            </w:pPr>
          </w:p>
        </w:tc>
        <w:tc>
          <w:tcPr>
            <w:tcW w:w="560" w:type="dxa"/>
            <w:vAlign w:val="bottom"/>
            <w:tcBorders>
              <w:bottom w:val="single" w:sz="8" w:color="0070FF"/>
            </w:tcBorders>
          </w:tcPr>
          <w:p>
            <w:pPr>
              <w:spacing w:after="0"/>
              <w:rPr>
                <w:sz w:val="24"/>
                <w:szCs w:val="24"/>
                <w:color w:val="auto"/>
              </w:rPr>
            </w:pPr>
          </w:p>
        </w:tc>
        <w:tc>
          <w:tcPr>
            <w:tcW w:w="1460" w:type="dxa"/>
            <w:vAlign w:val="bottom"/>
            <w:tcBorders>
              <w:bottom w:val="single" w:sz="8" w:color="0070FF"/>
            </w:tcBorders>
            <w:gridSpan w:val="4"/>
          </w:tcPr>
          <w:p>
            <w:pPr>
              <w:jc w:val="right"/>
              <w:spacing w:after="0"/>
              <w:rPr>
                <w:sz w:val="20"/>
                <w:szCs w:val="20"/>
                <w:color w:val="auto"/>
              </w:rPr>
            </w:pPr>
            <w:r>
              <w:rPr>
                <w:rFonts w:ascii="Arial" w:cs="Arial" w:eastAsia="Arial" w:hAnsi="Arial"/>
                <w:sz w:val="14"/>
                <w:szCs w:val="14"/>
                <w:color w:val="auto"/>
                <w:w w:val="86"/>
              </w:rPr>
              <w:t>Year ended December 31</w:t>
            </w:r>
          </w:p>
        </w:tc>
        <w:tc>
          <w:tcPr>
            <w:tcW w:w="0" w:type="dxa"/>
            <w:vAlign w:val="bottom"/>
          </w:tcPr>
          <w:p>
            <w:pPr>
              <w:spacing w:after="0"/>
              <w:rPr>
                <w:sz w:val="1"/>
                <w:szCs w:val="1"/>
                <w:color w:val="auto"/>
              </w:rPr>
            </w:pPr>
          </w:p>
        </w:tc>
      </w:tr>
      <w:tr>
        <w:trPr>
          <w:trHeight w:val="142"/>
        </w:trPr>
        <w:tc>
          <w:tcPr>
            <w:tcW w:w="280" w:type="dxa"/>
            <w:vAlign w:val="bottom"/>
            <w:tcBorders>
              <w:bottom w:val="single" w:sz="8" w:color="0070FF"/>
            </w:tcBorders>
          </w:tcPr>
          <w:p>
            <w:pPr>
              <w:spacing w:after="0"/>
              <w:rPr>
                <w:sz w:val="12"/>
                <w:szCs w:val="12"/>
                <w:color w:val="auto"/>
              </w:rPr>
            </w:pPr>
          </w:p>
        </w:tc>
        <w:tc>
          <w:tcPr>
            <w:tcW w:w="20" w:type="dxa"/>
            <w:vAlign w:val="bottom"/>
            <w:tcBorders>
              <w:bottom w:val="single" w:sz="8" w:color="0070FF"/>
            </w:tcBorders>
          </w:tcPr>
          <w:p>
            <w:pPr>
              <w:spacing w:after="0"/>
              <w:rPr>
                <w:sz w:val="12"/>
                <w:szCs w:val="12"/>
                <w:color w:val="auto"/>
              </w:rPr>
            </w:pPr>
          </w:p>
        </w:tc>
        <w:tc>
          <w:tcPr>
            <w:tcW w:w="308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560" w:type="dxa"/>
            <w:vAlign w:val="bottom"/>
            <w:tcBorders>
              <w:bottom w:val="single" w:sz="8" w:color="0070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48"/>
              <w:spacing w:after="0" w:line="142" w:lineRule="exact"/>
              <w:rPr>
                <w:sz w:val="20"/>
                <w:szCs w:val="20"/>
                <w:color w:val="auto"/>
              </w:rPr>
            </w:pPr>
            <w:r>
              <w:rPr>
                <w:rFonts w:ascii="Arial" w:cs="Arial" w:eastAsia="Arial" w:hAnsi="Arial"/>
                <w:sz w:val="14"/>
                <w:szCs w:val="14"/>
                <w:color w:val="auto"/>
              </w:rPr>
              <w:t>2002</w:t>
            </w:r>
          </w:p>
        </w:tc>
        <w:tc>
          <w:tcPr>
            <w:tcW w:w="160" w:type="dxa"/>
            <w:vAlign w:val="bottom"/>
            <w:tcBorders>
              <w:bottom w:val="single" w:sz="8" w:color="0070FF"/>
            </w:tcBorders>
          </w:tcPr>
          <w:p>
            <w:pPr>
              <w:spacing w:after="0"/>
              <w:rPr>
                <w:sz w:val="12"/>
                <w:szCs w:val="12"/>
                <w:color w:val="auto"/>
              </w:rPr>
            </w:pPr>
          </w:p>
        </w:tc>
        <w:tc>
          <w:tcPr>
            <w:tcW w:w="52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338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Exploration and Production</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6,928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8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United States</w:t>
            </w: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4,998</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12,744</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6,295</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4,217</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United States</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13,223</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9,215</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15,667</w:t>
            </w:r>
          </w:p>
        </w:tc>
        <w:tc>
          <w:tcPr>
            <w:tcW w:w="0" w:type="dxa"/>
            <w:vAlign w:val="bottom"/>
          </w:tcPr>
          <w:p>
            <w:pPr>
              <w:spacing w:after="0"/>
              <w:rPr>
                <w:sz w:val="1"/>
                <w:szCs w:val="1"/>
                <w:color w:val="auto"/>
              </w:rPr>
            </w:pPr>
          </w:p>
        </w:tc>
      </w:tr>
      <w:tr>
        <w:trPr>
          <w:trHeight w:val="133"/>
        </w:trPr>
        <w:tc>
          <w:tcPr>
            <w:tcW w:w="338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International</w:t>
            </w:r>
          </w:p>
        </w:tc>
        <w:tc>
          <w:tcPr>
            <w:tcW w:w="80" w:type="dxa"/>
            <w:vAlign w:val="bottom"/>
          </w:tcPr>
          <w:p>
            <w:pPr>
              <w:spacing w:after="0"/>
              <w:rPr>
                <w:sz w:val="11"/>
                <w:szCs w:val="11"/>
                <w:color w:val="auto"/>
              </w:rPr>
            </w:pPr>
          </w:p>
        </w:tc>
        <w:tc>
          <w:tcPr>
            <w:tcW w:w="56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7,384</w:t>
            </w:r>
          </w:p>
        </w:tc>
        <w:tc>
          <w:tcPr>
            <w:tcW w:w="180" w:type="dxa"/>
            <w:vAlign w:val="bottom"/>
          </w:tcPr>
          <w:p>
            <w:pPr>
              <w:spacing w:after="0"/>
              <w:rPr>
                <w:sz w:val="11"/>
                <w:szCs w:val="11"/>
                <w:color w:val="auto"/>
              </w:rPr>
            </w:pPr>
          </w:p>
        </w:tc>
        <w:tc>
          <w:tcPr>
            <w:tcW w:w="600" w:type="dxa"/>
            <w:vAlign w:val="bottom"/>
          </w:tcPr>
          <w:p>
            <w:pPr>
              <w:jc w:val="right"/>
              <w:ind w:right="48"/>
              <w:spacing w:after="0" w:line="133" w:lineRule="exact"/>
              <w:rPr>
                <w:sz w:val="20"/>
                <w:szCs w:val="20"/>
                <w:color w:val="auto"/>
              </w:rPr>
            </w:pPr>
            <w:r>
              <w:rPr>
                <w:rFonts w:ascii="Arial" w:cs="Arial" w:eastAsia="Arial" w:hAnsi="Arial"/>
                <w:sz w:val="14"/>
                <w:szCs w:val="14"/>
                <w:color w:val="auto"/>
              </w:rPr>
              <w:t>5,637</w:t>
            </w:r>
          </w:p>
        </w:tc>
        <w:tc>
          <w:tcPr>
            <w:tcW w:w="1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9,127</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8,142</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8,377</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7,376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International</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15,526</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14,014</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16,503</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20"/>
              <w:spacing w:after="0" w:line="155" w:lineRule="exact"/>
              <w:rPr>
                <w:sz w:val="20"/>
                <w:szCs w:val="20"/>
                <w:color w:val="auto"/>
              </w:rPr>
            </w:pPr>
            <w:r>
              <w:rPr>
                <w:rFonts w:ascii="Arial" w:cs="Arial" w:eastAsia="Arial" w:hAnsi="Arial"/>
                <w:sz w:val="14"/>
                <w:szCs w:val="14"/>
                <w:color w:val="auto"/>
              </w:rPr>
              <w:t>Total Exploration and Production</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28,749</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23,229</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32,170</w:t>
            </w:r>
          </w:p>
        </w:tc>
        <w:tc>
          <w:tcPr>
            <w:tcW w:w="0" w:type="dxa"/>
            <w:vAlign w:val="bottom"/>
          </w:tcPr>
          <w:p>
            <w:pPr>
              <w:spacing w:after="0"/>
              <w:rPr>
                <w:sz w:val="1"/>
                <w:szCs w:val="1"/>
                <w:color w:val="auto"/>
              </w:rPr>
            </w:pPr>
          </w:p>
        </w:tc>
      </w:tr>
      <w:tr>
        <w:trPr>
          <w:trHeight w:val="137"/>
        </w:trPr>
        <w:tc>
          <w:tcPr>
            <w:tcW w:w="338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Refining, Marketing and Transportation</w:t>
            </w:r>
          </w:p>
        </w:tc>
        <w:tc>
          <w:tcPr>
            <w:tcW w:w="80" w:type="dxa"/>
            <w:vAlign w:val="bottom"/>
          </w:tcPr>
          <w:p>
            <w:pPr>
              <w:spacing w:after="0"/>
              <w:rPr>
                <w:sz w:val="11"/>
                <w:szCs w:val="11"/>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44,701</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8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United States</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33,880</w:t>
            </w:r>
          </w:p>
        </w:tc>
        <w:tc>
          <w:tcPr>
            <w:tcW w:w="1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29,294</w:t>
            </w:r>
          </w:p>
        </w:tc>
        <w:tc>
          <w:tcPr>
            <w:tcW w:w="0" w:type="dxa"/>
            <w:vAlign w:val="bottom"/>
          </w:tcPr>
          <w:p>
            <w:pPr>
              <w:spacing w:after="0"/>
              <w:rPr>
                <w:sz w:val="1"/>
                <w:szCs w:val="1"/>
                <w:color w:val="auto"/>
              </w:rPr>
            </w:pPr>
          </w:p>
        </w:tc>
      </w:tr>
      <w:tr>
        <w:trPr>
          <w:trHeight w:val="149"/>
        </w:trPr>
        <w:tc>
          <w:tcPr>
            <w:tcW w:w="33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Excise taxes</w:t>
            </w:r>
          </w:p>
        </w:tc>
        <w:tc>
          <w:tcPr>
            <w:tcW w:w="80" w:type="dxa"/>
            <w:vAlign w:val="bottom"/>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3,744</w:t>
            </w:r>
          </w:p>
        </w:tc>
        <w:tc>
          <w:tcPr>
            <w:tcW w:w="1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3,990</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3,954</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219</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163</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United States</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48,664</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38,033</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33,640</w:t>
            </w:r>
          </w:p>
        </w:tc>
        <w:tc>
          <w:tcPr>
            <w:tcW w:w="0" w:type="dxa"/>
            <w:vAlign w:val="bottom"/>
          </w:tcPr>
          <w:p>
            <w:pPr>
              <w:spacing w:after="0"/>
              <w:rPr>
                <w:sz w:val="1"/>
                <w:szCs w:val="1"/>
                <w:color w:val="auto"/>
              </w:rPr>
            </w:pPr>
          </w:p>
        </w:tc>
      </w:tr>
      <w:tr>
        <w:trPr>
          <w:trHeight w:val="133"/>
        </w:trPr>
        <w:tc>
          <w:tcPr>
            <w:tcW w:w="338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International</w:t>
            </w:r>
          </w:p>
        </w:tc>
        <w:tc>
          <w:tcPr>
            <w:tcW w:w="80" w:type="dxa"/>
            <w:vAlign w:val="bottom"/>
          </w:tcPr>
          <w:p>
            <w:pPr>
              <w:spacing w:after="0"/>
              <w:rPr>
                <w:sz w:val="11"/>
                <w:szCs w:val="11"/>
                <w:color w:val="auto"/>
              </w:rPr>
            </w:pPr>
          </w:p>
        </w:tc>
        <w:tc>
          <w:tcPr>
            <w:tcW w:w="56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52,486</w:t>
            </w:r>
          </w:p>
        </w:tc>
        <w:tc>
          <w:tcPr>
            <w:tcW w:w="180" w:type="dxa"/>
            <w:vAlign w:val="bottom"/>
          </w:tcPr>
          <w:p>
            <w:pPr>
              <w:spacing w:after="0"/>
              <w:rPr>
                <w:sz w:val="11"/>
                <w:szCs w:val="11"/>
                <w:color w:val="auto"/>
              </w:rPr>
            </w:pPr>
          </w:p>
        </w:tc>
        <w:tc>
          <w:tcPr>
            <w:tcW w:w="600" w:type="dxa"/>
            <w:vAlign w:val="bottom"/>
          </w:tcPr>
          <w:p>
            <w:pPr>
              <w:jc w:val="right"/>
              <w:ind w:right="48"/>
              <w:spacing w:after="0" w:line="133" w:lineRule="exact"/>
              <w:rPr>
                <w:sz w:val="20"/>
                <w:szCs w:val="20"/>
                <w:color w:val="auto"/>
              </w:rPr>
            </w:pPr>
            <w:r>
              <w:rPr>
                <w:rFonts w:ascii="Arial" w:cs="Arial" w:eastAsia="Arial" w:hAnsi="Arial"/>
                <w:sz w:val="14"/>
                <w:szCs w:val="14"/>
                <w:color w:val="auto"/>
              </w:rPr>
              <w:t>45,759</w:t>
            </w:r>
          </w:p>
        </w:tc>
        <w:tc>
          <w:tcPr>
            <w:tcW w:w="1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45,248</w:t>
            </w:r>
          </w:p>
        </w:tc>
        <w:tc>
          <w:tcPr>
            <w:tcW w:w="0" w:type="dxa"/>
            <w:vAlign w:val="bottom"/>
          </w:tcPr>
          <w:p>
            <w:pPr>
              <w:spacing w:after="0"/>
              <w:rPr>
                <w:sz w:val="1"/>
                <w:szCs w:val="1"/>
                <w:color w:val="auto"/>
              </w:rPr>
            </w:pPr>
          </w:p>
        </w:tc>
      </w:tr>
      <w:tr>
        <w:trPr>
          <w:trHeight w:val="149"/>
        </w:trPr>
        <w:tc>
          <w:tcPr>
            <w:tcW w:w="33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Excise taxes</w:t>
            </w:r>
          </w:p>
        </w:tc>
        <w:tc>
          <w:tcPr>
            <w:tcW w:w="80" w:type="dxa"/>
            <w:vAlign w:val="bottom"/>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3,342</w:t>
            </w:r>
          </w:p>
        </w:tc>
        <w:tc>
          <w:tcPr>
            <w:tcW w:w="1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3,006</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43</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International</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55,828</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48,808</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48,280</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Total Refining, Marketing and Transportation</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86"/>
              </w:rPr>
              <w:t>104,492</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86,841</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81,920</w:t>
            </w:r>
          </w:p>
        </w:tc>
        <w:tc>
          <w:tcPr>
            <w:tcW w:w="0" w:type="dxa"/>
            <w:vAlign w:val="bottom"/>
          </w:tcPr>
          <w:p>
            <w:pPr>
              <w:spacing w:after="0"/>
              <w:rPr>
                <w:sz w:val="1"/>
                <w:szCs w:val="1"/>
                <w:color w:val="auto"/>
              </w:rPr>
            </w:pPr>
          </w:p>
        </w:tc>
      </w:tr>
      <w:tr>
        <w:trPr>
          <w:trHeight w:val="137"/>
        </w:trPr>
        <w:tc>
          <w:tcPr>
            <w:tcW w:w="338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Chemicals</w:t>
            </w:r>
          </w:p>
        </w:tc>
        <w:tc>
          <w:tcPr>
            <w:tcW w:w="80" w:type="dxa"/>
            <w:vAlign w:val="bottom"/>
          </w:tcPr>
          <w:p>
            <w:pPr>
              <w:spacing w:after="0"/>
              <w:rPr>
                <w:sz w:val="11"/>
                <w:szCs w:val="11"/>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323</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8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United States</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323</w:t>
            </w:r>
          </w:p>
        </w:tc>
        <w:tc>
          <w:tcPr>
            <w:tcW w:w="1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129</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109</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United States</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452</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432</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33"/>
        </w:trPr>
        <w:tc>
          <w:tcPr>
            <w:tcW w:w="338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International</w:t>
            </w:r>
          </w:p>
        </w:tc>
        <w:tc>
          <w:tcPr>
            <w:tcW w:w="80" w:type="dxa"/>
            <w:vAlign w:val="bottom"/>
          </w:tcPr>
          <w:p>
            <w:pPr>
              <w:spacing w:after="0"/>
              <w:rPr>
                <w:sz w:val="11"/>
                <w:szCs w:val="11"/>
                <w:color w:val="auto"/>
              </w:rPr>
            </w:pPr>
          </w:p>
        </w:tc>
        <w:tc>
          <w:tcPr>
            <w:tcW w:w="56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677</w:t>
            </w:r>
          </w:p>
        </w:tc>
        <w:tc>
          <w:tcPr>
            <w:tcW w:w="180" w:type="dxa"/>
            <w:vAlign w:val="bottom"/>
          </w:tcPr>
          <w:p>
            <w:pPr>
              <w:spacing w:after="0"/>
              <w:rPr>
                <w:sz w:val="11"/>
                <w:szCs w:val="11"/>
                <w:color w:val="auto"/>
              </w:rPr>
            </w:pPr>
          </w:p>
        </w:tc>
        <w:tc>
          <w:tcPr>
            <w:tcW w:w="600" w:type="dxa"/>
            <w:vAlign w:val="bottom"/>
          </w:tcPr>
          <w:p>
            <w:pPr>
              <w:jc w:val="right"/>
              <w:ind w:right="48"/>
              <w:spacing w:after="0" w:line="133" w:lineRule="exact"/>
              <w:rPr>
                <w:sz w:val="20"/>
                <w:szCs w:val="20"/>
                <w:color w:val="auto"/>
              </w:rPr>
            </w:pPr>
            <w:r>
              <w:rPr>
                <w:rFonts w:ascii="Arial" w:cs="Arial" w:eastAsia="Arial" w:hAnsi="Arial"/>
                <w:sz w:val="14"/>
                <w:szCs w:val="14"/>
                <w:color w:val="auto"/>
              </w:rPr>
              <w:t>638</w:t>
            </w:r>
          </w:p>
        </w:tc>
        <w:tc>
          <w:tcPr>
            <w:tcW w:w="1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49"/>
        </w:trPr>
        <w:tc>
          <w:tcPr>
            <w:tcW w:w="33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Excise taxes</w:t>
            </w:r>
          </w:p>
        </w:tc>
        <w:tc>
          <w:tcPr>
            <w:tcW w:w="80" w:type="dxa"/>
            <w:vAlign w:val="bottom"/>
          </w:tcPr>
          <w:p>
            <w:pPr>
              <w:spacing w:after="0"/>
              <w:rPr>
                <w:sz w:val="12"/>
                <w:szCs w:val="12"/>
                <w:color w:val="auto"/>
              </w:rPr>
            </w:pPr>
          </w:p>
        </w:tc>
        <w:tc>
          <w:tcPr>
            <w:tcW w:w="5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9</w:t>
            </w:r>
          </w:p>
        </w:tc>
        <w:tc>
          <w:tcPr>
            <w:tcW w:w="18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83</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68</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International</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769</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716</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Total Chemicals</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1,221</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1,148</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137"/>
        </w:trPr>
        <w:tc>
          <w:tcPr>
            <w:tcW w:w="338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1"/>
                <w:szCs w:val="11"/>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338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8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United States</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413</w:t>
            </w:r>
          </w:p>
        </w:tc>
        <w:tc>
          <w:tcPr>
            <w:tcW w:w="1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121</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105</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United States</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459</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518</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33"/>
        </w:trPr>
        <w:tc>
          <w:tcPr>
            <w:tcW w:w="338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International</w:t>
            </w:r>
          </w:p>
        </w:tc>
        <w:tc>
          <w:tcPr>
            <w:tcW w:w="80" w:type="dxa"/>
            <w:vAlign w:val="bottom"/>
          </w:tcPr>
          <w:p>
            <w:pPr>
              <w:spacing w:after="0"/>
              <w:rPr>
                <w:sz w:val="11"/>
                <w:szCs w:val="11"/>
                <w:color w:val="auto"/>
              </w:rPr>
            </w:pPr>
          </w:p>
        </w:tc>
        <w:tc>
          <w:tcPr>
            <w:tcW w:w="56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100</w:t>
            </w:r>
          </w:p>
        </w:tc>
        <w:tc>
          <w:tcPr>
            <w:tcW w:w="180" w:type="dxa"/>
            <w:vAlign w:val="bottom"/>
          </w:tcPr>
          <w:p>
            <w:pPr>
              <w:spacing w:after="0"/>
              <w:rPr>
                <w:sz w:val="11"/>
                <w:szCs w:val="11"/>
                <w:color w:val="auto"/>
              </w:rPr>
            </w:pPr>
          </w:p>
        </w:tc>
        <w:tc>
          <w:tcPr>
            <w:tcW w:w="600" w:type="dxa"/>
            <w:vAlign w:val="bottom"/>
          </w:tcPr>
          <w:p>
            <w:pPr>
              <w:jc w:val="right"/>
              <w:ind w:right="48"/>
              <w:spacing w:after="0" w:line="133"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Intersegment</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140"/>
              <w:spacing w:after="0" w:line="155" w:lineRule="exact"/>
              <w:rPr>
                <w:sz w:val="20"/>
                <w:szCs w:val="20"/>
                <w:color w:val="auto"/>
              </w:rPr>
            </w:pPr>
            <w:r>
              <w:rPr>
                <w:rFonts w:ascii="Arial" w:cs="Arial" w:eastAsia="Arial" w:hAnsi="Arial"/>
                <w:sz w:val="14"/>
                <w:szCs w:val="14"/>
                <w:color w:val="auto"/>
              </w:rPr>
              <w:t>Total International</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104</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0070FF"/>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Total All Other</w:t>
            </w:r>
          </w:p>
        </w:tc>
        <w:tc>
          <w:tcPr>
            <w:tcW w:w="8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563</w:t>
            </w:r>
          </w:p>
        </w:tc>
        <w:tc>
          <w:tcPr>
            <w:tcW w:w="18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555</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37"/>
        </w:trPr>
        <w:tc>
          <w:tcPr>
            <w:tcW w:w="338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Segment Sales and Other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tcPr>
          <w:p>
            <w:pPr>
              <w:spacing w:after="0"/>
              <w:rPr>
                <w:sz w:val="12"/>
                <w:szCs w:val="12"/>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62,798</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80" w:type="dxa"/>
            <w:vAlign w:val="bottom"/>
            <w:gridSpan w:val="3"/>
          </w:tcPr>
          <w:p>
            <w:pPr>
              <w:ind w:left="140"/>
              <w:spacing w:after="0" w:line="145" w:lineRule="exact"/>
              <w:rPr>
                <w:sz w:val="20"/>
                <w:szCs w:val="20"/>
                <w:color w:val="auto"/>
              </w:rPr>
            </w:pPr>
            <w:r>
              <w:rPr>
                <w:rFonts w:ascii="Arial" w:cs="Arial" w:eastAsia="Arial" w:hAnsi="Arial"/>
                <w:sz w:val="14"/>
                <w:szCs w:val="14"/>
                <w:color w:val="auto"/>
              </w:rPr>
              <w:t>United States</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48,198</w:t>
            </w:r>
          </w:p>
        </w:tc>
        <w:tc>
          <w:tcPr>
            <w:tcW w:w="1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rPr>
              <w:t>50,199</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140"/>
              <w:spacing w:after="0"/>
              <w:rPr>
                <w:sz w:val="20"/>
                <w:szCs w:val="20"/>
                <w:color w:val="auto"/>
              </w:rPr>
            </w:pPr>
            <w:r>
              <w:rPr>
                <w:rFonts w:ascii="Arial" w:cs="Arial" w:eastAsia="Arial" w:hAnsi="Arial"/>
                <w:sz w:val="14"/>
                <w:szCs w:val="14"/>
                <w:color w:val="auto"/>
              </w:rPr>
              <w:t>International</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72,227</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63,575</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65,576</w:t>
            </w:r>
          </w:p>
        </w:tc>
        <w:tc>
          <w:tcPr>
            <w:tcW w:w="0" w:type="dxa"/>
            <w:vAlign w:val="bottom"/>
          </w:tcPr>
          <w:p>
            <w:pPr>
              <w:spacing w:after="0"/>
              <w:rPr>
                <w:sz w:val="1"/>
                <w:szCs w:val="1"/>
                <w:color w:val="auto"/>
              </w:rPr>
            </w:pPr>
          </w:p>
        </w:tc>
      </w:tr>
      <w:tr>
        <w:trPr>
          <w:trHeight w:val="137"/>
        </w:trPr>
        <w:tc>
          <w:tcPr>
            <w:tcW w:w="3380" w:type="dxa"/>
            <w:vAlign w:val="bottom"/>
            <w:gridSpan w:val="3"/>
          </w:tcPr>
          <w:p>
            <w:pPr>
              <w:ind w:left="20"/>
              <w:spacing w:after="0" w:line="137" w:lineRule="exact"/>
              <w:rPr>
                <w:sz w:val="20"/>
                <w:szCs w:val="20"/>
                <w:color w:val="auto"/>
              </w:rPr>
            </w:pPr>
            <w:r>
              <w:rPr>
                <w:rFonts w:ascii="Arial" w:cs="Arial" w:eastAsia="Arial" w:hAnsi="Arial"/>
                <w:sz w:val="14"/>
                <w:szCs w:val="14"/>
                <w:b w:val="1"/>
                <w:bCs w:val="1"/>
                <w:color w:val="auto"/>
              </w:rPr>
              <w:t>Total Segment Sales and Other</w:t>
            </w:r>
          </w:p>
        </w:tc>
        <w:tc>
          <w:tcPr>
            <w:tcW w:w="80" w:type="dxa"/>
            <w:vAlign w:val="bottom"/>
          </w:tcPr>
          <w:p>
            <w:pPr>
              <w:spacing w:after="0"/>
              <w:rPr>
                <w:sz w:val="11"/>
                <w:szCs w:val="11"/>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6"/>
              </w:rPr>
              <w:t>135,025</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80" w:type="dxa"/>
            <w:vAlign w:val="bottom"/>
            <w:gridSpan w:val="3"/>
          </w:tcPr>
          <w:p>
            <w:pPr>
              <w:ind w:left="140"/>
              <w:spacing w:after="0" w:line="145" w:lineRule="exact"/>
              <w:rPr>
                <w:sz w:val="20"/>
                <w:szCs w:val="20"/>
                <w:color w:val="auto"/>
              </w:rPr>
            </w:pPr>
            <w:r>
              <w:rPr>
                <w:rFonts w:ascii="Arial" w:cs="Arial" w:eastAsia="Arial" w:hAnsi="Arial"/>
                <w:sz w:val="14"/>
                <w:szCs w:val="14"/>
                <w:color w:val="auto"/>
              </w:rPr>
              <w:t>Operating revenues</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w w:val="90"/>
              </w:rPr>
              <w:t>111,773</w:t>
            </w:r>
          </w:p>
        </w:tc>
        <w:tc>
          <w:tcPr>
            <w:tcW w:w="1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color w:val="auto"/>
                <w:w w:val="86"/>
              </w:rPr>
              <w:t>115,775</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0070FF"/>
            </w:tcBorders>
            <w:gridSpan w:val="3"/>
          </w:tcPr>
          <w:p>
            <w:pPr>
              <w:ind w:left="20"/>
              <w:spacing w:after="0"/>
              <w:rPr>
                <w:sz w:val="20"/>
                <w:szCs w:val="20"/>
                <w:color w:val="auto"/>
              </w:rPr>
            </w:pPr>
            <w:r>
              <w:rPr>
                <w:rFonts w:ascii="Arial" w:cs="Arial" w:eastAsia="Arial" w:hAnsi="Arial"/>
                <w:sz w:val="14"/>
                <w:szCs w:val="14"/>
                <w:color w:val="auto"/>
              </w:rPr>
              <w:t>Elimination of intersegment sales</w:t>
            </w: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w w:val="95"/>
              </w:rPr>
              <w:t>(14,993)</w:t>
            </w:r>
          </w:p>
        </w:tc>
        <w:tc>
          <w:tcPr>
            <w:tcW w:w="1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w w:val="95"/>
              </w:rPr>
              <w:t>(13,082)</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95"/>
              </w:rPr>
              <w:t>(11,366)</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0070FF"/>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Total Sales and Other Operating Revenues</w:t>
            </w:r>
          </w:p>
        </w:tc>
        <w:tc>
          <w:tcPr>
            <w:tcW w:w="80" w:type="dxa"/>
            <w:vAlign w:val="bottom"/>
            <w:tcBorders>
              <w:bottom w:val="single" w:sz="8" w:color="0070FF"/>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86"/>
              </w:rPr>
              <w:t>120,032</w:t>
            </w:r>
          </w:p>
        </w:tc>
        <w:tc>
          <w:tcPr>
            <w:tcW w:w="1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98,691</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6"/>
              </w:rPr>
              <w:t>104,409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F20000"/>
        </w:rPr>
        <w:t xml:space="preserve">Segment Income Taxes </w:t>
      </w:r>
      <w:r>
        <w:rPr>
          <w:rFonts w:ascii="Arial" w:cs="Arial" w:eastAsia="Arial" w:hAnsi="Arial"/>
          <w:sz w:val="16"/>
          <w:szCs w:val="16"/>
          <w:color w:val="000000"/>
        </w:rPr>
        <w:t>Segment income tax expenses for the years 2003, 2002 and</w:t>
      </w:r>
      <w:r>
        <w:rPr>
          <w:rFonts w:ascii="Arial" w:cs="Arial" w:eastAsia="Arial" w:hAnsi="Arial"/>
          <w:sz w:val="16"/>
          <w:szCs w:val="16"/>
          <w:i w:val="1"/>
          <w:iCs w:val="1"/>
          <w:color w:val="F20000"/>
        </w:rPr>
        <w:t xml:space="preserve"> </w:t>
      </w:r>
      <w:r>
        <w:rPr>
          <w:rFonts w:ascii="Arial" w:cs="Arial" w:eastAsia="Arial" w:hAnsi="Arial"/>
          <w:sz w:val="16"/>
          <w:szCs w:val="16"/>
          <w:color w:val="000000"/>
        </w:rPr>
        <w:t>2001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Borders>
              <w:bottom w:val="single" w:sz="8" w:color="0070FF"/>
            </w:tcBorders>
            <w:gridSpan w:val="5"/>
          </w:tcPr>
          <w:p>
            <w:pPr>
              <w:jc w:val="right"/>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76"/>
              <w:spacing w:after="0" w:line="169" w:lineRule="exact"/>
              <w:rPr>
                <w:sz w:val="20"/>
                <w:szCs w:val="20"/>
                <w:color w:val="auto"/>
              </w:rPr>
            </w:pPr>
            <w:r>
              <w:rPr>
                <w:rFonts w:ascii="Arial" w:cs="Arial" w:eastAsia="Arial" w:hAnsi="Arial"/>
                <w:sz w:val="12"/>
                <w:szCs w:val="12"/>
                <w:b w:val="1"/>
                <w:bCs w:val="1"/>
                <w:color w:val="auto"/>
              </w:rPr>
              <w:t>2003</w:t>
            </w:r>
            <w:r>
              <w:rPr>
                <w:rFonts w:ascii="Arial" w:cs="Arial" w:eastAsia="Arial" w:hAnsi="Arial"/>
                <w:sz w:val="19"/>
                <w:szCs w:val="19"/>
                <w:b w:val="1"/>
                <w:bCs w:val="1"/>
                <w:color w:val="auto"/>
                <w:vertAlign w:val="superscript"/>
              </w:rPr>
              <w:t>1</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2002</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40" w:type="dxa"/>
            <w:vAlign w:val="bottom"/>
          </w:tcPr>
          <w:p>
            <w:pPr>
              <w:spacing w:after="0" w:line="137" w:lineRule="exact"/>
              <w:rPr>
                <w:sz w:val="20"/>
                <w:szCs w:val="20"/>
                <w:color w:val="auto"/>
              </w:rPr>
            </w:pPr>
            <w:r>
              <w:rPr>
                <w:rFonts w:ascii="Arial" w:cs="Arial" w:eastAsia="Arial" w:hAnsi="Arial"/>
                <w:sz w:val="14"/>
                <w:szCs w:val="14"/>
                <w:b w:val="1"/>
                <w:bCs w:val="1"/>
                <w:color w:val="auto"/>
              </w:rPr>
              <w:t>Exploration and Production</w:t>
            </w:r>
          </w:p>
        </w:tc>
        <w:tc>
          <w:tcPr>
            <w:tcW w:w="94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$ 1,867</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60" w:type="dxa"/>
            <w:vAlign w:val="bottom"/>
            <w:gridSpan w:val="2"/>
          </w:tcPr>
          <w:p>
            <w:pPr>
              <w:spacing w:after="0" w:line="145" w:lineRule="exact"/>
              <w:rPr>
                <w:sz w:val="20"/>
                <w:szCs w:val="20"/>
                <w:color w:val="auto"/>
              </w:rPr>
            </w:pPr>
            <w:r>
              <w:rPr>
                <w:rFonts w:ascii="Arial" w:cs="Arial" w:eastAsia="Arial" w:hAnsi="Arial"/>
                <w:sz w:val="14"/>
                <w:szCs w:val="14"/>
                <w:color w:val="auto"/>
              </w:rPr>
              <w:t>United States</w:t>
            </w:r>
          </w:p>
        </w:tc>
        <w:tc>
          <w:tcPr>
            <w:tcW w:w="940" w:type="dxa"/>
            <w:vAlign w:val="bottom"/>
            <w:gridSpan w:val="2"/>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862</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International</w:t>
            </w:r>
          </w:p>
        </w:tc>
        <w:tc>
          <w:tcPr>
            <w:tcW w:w="940" w:type="dxa"/>
            <w:vAlign w:val="bottom"/>
            <w:tcBorders>
              <w:bottom w:val="single" w:sz="8" w:color="0070FF"/>
            </w:tcBorders>
            <w:gridSpan w:val="2"/>
          </w:tcPr>
          <w:p>
            <w:pPr>
              <w:jc w:val="right"/>
              <w:ind w:right="76"/>
              <w:spacing w:after="0"/>
              <w:rPr>
                <w:sz w:val="20"/>
                <w:szCs w:val="20"/>
                <w:color w:val="auto"/>
              </w:rPr>
            </w:pPr>
            <w:r>
              <w:rPr>
                <w:rFonts w:ascii="Arial" w:cs="Arial" w:eastAsia="Arial" w:hAnsi="Arial"/>
                <w:sz w:val="14"/>
                <w:szCs w:val="14"/>
                <w:b w:val="1"/>
                <w:bCs w:val="1"/>
                <w:color w:val="auto"/>
              </w:rPr>
              <w:t>3,867</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3,433</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3,569</w:t>
            </w:r>
          </w:p>
        </w:tc>
        <w:tc>
          <w:tcPr>
            <w:tcW w:w="0" w:type="dxa"/>
            <w:vAlign w:val="bottom"/>
          </w:tcPr>
          <w:p>
            <w:pPr>
              <w:spacing w:after="0"/>
              <w:rPr>
                <w:sz w:val="1"/>
                <w:szCs w:val="1"/>
                <w:color w:val="auto"/>
              </w:rPr>
            </w:pPr>
          </w:p>
        </w:tc>
      </w:tr>
      <w:tr>
        <w:trPr>
          <w:trHeight w:val="156"/>
        </w:trPr>
        <w:tc>
          <w:tcPr>
            <w:tcW w:w="326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Total Exploration and Production</w:t>
            </w:r>
          </w:p>
        </w:tc>
        <w:tc>
          <w:tcPr>
            <w:tcW w:w="940" w:type="dxa"/>
            <w:vAlign w:val="bottom"/>
            <w:tcBorders>
              <w:bottom w:val="single" w:sz="8" w:color="0070FF"/>
            </w:tcBorders>
            <w:gridSpan w:val="2"/>
          </w:tcPr>
          <w:p>
            <w:pPr>
              <w:jc w:val="right"/>
              <w:ind w:right="76"/>
              <w:spacing w:after="0" w:line="155" w:lineRule="exact"/>
              <w:rPr>
                <w:sz w:val="20"/>
                <w:szCs w:val="20"/>
                <w:color w:val="auto"/>
              </w:rPr>
            </w:pPr>
            <w:r>
              <w:rPr>
                <w:rFonts w:ascii="Arial" w:cs="Arial" w:eastAsia="Arial" w:hAnsi="Arial"/>
                <w:sz w:val="14"/>
                <w:szCs w:val="14"/>
                <w:b w:val="1"/>
                <w:bCs w:val="1"/>
                <w:color w:val="auto"/>
              </w:rPr>
              <w:t>5,734</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4,295</w:t>
            </w:r>
          </w:p>
        </w:tc>
        <w:tc>
          <w:tcPr>
            <w:tcW w:w="1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56"/>
        </w:trPr>
        <w:tc>
          <w:tcPr>
            <w:tcW w:w="326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Refining, Marketing and Transportation</w:t>
            </w:r>
          </w:p>
        </w:tc>
        <w:tc>
          <w:tcPr>
            <w:tcW w:w="40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spacing w:after="0"/>
              <w:rPr>
                <w:sz w:val="13"/>
                <w:szCs w:val="13"/>
                <w:color w:val="auto"/>
              </w:rPr>
            </w:pP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spacing w:after="0"/>
              <w:rPr>
                <w:sz w:val="13"/>
                <w:szCs w:val="13"/>
                <w:color w:val="auto"/>
              </w:rPr>
            </w:pPr>
          </w:p>
        </w:tc>
        <w:tc>
          <w:tcPr>
            <w:tcW w:w="1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60" w:type="dxa"/>
            <w:vAlign w:val="bottom"/>
            <w:gridSpan w:val="2"/>
          </w:tcPr>
          <w:p>
            <w:pPr>
              <w:spacing w:after="0" w:line="133" w:lineRule="exact"/>
              <w:rPr>
                <w:sz w:val="20"/>
                <w:szCs w:val="20"/>
                <w:color w:val="auto"/>
              </w:rPr>
            </w:pPr>
            <w:r>
              <w:rPr>
                <w:rFonts w:ascii="Arial" w:cs="Arial" w:eastAsia="Arial" w:hAnsi="Arial"/>
                <w:sz w:val="14"/>
                <w:szCs w:val="14"/>
                <w:color w:val="auto"/>
              </w:rPr>
              <w:t>United States</w:t>
            </w:r>
          </w:p>
        </w:tc>
        <w:tc>
          <w:tcPr>
            <w:tcW w:w="940" w:type="dxa"/>
            <w:vAlign w:val="bottom"/>
            <w:gridSpan w:val="2"/>
          </w:tcPr>
          <w:p>
            <w:pPr>
              <w:jc w:val="right"/>
              <w:ind w:right="76"/>
              <w:spacing w:after="0" w:line="133" w:lineRule="exact"/>
              <w:rPr>
                <w:sz w:val="20"/>
                <w:szCs w:val="20"/>
                <w:color w:val="auto"/>
              </w:rPr>
            </w:pPr>
            <w:r>
              <w:rPr>
                <w:rFonts w:ascii="Arial" w:cs="Arial" w:eastAsia="Arial" w:hAnsi="Arial"/>
                <w:sz w:val="14"/>
                <w:szCs w:val="14"/>
                <w:b w:val="1"/>
                <w:bCs w:val="1"/>
                <w:color w:val="auto"/>
              </w:rPr>
              <w:t>300</w:t>
            </w:r>
          </w:p>
        </w:tc>
        <w:tc>
          <w:tcPr>
            <w:tcW w:w="160" w:type="dxa"/>
            <w:vAlign w:val="bottom"/>
          </w:tcPr>
          <w:p>
            <w:pPr>
              <w:spacing w:after="0"/>
              <w:rPr>
                <w:sz w:val="11"/>
                <w:szCs w:val="11"/>
                <w:color w:val="auto"/>
              </w:rPr>
            </w:pPr>
          </w:p>
        </w:tc>
        <w:tc>
          <w:tcPr>
            <w:tcW w:w="520" w:type="dxa"/>
            <w:vAlign w:val="bottom"/>
          </w:tcPr>
          <w:p>
            <w:pPr>
              <w:jc w:val="right"/>
              <w:ind w:right="28"/>
              <w:spacing w:after="0" w:line="133" w:lineRule="exact"/>
              <w:rPr>
                <w:sz w:val="20"/>
                <w:szCs w:val="20"/>
                <w:color w:val="auto"/>
              </w:rPr>
            </w:pPr>
            <w:r>
              <w:rPr>
                <w:rFonts w:ascii="Arial" w:cs="Arial" w:eastAsia="Arial" w:hAnsi="Arial"/>
                <w:sz w:val="14"/>
                <w:szCs w:val="14"/>
                <w:color w:val="auto"/>
              </w:rPr>
              <w:t>(254)</w:t>
            </w:r>
          </w:p>
        </w:tc>
        <w:tc>
          <w:tcPr>
            <w:tcW w:w="16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International</w:t>
            </w:r>
          </w:p>
        </w:tc>
        <w:tc>
          <w:tcPr>
            <w:tcW w:w="940" w:type="dxa"/>
            <w:vAlign w:val="bottom"/>
            <w:tcBorders>
              <w:bottom w:val="single" w:sz="8" w:color="0070FF"/>
            </w:tcBorders>
            <w:gridSpan w:val="2"/>
          </w:tcPr>
          <w:p>
            <w:pPr>
              <w:jc w:val="right"/>
              <w:ind w:right="76"/>
              <w:spacing w:after="0"/>
              <w:rPr>
                <w:sz w:val="20"/>
                <w:szCs w:val="20"/>
                <w:color w:val="auto"/>
              </w:rPr>
            </w:pPr>
            <w:r>
              <w:rPr>
                <w:rFonts w:ascii="Arial" w:cs="Arial" w:eastAsia="Arial" w:hAnsi="Arial"/>
                <w:sz w:val="14"/>
                <w:szCs w:val="14"/>
                <w:b w:val="1"/>
                <w:bCs w:val="1"/>
                <w:color w:val="auto"/>
              </w:rPr>
              <w:t>275</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138</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56"/>
        </w:trPr>
        <w:tc>
          <w:tcPr>
            <w:tcW w:w="326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Total Refining, Marketing and Transportation</w:t>
            </w:r>
          </w:p>
        </w:tc>
        <w:tc>
          <w:tcPr>
            <w:tcW w:w="940" w:type="dxa"/>
            <w:vAlign w:val="bottom"/>
            <w:tcBorders>
              <w:bottom w:val="single" w:sz="8" w:color="0070FF"/>
            </w:tcBorders>
            <w:gridSpan w:val="2"/>
          </w:tcPr>
          <w:p>
            <w:pPr>
              <w:jc w:val="right"/>
              <w:ind w:right="76"/>
              <w:spacing w:after="0" w:line="155" w:lineRule="exact"/>
              <w:rPr>
                <w:sz w:val="20"/>
                <w:szCs w:val="20"/>
                <w:color w:val="auto"/>
              </w:rPr>
            </w:pPr>
            <w:r>
              <w:rPr>
                <w:rFonts w:ascii="Arial" w:cs="Arial" w:eastAsia="Arial" w:hAnsi="Arial"/>
                <w:sz w:val="14"/>
                <w:szCs w:val="14"/>
                <w:b w:val="1"/>
                <w:bCs w:val="1"/>
                <w:color w:val="auto"/>
              </w:rPr>
              <w:t>575</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(116)</w:t>
            </w:r>
          </w:p>
        </w:tc>
        <w:tc>
          <w:tcPr>
            <w:tcW w:w="1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37"/>
        </w:trPr>
        <w:tc>
          <w:tcPr>
            <w:tcW w:w="326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Chemicals</w:t>
            </w:r>
          </w:p>
        </w:tc>
        <w:tc>
          <w:tcPr>
            <w:tcW w:w="94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(25)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60" w:type="dxa"/>
            <w:vAlign w:val="bottom"/>
            <w:gridSpan w:val="2"/>
          </w:tcPr>
          <w:p>
            <w:pPr>
              <w:spacing w:after="0" w:line="145" w:lineRule="exact"/>
              <w:rPr>
                <w:sz w:val="20"/>
                <w:szCs w:val="20"/>
                <w:color w:val="auto"/>
              </w:rPr>
            </w:pPr>
            <w:r>
              <w:rPr>
                <w:rFonts w:ascii="Arial" w:cs="Arial" w:eastAsia="Arial" w:hAnsi="Arial"/>
                <w:sz w:val="14"/>
                <w:szCs w:val="14"/>
                <w:color w:val="auto"/>
              </w:rPr>
              <w:t>United States</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International</w:t>
            </w:r>
          </w:p>
        </w:tc>
        <w:tc>
          <w:tcPr>
            <w:tcW w:w="940" w:type="dxa"/>
            <w:vAlign w:val="bottom"/>
            <w:tcBorders>
              <w:bottom w:val="single" w:sz="8" w:color="0070FF"/>
            </w:tcBorders>
            <w:gridSpan w:val="2"/>
          </w:tcPr>
          <w:p>
            <w:pPr>
              <w:jc w:val="right"/>
              <w:ind w:right="76"/>
              <w:spacing w:after="0"/>
              <w:rPr>
                <w:sz w:val="20"/>
                <w:szCs w:val="20"/>
                <w:color w:val="auto"/>
              </w:rPr>
            </w:pPr>
            <w:r>
              <w:rPr>
                <w:rFonts w:ascii="Arial" w:cs="Arial" w:eastAsia="Arial" w:hAnsi="Arial"/>
                <w:sz w:val="14"/>
                <w:szCs w:val="14"/>
                <w:b w:val="1"/>
                <w:bCs w:val="1"/>
                <w:color w:val="auto"/>
              </w:rPr>
              <w:t>6</w:t>
            </w:r>
          </w:p>
        </w:tc>
        <w:tc>
          <w:tcPr>
            <w:tcW w:w="1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6"/>
        </w:trPr>
        <w:tc>
          <w:tcPr>
            <w:tcW w:w="326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Total Chemicals</w:t>
            </w:r>
          </w:p>
        </w:tc>
        <w:tc>
          <w:tcPr>
            <w:tcW w:w="940" w:type="dxa"/>
            <w:vAlign w:val="bottom"/>
            <w:tcBorders>
              <w:bottom w:val="single" w:sz="8" w:color="0070FF"/>
            </w:tcBorders>
            <w:gridSpan w:val="2"/>
          </w:tcPr>
          <w:p>
            <w:pPr>
              <w:jc w:val="right"/>
              <w:ind w:right="16"/>
              <w:spacing w:after="0" w:line="155" w:lineRule="exact"/>
              <w:rPr>
                <w:sz w:val="20"/>
                <w:szCs w:val="20"/>
                <w:color w:val="auto"/>
              </w:rPr>
            </w:pPr>
            <w:r>
              <w:rPr>
                <w:rFonts w:ascii="Arial" w:cs="Arial" w:eastAsia="Arial" w:hAnsi="Arial"/>
                <w:sz w:val="14"/>
                <w:szCs w:val="14"/>
                <w:b w:val="1"/>
                <w:bCs w:val="1"/>
                <w:color w:val="auto"/>
              </w:rPr>
              <w:t>(19)</w:t>
            </w:r>
          </w:p>
        </w:tc>
        <w:tc>
          <w:tcPr>
            <w:tcW w:w="160" w:type="dxa"/>
            <w:vAlign w:val="bottom"/>
            <w:tcBorders>
              <w:bottom w:val="single" w:sz="8" w:color="0070FF"/>
            </w:tcBorders>
          </w:tcPr>
          <w:p>
            <w:pPr>
              <w:spacing w:after="0"/>
              <w:rPr>
                <w:sz w:val="13"/>
                <w:szCs w:val="13"/>
                <w:color w:val="auto"/>
              </w:rPr>
            </w:pPr>
          </w:p>
        </w:tc>
        <w:tc>
          <w:tcPr>
            <w:tcW w:w="5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0070FF"/>
            </w:tcBorders>
            <w:gridSpan w:val="2"/>
          </w:tcPr>
          <w:p>
            <w:pPr>
              <w:spacing w:after="0" w:line="197" w:lineRule="exact"/>
              <w:rPr>
                <w:sz w:val="20"/>
                <w:szCs w:val="20"/>
                <w:color w:val="auto"/>
              </w:rPr>
            </w:pPr>
            <w:r>
              <w:rPr>
                <w:rFonts w:ascii="Arial" w:cs="Arial" w:eastAsia="Arial" w:hAnsi="Arial"/>
                <w:sz w:val="14"/>
                <w:szCs w:val="14"/>
                <w:color w:val="auto"/>
              </w:rPr>
              <w:t>All Other</w:t>
            </w:r>
            <w:r>
              <w:rPr>
                <w:rFonts w:ascii="Arial" w:cs="Arial" w:eastAsia="Arial" w:hAnsi="Arial"/>
                <w:sz w:val="22"/>
                <w:szCs w:val="22"/>
                <w:color w:val="auto"/>
                <w:vertAlign w:val="superscript"/>
              </w:rPr>
              <w:t>2</w:t>
            </w:r>
          </w:p>
        </w:tc>
        <w:tc>
          <w:tcPr>
            <w:tcW w:w="940" w:type="dxa"/>
            <w:vAlign w:val="bottom"/>
            <w:tcBorders>
              <w:bottom w:val="single" w:sz="8" w:color="0070FF"/>
            </w:tcBorders>
            <w:gridSpan w:val="2"/>
          </w:tcPr>
          <w:p>
            <w:pPr>
              <w:jc w:val="right"/>
              <w:ind w:right="16"/>
              <w:spacing w:after="0"/>
              <w:rPr>
                <w:sz w:val="20"/>
                <w:szCs w:val="20"/>
                <w:color w:val="auto"/>
              </w:rPr>
            </w:pPr>
            <w:r>
              <w:rPr>
                <w:rFonts w:ascii="Arial" w:cs="Arial" w:eastAsia="Arial" w:hAnsi="Arial"/>
                <w:sz w:val="14"/>
                <w:szCs w:val="14"/>
                <w:b w:val="1"/>
                <w:bCs w:val="1"/>
                <w:color w:val="auto"/>
              </w:rPr>
              <w:t>(946)</w:t>
            </w:r>
          </w:p>
        </w:tc>
        <w:tc>
          <w:tcPr>
            <w:tcW w:w="160" w:type="dxa"/>
            <w:vAlign w:val="bottom"/>
            <w:tcBorders>
              <w:bottom w:val="single" w:sz="8" w:color="0070FF"/>
            </w:tcBorders>
          </w:tcPr>
          <w:p>
            <w:pPr>
              <w:spacing w:after="0"/>
              <w:rPr>
                <w:sz w:val="17"/>
                <w:szCs w:val="17"/>
                <w:color w:val="auto"/>
              </w:rPr>
            </w:pPr>
          </w:p>
        </w:tc>
        <w:tc>
          <w:tcPr>
            <w:tcW w:w="5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w w:val="90"/>
              </w:rPr>
              <w:t>(1,155)</w:t>
            </w:r>
          </w:p>
        </w:tc>
        <w:tc>
          <w:tcPr>
            <w:tcW w:w="160" w:type="dxa"/>
            <w:vAlign w:val="bottom"/>
            <w:tcBorders>
              <w:bottom w:val="single" w:sz="8" w:color="0070FF"/>
            </w:tcBorders>
          </w:tcPr>
          <w:p>
            <w:pPr>
              <w:spacing w:after="0"/>
              <w:rPr>
                <w:sz w:val="17"/>
                <w:szCs w:val="17"/>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90"/>
              </w:rPr>
              <w:t>(1,123)</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0070FF"/>
            </w:tcBorders>
            <w:gridSpan w:val="2"/>
          </w:tcPr>
          <w:p>
            <w:pPr>
              <w:spacing w:after="0" w:line="197" w:lineRule="exact"/>
              <w:rPr>
                <w:sz w:val="20"/>
                <w:szCs w:val="20"/>
                <w:color w:val="auto"/>
              </w:rPr>
            </w:pPr>
            <w:r>
              <w:rPr>
                <w:rFonts w:ascii="Arial" w:cs="Arial" w:eastAsia="Arial" w:hAnsi="Arial"/>
                <w:sz w:val="14"/>
                <w:szCs w:val="14"/>
                <w:b w:val="1"/>
                <w:bCs w:val="1"/>
                <w:color w:val="auto"/>
              </w:rPr>
              <w:t>Total Income Tax Expense</w:t>
            </w:r>
            <w:r>
              <w:rPr>
                <w:rFonts w:ascii="Arial" w:cs="Arial" w:eastAsia="Arial" w:hAnsi="Arial"/>
                <w:sz w:val="22"/>
                <w:szCs w:val="22"/>
                <w:b w:val="1"/>
                <w:bCs w:val="1"/>
                <w:color w:val="auto"/>
                <w:vertAlign w:val="superscript"/>
              </w:rPr>
              <w:t>2</w:t>
            </w:r>
          </w:p>
        </w:tc>
        <w:tc>
          <w:tcPr>
            <w:tcW w:w="940" w:type="dxa"/>
            <w:vAlign w:val="bottom"/>
            <w:tcBorders>
              <w:bottom w:val="single" w:sz="8" w:color="0070FF"/>
            </w:tcBorders>
            <w:gridSpan w:val="2"/>
          </w:tcPr>
          <w:p>
            <w:pPr>
              <w:jc w:val="right"/>
              <w:ind w:right="76"/>
              <w:spacing w:after="0"/>
              <w:rPr>
                <w:sz w:val="20"/>
                <w:szCs w:val="20"/>
                <w:color w:val="auto"/>
              </w:rPr>
            </w:pPr>
            <w:r>
              <w:rPr>
                <w:rFonts w:ascii="Arial" w:cs="Arial" w:eastAsia="Arial" w:hAnsi="Arial"/>
                <w:sz w:val="14"/>
                <w:szCs w:val="14"/>
                <w:b w:val="1"/>
                <w:bCs w:val="1"/>
                <w:color w:val="auto"/>
              </w:rPr>
              <w:t>$5,344</w:t>
            </w:r>
          </w:p>
        </w:tc>
        <w:tc>
          <w:tcPr>
            <w:tcW w:w="1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3,024</w:t>
            </w:r>
          </w:p>
        </w:tc>
        <w:tc>
          <w:tcPr>
            <w:tcW w:w="1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00" w:right="100" w:hanging="100"/>
        <w:spacing w:after="0" w:line="194" w:lineRule="auto"/>
        <w:tabs>
          <w:tab w:leader="none" w:pos="100" w:val="left"/>
        </w:tabs>
        <w:numPr>
          <w:ilvl w:val="0"/>
          <w:numId w:val="42"/>
        </w:numPr>
        <w:rPr>
          <w:rFonts w:ascii="Arial" w:cs="Arial" w:eastAsia="Arial" w:hAnsi="Arial"/>
          <w:sz w:val="18"/>
          <w:szCs w:val="18"/>
          <w:color w:val="auto"/>
          <w:vertAlign w:val="superscript"/>
        </w:rPr>
      </w:pPr>
      <w:r>
        <w:rPr>
          <w:rFonts w:ascii="Arial" w:cs="Arial" w:eastAsia="Arial" w:hAnsi="Arial"/>
          <w:sz w:val="11"/>
          <w:szCs w:val="11"/>
          <w:color w:val="auto"/>
        </w:rPr>
        <w:t>See Note 25 on page FS-50 for information concerning the cumulative effect of changes in accounting principles due to the adoption of FAS 143, “Accounting for Asset Retirement Obligations.”</w:t>
      </w:r>
    </w:p>
    <w:p>
      <w:pPr>
        <w:ind w:left="100" w:hanging="100"/>
        <w:spacing w:after="0" w:line="182" w:lineRule="auto"/>
        <w:tabs>
          <w:tab w:leader="none" w:pos="100" w:val="left"/>
        </w:tabs>
        <w:numPr>
          <w:ilvl w:val="0"/>
          <w:numId w:val="43"/>
        </w:numPr>
        <w:rPr>
          <w:rFonts w:ascii="Arial" w:cs="Arial" w:eastAsia="Arial" w:hAnsi="Arial"/>
          <w:sz w:val="17"/>
          <w:szCs w:val="17"/>
          <w:color w:val="auto"/>
          <w:vertAlign w:val="superscript"/>
        </w:rPr>
      </w:pPr>
      <w:r>
        <w:rPr>
          <w:rFonts w:ascii="Arial" w:cs="Arial" w:eastAsia="Arial" w:hAnsi="Arial"/>
          <w:sz w:val="11"/>
          <w:szCs w:val="11"/>
          <w:color w:val="auto"/>
        </w:rPr>
        <w:t>2001 excludes tax of $144 for extraordinary item.</w:t>
      </w:r>
    </w:p>
    <w:p>
      <w:pPr>
        <w:spacing w:after="0" w:line="186"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i w:val="1"/>
          <w:iCs w:val="1"/>
          <w:color w:val="F20000"/>
        </w:rPr>
        <w:t xml:space="preserve">Other Segment Information </w:t>
      </w:r>
      <w:r>
        <w:rPr>
          <w:rFonts w:ascii="Arial" w:cs="Arial" w:eastAsia="Arial" w:hAnsi="Arial"/>
          <w:sz w:val="16"/>
          <w:szCs w:val="16"/>
          <w:color w:val="000000"/>
        </w:rPr>
        <w:t>Additional information for the segmentation of major</w:t>
      </w:r>
      <w:r>
        <w:rPr>
          <w:rFonts w:ascii="Arial" w:cs="Arial" w:eastAsia="Arial" w:hAnsi="Arial"/>
          <w:sz w:val="16"/>
          <w:szCs w:val="16"/>
          <w:i w:val="1"/>
          <w:iCs w:val="1"/>
          <w:color w:val="F20000"/>
        </w:rPr>
        <w:t xml:space="preserve"> </w:t>
      </w:r>
      <w:r>
        <w:rPr>
          <w:rFonts w:ascii="Arial" w:cs="Arial" w:eastAsia="Arial" w:hAnsi="Arial"/>
          <w:sz w:val="16"/>
          <w:szCs w:val="16"/>
          <w:color w:val="000000"/>
        </w:rPr>
        <w:t>equity affiliates is contained in Note 14 beginning on page FS-38. Information related to properties, plant and equipment by segment is contained in Note 15 on page FS-40.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LITIGATION</w:t>
      </w:r>
    </w:p>
    <w:p>
      <w:pPr>
        <w:spacing w:after="0" w:line="27"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i w:val="1"/>
          <w:iCs w:val="1"/>
          <w:color w:val="F20000"/>
        </w:rPr>
        <w:t xml:space="preserve">Unocal Patent </w:t>
      </w:r>
      <w:r>
        <w:rPr>
          <w:rFonts w:ascii="Arial" w:cs="Arial" w:eastAsia="Arial" w:hAnsi="Arial"/>
          <w:sz w:val="15"/>
          <w:szCs w:val="15"/>
          <w:color w:val="000000"/>
        </w:rPr>
        <w:t>Chevron, Texaco and four other oil companies (refiners) filed suit in</w:t>
      </w:r>
      <w:r>
        <w:rPr>
          <w:rFonts w:ascii="Arial" w:cs="Arial" w:eastAsia="Arial" w:hAnsi="Arial"/>
          <w:sz w:val="15"/>
          <w:szCs w:val="15"/>
          <w:i w:val="1"/>
          <w:iCs w:val="1"/>
          <w:color w:val="F20000"/>
        </w:rPr>
        <w:t xml:space="preserve"> </w:t>
      </w:r>
      <w:r>
        <w:rPr>
          <w:rFonts w:ascii="Arial" w:cs="Arial" w:eastAsia="Arial" w:hAnsi="Arial"/>
          <w:sz w:val="15"/>
          <w:szCs w:val="15"/>
          <w:color w:val="000000"/>
        </w:rPr>
        <w:t>1995, contesting the validity of a patent (‘393’ patent) granted to Unocal Corporation (Unocal) for certain reformulated gasoline blends. ChevronTexaco sells reformulated gasolines in California in certain months of the year.</w:t>
      </w:r>
    </w:p>
    <w:p>
      <w:pPr>
        <w:spacing w:after="0" w:line="1" w:lineRule="exact"/>
        <w:rPr>
          <w:sz w:val="20"/>
          <w:szCs w:val="20"/>
          <w:color w:val="auto"/>
        </w:rPr>
      </w:pPr>
    </w:p>
    <w:p>
      <w:pPr>
        <w:ind w:right="240" w:firstLine="203"/>
        <w:spacing w:after="0" w:line="281" w:lineRule="auto"/>
        <w:rPr>
          <w:sz w:val="20"/>
          <w:szCs w:val="20"/>
          <w:color w:val="auto"/>
        </w:rPr>
      </w:pPr>
      <w:r>
        <w:rPr>
          <w:rFonts w:ascii="Arial" w:cs="Arial" w:eastAsia="Arial" w:hAnsi="Arial"/>
          <w:sz w:val="15"/>
          <w:szCs w:val="15"/>
          <w:color w:val="auto"/>
        </w:rPr>
        <w:t>In March 2000, the U.S. Court of Appeals for the Federal Circuit upheld a September 1998 District Court decision that Unocal’s patent was valid and enforceable and assessed damages of 5.75 cents per gallon for gasoline produced during the summer of 1996 that infringed on the claims of the patent.</w:t>
      </w:r>
    </w:p>
    <w:p>
      <w:pPr>
        <w:spacing w:after="0" w:line="3" w:lineRule="exact"/>
        <w:rPr>
          <w:sz w:val="20"/>
          <w:szCs w:val="20"/>
          <w:color w:val="auto"/>
        </w:rPr>
      </w:pPr>
    </w:p>
    <w:p>
      <w:pPr>
        <w:ind w:right="20" w:firstLine="203"/>
        <w:spacing w:after="0" w:line="264" w:lineRule="auto"/>
        <w:rPr>
          <w:sz w:val="20"/>
          <w:szCs w:val="20"/>
          <w:color w:val="auto"/>
        </w:rPr>
      </w:pPr>
      <w:r>
        <w:rPr>
          <w:rFonts w:ascii="Arial" w:cs="Arial" w:eastAsia="Arial" w:hAnsi="Arial"/>
          <w:sz w:val="16"/>
          <w:szCs w:val="16"/>
          <w:color w:val="auto"/>
        </w:rPr>
        <w:t>In February 2001, the U.S. Supreme Court concluded it would not review the lower court’s ruling, and the case was sent back to the District Court for an accounting of all infringing gasoline produced after August 1, 1996. The District Court ruled that the per-gallon damages awarded by the jury are limited to infringement that occurs in California only. Additionally, the U.S. Patent and Trademark Office (USPTO) granted three petitions by the refiners to re-examine the validity of Unocal’s ‘393’ patent and has twice rejected all of the claims in the ‘393’ patent. Those rejections have been appealed by Unocal to the USPTO Board of Appeals. The District Court judge requested further briefing and advised that she would not enter a final judgment in this case until the USPTO had completed its re-examination of the ‘393’ patent.</w:t>
      </w:r>
    </w:p>
    <w:p>
      <w:pPr>
        <w:spacing w:after="0" w:line="2" w:lineRule="exact"/>
        <w:rPr>
          <w:sz w:val="20"/>
          <w:szCs w:val="20"/>
          <w:color w:val="auto"/>
        </w:rPr>
      </w:pPr>
    </w:p>
    <w:p>
      <w:pPr>
        <w:ind w:right="60" w:firstLine="203"/>
        <w:spacing w:after="0" w:line="295" w:lineRule="auto"/>
        <w:rPr>
          <w:sz w:val="20"/>
          <w:szCs w:val="20"/>
          <w:color w:val="auto"/>
        </w:rPr>
      </w:pPr>
      <w:r>
        <w:rPr>
          <w:rFonts w:ascii="Arial" w:cs="Arial" w:eastAsia="Arial" w:hAnsi="Arial"/>
          <w:sz w:val="15"/>
          <w:szCs w:val="15"/>
          <w:color w:val="auto"/>
        </w:rPr>
        <w:t>During 2002 and 2003, the USPTO granted two petitions for re-examination of another Unocal patent, the ‘126’ patent. The USPTO has rejected the validity of the claims of the ‘126’ patent, which could affect a larger share of U.S. gasoline production. Separately, in March 2003, the Federal Trade Commission (FTC)</w:t>
      </w:r>
    </w:p>
    <w:p>
      <w:pPr>
        <w:spacing w:after="0" w:line="200" w:lineRule="exact"/>
        <w:rPr>
          <w:sz w:val="20"/>
          <w:szCs w:val="20"/>
          <w:color w:val="auto"/>
        </w:rPr>
      </w:pPr>
    </w:p>
    <w:p>
      <w:pPr>
        <w:sectPr>
          <w:pgSz w:w="11900" w:h="16838" w:orient="portrait"/>
          <w:cols w:equalWidth="0" w:num="2">
            <w:col w:w="5480" w:space="400"/>
            <w:col w:w="5480"/>
          </w:cols>
          <w:pgMar w:left="240" w:top="419" w:right="299" w:bottom="1440" w:gutter="0" w:footer="0" w:header="0"/>
          <w:type w:val="continuous"/>
        </w:sect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19" w:right="29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0070FF"/>
        </w:rPr>
        <w:t>NOTE 10. LITIGATION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filed a complaint against Unocal alleging that its conduct during the pendency of the patents was in violation of antitrust law. In November 2003, the Administrative Law Judge dismissed the complaint brought by the FTC. The FTC has appealed the decision.</w:t>
      </w:r>
    </w:p>
    <w:p>
      <w:pPr>
        <w:spacing w:after="0" w:line="135" w:lineRule="exact"/>
        <w:rPr>
          <w:sz w:val="20"/>
          <w:szCs w:val="20"/>
          <w:color w:val="auto"/>
        </w:rPr>
      </w:pPr>
    </w:p>
    <w:p>
      <w:pPr>
        <w:ind w:right="120" w:firstLine="203"/>
        <w:spacing w:after="0" w:line="282" w:lineRule="auto"/>
        <w:rPr>
          <w:sz w:val="20"/>
          <w:szCs w:val="20"/>
          <w:color w:val="auto"/>
        </w:rPr>
      </w:pPr>
      <w:r>
        <w:rPr>
          <w:rFonts w:ascii="Arial" w:cs="Arial" w:eastAsia="Arial" w:hAnsi="Arial"/>
          <w:sz w:val="15"/>
          <w:szCs w:val="15"/>
          <w:color w:val="auto"/>
        </w:rPr>
        <w:t>Unocal has obtained additional patents that could affect a larger share of U.S. gasoline production. ChevronTexaco believes these additional patents are invalid, unenforceable and/or not infringed. The company’s financial exposure in the event of unfavorable conclusions to the patent litigation and regulatory reviews may include royalties, plus interest, for production of gasoline that is proved to have infringed the patents. The competitive and financial effects on the company’s refining and marketing operations, although presently indeterminable, could be material. ChevronTexaco has been accruing in the normal course of business any future estimated liability for potential infringement of the ‘393’ patent covered by the 1998 trial court’s ruling.</w:t>
      </w:r>
    </w:p>
    <w:p>
      <w:pPr>
        <w:spacing w:after="0" w:line="3" w:lineRule="exact"/>
        <w:rPr>
          <w:sz w:val="20"/>
          <w:szCs w:val="20"/>
          <w:color w:val="auto"/>
        </w:rPr>
      </w:pPr>
    </w:p>
    <w:p>
      <w:pPr>
        <w:ind w:right="180" w:firstLine="203"/>
        <w:spacing w:after="0" w:line="276" w:lineRule="auto"/>
        <w:rPr>
          <w:sz w:val="20"/>
          <w:szCs w:val="20"/>
          <w:color w:val="auto"/>
        </w:rPr>
      </w:pPr>
      <w:r>
        <w:rPr>
          <w:rFonts w:ascii="Arial" w:cs="Arial" w:eastAsia="Arial" w:hAnsi="Arial"/>
          <w:sz w:val="16"/>
          <w:szCs w:val="16"/>
          <w:color w:val="auto"/>
        </w:rPr>
        <w:t>In 2000, prior to the merger, Chevron and Texaco made payments to Unocal totaling approximately $30 million for the original court ruling, including interest and fees.</w:t>
      </w:r>
    </w:p>
    <w:p>
      <w:pPr>
        <w:spacing w:after="0" w:line="131"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i w:val="1"/>
          <w:iCs w:val="1"/>
          <w:color w:val="F20000"/>
        </w:rPr>
        <w:t xml:space="preserve">MTBE </w:t>
      </w:r>
      <w:r>
        <w:rPr>
          <w:rFonts w:ascii="Arial" w:cs="Arial" w:eastAsia="Arial" w:hAnsi="Arial"/>
          <w:sz w:val="16"/>
          <w:szCs w:val="16"/>
          <w:color w:val="000000"/>
        </w:rPr>
        <w:t>Another issue involving the company is the petroleum industry’s use of</w:t>
      </w:r>
      <w:r>
        <w:rPr>
          <w:rFonts w:ascii="Arial" w:cs="Arial" w:eastAsia="Arial" w:hAnsi="Arial"/>
          <w:sz w:val="16"/>
          <w:szCs w:val="16"/>
          <w:i w:val="1"/>
          <w:iCs w:val="1"/>
          <w:color w:val="F20000"/>
        </w:rPr>
        <w:t xml:space="preserve"> </w:t>
      </w:r>
      <w:r>
        <w:rPr>
          <w:rFonts w:ascii="Arial" w:cs="Arial" w:eastAsia="Arial" w:hAnsi="Arial"/>
          <w:sz w:val="16"/>
          <w:szCs w:val="16"/>
          <w:color w:val="000000"/>
        </w:rPr>
        <w:t>methyl tertiary butyl ether (MTBE) as a gasoline additive and its potential environmental impact through seepage into groundwater.</w:t>
      </w:r>
    </w:p>
    <w:p>
      <w:pPr>
        <w:spacing w:after="0" w:line="130" w:lineRule="exact"/>
        <w:rPr>
          <w:sz w:val="20"/>
          <w:szCs w:val="20"/>
          <w:color w:val="auto"/>
        </w:rPr>
      </w:pPr>
    </w:p>
    <w:p>
      <w:pPr>
        <w:ind w:right="40" w:firstLine="194"/>
        <w:spacing w:after="0" w:line="265" w:lineRule="auto"/>
        <w:rPr>
          <w:sz w:val="20"/>
          <w:szCs w:val="20"/>
          <w:color w:val="auto"/>
        </w:rPr>
      </w:pPr>
      <w:r>
        <w:rPr>
          <w:rFonts w:ascii="Arial" w:cs="Arial" w:eastAsia="Arial" w:hAnsi="Arial"/>
          <w:sz w:val="16"/>
          <w:szCs w:val="16"/>
          <w:color w:val="auto"/>
        </w:rPr>
        <w:t>Along with other oil companies, the company is a party to more than 60 lawsuits and claims related to the use of the chemical MTBE in certain oxygenated gasolines. These actions may require the company to correct or ameliorate the alleged effects on the environment of prior release of MTBE by the company or other parties. Additional lawsuits and claims related to the use of MTBE, including personal-injury claims, may be filed in the future.</w:t>
      </w:r>
    </w:p>
    <w:p>
      <w:pPr>
        <w:ind w:right="140" w:firstLine="200"/>
        <w:spacing w:after="0" w:line="270" w:lineRule="auto"/>
        <w:rPr>
          <w:sz w:val="20"/>
          <w:szCs w:val="20"/>
          <w:color w:val="auto"/>
        </w:rPr>
      </w:pPr>
      <w:r>
        <w:rPr>
          <w:rFonts w:ascii="Arial" w:cs="Arial" w:eastAsia="Arial" w:hAnsi="Arial"/>
          <w:sz w:val="16"/>
          <w:szCs w:val="16"/>
          <w:color w:val="auto"/>
        </w:rPr>
        <w:t>The company’s ultimate exposure related to these lawsuits and claims is not currently determinable, but could be material to net income in any one period. ChevronTexaco has reduced the use of MTBE in gasoline it manufactures in the United States, including the complete phase-out of MTBE in California before the end of 2003.</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11.</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LEASE COMMITMENTS</w:t>
      </w:r>
    </w:p>
    <w:p>
      <w:pPr>
        <w:spacing w:after="0" w:line="155" w:lineRule="exact"/>
        <w:rPr>
          <w:sz w:val="20"/>
          <w:szCs w:val="20"/>
          <w:color w:val="auto"/>
        </w:rPr>
      </w:pPr>
    </w:p>
    <w:p>
      <w:pPr>
        <w:ind w:right="120"/>
        <w:spacing w:after="0" w:line="315" w:lineRule="auto"/>
        <w:rPr>
          <w:sz w:val="20"/>
          <w:szCs w:val="20"/>
          <w:color w:val="auto"/>
        </w:rPr>
      </w:pPr>
      <w:r>
        <w:rPr>
          <w:rFonts w:ascii="Arial" w:cs="Arial" w:eastAsia="Arial" w:hAnsi="Arial"/>
          <w:sz w:val="14"/>
          <w:szCs w:val="14"/>
          <w:color w:val="auto"/>
        </w:rPr>
        <w:t>Certain noncancelable leases are classified as capital leases, and the leased assets are included as part of “Properties, plant and equipment, at cost.” Such leasing arrangements involve tanker charters, crude oil production and processing equipment, service stations, and other facilities. Other leases are classified as operating leases and are not capitalized. The payments on such leases are recorded as expense. Details of the capitalized leased assets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100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w w:val="96"/>
              </w:rPr>
              <w:t>At December 31</w:t>
            </w:r>
          </w:p>
        </w:tc>
      </w:tr>
      <w:tr>
        <w:trPr>
          <w:trHeight w:val="142"/>
        </w:trPr>
        <w:tc>
          <w:tcPr>
            <w:tcW w:w="440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440" w:type="dxa"/>
            <w:vAlign w:val="bottom"/>
            <w:tcBorders>
              <w:bottom w:val="single" w:sz="8" w:color="0070FF"/>
            </w:tcBorders>
          </w:tcPr>
          <w:p>
            <w:pPr>
              <w:jc w:val="right"/>
              <w:ind w:right="49"/>
              <w:spacing w:after="0" w:line="142" w:lineRule="exact"/>
              <w:rPr>
                <w:sz w:val="20"/>
                <w:szCs w:val="20"/>
                <w:color w:val="auto"/>
              </w:rPr>
            </w:pPr>
            <w:r>
              <w:rPr>
                <w:rFonts w:ascii="Arial" w:cs="Arial" w:eastAsia="Arial" w:hAnsi="Arial"/>
                <w:sz w:val="14"/>
                <w:szCs w:val="14"/>
                <w:b w:val="1"/>
                <w:bCs w:val="1"/>
                <w:color w:val="auto"/>
                <w:w w:val="96"/>
              </w:rPr>
              <w:t>2003</w:t>
            </w:r>
          </w:p>
        </w:tc>
        <w:tc>
          <w:tcPr>
            <w:tcW w:w="180" w:type="dxa"/>
            <w:vAlign w:val="bottom"/>
            <w:tcBorders>
              <w:bottom w:val="single" w:sz="8" w:color="0070FF"/>
            </w:tcBorders>
          </w:tcPr>
          <w:p>
            <w:pPr>
              <w:spacing w:after="0"/>
              <w:rPr>
                <w:sz w:val="12"/>
                <w:szCs w:val="12"/>
                <w:color w:val="auto"/>
              </w:rPr>
            </w:pPr>
          </w:p>
        </w:tc>
        <w:tc>
          <w:tcPr>
            <w:tcW w:w="3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w w:val="96"/>
              </w:rPr>
              <w:t>2002</w:t>
            </w: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Exploration and Production</w:t>
            </w:r>
          </w:p>
        </w:tc>
        <w:tc>
          <w:tcPr>
            <w:tcW w:w="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ind w:right="49"/>
              <w:spacing w:after="0" w:line="133" w:lineRule="exact"/>
              <w:rPr>
                <w:sz w:val="20"/>
                <w:szCs w:val="20"/>
                <w:color w:val="auto"/>
              </w:rPr>
            </w:pPr>
            <w:r>
              <w:rPr>
                <w:rFonts w:ascii="Arial" w:cs="Arial" w:eastAsia="Arial" w:hAnsi="Arial"/>
                <w:sz w:val="14"/>
                <w:szCs w:val="14"/>
                <w:b w:val="1"/>
                <w:bCs w:val="1"/>
                <w:color w:val="auto"/>
              </w:rPr>
              <w:t>246</w:t>
            </w:r>
          </w:p>
        </w:tc>
        <w:tc>
          <w:tcPr>
            <w:tcW w:w="1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33" w:lineRule="exact"/>
              <w:rPr>
                <w:sz w:val="20"/>
                <w:szCs w:val="20"/>
                <w:color w:val="auto"/>
              </w:rPr>
            </w:pPr>
            <w:r>
              <w:rPr>
                <w:rFonts w:ascii="Arial" w:cs="Arial" w:eastAsia="Arial" w:hAnsi="Arial"/>
                <w:sz w:val="14"/>
                <w:szCs w:val="14"/>
                <w:color w:val="auto"/>
              </w:rPr>
              <w:t>176</w:t>
            </w:r>
          </w:p>
        </w:tc>
      </w:tr>
      <w:tr>
        <w:trPr>
          <w:trHeight w:val="171"/>
        </w:trPr>
        <w:tc>
          <w:tcPr>
            <w:tcW w:w="440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Refining, Marketing and Transportation</w:t>
            </w: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842</w:t>
            </w:r>
          </w:p>
        </w:tc>
        <w:tc>
          <w:tcPr>
            <w:tcW w:w="18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843</w:t>
            </w:r>
          </w:p>
        </w:tc>
      </w:tr>
      <w:tr>
        <w:trPr>
          <w:trHeight w:val="133"/>
        </w:trPr>
        <w:tc>
          <w:tcPr>
            <w:tcW w:w="4400" w:type="dxa"/>
            <w:vAlign w:val="bottom"/>
          </w:tcPr>
          <w:p>
            <w:pPr>
              <w:ind w:left="140"/>
              <w:spacing w:after="0" w:line="133"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1"/>
                <w:szCs w:val="11"/>
                <w:color w:val="auto"/>
              </w:rPr>
            </w:pPr>
          </w:p>
        </w:tc>
        <w:tc>
          <w:tcPr>
            <w:tcW w:w="440" w:type="dxa"/>
            <w:vAlign w:val="bottom"/>
          </w:tcPr>
          <w:p>
            <w:pPr>
              <w:jc w:val="right"/>
              <w:ind w:right="49"/>
              <w:spacing w:after="0" w:line="133" w:lineRule="exact"/>
              <w:rPr>
                <w:sz w:val="20"/>
                <w:szCs w:val="20"/>
                <w:color w:val="auto"/>
              </w:rPr>
            </w:pPr>
            <w:r>
              <w:rPr>
                <w:rFonts w:ascii="Arial" w:cs="Arial" w:eastAsia="Arial" w:hAnsi="Arial"/>
                <w:sz w:val="14"/>
                <w:szCs w:val="14"/>
                <w:b w:val="1"/>
                <w:bCs w:val="1"/>
                <w:color w:val="auto"/>
                <w:w w:val="85"/>
              </w:rPr>
              <w:t>1,088</w:t>
            </w:r>
          </w:p>
        </w:tc>
        <w:tc>
          <w:tcPr>
            <w:tcW w:w="18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4"/>
                <w:szCs w:val="14"/>
                <w:color w:val="auto"/>
                <w:w w:val="85"/>
              </w:rPr>
              <w:t>1,019</w:t>
            </w:r>
          </w:p>
        </w:tc>
      </w:tr>
      <w:tr>
        <w:trPr>
          <w:trHeight w:val="171"/>
        </w:trPr>
        <w:tc>
          <w:tcPr>
            <w:tcW w:w="440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642</w:t>
            </w:r>
          </w:p>
        </w:tc>
        <w:tc>
          <w:tcPr>
            <w:tcW w:w="18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595</w:t>
            </w:r>
          </w:p>
        </w:tc>
      </w:tr>
      <w:tr>
        <w:trPr>
          <w:trHeight w:val="176"/>
        </w:trPr>
        <w:tc>
          <w:tcPr>
            <w:tcW w:w="440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Net capitalized leased assets</w:t>
            </w: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446</w:t>
            </w:r>
          </w:p>
        </w:tc>
        <w:tc>
          <w:tcPr>
            <w:tcW w:w="1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424</w:t>
            </w:r>
          </w:p>
        </w:tc>
      </w:tr>
    </w:tbl>
    <w:p>
      <w:pPr>
        <w:spacing w:after="0" w:line="166" w:lineRule="exact"/>
        <w:rPr>
          <w:sz w:val="20"/>
          <w:szCs w:val="20"/>
          <w:color w:val="auto"/>
        </w:rPr>
      </w:pPr>
    </w:p>
    <w:p>
      <w:pPr>
        <w:ind w:right="100" w:firstLine="203"/>
        <w:spacing w:after="0" w:line="293" w:lineRule="auto"/>
        <w:rPr>
          <w:sz w:val="20"/>
          <w:szCs w:val="20"/>
          <w:color w:val="auto"/>
        </w:rPr>
      </w:pPr>
      <w:r>
        <w:rPr>
          <w:rFonts w:ascii="Arial" w:cs="Arial" w:eastAsia="Arial" w:hAnsi="Arial"/>
          <w:sz w:val="16"/>
          <w:szCs w:val="16"/>
          <w:color w:val="auto"/>
        </w:rPr>
        <w:t>Rental expenses incurred for operating leases during 2003, 2002 and 2001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Year ended December 31</w:t>
            </w:r>
          </w:p>
        </w:tc>
      </w:tr>
      <w:tr>
        <w:trPr>
          <w:trHeight w:val="142"/>
        </w:trPr>
        <w:tc>
          <w:tcPr>
            <w:tcW w:w="20" w:type="dxa"/>
            <w:vAlign w:val="bottom"/>
          </w:tcPr>
          <w:p>
            <w:pPr>
              <w:spacing w:after="0"/>
              <w:rPr>
                <w:sz w:val="12"/>
                <w:szCs w:val="12"/>
                <w:color w:val="auto"/>
              </w:rPr>
            </w:pPr>
          </w:p>
        </w:tc>
        <w:tc>
          <w:tcPr>
            <w:tcW w:w="2700" w:type="dxa"/>
            <w:vAlign w:val="bottom"/>
            <w:tcBorders>
              <w:bottom w:val="single" w:sz="8" w:color="0070FF"/>
            </w:tcBorders>
          </w:tcPr>
          <w:p>
            <w:pPr>
              <w:spacing w:after="0"/>
              <w:rPr>
                <w:sz w:val="12"/>
                <w:szCs w:val="12"/>
                <w:color w:val="auto"/>
              </w:rPr>
            </w:pPr>
          </w:p>
        </w:tc>
        <w:tc>
          <w:tcPr>
            <w:tcW w:w="106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2003</w:t>
            </w:r>
          </w:p>
        </w:tc>
        <w:tc>
          <w:tcPr>
            <w:tcW w:w="620" w:type="dxa"/>
            <w:vAlign w:val="bottom"/>
            <w:tcBorders>
              <w:bottom w:val="single" w:sz="8" w:color="0070FF"/>
            </w:tcBorders>
          </w:tcPr>
          <w:p>
            <w:pPr>
              <w:jc w:val="right"/>
              <w:ind w:right="29"/>
              <w:spacing w:after="0" w:line="142" w:lineRule="exact"/>
              <w:rPr>
                <w:sz w:val="20"/>
                <w:szCs w:val="20"/>
                <w:color w:val="auto"/>
              </w:rPr>
            </w:pPr>
            <w:r>
              <w:rPr>
                <w:rFonts w:ascii="Arial" w:cs="Arial" w:eastAsia="Arial" w:hAnsi="Arial"/>
                <w:sz w:val="14"/>
                <w:szCs w:val="14"/>
                <w:color w:val="auto"/>
              </w:rPr>
              <w:t>2002</w:t>
            </w:r>
          </w:p>
        </w:tc>
        <w:tc>
          <w:tcPr>
            <w:tcW w:w="5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r>
      <w:tr>
        <w:trPr>
          <w:trHeight w:val="133"/>
        </w:trPr>
        <w:tc>
          <w:tcPr>
            <w:tcW w:w="20" w:type="dxa"/>
            <w:vAlign w:val="bottom"/>
          </w:tcPr>
          <w:p>
            <w:pPr>
              <w:spacing w:after="0"/>
              <w:rPr>
                <w:sz w:val="11"/>
                <w:szCs w:val="11"/>
                <w:color w:val="auto"/>
              </w:rPr>
            </w:pPr>
          </w:p>
        </w:tc>
        <w:tc>
          <w:tcPr>
            <w:tcW w:w="2700" w:type="dxa"/>
            <w:vAlign w:val="bottom"/>
          </w:tcPr>
          <w:p>
            <w:pPr>
              <w:spacing w:after="0" w:line="133" w:lineRule="exact"/>
              <w:rPr>
                <w:sz w:val="20"/>
                <w:szCs w:val="20"/>
                <w:color w:val="auto"/>
              </w:rPr>
            </w:pPr>
            <w:r>
              <w:rPr>
                <w:rFonts w:ascii="Arial" w:cs="Arial" w:eastAsia="Arial" w:hAnsi="Arial"/>
                <w:sz w:val="14"/>
                <w:szCs w:val="14"/>
                <w:color w:val="auto"/>
              </w:rPr>
              <w:t>Minimum rentals</w:t>
            </w:r>
          </w:p>
        </w:tc>
        <w:tc>
          <w:tcPr>
            <w:tcW w:w="1560" w:type="dxa"/>
            <w:vAlign w:val="bottom"/>
            <w:gridSpan w:val="2"/>
          </w:tcPr>
          <w:p>
            <w:pPr>
              <w:jc w:val="right"/>
              <w:ind w:right="32"/>
              <w:spacing w:after="0" w:line="133" w:lineRule="exact"/>
              <w:rPr>
                <w:sz w:val="20"/>
                <w:szCs w:val="20"/>
                <w:color w:val="auto"/>
              </w:rPr>
            </w:pPr>
            <w:r>
              <w:rPr>
                <w:rFonts w:ascii="Arial" w:cs="Arial" w:eastAsia="Arial" w:hAnsi="Arial"/>
                <w:sz w:val="14"/>
                <w:szCs w:val="14"/>
                <w:b w:val="1"/>
                <w:bCs w:val="1"/>
                <w:color w:val="auto"/>
              </w:rPr>
              <w:t>$1,567</w:t>
            </w:r>
          </w:p>
        </w:tc>
        <w:tc>
          <w:tcPr>
            <w:tcW w:w="620" w:type="dxa"/>
            <w:vAlign w:val="bottom"/>
          </w:tcPr>
          <w:p>
            <w:pPr>
              <w:jc w:val="right"/>
              <w:ind w:right="29"/>
              <w:spacing w:after="0" w:line="133" w:lineRule="exact"/>
              <w:rPr>
                <w:sz w:val="20"/>
                <w:szCs w:val="20"/>
                <w:color w:val="auto"/>
              </w:rPr>
            </w:pPr>
            <w:r>
              <w:rPr>
                <w:rFonts w:ascii="Arial" w:cs="Arial" w:eastAsia="Arial" w:hAnsi="Arial"/>
                <w:sz w:val="14"/>
                <w:szCs w:val="14"/>
                <w:color w:val="auto"/>
              </w:rPr>
              <w:t>$1,270</w:t>
            </w: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$1,132</w:t>
            </w:r>
          </w:p>
        </w:tc>
      </w:tr>
      <w:tr>
        <w:trPr>
          <w:trHeight w:val="171"/>
        </w:trPr>
        <w:tc>
          <w:tcPr>
            <w:tcW w:w="2720" w:type="dxa"/>
            <w:vAlign w:val="bottom"/>
            <w:gridSpan w:val="2"/>
          </w:tcPr>
          <w:p>
            <w:pPr>
              <w:spacing w:after="0"/>
              <w:rPr>
                <w:sz w:val="20"/>
                <w:szCs w:val="20"/>
                <w:color w:val="auto"/>
              </w:rPr>
            </w:pPr>
            <w:r>
              <w:rPr>
                <w:rFonts w:ascii="Arial" w:cs="Arial" w:eastAsia="Arial" w:hAnsi="Arial"/>
                <w:sz w:val="14"/>
                <w:szCs w:val="14"/>
                <w:color w:val="auto"/>
              </w:rPr>
              <w:t>Contingent rentals</w:t>
            </w:r>
          </w:p>
        </w:tc>
        <w:tc>
          <w:tcPr>
            <w:tcW w:w="15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3</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33"/>
        </w:trPr>
        <w:tc>
          <w:tcPr>
            <w:tcW w:w="20" w:type="dxa"/>
            <w:vAlign w:val="bottom"/>
          </w:tcPr>
          <w:p>
            <w:pPr>
              <w:spacing w:after="0"/>
              <w:rPr>
                <w:sz w:val="11"/>
                <w:szCs w:val="11"/>
                <w:color w:val="auto"/>
              </w:rPr>
            </w:pPr>
          </w:p>
        </w:tc>
        <w:tc>
          <w:tcPr>
            <w:tcW w:w="2700" w:type="dxa"/>
            <w:vAlign w:val="bottom"/>
            <w:tcBorders>
              <w:top w:val="single" w:sz="8" w:color="0070FF"/>
            </w:tcBorders>
          </w:tcPr>
          <w:p>
            <w:pPr>
              <w:ind w:left="120"/>
              <w:spacing w:after="0" w:line="133" w:lineRule="exact"/>
              <w:rPr>
                <w:sz w:val="20"/>
                <w:szCs w:val="20"/>
                <w:color w:val="auto"/>
              </w:rPr>
            </w:pPr>
            <w:r>
              <w:rPr>
                <w:rFonts w:ascii="Arial" w:cs="Arial" w:eastAsia="Arial" w:hAnsi="Arial"/>
                <w:sz w:val="14"/>
                <w:szCs w:val="14"/>
                <w:color w:val="auto"/>
              </w:rPr>
              <w:t>Total</w:t>
            </w:r>
          </w:p>
        </w:tc>
        <w:tc>
          <w:tcPr>
            <w:tcW w:w="1560" w:type="dxa"/>
            <w:vAlign w:val="bottom"/>
            <w:tcBorders>
              <w:top w:val="single" w:sz="8" w:color="0070FF"/>
            </w:tcBorders>
            <w:gridSpan w:val="2"/>
          </w:tcPr>
          <w:p>
            <w:pPr>
              <w:jc w:val="right"/>
              <w:ind w:right="32"/>
              <w:spacing w:after="0" w:line="133" w:lineRule="exact"/>
              <w:rPr>
                <w:sz w:val="20"/>
                <w:szCs w:val="20"/>
                <w:color w:val="auto"/>
              </w:rPr>
            </w:pPr>
            <w:r>
              <w:rPr>
                <w:rFonts w:ascii="Arial" w:cs="Arial" w:eastAsia="Arial" w:hAnsi="Arial"/>
                <w:sz w:val="14"/>
                <w:szCs w:val="14"/>
                <w:b w:val="1"/>
                <w:bCs w:val="1"/>
                <w:color w:val="auto"/>
              </w:rPr>
              <w:t>1,570</w:t>
            </w:r>
          </w:p>
        </w:tc>
        <w:tc>
          <w:tcPr>
            <w:tcW w:w="620" w:type="dxa"/>
            <w:vAlign w:val="bottom"/>
            <w:tcBorders>
              <w:top w:val="single" w:sz="8" w:color="0070FF"/>
            </w:tcBorders>
          </w:tcPr>
          <w:p>
            <w:pPr>
              <w:jc w:val="right"/>
              <w:ind w:right="29"/>
              <w:spacing w:after="0" w:line="133" w:lineRule="exact"/>
              <w:rPr>
                <w:sz w:val="20"/>
                <w:szCs w:val="20"/>
                <w:color w:val="auto"/>
              </w:rPr>
            </w:pPr>
            <w:r>
              <w:rPr>
                <w:rFonts w:ascii="Arial" w:cs="Arial" w:eastAsia="Arial" w:hAnsi="Arial"/>
                <w:sz w:val="14"/>
                <w:szCs w:val="14"/>
                <w:color w:val="auto"/>
              </w:rPr>
              <w:t>1,274</w:t>
            </w:r>
          </w:p>
        </w:tc>
        <w:tc>
          <w:tcPr>
            <w:tcW w:w="58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1,146</w:t>
            </w:r>
          </w:p>
        </w:tc>
      </w:tr>
      <w:tr>
        <w:trPr>
          <w:trHeight w:val="171"/>
        </w:trPr>
        <w:tc>
          <w:tcPr>
            <w:tcW w:w="27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Less: Sublease rental income</w:t>
            </w:r>
          </w:p>
        </w:tc>
        <w:tc>
          <w:tcPr>
            <w:tcW w:w="1560" w:type="dxa"/>
            <w:vAlign w:val="bottom"/>
            <w:tcBorders>
              <w:bottom w:val="single" w:sz="8" w:color="0070FF"/>
            </w:tcBorders>
            <w:gridSpan w:val="2"/>
          </w:tcPr>
          <w:p>
            <w:pPr>
              <w:jc w:val="right"/>
              <w:ind w:right="32"/>
              <w:spacing w:after="0"/>
              <w:rPr>
                <w:sz w:val="20"/>
                <w:szCs w:val="20"/>
                <w:color w:val="auto"/>
              </w:rPr>
            </w:pPr>
            <w:r>
              <w:rPr>
                <w:rFonts w:ascii="Arial" w:cs="Arial" w:eastAsia="Arial" w:hAnsi="Arial"/>
                <w:sz w:val="14"/>
                <w:szCs w:val="14"/>
                <w:b w:val="1"/>
                <w:bCs w:val="1"/>
                <w:color w:val="auto"/>
              </w:rPr>
              <w:t>48</w:t>
            </w:r>
          </w:p>
        </w:tc>
        <w:tc>
          <w:tcPr>
            <w:tcW w:w="62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53</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76</w:t>
            </w:r>
          </w:p>
        </w:tc>
      </w:tr>
      <w:tr>
        <w:trPr>
          <w:trHeight w:val="176"/>
        </w:trPr>
        <w:tc>
          <w:tcPr>
            <w:tcW w:w="27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Net rental expense</w:t>
            </w:r>
          </w:p>
        </w:tc>
        <w:tc>
          <w:tcPr>
            <w:tcW w:w="1560" w:type="dxa"/>
            <w:vAlign w:val="bottom"/>
            <w:tcBorders>
              <w:bottom w:val="single" w:sz="8" w:color="0070FF"/>
            </w:tcBorders>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rPr>
              <w:t>$1,522</w:t>
            </w:r>
          </w:p>
        </w:tc>
        <w:tc>
          <w:tcPr>
            <w:tcW w:w="62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$1,221</w:t>
            </w:r>
          </w:p>
        </w:tc>
        <w:tc>
          <w:tcPr>
            <w:tcW w:w="5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-882650</wp:posOffset>
            </wp:positionV>
            <wp:extent cx="8890" cy="7006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7006590"/>
                    </a:xfrm>
                    <a:prstGeom prst="rect">
                      <a:avLst/>
                    </a:prstGeom>
                    <a:noFill/>
                  </pic:spPr>
                </pic:pic>
              </a:graphicData>
            </a:graphic>
          </wp:anchor>
        </w:drawing>
      </w:r>
    </w:p>
    <w:p>
      <w:pPr>
        <w:spacing w:after="0" w:line="146" w:lineRule="exact"/>
        <w:rPr>
          <w:sz w:val="20"/>
          <w:szCs w:val="20"/>
          <w:color w:val="auto"/>
        </w:rPr>
      </w:pPr>
    </w:p>
    <w:p>
      <w:pPr>
        <w:ind w:left="360" w:firstLine="203"/>
        <w:spacing w:after="0" w:line="270" w:lineRule="auto"/>
        <w:rPr>
          <w:sz w:val="20"/>
          <w:szCs w:val="20"/>
          <w:color w:val="auto"/>
        </w:rPr>
      </w:pPr>
      <w:r>
        <w:rPr>
          <w:rFonts w:ascii="Arial" w:cs="Arial" w:eastAsia="Arial" w:hAnsi="Arial"/>
          <w:sz w:val="16"/>
          <w:szCs w:val="16"/>
          <w:color w:val="auto"/>
        </w:rPr>
        <w:t>Contingent rentals are based on factors other than the passage of time, principally sales volumes at leased service stations. Certain leases include escalation clauses for adjusting rentals to reflect changes in price indices, renewal options ranging from one to 25 years, and/or options to purchase the leased property during or at the end of the initial or renewal lease period for the fair market value or other specified amount at that time.</w:t>
      </w:r>
    </w:p>
    <w:p>
      <w:pPr>
        <w:spacing w:after="0" w:line="136" w:lineRule="exact"/>
        <w:rPr>
          <w:sz w:val="20"/>
          <w:szCs w:val="20"/>
          <w:color w:val="auto"/>
        </w:rPr>
      </w:pPr>
    </w:p>
    <w:p>
      <w:pPr>
        <w:ind w:left="360" w:right="280" w:firstLine="194"/>
        <w:spacing w:after="0" w:line="305" w:lineRule="auto"/>
        <w:rPr>
          <w:sz w:val="20"/>
          <w:szCs w:val="20"/>
          <w:color w:val="auto"/>
        </w:rPr>
      </w:pPr>
      <w:r>
        <w:rPr>
          <w:rFonts w:ascii="Arial" w:cs="Arial" w:eastAsia="Arial" w:hAnsi="Arial"/>
          <w:sz w:val="15"/>
          <w:szCs w:val="15"/>
          <w:color w:val="auto"/>
        </w:rPr>
        <w:t>At December 31, 2003, the estimated future minimum lease payments (net of noncancelable sublease rentals) under operating and capital leases, which at inception had a noncancelable term of more than one year, were as follows:</w:t>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108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At December 31</w:t>
            </w: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4"/>
                <w:szCs w:val="14"/>
                <w:color w:val="auto"/>
                <w:w w:val="91"/>
              </w:rPr>
              <w:t>Operating</w:t>
            </w:r>
          </w:p>
        </w:tc>
        <w:tc>
          <w:tcPr>
            <w:tcW w:w="62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Capital</w:t>
            </w:r>
          </w:p>
        </w:tc>
      </w:tr>
      <w:tr>
        <w:trPr>
          <w:trHeight w:val="159"/>
        </w:trPr>
        <w:tc>
          <w:tcPr>
            <w:tcW w:w="20" w:type="dxa"/>
            <w:vAlign w:val="bottom"/>
          </w:tcPr>
          <w:p>
            <w:pPr>
              <w:spacing w:after="0"/>
              <w:rPr>
                <w:sz w:val="13"/>
                <w:szCs w:val="13"/>
                <w:color w:val="auto"/>
              </w:rPr>
            </w:pPr>
          </w:p>
        </w:tc>
        <w:tc>
          <w:tcPr>
            <w:tcW w:w="3160" w:type="dxa"/>
            <w:vAlign w:val="bottom"/>
            <w:tcBorders>
              <w:bottom w:val="single" w:sz="8" w:color="0070FF"/>
            </w:tcBorders>
          </w:tcPr>
          <w:p>
            <w:pPr>
              <w:spacing w:after="0"/>
              <w:rPr>
                <w:sz w:val="13"/>
                <w:szCs w:val="13"/>
                <w:color w:val="auto"/>
              </w:rPr>
            </w:pPr>
          </w:p>
        </w:tc>
        <w:tc>
          <w:tcPr>
            <w:tcW w:w="1100" w:type="dxa"/>
            <w:vAlign w:val="bottom"/>
            <w:tcBorders>
              <w:bottom w:val="single" w:sz="8" w:color="0070FF"/>
            </w:tcBorders>
          </w:tcPr>
          <w:p>
            <w:pPr>
              <w:spacing w:after="0"/>
              <w:rPr>
                <w:sz w:val="13"/>
                <w:szCs w:val="13"/>
                <w:color w:val="auto"/>
              </w:rPr>
            </w:pPr>
          </w:p>
        </w:tc>
        <w:tc>
          <w:tcPr>
            <w:tcW w:w="12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spacing w:after="0" w:line="159" w:lineRule="exact"/>
              <w:rPr>
                <w:sz w:val="20"/>
                <w:szCs w:val="20"/>
                <w:color w:val="auto"/>
              </w:rPr>
            </w:pPr>
            <w:r>
              <w:rPr>
                <w:rFonts w:ascii="Arial" w:cs="Arial" w:eastAsia="Arial" w:hAnsi="Arial"/>
                <w:sz w:val="14"/>
                <w:szCs w:val="14"/>
                <w:color w:val="auto"/>
                <w:w w:val="84"/>
              </w:rPr>
              <w:t>Leases</w:t>
            </w:r>
          </w:p>
        </w:tc>
        <w:tc>
          <w:tcPr>
            <w:tcW w:w="620" w:type="dxa"/>
            <w:vAlign w:val="bottom"/>
            <w:tcBorders>
              <w:bottom w:val="single" w:sz="8" w:color="0070FF"/>
            </w:tcBorders>
            <w:gridSpan w:val="2"/>
          </w:tcPr>
          <w:p>
            <w:pPr>
              <w:jc w:val="right"/>
              <w:spacing w:after="0" w:line="159" w:lineRule="exact"/>
              <w:rPr>
                <w:sz w:val="20"/>
                <w:szCs w:val="20"/>
                <w:color w:val="auto"/>
              </w:rPr>
            </w:pPr>
            <w:r>
              <w:rPr>
                <w:rFonts w:ascii="Arial" w:cs="Arial" w:eastAsia="Arial" w:hAnsi="Arial"/>
                <w:sz w:val="14"/>
                <w:szCs w:val="14"/>
                <w:color w:val="auto"/>
              </w:rPr>
              <w:t>Leases</w:t>
            </w:r>
          </w:p>
        </w:tc>
      </w:tr>
      <w:tr>
        <w:trPr>
          <w:trHeight w:val="137"/>
        </w:trPr>
        <w:tc>
          <w:tcPr>
            <w:tcW w:w="20" w:type="dxa"/>
            <w:vAlign w:val="bottom"/>
          </w:tcPr>
          <w:p>
            <w:pPr>
              <w:spacing w:after="0"/>
              <w:rPr>
                <w:sz w:val="11"/>
                <w:szCs w:val="11"/>
                <w:color w:val="auto"/>
              </w:rPr>
            </w:pPr>
          </w:p>
        </w:tc>
        <w:tc>
          <w:tcPr>
            <w:tcW w:w="3160" w:type="dxa"/>
            <w:vAlign w:val="bottom"/>
          </w:tcPr>
          <w:p>
            <w:pPr>
              <w:spacing w:after="0" w:line="137" w:lineRule="exact"/>
              <w:rPr>
                <w:sz w:val="20"/>
                <w:szCs w:val="20"/>
                <w:color w:val="auto"/>
              </w:rPr>
            </w:pPr>
            <w:r>
              <w:rPr>
                <w:rFonts w:ascii="Arial" w:cs="Arial" w:eastAsia="Arial" w:hAnsi="Arial"/>
                <w:sz w:val="14"/>
                <w:szCs w:val="14"/>
                <w:color w:val="auto"/>
              </w:rPr>
              <w:t>Year: 2004</w:t>
            </w:r>
          </w:p>
        </w:tc>
        <w:tc>
          <w:tcPr>
            <w:tcW w:w="1220" w:type="dxa"/>
            <w:vAlign w:val="bottom"/>
            <w:gridSpan w:val="2"/>
          </w:tcPr>
          <w:p>
            <w:pPr>
              <w:ind w:left="1100"/>
              <w:spacing w:after="0" w:line="137"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rPr>
              <w:t>299</w:t>
            </w:r>
          </w:p>
        </w:tc>
        <w:tc>
          <w:tcPr>
            <w:tcW w:w="300" w:type="dxa"/>
            <w:vAlign w:val="bottom"/>
          </w:tcPr>
          <w:p>
            <w:pPr>
              <w:ind w:left="180"/>
              <w:spacing w:after="0" w:line="137"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37" w:lineRule="exact"/>
              <w:rPr>
                <w:sz w:val="20"/>
                <w:szCs w:val="20"/>
                <w:color w:val="auto"/>
              </w:rPr>
            </w:pPr>
            <w:r>
              <w:rPr>
                <w:rFonts w:ascii="Arial" w:cs="Arial" w:eastAsia="Arial" w:hAnsi="Arial"/>
                <w:sz w:val="14"/>
                <w:szCs w:val="14"/>
                <w:color w:val="auto"/>
              </w:rPr>
              <w:t>98</w:t>
            </w:r>
          </w:p>
        </w:tc>
      </w:tr>
      <w:tr>
        <w:trPr>
          <w:trHeight w:val="149"/>
        </w:trPr>
        <w:tc>
          <w:tcPr>
            <w:tcW w:w="31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2005</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3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r>
      <w:tr>
        <w:trPr>
          <w:trHeight w:val="149"/>
        </w:trPr>
        <w:tc>
          <w:tcPr>
            <w:tcW w:w="31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2006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3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r>
      <w:tr>
        <w:trPr>
          <w:trHeight w:val="149"/>
        </w:trPr>
        <w:tc>
          <w:tcPr>
            <w:tcW w:w="31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2007</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3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r>
      <w:tr>
        <w:trPr>
          <w:trHeight w:val="149"/>
        </w:trPr>
        <w:tc>
          <w:tcPr>
            <w:tcW w:w="31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2008</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3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67"/>
        </w:trPr>
        <w:tc>
          <w:tcPr>
            <w:tcW w:w="20" w:type="dxa"/>
            <w:vAlign w:val="bottom"/>
          </w:tcPr>
          <w:p>
            <w:pPr>
              <w:spacing w:after="0"/>
              <w:rPr>
                <w:sz w:val="14"/>
                <w:szCs w:val="14"/>
                <w:color w:val="auto"/>
              </w:rPr>
            </w:pPr>
          </w:p>
        </w:tc>
        <w:tc>
          <w:tcPr>
            <w:tcW w:w="3160" w:type="dxa"/>
            <w:vAlign w:val="bottom"/>
            <w:tcBorders>
              <w:bottom w:val="single" w:sz="8" w:color="0070FF"/>
            </w:tcBorders>
          </w:tcPr>
          <w:p>
            <w:pPr>
              <w:ind w:left="380"/>
              <w:spacing w:after="0"/>
              <w:rPr>
                <w:sz w:val="20"/>
                <w:szCs w:val="20"/>
                <w:color w:val="auto"/>
              </w:rPr>
            </w:pPr>
            <w:r>
              <w:rPr>
                <w:rFonts w:ascii="Arial" w:cs="Arial" w:eastAsia="Arial" w:hAnsi="Arial"/>
                <w:sz w:val="14"/>
                <w:szCs w:val="14"/>
                <w:color w:val="auto"/>
              </w:rPr>
              <w:t>Thereafter</w:t>
            </w:r>
          </w:p>
        </w:tc>
        <w:tc>
          <w:tcPr>
            <w:tcW w:w="110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800</w:t>
            </w:r>
          </w:p>
        </w:tc>
        <w:tc>
          <w:tcPr>
            <w:tcW w:w="30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547</w:t>
            </w:r>
          </w:p>
        </w:tc>
      </w:tr>
      <w:tr>
        <w:trPr>
          <w:trHeight w:val="176"/>
        </w:trPr>
        <w:tc>
          <w:tcPr>
            <w:tcW w:w="20" w:type="dxa"/>
            <w:vAlign w:val="bottom"/>
            <w:tcBorders>
              <w:bottom w:val="single" w:sz="8" w:color="0070FF"/>
            </w:tcBorders>
          </w:tcPr>
          <w:p>
            <w:pPr>
              <w:spacing w:after="0"/>
              <w:rPr>
                <w:sz w:val="15"/>
                <w:szCs w:val="15"/>
                <w:color w:val="auto"/>
              </w:rPr>
            </w:pPr>
          </w:p>
        </w:tc>
        <w:tc>
          <w:tcPr>
            <w:tcW w:w="316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w:t>
            </w:r>
          </w:p>
        </w:tc>
        <w:tc>
          <w:tcPr>
            <w:tcW w:w="1220" w:type="dxa"/>
            <w:vAlign w:val="bottom"/>
            <w:tcBorders>
              <w:bottom w:val="single" w:sz="8" w:color="0070FF"/>
            </w:tcBorders>
            <w:gridSpan w:val="2"/>
          </w:tcPr>
          <w:p>
            <w:pPr>
              <w:ind w:left="1100"/>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2,034</w:t>
            </w:r>
          </w:p>
        </w:tc>
        <w:tc>
          <w:tcPr>
            <w:tcW w:w="3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882</w:t>
            </w:r>
          </w:p>
        </w:tc>
      </w:tr>
      <w:tr>
        <w:trPr>
          <w:trHeight w:val="143"/>
        </w:trPr>
        <w:tc>
          <w:tcPr>
            <w:tcW w:w="3180" w:type="dxa"/>
            <w:vAlign w:val="bottom"/>
            <w:gridSpan w:val="2"/>
          </w:tcPr>
          <w:p>
            <w:pPr>
              <w:spacing w:after="0" w:line="143" w:lineRule="exact"/>
              <w:rPr>
                <w:sz w:val="20"/>
                <w:szCs w:val="20"/>
                <w:color w:val="auto"/>
              </w:rPr>
            </w:pPr>
            <w:r>
              <w:rPr>
                <w:rFonts w:ascii="Arial" w:cs="Arial" w:eastAsia="Arial" w:hAnsi="Arial"/>
                <w:sz w:val="14"/>
                <w:szCs w:val="14"/>
                <w:color w:val="auto"/>
              </w:rPr>
              <w:t>Less: Amounts representing interest</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160" w:type="dxa"/>
            <w:vAlign w:val="bottom"/>
            <w:tcBorders>
              <w:bottom w:val="single" w:sz="8" w:color="0070FF"/>
            </w:tcBorders>
          </w:tcPr>
          <w:p>
            <w:pPr>
              <w:ind w:left="240"/>
              <w:spacing w:after="0"/>
              <w:rPr>
                <w:sz w:val="20"/>
                <w:szCs w:val="20"/>
                <w:color w:val="auto"/>
              </w:rPr>
            </w:pPr>
            <w:r>
              <w:rPr>
                <w:rFonts w:ascii="Arial" w:cs="Arial" w:eastAsia="Arial" w:hAnsi="Arial"/>
                <w:sz w:val="14"/>
                <w:szCs w:val="14"/>
                <w:color w:val="auto"/>
              </w:rPr>
              <w:t>and executory costs</w:t>
            </w:r>
          </w:p>
        </w:tc>
        <w:tc>
          <w:tcPr>
            <w:tcW w:w="110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spacing w:after="0"/>
              <w:rPr>
                <w:sz w:val="14"/>
                <w:szCs w:val="14"/>
                <w:color w:val="auto"/>
              </w:rPr>
            </w:pPr>
          </w:p>
        </w:tc>
        <w:tc>
          <w:tcPr>
            <w:tcW w:w="30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269</w:t>
            </w:r>
          </w:p>
        </w:tc>
      </w:tr>
      <w:tr>
        <w:trPr>
          <w:trHeight w:val="137"/>
        </w:trPr>
        <w:tc>
          <w:tcPr>
            <w:tcW w:w="20" w:type="dxa"/>
            <w:vAlign w:val="bottom"/>
          </w:tcPr>
          <w:p>
            <w:pPr>
              <w:spacing w:after="0"/>
              <w:rPr>
                <w:sz w:val="11"/>
                <w:szCs w:val="11"/>
                <w:color w:val="auto"/>
              </w:rPr>
            </w:pPr>
          </w:p>
        </w:tc>
        <w:tc>
          <w:tcPr>
            <w:tcW w:w="3160" w:type="dxa"/>
            <w:vAlign w:val="bottom"/>
          </w:tcPr>
          <w:p>
            <w:pPr>
              <w:spacing w:after="0" w:line="137" w:lineRule="exact"/>
              <w:rPr>
                <w:sz w:val="20"/>
                <w:szCs w:val="20"/>
                <w:color w:val="auto"/>
              </w:rPr>
            </w:pPr>
            <w:r>
              <w:rPr>
                <w:rFonts w:ascii="Arial" w:cs="Arial" w:eastAsia="Arial" w:hAnsi="Arial"/>
                <w:sz w:val="14"/>
                <w:szCs w:val="14"/>
                <w:color w:val="auto"/>
              </w:rPr>
              <w:t>Net present values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7" w:lineRule="exact"/>
              <w:rPr>
                <w:sz w:val="20"/>
                <w:szCs w:val="20"/>
                <w:color w:val="auto"/>
              </w:rPr>
            </w:pPr>
            <w:r>
              <w:rPr>
                <w:rFonts w:ascii="Arial" w:cs="Arial" w:eastAsia="Arial" w:hAnsi="Arial"/>
                <w:sz w:val="14"/>
                <w:szCs w:val="14"/>
                <w:color w:val="auto"/>
              </w:rPr>
              <w:t>613</w:t>
            </w: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Less: Capital lease obligations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160" w:type="dxa"/>
            <w:vAlign w:val="bottom"/>
            <w:tcBorders>
              <w:bottom w:val="single" w:sz="8" w:color="0070FF"/>
            </w:tcBorders>
          </w:tcPr>
          <w:p>
            <w:pPr>
              <w:ind w:left="240"/>
              <w:spacing w:after="0"/>
              <w:rPr>
                <w:sz w:val="20"/>
                <w:szCs w:val="20"/>
                <w:color w:val="auto"/>
              </w:rPr>
            </w:pPr>
            <w:r>
              <w:rPr>
                <w:rFonts w:ascii="Arial" w:cs="Arial" w:eastAsia="Arial" w:hAnsi="Arial"/>
                <w:sz w:val="14"/>
                <w:szCs w:val="14"/>
                <w:color w:val="auto"/>
              </w:rPr>
              <w:t>included in short-term debt</w:t>
            </w:r>
          </w:p>
        </w:tc>
        <w:tc>
          <w:tcPr>
            <w:tcW w:w="110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spacing w:after="0"/>
              <w:rPr>
                <w:sz w:val="14"/>
                <w:szCs w:val="14"/>
                <w:color w:val="auto"/>
              </w:rPr>
            </w:pPr>
          </w:p>
        </w:tc>
        <w:tc>
          <w:tcPr>
            <w:tcW w:w="30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370</w:t>
            </w:r>
          </w:p>
        </w:tc>
      </w:tr>
      <w:tr>
        <w:trPr>
          <w:trHeight w:val="176"/>
        </w:trPr>
        <w:tc>
          <w:tcPr>
            <w:tcW w:w="20" w:type="dxa"/>
            <w:vAlign w:val="bottom"/>
            <w:tcBorders>
              <w:bottom w:val="single" w:sz="8" w:color="0070FF"/>
            </w:tcBorders>
          </w:tcPr>
          <w:p>
            <w:pPr>
              <w:spacing w:after="0"/>
              <w:rPr>
                <w:sz w:val="15"/>
                <w:szCs w:val="15"/>
                <w:color w:val="auto"/>
              </w:rPr>
            </w:pPr>
          </w:p>
        </w:tc>
        <w:tc>
          <w:tcPr>
            <w:tcW w:w="316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Long-term capital lease obligations</w:t>
            </w:r>
          </w:p>
        </w:tc>
        <w:tc>
          <w:tcPr>
            <w:tcW w:w="1100" w:type="dxa"/>
            <w:vAlign w:val="bottom"/>
            <w:tcBorders>
              <w:bottom w:val="single" w:sz="8" w:color="0070FF"/>
            </w:tcBorders>
          </w:tcPr>
          <w:p>
            <w:pPr>
              <w:spacing w:after="0"/>
              <w:rPr>
                <w:sz w:val="15"/>
                <w:szCs w:val="15"/>
                <w:color w:val="auto"/>
              </w:rPr>
            </w:pPr>
          </w:p>
        </w:tc>
        <w:tc>
          <w:tcPr>
            <w:tcW w:w="120" w:type="dxa"/>
            <w:vAlign w:val="bottom"/>
            <w:tcBorders>
              <w:bottom w:val="single" w:sz="8" w:color="0070FF"/>
            </w:tcBorders>
          </w:tcPr>
          <w:p>
            <w:pPr>
              <w:spacing w:after="0"/>
              <w:rPr>
                <w:sz w:val="15"/>
                <w:szCs w:val="15"/>
                <w:color w:val="auto"/>
              </w:rPr>
            </w:pPr>
          </w:p>
        </w:tc>
        <w:tc>
          <w:tcPr>
            <w:tcW w:w="460" w:type="dxa"/>
            <w:vAlign w:val="bottom"/>
            <w:tcBorders>
              <w:bottom w:val="single" w:sz="8" w:color="0070FF"/>
            </w:tcBorders>
          </w:tcPr>
          <w:p>
            <w:pPr>
              <w:spacing w:after="0"/>
              <w:rPr>
                <w:sz w:val="15"/>
                <w:szCs w:val="15"/>
                <w:color w:val="auto"/>
              </w:rPr>
            </w:pPr>
          </w:p>
        </w:tc>
        <w:tc>
          <w:tcPr>
            <w:tcW w:w="300" w:type="dxa"/>
            <w:vAlign w:val="bottom"/>
            <w:tcBorders>
              <w:bottom w:val="single" w:sz="8" w:color="0070FF"/>
            </w:tcBorders>
          </w:tcPr>
          <w:p>
            <w:pPr>
              <w:ind w:left="180"/>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243</w:t>
            </w:r>
          </w:p>
        </w:tc>
      </w:tr>
    </w:tbl>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70FF"/>
        </w:rPr>
        <w:t>NOTE 12.</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70FF"/>
        </w:rPr>
        <w:t>RESTRUCTURING AND REORGANIZATION COSTS</w:t>
      </w:r>
    </w:p>
    <w:p>
      <w:pPr>
        <w:spacing w:after="0" w:line="155" w:lineRule="exact"/>
        <w:rPr>
          <w:sz w:val="20"/>
          <w:szCs w:val="20"/>
          <w:color w:val="auto"/>
        </w:rPr>
      </w:pPr>
    </w:p>
    <w:p>
      <w:pPr>
        <w:ind w:left="360" w:right="180"/>
        <w:spacing w:after="0" w:line="302" w:lineRule="auto"/>
        <w:rPr>
          <w:sz w:val="20"/>
          <w:szCs w:val="20"/>
          <w:color w:val="auto"/>
        </w:rPr>
      </w:pPr>
      <w:r>
        <w:rPr>
          <w:rFonts w:ascii="Arial" w:cs="Arial" w:eastAsia="Arial" w:hAnsi="Arial"/>
          <w:sz w:val="14"/>
          <w:szCs w:val="14"/>
          <w:color w:val="auto"/>
        </w:rPr>
        <w:t>In connection with various reorganizations and restructurings across several businesses and corporate departments, during 2003 the company recorded before-tax charges of $258 ($146 after tax) for estimated termination benefits for approximately 4,500 employees. Nearly half of the liability related to the global downstream business, including the effect of its reorganization along functional lines rather than the geographic configuration used previously. Substantially all of the employee reductions are expected to occur by early 2005.</w:t>
      </w:r>
    </w:p>
    <w:p>
      <w:pPr>
        <w:spacing w:after="0" w:line="4" w:lineRule="exact"/>
        <w:rPr>
          <w:sz w:val="20"/>
          <w:szCs w:val="20"/>
          <w:color w:val="auto"/>
        </w:rPr>
      </w:pPr>
    </w:p>
    <w:p>
      <w:pPr>
        <w:ind w:left="360" w:right="120" w:firstLine="194"/>
        <w:spacing w:after="0" w:line="288" w:lineRule="auto"/>
        <w:rPr>
          <w:sz w:val="20"/>
          <w:szCs w:val="20"/>
          <w:color w:val="auto"/>
        </w:rPr>
      </w:pPr>
      <w:r>
        <w:rPr>
          <w:rFonts w:ascii="Arial" w:cs="Arial" w:eastAsia="Arial" w:hAnsi="Arial"/>
          <w:sz w:val="16"/>
          <w:szCs w:val="16"/>
          <w:color w:val="auto"/>
        </w:rPr>
        <w:t>Activity for the company’s liability related to reorganizations and restructurings in 2003 is summarized in the following table:</w:t>
      </w:r>
    </w:p>
    <w:p>
      <w:pPr>
        <w:spacing w:after="0" w:line="10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38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Amounts before tax</w:t>
            </w:r>
          </w:p>
        </w:tc>
        <w:tc>
          <w:tcPr>
            <w:tcW w:w="210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rPr>
              <w:t>Amount</w:t>
            </w:r>
          </w:p>
        </w:tc>
      </w:tr>
      <w:tr>
        <w:trPr>
          <w:trHeight w:val="137"/>
        </w:trPr>
        <w:tc>
          <w:tcPr>
            <w:tcW w:w="3380" w:type="dxa"/>
            <w:vAlign w:val="bottom"/>
          </w:tcPr>
          <w:p>
            <w:pPr>
              <w:spacing w:after="0" w:line="137" w:lineRule="exact"/>
              <w:rPr>
                <w:sz w:val="20"/>
                <w:szCs w:val="20"/>
                <w:color w:val="auto"/>
              </w:rPr>
            </w:pPr>
            <w:r>
              <w:rPr>
                <w:rFonts w:ascii="Arial" w:cs="Arial" w:eastAsia="Arial" w:hAnsi="Arial"/>
                <w:sz w:val="14"/>
                <w:szCs w:val="14"/>
                <w:color w:val="auto"/>
              </w:rPr>
              <w:t>Balance at January 1, 2003</w:t>
            </w:r>
          </w:p>
        </w:tc>
        <w:tc>
          <w:tcPr>
            <w:tcW w:w="182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37" w:lineRule="exact"/>
              <w:rPr>
                <w:sz w:val="20"/>
                <w:szCs w:val="20"/>
                <w:color w:val="auto"/>
              </w:rPr>
            </w:pPr>
            <w:r>
              <w:rPr>
                <w:rFonts w:ascii="Arial" w:cs="Arial" w:eastAsia="Arial" w:hAnsi="Arial"/>
                <w:sz w:val="14"/>
                <w:szCs w:val="14"/>
                <w:color w:val="auto"/>
              </w:rPr>
              <w:t>6</w:t>
            </w: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8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85"/>
              </w:rPr>
              <w:t>258</w:t>
            </w:r>
          </w:p>
        </w:tc>
      </w:tr>
      <w:tr>
        <w:trPr>
          <w:trHeight w:val="167"/>
        </w:trPr>
        <w:tc>
          <w:tcPr>
            <w:tcW w:w="338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Payments</w:t>
            </w:r>
          </w:p>
        </w:tc>
        <w:tc>
          <w:tcPr>
            <w:tcW w:w="1820" w:type="dxa"/>
            <w:vAlign w:val="bottom"/>
            <w:tcBorders>
              <w:bottom w:val="single" w:sz="8" w:color="0070FF"/>
            </w:tcBorders>
          </w:tcPr>
          <w:p>
            <w:pPr>
              <w:spacing w:after="0"/>
              <w:rPr>
                <w:sz w:val="14"/>
                <w:szCs w:val="14"/>
                <w:color w:val="auto"/>
              </w:rPr>
            </w:pPr>
          </w:p>
        </w:tc>
        <w:tc>
          <w:tcPr>
            <w:tcW w:w="2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96"/>
              </w:rPr>
              <w:t>(24)</w:t>
            </w:r>
          </w:p>
        </w:tc>
      </w:tr>
      <w:tr>
        <w:trPr>
          <w:trHeight w:val="176"/>
        </w:trPr>
        <w:tc>
          <w:tcPr>
            <w:tcW w:w="338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Balance at December 31, 2003</w:t>
            </w:r>
          </w:p>
        </w:tc>
        <w:tc>
          <w:tcPr>
            <w:tcW w:w="18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240</w:t>
            </w:r>
          </w:p>
        </w:tc>
      </w:tr>
    </w:tbl>
    <w:p>
      <w:pPr>
        <w:spacing w:after="0" w:line="166" w:lineRule="exact"/>
        <w:rPr>
          <w:sz w:val="20"/>
          <w:szCs w:val="20"/>
          <w:color w:val="auto"/>
        </w:rPr>
      </w:pPr>
    </w:p>
    <w:p>
      <w:pPr>
        <w:ind w:left="360" w:right="260" w:firstLine="194"/>
        <w:spacing w:after="0" w:line="273" w:lineRule="auto"/>
        <w:rPr>
          <w:sz w:val="20"/>
          <w:szCs w:val="20"/>
          <w:color w:val="auto"/>
        </w:rPr>
      </w:pPr>
      <w:r>
        <w:rPr>
          <w:rFonts w:ascii="Arial" w:cs="Arial" w:eastAsia="Arial" w:hAnsi="Arial"/>
          <w:sz w:val="16"/>
          <w:szCs w:val="16"/>
          <w:color w:val="auto"/>
        </w:rPr>
        <w:t>An approximate $100 liability remained for employee severance charges recorded in 2002 and 2001. The balance related primarily to deferred payment options elected by certain employees who terminated before the end of 2003 and were paid in January 2004.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FS-37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132715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40"/>
            <w:col w:w="5840"/>
          </w:cols>
          <w:pgMar w:left="240" w:top="419" w:right="2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13.</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ASSETS HELD FOR SALE</w:t>
      </w:r>
    </w:p>
    <w:p>
      <w:pPr>
        <w:spacing w:after="0" w:line="15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At December 31, 2003, the company classified $1,100 of net properties, plant and equipment as “Assets held for sale” on the Consolidated Balance Sheet. The asset dispositions are expected to occur during 2004, substantially all of which related to the U.S. upstream business segment.</w:t>
      </w:r>
    </w:p>
    <w:p>
      <w:pPr>
        <w:spacing w:after="0" w:line="2" w:lineRule="exact"/>
        <w:rPr>
          <w:sz w:val="20"/>
          <w:szCs w:val="20"/>
          <w:color w:val="auto"/>
        </w:rPr>
      </w:pPr>
    </w:p>
    <w:p>
      <w:pPr>
        <w:ind w:right="260" w:firstLine="200"/>
        <w:spacing w:after="0" w:line="281" w:lineRule="auto"/>
        <w:rPr>
          <w:sz w:val="20"/>
          <w:szCs w:val="20"/>
          <w:color w:val="auto"/>
        </w:rPr>
      </w:pPr>
      <w:r>
        <w:rPr>
          <w:rFonts w:ascii="Arial" w:cs="Arial" w:eastAsia="Arial" w:hAnsi="Arial"/>
          <w:sz w:val="15"/>
          <w:szCs w:val="15"/>
          <w:color w:val="auto"/>
        </w:rPr>
        <w:t>These anticipated sales, consisting of interests in several hundred individual properties, relate to the company’s plan to dispose of certain assets in the overall portfolio that do not provide sufficient long-term value.</w:t>
      </w:r>
    </w:p>
    <w:p>
      <w:pPr>
        <w:spacing w:after="0" w:line="2" w:lineRule="exact"/>
        <w:rPr>
          <w:sz w:val="20"/>
          <w:szCs w:val="20"/>
          <w:color w:val="auto"/>
        </w:rPr>
      </w:pPr>
    </w:p>
    <w:p>
      <w:pPr>
        <w:ind w:right="80" w:firstLine="203"/>
        <w:spacing w:after="0" w:line="276" w:lineRule="auto"/>
        <w:rPr>
          <w:sz w:val="20"/>
          <w:szCs w:val="20"/>
          <w:color w:val="auto"/>
        </w:rPr>
      </w:pPr>
      <w:r>
        <w:rPr>
          <w:rFonts w:ascii="Arial" w:cs="Arial" w:eastAsia="Arial" w:hAnsi="Arial"/>
          <w:sz w:val="16"/>
          <w:szCs w:val="16"/>
          <w:color w:val="auto"/>
        </w:rPr>
        <w:t>No significant gains or losses were recorded in 2003 for the held-for-sale assets. Revenues and earnings associated with the assets were likewise insignificant in 2003 and earlier years.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14.</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INVESTMENTS AND ADVANCES</w:t>
      </w:r>
    </w:p>
    <w:p>
      <w:pPr>
        <w:spacing w:after="0" w:line="15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Equity in earnings, together with investments in and advances to companies accounted for using the equity method and other investments accounted for at or below cost,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540" w:type="dxa"/>
            <w:vAlign w:val="bottom"/>
            <w:gridSpan w:val="5"/>
          </w:tcPr>
          <w:p>
            <w:pPr>
              <w:spacing w:after="0"/>
              <w:rPr>
                <w:sz w:val="20"/>
                <w:szCs w:val="20"/>
                <w:color w:val="auto"/>
              </w:rPr>
            </w:pPr>
            <w:r>
              <w:rPr>
                <w:rFonts w:ascii="Arial" w:cs="Arial" w:eastAsia="Arial" w:hAnsi="Arial"/>
                <w:sz w:val="14"/>
                <w:szCs w:val="14"/>
                <w:color w:val="auto"/>
                <w:w w:val="90"/>
              </w:rPr>
              <w:t>Investments and Advances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5"/>
          </w:tcPr>
          <w:p>
            <w:pPr>
              <w:ind w:left="40"/>
              <w:spacing w:after="0"/>
              <w:rPr>
                <w:sz w:val="20"/>
                <w:szCs w:val="20"/>
                <w:color w:val="auto"/>
              </w:rPr>
            </w:pPr>
            <w:r>
              <w:rPr>
                <w:rFonts w:ascii="Arial" w:cs="Arial" w:eastAsia="Arial" w:hAnsi="Arial"/>
                <w:sz w:val="14"/>
                <w:szCs w:val="14"/>
                <w:color w:val="auto"/>
                <w:w w:val="90"/>
              </w:rPr>
              <w:t>Equity in Earnings</w:t>
            </w:r>
          </w:p>
        </w:tc>
      </w:tr>
      <w:tr>
        <w:trPr>
          <w:trHeight w:val="159"/>
        </w:trPr>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3"/>
          </w:tcPr>
          <w:p>
            <w:pPr>
              <w:spacing w:after="0" w:line="159" w:lineRule="exact"/>
              <w:rPr>
                <w:sz w:val="20"/>
                <w:szCs w:val="20"/>
                <w:color w:val="auto"/>
              </w:rPr>
            </w:pPr>
            <w:r>
              <w:rPr>
                <w:rFonts w:ascii="Arial" w:cs="Arial" w:eastAsia="Arial" w:hAnsi="Arial"/>
                <w:sz w:val="14"/>
                <w:szCs w:val="14"/>
                <w:color w:val="auto"/>
                <w:w w:val="98"/>
              </w:rPr>
              <w:t>At December 31</w:t>
            </w:r>
          </w:p>
        </w:tc>
        <w:tc>
          <w:tcPr>
            <w:tcW w:w="80" w:type="dxa"/>
            <w:vAlign w:val="bottom"/>
          </w:tcPr>
          <w:p>
            <w:pPr>
              <w:spacing w:after="0"/>
              <w:rPr>
                <w:sz w:val="13"/>
                <w:szCs w:val="13"/>
                <w:color w:val="auto"/>
              </w:rPr>
            </w:pPr>
          </w:p>
        </w:tc>
        <w:tc>
          <w:tcPr>
            <w:tcW w:w="1520" w:type="dxa"/>
            <w:vAlign w:val="bottom"/>
            <w:gridSpan w:val="6"/>
          </w:tcPr>
          <w:p>
            <w:pPr>
              <w:ind w:left="140"/>
              <w:spacing w:after="0" w:line="159" w:lineRule="exact"/>
              <w:rPr>
                <w:sz w:val="20"/>
                <w:szCs w:val="20"/>
                <w:color w:val="auto"/>
              </w:rPr>
            </w:pPr>
            <w:r>
              <w:rPr>
                <w:rFonts w:ascii="Arial" w:cs="Arial" w:eastAsia="Arial" w:hAnsi="Arial"/>
                <w:sz w:val="14"/>
                <w:szCs w:val="14"/>
                <w:color w:val="auto"/>
                <w:w w:val="84"/>
              </w:rPr>
              <w:t>Year ended December 31</w:t>
            </w:r>
          </w:p>
        </w:tc>
      </w:tr>
      <w:tr>
        <w:trPr>
          <w:trHeight w:val="142"/>
        </w:trPr>
        <w:tc>
          <w:tcPr>
            <w:tcW w:w="2360" w:type="dxa"/>
            <w:vAlign w:val="bottom"/>
            <w:tcBorders>
              <w:bottom w:val="single" w:sz="8" w:color="0070FF"/>
            </w:tcBorders>
          </w:tcPr>
          <w:p>
            <w:pPr>
              <w:spacing w:after="0"/>
              <w:rPr>
                <w:sz w:val="12"/>
                <w:szCs w:val="12"/>
                <w:color w:val="auto"/>
              </w:rPr>
            </w:pPr>
          </w:p>
        </w:tc>
        <w:tc>
          <w:tcPr>
            <w:tcW w:w="100" w:type="dxa"/>
            <w:vAlign w:val="bottom"/>
            <w:tcBorders>
              <w:top w:val="single" w:sz="8" w:color="0070FF"/>
              <w:bottom w:val="single" w:sz="8" w:color="0070FF"/>
            </w:tcBorders>
          </w:tcPr>
          <w:p>
            <w:pPr>
              <w:spacing w:after="0"/>
              <w:rPr>
                <w:sz w:val="12"/>
                <w:szCs w:val="12"/>
                <w:color w:val="auto"/>
              </w:rPr>
            </w:pPr>
          </w:p>
        </w:tc>
        <w:tc>
          <w:tcPr>
            <w:tcW w:w="42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2003</w:t>
            </w:r>
          </w:p>
        </w:tc>
        <w:tc>
          <w:tcPr>
            <w:tcW w:w="400" w:type="dxa"/>
            <w:vAlign w:val="bottom"/>
            <w:tcBorders>
              <w:top w:val="single" w:sz="8" w:color="0070FF"/>
              <w:bottom w:val="single" w:sz="8" w:color="0070FF"/>
            </w:tcBorders>
          </w:tcPr>
          <w:p>
            <w:pPr>
              <w:spacing w:after="0"/>
              <w:rPr>
                <w:sz w:val="12"/>
                <w:szCs w:val="12"/>
                <w:color w:val="auto"/>
              </w:rPr>
            </w:pPr>
          </w:p>
        </w:tc>
        <w:tc>
          <w:tcPr>
            <w:tcW w:w="500" w:type="dxa"/>
            <w:vAlign w:val="bottom"/>
            <w:tcBorders>
              <w:top w:val="single" w:sz="8" w:color="0070FF"/>
              <w:bottom w:val="single" w:sz="8" w:color="0070FF"/>
            </w:tcBorders>
          </w:tcPr>
          <w:p>
            <w:pPr>
              <w:jc w:val="right"/>
              <w:ind w:right="8"/>
              <w:spacing w:after="0" w:line="142" w:lineRule="exact"/>
              <w:rPr>
                <w:sz w:val="20"/>
                <w:szCs w:val="20"/>
                <w:color w:val="auto"/>
              </w:rPr>
            </w:pPr>
            <w:r>
              <w:rPr>
                <w:rFonts w:ascii="Arial" w:cs="Arial" w:eastAsia="Arial" w:hAnsi="Arial"/>
                <w:sz w:val="14"/>
                <w:szCs w:val="14"/>
                <w:color w:val="auto"/>
              </w:rPr>
              <w:t>2002</w:t>
            </w:r>
          </w:p>
        </w:tc>
        <w:tc>
          <w:tcPr>
            <w:tcW w:w="120" w:type="dxa"/>
            <w:vAlign w:val="bottom"/>
            <w:tcBorders>
              <w:bottom w:val="single" w:sz="8" w:color="0070FF"/>
            </w:tcBorders>
          </w:tcPr>
          <w:p>
            <w:pPr>
              <w:spacing w:after="0"/>
              <w:rPr>
                <w:sz w:val="12"/>
                <w:szCs w:val="12"/>
                <w:color w:val="auto"/>
              </w:rPr>
            </w:pPr>
          </w:p>
        </w:tc>
        <w:tc>
          <w:tcPr>
            <w:tcW w:w="80" w:type="dxa"/>
            <w:vAlign w:val="bottom"/>
            <w:tcBorders>
              <w:top w:val="single" w:sz="8" w:color="0070FF"/>
              <w:bottom w:val="single" w:sz="8" w:color="0070FF"/>
            </w:tcBorders>
          </w:tcPr>
          <w:p>
            <w:pPr>
              <w:spacing w:after="0"/>
              <w:rPr>
                <w:sz w:val="12"/>
                <w:szCs w:val="12"/>
                <w:color w:val="auto"/>
              </w:rPr>
            </w:pPr>
          </w:p>
        </w:tc>
        <w:tc>
          <w:tcPr>
            <w:tcW w:w="440" w:type="dxa"/>
            <w:vAlign w:val="bottom"/>
            <w:tcBorders>
              <w:top w:val="single" w:sz="8" w:color="0070FF"/>
              <w:bottom w:val="single" w:sz="8" w:color="0070FF"/>
            </w:tcBorders>
          </w:tcPr>
          <w:p>
            <w:pPr>
              <w:jc w:val="right"/>
              <w:ind w:right="48"/>
              <w:spacing w:after="0" w:line="142" w:lineRule="exact"/>
              <w:rPr>
                <w:sz w:val="20"/>
                <w:szCs w:val="20"/>
                <w:color w:val="auto"/>
              </w:rPr>
            </w:pPr>
            <w:r>
              <w:rPr>
                <w:rFonts w:ascii="Arial" w:cs="Arial" w:eastAsia="Arial" w:hAnsi="Arial"/>
                <w:sz w:val="14"/>
                <w:szCs w:val="14"/>
                <w:color w:val="auto"/>
                <w:w w:val="96"/>
              </w:rPr>
              <w:t>2003</w:t>
            </w:r>
          </w:p>
        </w:tc>
        <w:tc>
          <w:tcPr>
            <w:tcW w:w="140" w:type="dxa"/>
            <w:vAlign w:val="bottom"/>
            <w:tcBorders>
              <w:top w:val="single" w:sz="8" w:color="0070FF"/>
              <w:bottom w:val="single" w:sz="8" w:color="0070FF"/>
            </w:tcBorders>
          </w:tcPr>
          <w:p>
            <w:pPr>
              <w:spacing w:after="0"/>
              <w:rPr>
                <w:sz w:val="12"/>
                <w:szCs w:val="12"/>
                <w:color w:val="auto"/>
              </w:rPr>
            </w:pPr>
          </w:p>
        </w:tc>
        <w:tc>
          <w:tcPr>
            <w:tcW w:w="400" w:type="dxa"/>
            <w:vAlign w:val="bottom"/>
            <w:tcBorders>
              <w:top w:val="single" w:sz="8" w:color="0070FF"/>
              <w:bottom w:val="single" w:sz="8" w:color="0070FF"/>
            </w:tcBorders>
          </w:tcPr>
          <w:p>
            <w:pPr>
              <w:jc w:val="right"/>
              <w:ind w:right="48"/>
              <w:spacing w:after="0" w:line="142" w:lineRule="exact"/>
              <w:rPr>
                <w:sz w:val="20"/>
                <w:szCs w:val="20"/>
                <w:color w:val="auto"/>
              </w:rPr>
            </w:pPr>
            <w:r>
              <w:rPr>
                <w:rFonts w:ascii="Arial" w:cs="Arial" w:eastAsia="Arial" w:hAnsi="Arial"/>
                <w:sz w:val="14"/>
                <w:szCs w:val="14"/>
                <w:color w:val="auto"/>
                <w:w w:val="83"/>
              </w:rPr>
              <w:t>2002</w:t>
            </w:r>
          </w:p>
        </w:tc>
        <w:tc>
          <w:tcPr>
            <w:tcW w:w="140" w:type="dxa"/>
            <w:vAlign w:val="bottom"/>
            <w:tcBorders>
              <w:top w:val="single" w:sz="8" w:color="0070FF"/>
              <w:bottom w:val="single" w:sz="8" w:color="0070FF"/>
            </w:tcBorders>
          </w:tcPr>
          <w:p>
            <w:pPr>
              <w:spacing w:after="0"/>
              <w:rPr>
                <w:sz w:val="12"/>
                <w:szCs w:val="12"/>
                <w:color w:val="auto"/>
              </w:rPr>
            </w:pPr>
          </w:p>
        </w:tc>
        <w:tc>
          <w:tcPr>
            <w:tcW w:w="38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color w:val="auto"/>
                <w:w w:val="96"/>
              </w:rPr>
              <w:t>2001</w:t>
            </w:r>
          </w:p>
        </w:tc>
        <w:tc>
          <w:tcPr>
            <w:tcW w:w="20" w:type="dxa"/>
            <w:vAlign w:val="bottom"/>
          </w:tcPr>
          <w:p>
            <w:pPr>
              <w:spacing w:after="0"/>
              <w:rPr>
                <w:sz w:val="12"/>
                <w:szCs w:val="12"/>
                <w:color w:val="auto"/>
              </w:rPr>
            </w:pPr>
          </w:p>
        </w:tc>
      </w:tr>
      <w:tr>
        <w:trPr>
          <w:trHeight w:val="137"/>
        </w:trPr>
        <w:tc>
          <w:tcPr>
            <w:tcW w:w="23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Exploration and Production</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Tengizchevroil</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3,363</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2,949</w:t>
            </w:r>
          </w:p>
        </w:tc>
        <w:tc>
          <w:tcPr>
            <w:tcW w:w="1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611</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20" w:type="dxa"/>
            <w:vAlign w:val="bottom"/>
          </w:tcPr>
          <w:p>
            <w:pPr>
              <w:spacing w:after="0"/>
              <w:rPr>
                <w:sz w:val="12"/>
                <w:szCs w:val="12"/>
                <w:color w:val="auto"/>
              </w:rPr>
            </w:pPr>
          </w:p>
        </w:tc>
      </w:tr>
      <w:tr>
        <w:trPr>
          <w:trHeight w:val="167"/>
        </w:trPr>
        <w:tc>
          <w:tcPr>
            <w:tcW w:w="23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991</w:t>
            </w:r>
          </w:p>
        </w:tc>
        <w:tc>
          <w:tcPr>
            <w:tcW w:w="40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876</w:t>
            </w:r>
          </w:p>
        </w:tc>
        <w:tc>
          <w:tcPr>
            <w:tcW w:w="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200</w:t>
            </w:r>
          </w:p>
        </w:tc>
        <w:tc>
          <w:tcPr>
            <w:tcW w:w="1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116</w:t>
            </w:r>
          </w:p>
        </w:tc>
        <w:tc>
          <w:tcPr>
            <w:tcW w:w="14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4"/>
                <w:szCs w:val="14"/>
                <w:color w:val="auto"/>
              </w:rPr>
            </w:pPr>
          </w:p>
        </w:tc>
      </w:tr>
      <w:tr>
        <w:trPr>
          <w:trHeight w:val="137"/>
        </w:trPr>
        <w:tc>
          <w:tcPr>
            <w:tcW w:w="2360" w:type="dxa"/>
            <w:vAlign w:val="bottom"/>
          </w:tcPr>
          <w:p>
            <w:pPr>
              <w:ind w:left="140"/>
              <w:spacing w:after="0" w:line="137" w:lineRule="exact"/>
              <w:rPr>
                <w:sz w:val="20"/>
                <w:szCs w:val="20"/>
                <w:color w:val="auto"/>
              </w:rPr>
            </w:pPr>
            <w:r>
              <w:rPr>
                <w:rFonts w:ascii="Arial" w:cs="Arial" w:eastAsia="Arial" w:hAnsi="Arial"/>
                <w:sz w:val="14"/>
                <w:szCs w:val="14"/>
                <w:color w:val="auto"/>
              </w:rPr>
              <w:t>Total Exploration and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360" w:type="dxa"/>
            <w:vAlign w:val="bottom"/>
            <w:tcBorders>
              <w:bottom w:val="single" w:sz="8" w:color="0070FF"/>
            </w:tcBorders>
          </w:tcPr>
          <w:p>
            <w:pPr>
              <w:ind w:left="280"/>
              <w:spacing w:after="0"/>
              <w:rPr>
                <w:sz w:val="20"/>
                <w:szCs w:val="20"/>
                <w:color w:val="auto"/>
              </w:rPr>
            </w:pPr>
            <w:r>
              <w:rPr>
                <w:rFonts w:ascii="Arial" w:cs="Arial" w:eastAsia="Arial" w:hAnsi="Arial"/>
                <w:sz w:val="14"/>
                <w:szCs w:val="14"/>
                <w:color w:val="auto"/>
              </w:rPr>
              <w:t>Production</w:t>
            </w:r>
          </w:p>
        </w:tc>
        <w:tc>
          <w:tcPr>
            <w:tcW w:w="10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4,354</w:t>
            </w:r>
          </w:p>
        </w:tc>
        <w:tc>
          <w:tcPr>
            <w:tcW w:w="40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3,825</w:t>
            </w:r>
          </w:p>
        </w:tc>
        <w:tc>
          <w:tcPr>
            <w:tcW w:w="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811</w:t>
            </w:r>
          </w:p>
        </w:tc>
        <w:tc>
          <w:tcPr>
            <w:tcW w:w="1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606</w:t>
            </w:r>
          </w:p>
        </w:tc>
        <w:tc>
          <w:tcPr>
            <w:tcW w:w="14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537</w:t>
            </w:r>
          </w:p>
        </w:tc>
        <w:tc>
          <w:tcPr>
            <w:tcW w:w="20" w:type="dxa"/>
            <w:vAlign w:val="bottom"/>
          </w:tcPr>
          <w:p>
            <w:pPr>
              <w:spacing w:after="0"/>
              <w:rPr>
                <w:sz w:val="14"/>
                <w:szCs w:val="14"/>
                <w:color w:val="auto"/>
              </w:rPr>
            </w:pPr>
          </w:p>
        </w:tc>
      </w:tr>
      <w:tr>
        <w:trPr>
          <w:trHeight w:val="133"/>
        </w:trPr>
        <w:tc>
          <w:tcPr>
            <w:tcW w:w="236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Refining, Marketing</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236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and Transportation</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Equilon*</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274</w:t>
            </w:r>
          </w:p>
        </w:tc>
        <w:tc>
          <w:tcPr>
            <w:tcW w:w="20" w:type="dxa"/>
            <w:vAlign w:val="bottom"/>
          </w:tcPr>
          <w:p>
            <w:pPr>
              <w:spacing w:after="0"/>
              <w:rPr>
                <w:sz w:val="12"/>
                <w:szCs w:val="12"/>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Motiva*</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20" w:type="dxa"/>
            <w:vAlign w:val="bottom"/>
          </w:tcPr>
          <w:p>
            <w:pPr>
              <w:spacing w:after="0"/>
              <w:rPr>
                <w:sz w:val="12"/>
                <w:szCs w:val="12"/>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LG-Caltex Oil Corporation</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40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107</w:t>
            </w:r>
          </w:p>
        </w:tc>
        <w:tc>
          <w:tcPr>
            <w:tcW w:w="14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Caspian Pipeline Consortium</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1,026</w:t>
            </w:r>
          </w:p>
        </w:tc>
        <w:tc>
          <w:tcPr>
            <w:tcW w:w="40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w:t>
            </w:r>
          </w:p>
        </w:tc>
        <w:tc>
          <w:tcPr>
            <w:tcW w:w="14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Star Petroleum Refining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rPr>
              <w:t>Company Ltd.</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457</w:t>
            </w:r>
          </w:p>
        </w:tc>
        <w:tc>
          <w:tcPr>
            <w:tcW w:w="40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Caltex Australia Ltd.</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40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Arial" w:cs="Arial" w:eastAsia="Arial" w:hAnsi="Arial"/>
                <w:sz w:val="14"/>
                <w:szCs w:val="14"/>
                <w:color w:val="auto"/>
                <w:w w:val="91"/>
              </w:rPr>
              <w:t>(156)</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r>
      <w:tr>
        <w:trPr>
          <w:trHeight w:val="167"/>
        </w:trPr>
        <w:tc>
          <w:tcPr>
            <w:tcW w:w="23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1,069</w:t>
            </w:r>
          </w:p>
        </w:tc>
        <w:tc>
          <w:tcPr>
            <w:tcW w:w="40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994</w:t>
            </w:r>
          </w:p>
        </w:tc>
        <w:tc>
          <w:tcPr>
            <w:tcW w:w="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110</w:t>
            </w:r>
          </w:p>
        </w:tc>
        <w:tc>
          <w:tcPr>
            <w:tcW w:w="14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4"/>
                <w:szCs w:val="14"/>
                <w:color w:val="auto"/>
              </w:rPr>
            </w:pPr>
          </w:p>
        </w:tc>
      </w:tr>
      <w:tr>
        <w:trPr>
          <w:trHeight w:val="137"/>
        </w:trPr>
        <w:tc>
          <w:tcPr>
            <w:tcW w:w="2360" w:type="dxa"/>
            <w:vAlign w:val="bottom"/>
          </w:tcPr>
          <w:p>
            <w:pPr>
              <w:ind w:left="140"/>
              <w:spacing w:after="0" w:line="137" w:lineRule="exact"/>
              <w:rPr>
                <w:sz w:val="20"/>
                <w:szCs w:val="20"/>
                <w:color w:val="auto"/>
              </w:rPr>
            </w:pPr>
            <w:r>
              <w:rPr>
                <w:rFonts w:ascii="Arial" w:cs="Arial" w:eastAsia="Arial" w:hAnsi="Arial"/>
                <w:sz w:val="14"/>
                <w:szCs w:val="14"/>
                <w:color w:val="auto"/>
              </w:rPr>
              <w:t>Total Refining, Marketing</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360" w:type="dxa"/>
            <w:vAlign w:val="bottom"/>
            <w:tcBorders>
              <w:bottom w:val="single" w:sz="8" w:color="0070FF"/>
            </w:tcBorders>
          </w:tcPr>
          <w:p>
            <w:pPr>
              <w:ind w:left="280"/>
              <w:spacing w:after="0"/>
              <w:rPr>
                <w:sz w:val="20"/>
                <w:szCs w:val="20"/>
                <w:color w:val="auto"/>
              </w:rPr>
            </w:pPr>
            <w:r>
              <w:rPr>
                <w:rFonts w:ascii="Arial" w:cs="Arial" w:eastAsia="Arial" w:hAnsi="Arial"/>
                <w:sz w:val="14"/>
                <w:szCs w:val="14"/>
                <w:color w:val="auto"/>
              </w:rPr>
              <w:t>and Transportation</w:t>
            </w:r>
          </w:p>
        </w:tc>
        <w:tc>
          <w:tcPr>
            <w:tcW w:w="10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4,231</w:t>
            </w:r>
          </w:p>
        </w:tc>
        <w:tc>
          <w:tcPr>
            <w:tcW w:w="40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4,079</w:t>
            </w:r>
          </w:p>
        </w:tc>
        <w:tc>
          <w:tcPr>
            <w:tcW w:w="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280</w:t>
            </w:r>
          </w:p>
        </w:tc>
        <w:tc>
          <w:tcPr>
            <w:tcW w:w="1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41</w:t>
            </w:r>
          </w:p>
        </w:tc>
        <w:tc>
          <w:tcPr>
            <w:tcW w:w="14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700</w:t>
            </w:r>
          </w:p>
        </w:tc>
        <w:tc>
          <w:tcPr>
            <w:tcW w:w="20" w:type="dxa"/>
            <w:vAlign w:val="bottom"/>
          </w:tcPr>
          <w:p>
            <w:pPr>
              <w:spacing w:after="0"/>
              <w:rPr>
                <w:sz w:val="14"/>
                <w:szCs w:val="14"/>
                <w:color w:val="auto"/>
              </w:rPr>
            </w:pPr>
          </w:p>
        </w:tc>
      </w:tr>
      <w:tr>
        <w:trPr>
          <w:trHeight w:val="137"/>
        </w:trPr>
        <w:tc>
          <w:tcPr>
            <w:tcW w:w="23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Chemicals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Chevron Phillips Chemical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rPr>
              <w:t>Company LLC</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1,747</w:t>
            </w:r>
          </w:p>
        </w:tc>
        <w:tc>
          <w:tcPr>
            <w:tcW w:w="40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2"/>
                <w:szCs w:val="12"/>
                <w:color w:val="auto"/>
              </w:rPr>
            </w:pPr>
          </w:p>
        </w:tc>
      </w:tr>
      <w:tr>
        <w:trPr>
          <w:trHeight w:val="167"/>
        </w:trPr>
        <w:tc>
          <w:tcPr>
            <w:tcW w:w="23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w:t>
            </w:r>
          </w:p>
        </w:tc>
        <w:tc>
          <w:tcPr>
            <w:tcW w:w="40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r>
      <w:tr>
        <w:trPr>
          <w:trHeight w:val="156"/>
        </w:trPr>
        <w:tc>
          <w:tcPr>
            <w:tcW w:w="236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Total Chemicals</w:t>
            </w:r>
          </w:p>
        </w:tc>
        <w:tc>
          <w:tcPr>
            <w:tcW w:w="100" w:type="dxa"/>
            <w:vAlign w:val="bottom"/>
            <w:tcBorders>
              <w:bottom w:val="single" w:sz="8" w:color="0070FF"/>
            </w:tcBorders>
          </w:tcPr>
          <w:p>
            <w:pPr>
              <w:spacing w:after="0"/>
              <w:rPr>
                <w:sz w:val="13"/>
                <w:szCs w:val="13"/>
                <w:color w:val="auto"/>
              </w:rPr>
            </w:pPr>
          </w:p>
        </w:tc>
        <w:tc>
          <w:tcPr>
            <w:tcW w:w="4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1,767</w:t>
            </w:r>
          </w:p>
        </w:tc>
        <w:tc>
          <w:tcPr>
            <w:tcW w:w="400" w:type="dxa"/>
            <w:vAlign w:val="bottom"/>
            <w:tcBorders>
              <w:bottom w:val="single" w:sz="8" w:color="0070FF"/>
            </w:tcBorders>
          </w:tcPr>
          <w:p>
            <w:pPr>
              <w:spacing w:after="0"/>
              <w:rPr>
                <w:sz w:val="13"/>
                <w:szCs w:val="13"/>
                <w:color w:val="auto"/>
              </w:rPr>
            </w:pPr>
          </w:p>
        </w:tc>
        <w:tc>
          <w:tcPr>
            <w:tcW w:w="50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1,731</w:t>
            </w:r>
          </w:p>
        </w:tc>
        <w:tc>
          <w:tcPr>
            <w:tcW w:w="12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25</w:t>
            </w:r>
          </w:p>
        </w:tc>
        <w:tc>
          <w:tcPr>
            <w:tcW w:w="140" w:type="dxa"/>
            <w:vAlign w:val="bottom"/>
            <w:tcBorders>
              <w:bottom w:val="single" w:sz="8" w:color="0070FF"/>
            </w:tcBorders>
          </w:tcPr>
          <w:p>
            <w:pPr>
              <w:spacing w:after="0"/>
              <w:rPr>
                <w:sz w:val="13"/>
                <w:szCs w:val="13"/>
                <w:color w:val="auto"/>
              </w:rPr>
            </w:pPr>
          </w:p>
        </w:tc>
        <w:tc>
          <w:tcPr>
            <w:tcW w:w="4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6</w:t>
            </w:r>
          </w:p>
        </w:tc>
        <w:tc>
          <w:tcPr>
            <w:tcW w:w="140" w:type="dxa"/>
            <w:vAlign w:val="bottom"/>
            <w:tcBorders>
              <w:bottom w:val="single" w:sz="8" w:color="0070FF"/>
            </w:tcBorders>
          </w:tcPr>
          <w:p>
            <w:pPr>
              <w:spacing w:after="0"/>
              <w:rPr>
                <w:sz w:val="13"/>
                <w:szCs w:val="13"/>
                <w:color w:val="auto"/>
              </w:rPr>
            </w:pP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(227)</w:t>
            </w:r>
          </w:p>
        </w:tc>
        <w:tc>
          <w:tcPr>
            <w:tcW w:w="20" w:type="dxa"/>
            <w:vAlign w:val="bottom"/>
          </w:tcPr>
          <w:p>
            <w:pPr>
              <w:spacing w:after="0"/>
              <w:rPr>
                <w:sz w:val="13"/>
                <w:szCs w:val="13"/>
                <w:color w:val="auto"/>
              </w:rPr>
            </w:pPr>
          </w:p>
        </w:tc>
      </w:tr>
      <w:tr>
        <w:trPr>
          <w:trHeight w:val="137"/>
        </w:trPr>
        <w:tc>
          <w:tcPr>
            <w:tcW w:w="236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Dynegy Inc.</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698</w:t>
            </w:r>
          </w:p>
        </w:tc>
        <w:tc>
          <w:tcPr>
            <w:tcW w:w="400" w:type="dxa"/>
            <w:vAlign w:val="bottom"/>
          </w:tcPr>
          <w:p>
            <w:pPr>
              <w:spacing w:after="0"/>
              <w:rPr>
                <w:sz w:val="12"/>
                <w:szCs w:val="12"/>
                <w:color w:val="auto"/>
              </w:rPr>
            </w:pPr>
          </w:p>
        </w:tc>
        <w:tc>
          <w:tcPr>
            <w:tcW w:w="5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Arial" w:cs="Arial" w:eastAsia="Arial" w:hAnsi="Arial"/>
                <w:sz w:val="14"/>
                <w:szCs w:val="14"/>
                <w:color w:val="auto"/>
                <w:w w:val="91"/>
              </w:rPr>
              <w:t>(679)</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20" w:type="dxa"/>
            <w:vAlign w:val="bottom"/>
          </w:tcPr>
          <w:p>
            <w:pPr>
              <w:spacing w:after="0"/>
              <w:rPr>
                <w:sz w:val="12"/>
                <w:szCs w:val="12"/>
                <w:color w:val="auto"/>
              </w:rPr>
            </w:pPr>
          </w:p>
        </w:tc>
      </w:tr>
      <w:tr>
        <w:trPr>
          <w:trHeight w:val="167"/>
        </w:trPr>
        <w:tc>
          <w:tcPr>
            <w:tcW w:w="23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761</w:t>
            </w:r>
          </w:p>
        </w:tc>
        <w:tc>
          <w:tcPr>
            <w:tcW w:w="40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681</w:t>
            </w:r>
          </w:p>
        </w:tc>
        <w:tc>
          <w:tcPr>
            <w:tcW w:w="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(31)</w:t>
            </w:r>
          </w:p>
        </w:tc>
        <w:tc>
          <w:tcPr>
            <w:tcW w:w="1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4"/>
                <w:szCs w:val="14"/>
                <w:color w:val="auto"/>
              </w:rPr>
            </w:pPr>
          </w:p>
        </w:tc>
      </w:tr>
      <w:tr>
        <w:trPr>
          <w:trHeight w:val="137"/>
        </w:trPr>
        <w:tc>
          <w:tcPr>
            <w:tcW w:w="2360" w:type="dxa"/>
            <w:vAlign w:val="bottom"/>
          </w:tcPr>
          <w:p>
            <w:pPr>
              <w:ind w:left="140"/>
              <w:spacing w:after="0" w:line="137" w:lineRule="exact"/>
              <w:rPr>
                <w:sz w:val="20"/>
                <w:szCs w:val="20"/>
                <w:color w:val="auto"/>
              </w:rPr>
            </w:pPr>
            <w:r>
              <w:rPr>
                <w:rFonts w:ascii="Arial" w:cs="Arial" w:eastAsia="Arial" w:hAnsi="Arial"/>
                <w:sz w:val="14"/>
                <w:szCs w:val="14"/>
                <w:color w:val="auto"/>
              </w:rPr>
              <w:t>Total equity method</w:t>
            </w:r>
          </w:p>
        </w:tc>
        <w:tc>
          <w:tcPr>
            <w:tcW w:w="10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w w:val="88"/>
              </w:rPr>
              <w:t>11,811</w:t>
            </w:r>
          </w:p>
        </w:tc>
        <w:tc>
          <w:tcPr>
            <w:tcW w:w="40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line="137" w:lineRule="exact"/>
              <w:rPr>
                <w:sz w:val="20"/>
                <w:szCs w:val="20"/>
                <w:color w:val="auto"/>
              </w:rPr>
            </w:pPr>
            <w:r>
              <w:rPr>
                <w:rFonts w:ascii="Arial" w:cs="Arial" w:eastAsia="Arial" w:hAnsi="Arial"/>
                <w:sz w:val="14"/>
                <w:szCs w:val="14"/>
                <w:color w:val="auto"/>
                <w:w w:val="93"/>
              </w:rPr>
              <w:t>10,663</w:t>
            </w:r>
          </w:p>
        </w:tc>
        <w:tc>
          <w:tcPr>
            <w:tcW w:w="120" w:type="dxa"/>
            <w:vAlign w:val="bottom"/>
          </w:tcPr>
          <w:p>
            <w:pPr>
              <w:spacing w:after="0"/>
              <w:rPr>
                <w:sz w:val="11"/>
                <w:szCs w:val="11"/>
                <w:color w:val="auto"/>
              </w:rPr>
            </w:pPr>
          </w:p>
        </w:tc>
        <w:tc>
          <w:tcPr>
            <w:tcW w:w="80" w:type="dxa"/>
            <w:vAlign w:val="bottom"/>
          </w:tcPr>
          <w:p>
            <w:pPr>
              <w:jc w:val="right"/>
              <w:spacing w:after="0" w:line="137"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ind w:right="48"/>
              <w:spacing w:after="0" w:line="137" w:lineRule="exact"/>
              <w:rPr>
                <w:sz w:val="20"/>
                <w:szCs w:val="20"/>
                <w:color w:val="auto"/>
              </w:rPr>
            </w:pPr>
            <w:r>
              <w:rPr>
                <w:rFonts w:ascii="Arial" w:cs="Arial" w:eastAsia="Arial" w:hAnsi="Arial"/>
                <w:sz w:val="14"/>
                <w:szCs w:val="14"/>
                <w:color w:val="auto"/>
                <w:w w:val="85"/>
              </w:rPr>
              <w:t>1,029</w:t>
            </w:r>
          </w:p>
        </w:tc>
        <w:tc>
          <w:tcPr>
            <w:tcW w:w="140" w:type="dxa"/>
            <w:vAlign w:val="bottom"/>
          </w:tcPr>
          <w:p>
            <w:pPr>
              <w:ind w:left="60"/>
              <w:spacing w:after="0" w:line="137"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ind w:right="8"/>
              <w:spacing w:after="0" w:line="137" w:lineRule="exact"/>
              <w:rPr>
                <w:sz w:val="20"/>
                <w:szCs w:val="20"/>
                <w:color w:val="auto"/>
              </w:rPr>
            </w:pPr>
            <w:r>
              <w:rPr>
                <w:rFonts w:ascii="Arial" w:cs="Arial" w:eastAsia="Arial" w:hAnsi="Arial"/>
                <w:sz w:val="14"/>
                <w:szCs w:val="14"/>
                <w:color w:val="auto"/>
              </w:rPr>
              <w:t>(25)</w:t>
            </w:r>
          </w:p>
        </w:tc>
        <w:tc>
          <w:tcPr>
            <w:tcW w:w="14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37" w:lineRule="exact"/>
              <w:rPr>
                <w:sz w:val="20"/>
                <w:szCs w:val="20"/>
                <w:color w:val="auto"/>
              </w:rPr>
            </w:pPr>
            <w:r>
              <w:rPr>
                <w:rFonts w:ascii="Arial" w:cs="Arial" w:eastAsia="Arial" w:hAnsi="Arial"/>
                <w:sz w:val="14"/>
                <w:szCs w:val="14"/>
                <w:color w:val="auto"/>
                <w:w w:val="85"/>
              </w:rPr>
              <w:t>1,144</w:t>
            </w:r>
          </w:p>
        </w:tc>
        <w:tc>
          <w:tcPr>
            <w:tcW w:w="20" w:type="dxa"/>
            <w:vAlign w:val="bottom"/>
          </w:tcPr>
          <w:p>
            <w:pPr>
              <w:spacing w:after="0"/>
              <w:rPr>
                <w:sz w:val="11"/>
                <w:szCs w:val="11"/>
                <w:color w:val="auto"/>
              </w:rPr>
            </w:pPr>
          </w:p>
        </w:tc>
      </w:tr>
      <w:tr>
        <w:trPr>
          <w:trHeight w:val="167"/>
        </w:trPr>
        <w:tc>
          <w:tcPr>
            <w:tcW w:w="236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Other at or below cost</w:t>
            </w:r>
          </w:p>
        </w:tc>
        <w:tc>
          <w:tcPr>
            <w:tcW w:w="10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508</w:t>
            </w:r>
          </w:p>
        </w:tc>
        <w:tc>
          <w:tcPr>
            <w:tcW w:w="40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2360" w:type="dxa"/>
            <w:vAlign w:val="bottom"/>
          </w:tcPr>
          <w:p>
            <w:pPr>
              <w:ind w:left="140"/>
              <w:spacing w:after="0" w:line="137" w:lineRule="exact"/>
              <w:rPr>
                <w:sz w:val="20"/>
                <w:szCs w:val="20"/>
                <w:color w:val="auto"/>
              </w:rPr>
            </w:pPr>
            <w:r>
              <w:rPr>
                <w:rFonts w:ascii="Arial" w:cs="Arial" w:eastAsia="Arial" w:hAnsi="Arial"/>
                <w:sz w:val="14"/>
                <w:szCs w:val="14"/>
                <w:color w:val="auto"/>
              </w:rPr>
              <w:t>Total investments and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360" w:type="dxa"/>
            <w:vAlign w:val="bottom"/>
            <w:tcBorders>
              <w:bottom w:val="single" w:sz="8" w:color="0070FF"/>
            </w:tcBorders>
          </w:tcPr>
          <w:p>
            <w:pPr>
              <w:ind w:left="280"/>
              <w:spacing w:after="0"/>
              <w:rPr>
                <w:sz w:val="20"/>
                <w:szCs w:val="20"/>
                <w:color w:val="auto"/>
              </w:rPr>
            </w:pPr>
            <w:r>
              <w:rPr>
                <w:rFonts w:ascii="Arial" w:cs="Arial" w:eastAsia="Arial" w:hAnsi="Arial"/>
                <w:sz w:val="14"/>
                <w:szCs w:val="14"/>
                <w:color w:val="auto"/>
              </w:rPr>
              <w:t>advances</w:t>
            </w:r>
          </w:p>
        </w:tc>
        <w:tc>
          <w:tcPr>
            <w:tcW w:w="10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88"/>
              </w:rPr>
              <w:t>12,319</w:t>
            </w: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w w:val="93"/>
              </w:rPr>
              <w:t>11,097</w:t>
            </w:r>
          </w:p>
        </w:tc>
        <w:tc>
          <w:tcPr>
            <w:tcW w:w="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3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U.S.</w:t>
            </w:r>
          </w:p>
        </w:tc>
        <w:tc>
          <w:tcPr>
            <w:tcW w:w="1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3,905</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3,216</w:t>
            </w:r>
          </w:p>
        </w:tc>
        <w:tc>
          <w:tcPr>
            <w:tcW w:w="12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175</w:t>
            </w:r>
          </w:p>
        </w:tc>
        <w:tc>
          <w:tcPr>
            <w:tcW w:w="140" w:type="dxa"/>
            <w:vAlign w:val="bottom"/>
            <w:tcBorders>
              <w:bottom w:val="single" w:sz="8" w:color="0070FF"/>
            </w:tcBorders>
          </w:tcPr>
          <w:p>
            <w:pPr>
              <w:ind w:left="60"/>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w w:val="91"/>
              </w:rPr>
              <w:t>(559)</w:t>
            </w:r>
          </w:p>
        </w:tc>
        <w:tc>
          <w:tcPr>
            <w:tcW w:w="1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693</w:t>
            </w:r>
          </w:p>
        </w:tc>
        <w:tc>
          <w:tcPr>
            <w:tcW w:w="20" w:type="dxa"/>
            <w:vAlign w:val="bottom"/>
          </w:tcPr>
          <w:p>
            <w:pPr>
              <w:spacing w:after="0"/>
              <w:rPr>
                <w:sz w:val="13"/>
                <w:szCs w:val="13"/>
                <w:color w:val="auto"/>
              </w:rPr>
            </w:pPr>
          </w:p>
        </w:tc>
      </w:tr>
      <w:tr>
        <w:trPr>
          <w:trHeight w:val="176"/>
        </w:trPr>
        <w:tc>
          <w:tcPr>
            <w:tcW w:w="23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International</w:t>
            </w:r>
          </w:p>
        </w:tc>
        <w:tc>
          <w:tcPr>
            <w:tcW w:w="1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8,414</w:t>
            </w:r>
          </w:p>
        </w:tc>
        <w:tc>
          <w:tcPr>
            <w:tcW w:w="4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7,881</w:t>
            </w:r>
          </w:p>
        </w:tc>
        <w:tc>
          <w:tcPr>
            <w:tcW w:w="120" w:type="dxa"/>
            <w:vAlign w:val="bottom"/>
            <w:tcBorders>
              <w:bottom w:val="single" w:sz="8" w:color="0070FF"/>
            </w:tcBorders>
          </w:tcPr>
          <w:p>
            <w:pPr>
              <w:spacing w:after="0"/>
              <w:rPr>
                <w:sz w:val="15"/>
                <w:szCs w:val="15"/>
                <w:color w:val="auto"/>
              </w:rPr>
            </w:pP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854</w:t>
            </w:r>
          </w:p>
        </w:tc>
        <w:tc>
          <w:tcPr>
            <w:tcW w:w="140" w:type="dxa"/>
            <w:vAlign w:val="bottom"/>
            <w:tcBorders>
              <w:bottom w:val="single" w:sz="8" w:color="0070FF"/>
            </w:tcBorders>
          </w:tcPr>
          <w:p>
            <w:pPr>
              <w:ind w:left="60"/>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534</w:t>
            </w:r>
          </w:p>
        </w:tc>
        <w:tc>
          <w:tcPr>
            <w:tcW w:w="1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451</w:t>
            </w:r>
          </w:p>
        </w:tc>
        <w:tc>
          <w:tcPr>
            <w:tcW w:w="20" w:type="dxa"/>
            <w:vAlign w:val="bottom"/>
          </w:tcPr>
          <w:p>
            <w:pPr>
              <w:spacing w:after="0"/>
              <w:rPr>
                <w:sz w:val="15"/>
                <w:szCs w:val="15"/>
                <w:color w:val="auto"/>
              </w:rPr>
            </w:pPr>
          </w:p>
        </w:tc>
      </w:tr>
    </w:tbl>
    <w:p>
      <w:pPr>
        <w:ind w:left="140" w:hanging="128"/>
        <w:spacing w:after="0" w:line="186" w:lineRule="auto"/>
        <w:tabs>
          <w:tab w:leader="none" w:pos="140" w:val="left"/>
        </w:tabs>
        <w:numPr>
          <w:ilvl w:val="0"/>
          <w:numId w:val="44"/>
        </w:numPr>
        <w:rPr>
          <w:rFonts w:ascii="Arial" w:cs="Arial" w:eastAsia="Arial" w:hAnsi="Arial"/>
          <w:sz w:val="34"/>
          <w:szCs w:val="34"/>
          <w:color w:val="auto"/>
          <w:vertAlign w:val="subscript"/>
        </w:rPr>
      </w:pPr>
      <w:r>
        <w:rPr>
          <w:rFonts w:ascii="Arial" w:cs="Arial" w:eastAsia="Arial" w:hAnsi="Arial"/>
          <w:sz w:val="11"/>
          <w:szCs w:val="11"/>
          <w:color w:val="auto"/>
        </w:rPr>
        <w:t>Placed</w:t>
      </w:r>
      <w:r>
        <w:rPr>
          <w:rFonts w:ascii="Arial" w:cs="Arial" w:eastAsia="Arial" w:hAnsi="Arial"/>
          <w:sz w:val="22"/>
          <w:szCs w:val="22"/>
          <w:color w:val="auto"/>
          <w:vertAlign w:val="subscript"/>
        </w:rPr>
        <w:t>basis.</w:t>
      </w:r>
      <w:r>
        <w:rPr>
          <w:rFonts w:ascii="Arial" w:cs="Arial" w:eastAsia="Arial" w:hAnsi="Arial"/>
          <w:sz w:val="11"/>
          <w:szCs w:val="11"/>
          <w:color w:val="auto"/>
        </w:rPr>
        <w:t xml:space="preserve"> in trust at the time of the merger and accounting changed from the equity method to the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Descriptions of major affiliates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-153035</wp:posOffset>
            </wp:positionV>
            <wp:extent cx="8890" cy="69462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6946265"/>
                    </a:xfrm>
                    <a:prstGeom prst="rect">
                      <a:avLst/>
                    </a:prstGeom>
                    <a:noFill/>
                  </pic:spPr>
                </pic:pic>
              </a:graphicData>
            </a:graphic>
          </wp:anchor>
        </w:drawing>
      </w:r>
    </w:p>
    <w:p>
      <w:pPr>
        <w:spacing w:after="0" w:line="2" w:lineRule="exact"/>
        <w:rPr>
          <w:sz w:val="20"/>
          <w:szCs w:val="20"/>
          <w:color w:val="auto"/>
        </w:rPr>
      </w:pPr>
    </w:p>
    <w:p>
      <w:pPr>
        <w:ind w:left="360" w:right="60"/>
        <w:spacing w:after="0" w:line="308" w:lineRule="auto"/>
        <w:rPr>
          <w:sz w:val="20"/>
          <w:szCs w:val="20"/>
          <w:color w:val="auto"/>
        </w:rPr>
      </w:pPr>
      <w:r>
        <w:rPr>
          <w:rFonts w:ascii="Arial" w:cs="Arial" w:eastAsia="Arial" w:hAnsi="Arial"/>
          <w:sz w:val="14"/>
          <w:szCs w:val="14"/>
          <w:color w:val="F20000"/>
        </w:rPr>
        <w:t xml:space="preserve">Tengizchevroil </w:t>
      </w:r>
      <w:r>
        <w:rPr>
          <w:rFonts w:ascii="Arial" w:cs="Arial" w:eastAsia="Arial" w:hAnsi="Arial"/>
          <w:sz w:val="14"/>
          <w:szCs w:val="14"/>
          <w:color w:val="000000"/>
        </w:rPr>
        <w:t>ChevronTexaco has a 50 percent equity ownership interest in</w:t>
      </w:r>
      <w:r>
        <w:rPr>
          <w:rFonts w:ascii="Arial" w:cs="Arial" w:eastAsia="Arial" w:hAnsi="Arial"/>
          <w:sz w:val="14"/>
          <w:szCs w:val="14"/>
          <w:color w:val="F20000"/>
        </w:rPr>
        <w:t xml:space="preserve"> </w:t>
      </w:r>
      <w:r>
        <w:rPr>
          <w:rFonts w:ascii="Arial" w:cs="Arial" w:eastAsia="Arial" w:hAnsi="Arial"/>
          <w:sz w:val="14"/>
          <w:szCs w:val="14"/>
          <w:color w:val="000000"/>
        </w:rPr>
        <w:t>Tengizchevroil (TCO), a joint venture formed in 1993 to develop the Tengiz and Korolev oil fields in Kazakhstan over a 40-year period. Upon formation of the joint venture, the company incurred an obligation of $420, payable to the Republic of Kazakhstan upon attainment of a dedicated export system with the capability of the greater of 260,000 barrels of oil per day or TCO’s production capacity. As a part of the 2001 transaction, the company paid $210 of the $420 obligation. An additional $210 was paid in 2003 to settle the remaining obligation. The $420 was also included in the carrying value of the original investment, as the company believed, beyond a reasonable doubt, that its full payment would be made.</w:t>
      </w:r>
    </w:p>
    <w:p>
      <w:pPr>
        <w:spacing w:after="0" w:line="118" w:lineRule="exact"/>
        <w:rPr>
          <w:sz w:val="20"/>
          <w:szCs w:val="20"/>
          <w:color w:val="auto"/>
        </w:rPr>
      </w:pPr>
    </w:p>
    <w:p>
      <w:pPr>
        <w:ind w:left="360" w:right="20"/>
        <w:spacing w:after="0" w:line="269" w:lineRule="auto"/>
        <w:rPr>
          <w:sz w:val="20"/>
          <w:szCs w:val="20"/>
          <w:color w:val="auto"/>
        </w:rPr>
      </w:pPr>
      <w:r>
        <w:rPr>
          <w:rFonts w:ascii="Arial" w:cs="Arial" w:eastAsia="Arial" w:hAnsi="Arial"/>
          <w:sz w:val="16"/>
          <w:szCs w:val="16"/>
          <w:color w:val="F20000"/>
        </w:rPr>
        <w:t xml:space="preserve">Equilon Enterprises LLC and Motiva Enterprises LLC </w:t>
      </w:r>
      <w:r>
        <w:rPr>
          <w:rFonts w:ascii="Arial" w:cs="Arial" w:eastAsia="Arial" w:hAnsi="Arial"/>
          <w:sz w:val="16"/>
          <w:szCs w:val="16"/>
          <w:color w:val="000000"/>
        </w:rPr>
        <w:t>Until February 2002, the</w:t>
      </w:r>
      <w:r>
        <w:rPr>
          <w:rFonts w:ascii="Arial" w:cs="Arial" w:eastAsia="Arial" w:hAnsi="Arial"/>
          <w:sz w:val="16"/>
          <w:szCs w:val="16"/>
          <w:color w:val="F20000"/>
        </w:rPr>
        <w:t xml:space="preserve"> </w:t>
      </w:r>
      <w:r>
        <w:rPr>
          <w:rFonts w:ascii="Arial" w:cs="Arial" w:eastAsia="Arial" w:hAnsi="Arial"/>
          <w:sz w:val="16"/>
          <w:szCs w:val="16"/>
          <w:color w:val="000000"/>
        </w:rPr>
        <w:t>company had equity interests in Equilon and Motiva – joint ventures engaged in U.S. refining and marketing activities. Under mandate of the FTC as a condition of the merger, the company’s ownership interests were placed in trust on October 9, 2001. The trust completed the dispositions of the company’s investments in Equilon and Motiva in February 2002. See Note 2 on page FS-30 for additional information on Equilon and Motiva.</w:t>
      </w:r>
    </w:p>
    <w:p>
      <w:pPr>
        <w:spacing w:after="0" w:line="137" w:lineRule="exact"/>
        <w:rPr>
          <w:sz w:val="20"/>
          <w:szCs w:val="20"/>
          <w:color w:val="auto"/>
        </w:rPr>
      </w:pPr>
    </w:p>
    <w:p>
      <w:pPr>
        <w:ind w:left="360" w:right="40"/>
        <w:spacing w:after="0" w:line="335" w:lineRule="auto"/>
        <w:rPr>
          <w:sz w:val="20"/>
          <w:szCs w:val="20"/>
          <w:color w:val="auto"/>
        </w:rPr>
      </w:pPr>
      <w:r>
        <w:rPr>
          <w:rFonts w:ascii="Arial" w:cs="Arial" w:eastAsia="Arial" w:hAnsi="Arial"/>
          <w:sz w:val="14"/>
          <w:szCs w:val="14"/>
          <w:color w:val="F20000"/>
        </w:rPr>
        <w:t xml:space="preserve">LG-Caltex Oil Corporation </w:t>
      </w:r>
      <w:r>
        <w:rPr>
          <w:rFonts w:ascii="Arial" w:cs="Arial" w:eastAsia="Arial" w:hAnsi="Arial"/>
          <w:sz w:val="14"/>
          <w:szCs w:val="14"/>
          <w:color w:val="000000"/>
        </w:rPr>
        <w:t>ChevronTexaco owns 50 percent of LG-Caltex, a joint</w:t>
      </w:r>
      <w:r>
        <w:rPr>
          <w:rFonts w:ascii="Arial" w:cs="Arial" w:eastAsia="Arial" w:hAnsi="Arial"/>
          <w:sz w:val="14"/>
          <w:szCs w:val="14"/>
          <w:color w:val="F20000"/>
        </w:rPr>
        <w:t xml:space="preserve"> </w:t>
      </w:r>
      <w:r>
        <w:rPr>
          <w:rFonts w:ascii="Arial" w:cs="Arial" w:eastAsia="Arial" w:hAnsi="Arial"/>
          <w:sz w:val="14"/>
          <w:szCs w:val="14"/>
          <w:color w:val="000000"/>
        </w:rPr>
        <w:t>venture formed in 1967 between the LG Group and Caltex to engage in importing, refining and marketing of petroleum products and petrochemicals in South Korea.</w:t>
      </w:r>
    </w:p>
    <w:p>
      <w:pPr>
        <w:spacing w:after="0" w:line="96" w:lineRule="exact"/>
        <w:rPr>
          <w:sz w:val="20"/>
          <w:szCs w:val="20"/>
          <w:color w:val="auto"/>
        </w:rPr>
      </w:pPr>
    </w:p>
    <w:p>
      <w:pPr>
        <w:ind w:left="360" w:right="100"/>
        <w:spacing w:after="0" w:line="273" w:lineRule="auto"/>
        <w:rPr>
          <w:sz w:val="20"/>
          <w:szCs w:val="20"/>
          <w:color w:val="auto"/>
        </w:rPr>
      </w:pPr>
      <w:r>
        <w:rPr>
          <w:rFonts w:ascii="Arial" w:cs="Arial" w:eastAsia="Arial" w:hAnsi="Arial"/>
          <w:sz w:val="16"/>
          <w:szCs w:val="16"/>
          <w:color w:val="F20000"/>
        </w:rPr>
        <w:t xml:space="preserve">Star Petroleum Refining Company Ltd. </w:t>
      </w:r>
      <w:r>
        <w:rPr>
          <w:rFonts w:ascii="Arial" w:cs="Arial" w:eastAsia="Arial" w:hAnsi="Arial"/>
          <w:sz w:val="16"/>
          <w:szCs w:val="16"/>
          <w:color w:val="000000"/>
        </w:rPr>
        <w:t>ChevronTexaco has a 64 percent equity</w:t>
      </w:r>
      <w:r>
        <w:rPr>
          <w:rFonts w:ascii="Arial" w:cs="Arial" w:eastAsia="Arial" w:hAnsi="Arial"/>
          <w:sz w:val="16"/>
          <w:szCs w:val="16"/>
          <w:color w:val="F20000"/>
        </w:rPr>
        <w:t xml:space="preserve"> </w:t>
      </w:r>
      <w:r>
        <w:rPr>
          <w:rFonts w:ascii="Arial" w:cs="Arial" w:eastAsia="Arial" w:hAnsi="Arial"/>
          <w:sz w:val="16"/>
          <w:szCs w:val="16"/>
          <w:color w:val="000000"/>
        </w:rPr>
        <w:t>ownership interest in Star Petroleum Refining Company Limited (SPRC), which owns the Star Refinery at Map Ta Phut, Thailand. The Petroleum Authority of Thailand owns the remaining 36 percent of SPRC.</w:t>
      </w:r>
    </w:p>
    <w:p>
      <w:pPr>
        <w:spacing w:after="0" w:line="135" w:lineRule="exact"/>
        <w:rPr>
          <w:sz w:val="20"/>
          <w:szCs w:val="20"/>
          <w:color w:val="auto"/>
        </w:rPr>
      </w:pPr>
    </w:p>
    <w:p>
      <w:pPr>
        <w:ind w:left="360"/>
        <w:spacing w:after="0" w:line="289" w:lineRule="auto"/>
        <w:rPr>
          <w:sz w:val="20"/>
          <w:szCs w:val="20"/>
          <w:color w:val="auto"/>
        </w:rPr>
      </w:pPr>
      <w:r>
        <w:rPr>
          <w:rFonts w:ascii="Arial" w:cs="Arial" w:eastAsia="Arial" w:hAnsi="Arial"/>
          <w:sz w:val="15"/>
          <w:szCs w:val="15"/>
          <w:color w:val="F20000"/>
        </w:rPr>
        <w:t xml:space="preserve">Caltex Australia Ltd. </w:t>
      </w:r>
      <w:r>
        <w:rPr>
          <w:rFonts w:ascii="Arial" w:cs="Arial" w:eastAsia="Arial" w:hAnsi="Arial"/>
          <w:sz w:val="15"/>
          <w:szCs w:val="15"/>
          <w:color w:val="000000"/>
        </w:rPr>
        <w:t>ChevronTexaco has a 50 percent equity ownership interest in</w:t>
      </w:r>
      <w:r>
        <w:rPr>
          <w:rFonts w:ascii="Arial" w:cs="Arial" w:eastAsia="Arial" w:hAnsi="Arial"/>
          <w:sz w:val="15"/>
          <w:szCs w:val="15"/>
          <w:color w:val="F20000"/>
        </w:rPr>
        <w:t xml:space="preserve"> </w:t>
      </w:r>
      <w:r>
        <w:rPr>
          <w:rFonts w:ascii="Arial" w:cs="Arial" w:eastAsia="Arial" w:hAnsi="Arial"/>
          <w:sz w:val="15"/>
          <w:szCs w:val="15"/>
          <w:color w:val="000000"/>
        </w:rPr>
        <w:t>Caltex Australia Limited (CAL). The remaining 50 percent of CAL is publicly owned. During 2002, the company wrote down its investment in CAL by $136 to its estimated fair value at September 30, 2002. At December 31, 2003, the fair value of ChevronTexaco’s share of CAL common stock was $465. The aggregate carrying value of the company’s investment in CAL was approximately $90 lower than the amount of underlying equity in CAL net assets.</w:t>
      </w:r>
    </w:p>
    <w:p>
      <w:pPr>
        <w:spacing w:after="0" w:line="126" w:lineRule="exact"/>
        <w:rPr>
          <w:sz w:val="20"/>
          <w:szCs w:val="20"/>
          <w:color w:val="auto"/>
        </w:rPr>
      </w:pPr>
    </w:p>
    <w:p>
      <w:pPr>
        <w:ind w:left="360" w:right="20"/>
        <w:spacing w:after="0" w:line="288" w:lineRule="auto"/>
        <w:rPr>
          <w:sz w:val="20"/>
          <w:szCs w:val="20"/>
          <w:color w:val="auto"/>
        </w:rPr>
      </w:pPr>
      <w:r>
        <w:rPr>
          <w:rFonts w:ascii="Arial" w:cs="Arial" w:eastAsia="Arial" w:hAnsi="Arial"/>
          <w:sz w:val="15"/>
          <w:szCs w:val="15"/>
          <w:color w:val="F20000"/>
        </w:rPr>
        <w:t xml:space="preserve">Chevron Phillips Chemical Company LLC </w:t>
      </w:r>
      <w:r>
        <w:rPr>
          <w:rFonts w:ascii="Arial" w:cs="Arial" w:eastAsia="Arial" w:hAnsi="Arial"/>
          <w:sz w:val="15"/>
          <w:szCs w:val="15"/>
          <w:color w:val="000000"/>
        </w:rPr>
        <w:t>ChevronTexaco owns 50 percent of</w:t>
      </w:r>
      <w:r>
        <w:rPr>
          <w:rFonts w:ascii="Arial" w:cs="Arial" w:eastAsia="Arial" w:hAnsi="Arial"/>
          <w:sz w:val="15"/>
          <w:szCs w:val="15"/>
          <w:color w:val="F20000"/>
        </w:rPr>
        <w:t xml:space="preserve"> </w:t>
      </w:r>
      <w:r>
        <w:rPr>
          <w:rFonts w:ascii="Arial" w:cs="Arial" w:eastAsia="Arial" w:hAnsi="Arial"/>
          <w:sz w:val="15"/>
          <w:szCs w:val="15"/>
          <w:color w:val="000000"/>
        </w:rPr>
        <w:t>CPChem, formed in July 2000 when Chevron merged most of its petrochemicals businesses with those of Phillips Petroleum Company. Because CPChem is a limited liability company, ChevronTexaco records the provision for income taxes and related tax liability applicable to its share of the venture’s income separately in its consolidated financial statements. At December 31, 2003, the company’s carrying value of its investment in CPChem was approximately $130 lower than the amount of underlying equity in CPChem’s net assets.</w:t>
      </w:r>
    </w:p>
    <w:p>
      <w:pPr>
        <w:spacing w:after="0" w:line="127" w:lineRule="exact"/>
        <w:rPr>
          <w:sz w:val="20"/>
          <w:szCs w:val="20"/>
          <w:color w:val="auto"/>
        </w:rPr>
      </w:pPr>
    </w:p>
    <w:p>
      <w:pPr>
        <w:ind w:left="360"/>
        <w:spacing w:after="0" w:line="297" w:lineRule="auto"/>
        <w:rPr>
          <w:sz w:val="20"/>
          <w:szCs w:val="20"/>
          <w:color w:val="auto"/>
        </w:rPr>
      </w:pPr>
      <w:r>
        <w:rPr>
          <w:rFonts w:ascii="Arial" w:cs="Arial" w:eastAsia="Arial" w:hAnsi="Arial"/>
          <w:sz w:val="15"/>
          <w:szCs w:val="15"/>
          <w:color w:val="F20000"/>
        </w:rPr>
        <w:t xml:space="preserve">Dynegy Inc. </w:t>
      </w:r>
      <w:r>
        <w:rPr>
          <w:rFonts w:ascii="Arial" w:cs="Arial" w:eastAsia="Arial" w:hAnsi="Arial"/>
          <w:sz w:val="15"/>
          <w:szCs w:val="15"/>
          <w:color w:val="000000"/>
        </w:rPr>
        <w:t>ChevronTexaco owns an approximate 26 percent equity interest in the</w:t>
      </w:r>
      <w:r>
        <w:rPr>
          <w:rFonts w:ascii="Arial" w:cs="Arial" w:eastAsia="Arial" w:hAnsi="Arial"/>
          <w:sz w:val="15"/>
          <w:szCs w:val="15"/>
          <w:color w:val="F20000"/>
        </w:rPr>
        <w:t xml:space="preserve"> </w:t>
      </w:r>
      <w:r>
        <w:rPr>
          <w:rFonts w:ascii="Arial" w:cs="Arial" w:eastAsia="Arial" w:hAnsi="Arial"/>
          <w:sz w:val="15"/>
          <w:szCs w:val="15"/>
          <w:color w:val="000000"/>
        </w:rPr>
        <w:t>common stock of Dynegy, an energy merchant engaged in power generation, natural gas liquids processing and marketing, and regulated energy delivery. The company also holds investments in Dynegy notes and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FS-38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132715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40"/>
            <w:col w:w="5820"/>
          </w:cols>
          <w:pgMar w:left="240" w:top="41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0070FF"/>
        </w:rPr>
        <w:t>NOTE 14. INVESTMENTS AND ADVANCES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0" w:lineRule="exact"/>
        <w:rPr>
          <w:sz w:val="20"/>
          <w:szCs w:val="20"/>
          <w:color w:val="auto"/>
        </w:rPr>
      </w:pPr>
    </w:p>
    <w:p>
      <w:pPr>
        <w:ind w:firstLine="248"/>
        <w:spacing w:after="0" w:line="309" w:lineRule="auto"/>
        <w:rPr>
          <w:sz w:val="20"/>
          <w:szCs w:val="20"/>
          <w:color w:val="auto"/>
        </w:rPr>
      </w:pPr>
      <w:r>
        <w:rPr>
          <w:rFonts w:ascii="Arial" w:cs="Arial" w:eastAsia="Arial" w:hAnsi="Arial"/>
          <w:sz w:val="14"/>
          <w:szCs w:val="14"/>
          <w:i w:val="1"/>
          <w:iCs w:val="1"/>
          <w:color w:val="F20000"/>
        </w:rPr>
        <w:t xml:space="preserve">Investment in Dynegy Common Stock </w:t>
      </w:r>
      <w:r>
        <w:rPr>
          <w:rFonts w:ascii="Arial" w:cs="Arial" w:eastAsia="Arial" w:hAnsi="Arial"/>
          <w:sz w:val="14"/>
          <w:szCs w:val="14"/>
          <w:color w:val="000000"/>
        </w:rPr>
        <w:t>At December 31, 2003, the carrying</w:t>
      </w:r>
      <w:r>
        <w:rPr>
          <w:rFonts w:ascii="Arial" w:cs="Arial" w:eastAsia="Arial" w:hAnsi="Arial"/>
          <w:sz w:val="14"/>
          <w:szCs w:val="14"/>
          <w:i w:val="1"/>
          <w:iCs w:val="1"/>
          <w:color w:val="F20000"/>
        </w:rPr>
        <w:t xml:space="preserve"> </w:t>
      </w:r>
      <w:r>
        <w:rPr>
          <w:rFonts w:ascii="Arial" w:cs="Arial" w:eastAsia="Arial" w:hAnsi="Arial"/>
          <w:sz w:val="14"/>
          <w:szCs w:val="14"/>
          <w:color w:val="000000"/>
        </w:rPr>
        <w:t>value of the company’s investment in Dynegy common stock was approximately $150. This amount was about $425 below the company’s proportionate interest in Dynegy’s underlying net assets. This difference resulted from write-downs of the investment in 2002 for declines in the market value of the common shares below the company’s carrying value that were deemed to be other than temporary. The approximate $425 difference has been assigned to the extent practicable to specific Dynegy assets and liabilities, based upon the company’s analysis of the various factors giving rise to the decline in value of the Dynegy shares. The company’s equity share of Dynegy’s reported earnings is adjusted quarterly to reflect the difference between these allocated values and Dynegy’s historical book values.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820"/>
        <w:spacing w:after="0" w:line="266" w:lineRule="auto"/>
        <w:rPr>
          <w:sz w:val="20"/>
          <w:szCs w:val="20"/>
          <w:color w:val="auto"/>
        </w:rPr>
      </w:pPr>
      <w:r>
        <w:rPr>
          <w:rFonts w:ascii="Arial" w:cs="Arial" w:eastAsia="Arial" w:hAnsi="Arial"/>
          <w:sz w:val="16"/>
          <w:szCs w:val="16"/>
          <w:color w:val="auto"/>
        </w:rPr>
        <w:t>market value of the company’s investment in Dynegy’s common stock at December 31, 2003 was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-295275</wp:posOffset>
            </wp:positionV>
            <wp:extent cx="8890" cy="19640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964055"/>
                    </a:xfrm>
                    <a:prstGeom prst="rect">
                      <a:avLst/>
                    </a:prstGeom>
                    <a:noFill/>
                  </pic:spPr>
                </pic:pic>
              </a:graphicData>
            </a:graphic>
          </wp:anchor>
        </w:drawing>
      </w:r>
    </w:p>
    <w:p>
      <w:pPr>
        <w:ind w:right="160" w:firstLine="203"/>
        <w:spacing w:after="0" w:line="288" w:lineRule="auto"/>
        <w:rPr>
          <w:sz w:val="20"/>
          <w:szCs w:val="20"/>
          <w:color w:val="auto"/>
        </w:rPr>
      </w:pPr>
      <w:r>
        <w:rPr>
          <w:rFonts w:ascii="Arial" w:cs="Arial" w:eastAsia="Arial" w:hAnsi="Arial"/>
          <w:sz w:val="16"/>
          <w:szCs w:val="16"/>
          <w:i w:val="1"/>
          <w:iCs w:val="1"/>
          <w:color w:val="F20000"/>
        </w:rPr>
        <w:t xml:space="preserve">Investments in Dynegy Notes and Preferred Stock </w:t>
      </w:r>
      <w:r>
        <w:rPr>
          <w:rFonts w:ascii="Arial" w:cs="Arial" w:eastAsia="Arial" w:hAnsi="Arial"/>
          <w:sz w:val="16"/>
          <w:szCs w:val="16"/>
          <w:color w:val="000000"/>
        </w:rPr>
        <w:t>Refer to Note 8 on page</w:t>
      </w:r>
      <w:r>
        <w:rPr>
          <w:rFonts w:ascii="Arial" w:cs="Arial" w:eastAsia="Arial" w:hAnsi="Arial"/>
          <w:sz w:val="16"/>
          <w:szCs w:val="16"/>
          <w:i w:val="1"/>
          <w:iCs w:val="1"/>
          <w:color w:val="F20000"/>
        </w:rPr>
        <w:t xml:space="preserve"> </w:t>
      </w:r>
      <w:r>
        <w:rPr>
          <w:rFonts w:ascii="Arial" w:cs="Arial" w:eastAsia="Arial" w:hAnsi="Arial"/>
          <w:sz w:val="16"/>
          <w:szCs w:val="16"/>
          <w:color w:val="000000"/>
        </w:rPr>
        <w:t>FS-34 for a discussion of these investments.</w:t>
      </w:r>
    </w:p>
    <w:p>
      <w:pPr>
        <w:spacing w:after="0" w:line="12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F20000"/>
        </w:rPr>
        <w:t xml:space="preserve">Other Information </w:t>
      </w:r>
      <w:r>
        <w:rPr>
          <w:rFonts w:ascii="Arial" w:cs="Arial" w:eastAsia="Arial" w:hAnsi="Arial"/>
          <w:sz w:val="16"/>
          <w:szCs w:val="16"/>
          <w:color w:val="000000"/>
        </w:rPr>
        <w:t>“Sales and other operating revenues” on the Consolidated</w:t>
      </w:r>
      <w:r>
        <w:rPr>
          <w:rFonts w:ascii="Arial" w:cs="Arial" w:eastAsia="Arial" w:hAnsi="Arial"/>
          <w:sz w:val="16"/>
          <w:szCs w:val="16"/>
          <w:color w:val="F20000"/>
        </w:rPr>
        <w:t xml:space="preserve"> </w:t>
      </w:r>
      <w:r>
        <w:rPr>
          <w:rFonts w:ascii="Arial" w:cs="Arial" w:eastAsia="Arial" w:hAnsi="Arial"/>
          <w:sz w:val="16"/>
          <w:szCs w:val="16"/>
          <w:color w:val="000000"/>
        </w:rPr>
        <w:t>Statement of Income includes $6,308, $6,522 and $15,238 with affiliated companies for 2003, 2002 and 2001, respectively. “Purchased crude oil and products” includes $1,740, $1,839 and $4,069 with affiliated companies for 2003, 2002 and 2001, respectively.</w:t>
      </w:r>
    </w:p>
    <w:p>
      <w:pPr>
        <w:spacing w:after="0" w:line="136" w:lineRule="exact"/>
        <w:rPr>
          <w:sz w:val="20"/>
          <w:szCs w:val="20"/>
          <w:color w:val="auto"/>
        </w:rPr>
      </w:pPr>
    </w:p>
    <w:p>
      <w:pPr>
        <w:ind w:right="340" w:firstLine="203"/>
        <w:spacing w:after="0" w:line="297" w:lineRule="auto"/>
        <w:rPr>
          <w:sz w:val="20"/>
          <w:szCs w:val="20"/>
          <w:color w:val="auto"/>
        </w:rPr>
      </w:pPr>
      <w:r>
        <w:rPr>
          <w:rFonts w:ascii="Arial" w:cs="Arial" w:eastAsia="Arial" w:hAnsi="Arial"/>
          <w:sz w:val="15"/>
          <w:szCs w:val="15"/>
          <w:color w:val="auto"/>
        </w:rPr>
        <w:t>“Accounts and notes receivable” on the Consolidated Balance Sheet includes $827 and $615 due from affiliated companies at December 31, 2003 and 2002, respectively. “Accounts payable” includes $118 and $161 due to affiliated companies at December 31, 2003 and 2002, respectively.</w:t>
      </w:r>
    </w:p>
    <w:p>
      <w:pPr>
        <w:spacing w:after="0" w:line="200" w:lineRule="exact"/>
        <w:rPr>
          <w:sz w:val="20"/>
          <w:szCs w:val="20"/>
          <w:color w:val="auto"/>
        </w:rPr>
      </w:pPr>
    </w:p>
    <w:p>
      <w:pPr>
        <w:sectPr>
          <w:pgSz w:w="11900" w:h="16838" w:orient="portrait"/>
          <w:cols w:equalWidth="0" w:num="2">
            <w:col w:w="5480" w:space="400"/>
            <w:col w:w="5540"/>
          </w:cols>
          <w:pgMar w:left="240" w:top="419" w:right="239" w:bottom="1440" w:gutter="0" w:footer="0" w:header="0"/>
        </w:sectPr>
      </w:pPr>
    </w:p>
    <w:p>
      <w:pPr>
        <w:spacing w:after="0" w:line="229" w:lineRule="exact"/>
        <w:rPr>
          <w:sz w:val="20"/>
          <w:szCs w:val="20"/>
          <w:color w:val="auto"/>
        </w:rPr>
      </w:pPr>
    </w:p>
    <w:p>
      <w:pPr>
        <w:ind w:right="160" w:firstLine="200"/>
        <w:spacing w:after="0" w:line="293" w:lineRule="auto"/>
        <w:rPr>
          <w:sz w:val="20"/>
          <w:szCs w:val="20"/>
          <w:color w:val="auto"/>
        </w:rPr>
      </w:pPr>
      <w:r>
        <w:rPr>
          <w:rFonts w:ascii="Arial" w:cs="Arial" w:eastAsia="Arial" w:hAnsi="Arial"/>
          <w:sz w:val="16"/>
          <w:szCs w:val="16"/>
          <w:color w:val="auto"/>
        </w:rPr>
        <w:t>The following table provides summarized financial information on a 100 percent basis for Equilon, Motiva and all other equity affiliates, as well as ChevronTexaco’s total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Year ended December 31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Equilon</w:t>
            </w:r>
            <w:r>
              <w:rPr>
                <w:rFonts w:ascii="Arial" w:cs="Arial" w:eastAsia="Arial" w:hAnsi="Arial"/>
                <w:sz w:val="22"/>
                <w:szCs w:val="22"/>
                <w:color w:val="auto"/>
                <w:vertAlign w:val="superscript"/>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Motiva</w:t>
            </w:r>
            <w:r>
              <w:rPr>
                <w:rFonts w:ascii="Arial" w:cs="Arial" w:eastAsia="Arial" w:hAnsi="Arial"/>
                <w:sz w:val="22"/>
                <w:szCs w:val="22"/>
                <w:color w:val="auto"/>
                <w:vertAlign w:val="superscript"/>
              </w:rPr>
              <w:t>1</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 Affiliates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gridSpan w:val="5"/>
          </w:tcPr>
          <w:p>
            <w:pPr>
              <w:ind w:left="200"/>
              <w:spacing w:after="0"/>
              <w:rPr>
                <w:sz w:val="20"/>
                <w:szCs w:val="20"/>
                <w:color w:val="auto"/>
              </w:rPr>
            </w:pPr>
            <w:r>
              <w:rPr>
                <w:rFonts w:ascii="Arial" w:cs="Arial" w:eastAsia="Arial" w:hAnsi="Arial"/>
                <w:sz w:val="14"/>
                <w:szCs w:val="14"/>
                <w:color w:val="auto"/>
                <w:w w:val="83"/>
              </w:rPr>
              <w:t>ChevronTexaco Share</w:t>
            </w:r>
            <w:r>
              <w:rPr>
                <w:rFonts w:ascii="Arial" w:cs="Arial" w:eastAsia="Arial" w:hAnsi="Arial"/>
                <w:sz w:val="22"/>
                <w:szCs w:val="22"/>
                <w:color w:val="auto"/>
                <w:w w:val="83"/>
                <w:vertAlign w:val="superscript"/>
              </w:rPr>
              <w:t>2,3</w:t>
            </w:r>
          </w:p>
        </w:tc>
        <w:tc>
          <w:tcPr>
            <w:tcW w:w="0" w:type="dxa"/>
            <w:vAlign w:val="bottom"/>
          </w:tcPr>
          <w:p>
            <w:pPr>
              <w:spacing w:after="0"/>
              <w:rPr>
                <w:sz w:val="1"/>
                <w:szCs w:val="1"/>
                <w:color w:val="auto"/>
              </w:rPr>
            </w:pPr>
          </w:p>
        </w:tc>
      </w:tr>
      <w:tr>
        <w:trPr>
          <w:trHeight w:val="142"/>
        </w:trPr>
        <w:tc>
          <w:tcPr>
            <w:tcW w:w="18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0070FF"/>
            </w:tcBorders>
          </w:tcPr>
          <w:p>
            <w:pPr>
              <w:spacing w:after="0"/>
              <w:rPr>
                <w:sz w:val="12"/>
                <w:szCs w:val="12"/>
                <w:color w:val="auto"/>
              </w:rPr>
            </w:pPr>
          </w:p>
        </w:tc>
        <w:tc>
          <w:tcPr>
            <w:tcW w:w="440" w:type="dxa"/>
            <w:vAlign w:val="bottom"/>
            <w:tcBorders>
              <w:top w:val="single" w:sz="8" w:color="0070FF"/>
            </w:tcBorders>
          </w:tcPr>
          <w:p>
            <w:pPr>
              <w:jc w:val="right"/>
              <w:ind w:right="69"/>
              <w:spacing w:after="0" w:line="142" w:lineRule="exact"/>
              <w:rPr>
                <w:sz w:val="20"/>
                <w:szCs w:val="20"/>
                <w:color w:val="auto"/>
              </w:rPr>
            </w:pPr>
            <w:r>
              <w:rPr>
                <w:rFonts w:ascii="Arial" w:cs="Arial" w:eastAsia="Arial" w:hAnsi="Arial"/>
                <w:sz w:val="14"/>
                <w:szCs w:val="14"/>
                <w:b w:val="1"/>
                <w:bCs w:val="1"/>
                <w:color w:val="auto"/>
                <w:w w:val="89"/>
              </w:rPr>
              <w:t>2003</w:t>
            </w:r>
          </w:p>
        </w:tc>
        <w:tc>
          <w:tcPr>
            <w:tcW w:w="260" w:type="dxa"/>
            <w:vAlign w:val="bottom"/>
            <w:tcBorders>
              <w:top w:val="single" w:sz="8" w:color="0070FF"/>
            </w:tcBorders>
          </w:tcPr>
          <w:p>
            <w:pPr>
              <w:spacing w:after="0"/>
              <w:rPr>
                <w:sz w:val="12"/>
                <w:szCs w:val="12"/>
                <w:color w:val="auto"/>
              </w:rPr>
            </w:pPr>
          </w:p>
        </w:tc>
        <w:tc>
          <w:tcPr>
            <w:tcW w:w="440" w:type="dxa"/>
            <w:vAlign w:val="bottom"/>
            <w:tcBorders>
              <w:top w:val="single" w:sz="8" w:color="0070FF"/>
            </w:tcBorders>
          </w:tcPr>
          <w:p>
            <w:pPr>
              <w:jc w:val="right"/>
              <w:ind w:right="69"/>
              <w:spacing w:after="0" w:line="142" w:lineRule="exact"/>
              <w:rPr>
                <w:sz w:val="20"/>
                <w:szCs w:val="20"/>
                <w:color w:val="auto"/>
              </w:rPr>
            </w:pPr>
            <w:r>
              <w:rPr>
                <w:rFonts w:ascii="Arial" w:cs="Arial" w:eastAsia="Arial" w:hAnsi="Arial"/>
                <w:sz w:val="14"/>
                <w:szCs w:val="14"/>
                <w:color w:val="auto"/>
                <w:w w:val="89"/>
              </w:rPr>
              <w:t>2002</w:t>
            </w:r>
          </w:p>
        </w:tc>
        <w:tc>
          <w:tcPr>
            <w:tcW w:w="240" w:type="dxa"/>
            <w:vAlign w:val="bottom"/>
            <w:tcBorders>
              <w:top w:val="single" w:sz="8" w:color="0070FF"/>
            </w:tcBorders>
          </w:tcPr>
          <w:p>
            <w:pPr>
              <w:spacing w:after="0"/>
              <w:rPr>
                <w:sz w:val="12"/>
                <w:szCs w:val="12"/>
                <w:color w:val="auto"/>
              </w:rPr>
            </w:pPr>
          </w:p>
        </w:tc>
        <w:tc>
          <w:tcPr>
            <w:tcW w:w="520" w:type="dxa"/>
            <w:vAlign w:val="bottom"/>
            <w:tcBorders>
              <w:top w:val="single" w:sz="8" w:color="0070FF"/>
            </w:tcBorders>
          </w:tcPr>
          <w:p>
            <w:pPr>
              <w:jc w:val="right"/>
              <w:ind w:right="29"/>
              <w:spacing w:after="0" w:line="142" w:lineRule="exact"/>
              <w:rPr>
                <w:sz w:val="20"/>
                <w:szCs w:val="20"/>
                <w:color w:val="auto"/>
              </w:rPr>
            </w:pPr>
            <w:r>
              <w:rPr>
                <w:rFonts w:ascii="Arial" w:cs="Arial" w:eastAsia="Arial" w:hAnsi="Arial"/>
                <w:sz w:val="14"/>
                <w:szCs w:val="14"/>
                <w:color w:val="auto"/>
              </w:rPr>
              <w:t>2001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0070FF"/>
            </w:tcBorders>
          </w:tcPr>
          <w:p>
            <w:pPr>
              <w:spacing w:after="0"/>
              <w:rPr>
                <w:sz w:val="12"/>
                <w:szCs w:val="12"/>
                <w:color w:val="auto"/>
              </w:rPr>
            </w:pPr>
          </w:p>
        </w:tc>
        <w:tc>
          <w:tcPr>
            <w:tcW w:w="460" w:type="dxa"/>
            <w:vAlign w:val="bottom"/>
            <w:tcBorders>
              <w:top w:val="single" w:sz="8" w:color="0070FF"/>
            </w:tcBorders>
          </w:tcPr>
          <w:p>
            <w:pPr>
              <w:jc w:val="right"/>
              <w:ind w:right="69"/>
              <w:spacing w:after="0" w:line="142" w:lineRule="exact"/>
              <w:rPr>
                <w:sz w:val="20"/>
                <w:szCs w:val="20"/>
                <w:color w:val="auto"/>
              </w:rPr>
            </w:pPr>
            <w:r>
              <w:rPr>
                <w:rFonts w:ascii="Arial" w:cs="Arial" w:eastAsia="Arial" w:hAnsi="Arial"/>
                <w:sz w:val="14"/>
                <w:szCs w:val="14"/>
                <w:b w:val="1"/>
                <w:bCs w:val="1"/>
                <w:color w:val="auto"/>
                <w:w w:val="96"/>
              </w:rPr>
              <w:t>2003</w:t>
            </w:r>
          </w:p>
        </w:tc>
        <w:tc>
          <w:tcPr>
            <w:tcW w:w="260" w:type="dxa"/>
            <w:vAlign w:val="bottom"/>
            <w:tcBorders>
              <w:top w:val="single" w:sz="8" w:color="0070FF"/>
            </w:tcBorders>
          </w:tcPr>
          <w:p>
            <w:pPr>
              <w:spacing w:after="0"/>
              <w:rPr>
                <w:sz w:val="12"/>
                <w:szCs w:val="12"/>
                <w:color w:val="auto"/>
              </w:rPr>
            </w:pPr>
          </w:p>
        </w:tc>
        <w:tc>
          <w:tcPr>
            <w:tcW w:w="460" w:type="dxa"/>
            <w:vAlign w:val="bottom"/>
            <w:tcBorders>
              <w:top w:val="single" w:sz="8" w:color="0070FF"/>
            </w:tcBorders>
          </w:tcPr>
          <w:p>
            <w:pPr>
              <w:jc w:val="right"/>
              <w:ind w:right="69"/>
              <w:spacing w:after="0" w:line="142" w:lineRule="exact"/>
              <w:rPr>
                <w:sz w:val="20"/>
                <w:szCs w:val="20"/>
                <w:color w:val="auto"/>
              </w:rPr>
            </w:pPr>
            <w:r>
              <w:rPr>
                <w:rFonts w:ascii="Arial" w:cs="Arial" w:eastAsia="Arial" w:hAnsi="Arial"/>
                <w:sz w:val="14"/>
                <w:szCs w:val="14"/>
                <w:color w:val="auto"/>
                <w:w w:val="96"/>
              </w:rPr>
              <w:t>2002</w:t>
            </w:r>
          </w:p>
        </w:tc>
        <w:tc>
          <w:tcPr>
            <w:tcW w:w="260" w:type="dxa"/>
            <w:vAlign w:val="bottom"/>
            <w:tcBorders>
              <w:top w:val="single" w:sz="8" w:color="0070FF"/>
            </w:tcBorders>
          </w:tcPr>
          <w:p>
            <w:pPr>
              <w:spacing w:after="0"/>
              <w:rPr>
                <w:sz w:val="12"/>
                <w:szCs w:val="12"/>
                <w:color w:val="auto"/>
              </w:rPr>
            </w:pPr>
          </w:p>
        </w:tc>
        <w:tc>
          <w:tcPr>
            <w:tcW w:w="520" w:type="dxa"/>
            <w:vAlign w:val="bottom"/>
            <w:tcBorders>
              <w:top w:val="single" w:sz="8" w:color="0070FF"/>
            </w:tcBorders>
          </w:tcPr>
          <w:p>
            <w:pPr>
              <w:jc w:val="right"/>
              <w:ind w:right="29"/>
              <w:spacing w:after="0" w:line="142" w:lineRule="exact"/>
              <w:rPr>
                <w:sz w:val="20"/>
                <w:szCs w:val="20"/>
                <w:color w:val="auto"/>
              </w:rPr>
            </w:pPr>
            <w:r>
              <w:rPr>
                <w:rFonts w:ascii="Arial" w:cs="Arial" w:eastAsia="Arial" w:hAnsi="Arial"/>
                <w:sz w:val="14"/>
                <w:szCs w:val="14"/>
                <w:color w:val="auto"/>
              </w:rPr>
              <w:t>2001</w:t>
            </w:r>
          </w:p>
        </w:tc>
        <w:tc>
          <w:tcPr>
            <w:tcW w:w="180" w:type="dxa"/>
            <w:vAlign w:val="bottom"/>
          </w:tcPr>
          <w:p>
            <w:pPr>
              <w:spacing w:after="0"/>
              <w:rPr>
                <w:sz w:val="12"/>
                <w:szCs w:val="12"/>
                <w:color w:val="auto"/>
              </w:rPr>
            </w:pPr>
          </w:p>
        </w:tc>
        <w:tc>
          <w:tcPr>
            <w:tcW w:w="680" w:type="dxa"/>
            <w:vAlign w:val="bottom"/>
            <w:tcBorders>
              <w:top w:val="single" w:sz="8" w:color="0070FF"/>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2003</w:t>
            </w:r>
          </w:p>
        </w:tc>
        <w:tc>
          <w:tcPr>
            <w:tcW w:w="720" w:type="dxa"/>
            <w:vAlign w:val="bottom"/>
            <w:tcBorders>
              <w:top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c>
          <w:tcPr>
            <w:tcW w:w="880" w:type="dxa"/>
            <w:vAlign w:val="bottom"/>
            <w:tcBorders>
              <w:top w:val="single" w:sz="8" w:color="0070FF"/>
            </w:tcBorders>
          </w:tcPr>
          <w:p>
            <w:pPr>
              <w:jc w:val="right"/>
              <w:ind w:right="49"/>
              <w:spacing w:after="0" w:line="142" w:lineRule="exact"/>
              <w:rPr>
                <w:sz w:val="20"/>
                <w:szCs w:val="20"/>
                <w:color w:val="auto"/>
              </w:rPr>
            </w:pPr>
            <w:r>
              <w:rPr>
                <w:rFonts w:ascii="Arial" w:cs="Arial" w:eastAsia="Arial" w:hAnsi="Arial"/>
                <w:sz w:val="14"/>
                <w:szCs w:val="14"/>
                <w:color w:val="auto"/>
              </w:rPr>
              <w:t>2001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0070FF"/>
            </w:tcBorders>
          </w:tcPr>
          <w:p>
            <w:pPr>
              <w:spacing w:after="0"/>
              <w:rPr>
                <w:sz w:val="12"/>
                <w:szCs w:val="12"/>
                <w:color w:val="auto"/>
              </w:rPr>
            </w:pPr>
          </w:p>
        </w:tc>
        <w:tc>
          <w:tcPr>
            <w:tcW w:w="560" w:type="dxa"/>
            <w:vAlign w:val="bottom"/>
            <w:tcBorders>
              <w:top w:val="single" w:sz="8" w:color="0070FF"/>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0070FF"/>
            </w:tcBorders>
          </w:tcPr>
          <w:p>
            <w:pPr>
              <w:spacing w:after="0"/>
              <w:rPr>
                <w:sz w:val="12"/>
                <w:szCs w:val="12"/>
                <w:color w:val="auto"/>
              </w:rPr>
            </w:pPr>
          </w:p>
        </w:tc>
        <w:tc>
          <w:tcPr>
            <w:tcW w:w="600" w:type="dxa"/>
            <w:vAlign w:val="bottom"/>
            <w:tcBorders>
              <w:top w:val="single" w:sz="8" w:color="0070FF"/>
            </w:tcBorders>
          </w:tcPr>
          <w:p>
            <w:pPr>
              <w:jc w:val="right"/>
              <w:ind w:right="109"/>
              <w:spacing w:after="0" w:line="142" w:lineRule="exact"/>
              <w:rPr>
                <w:sz w:val="20"/>
                <w:szCs w:val="20"/>
                <w:color w:val="auto"/>
              </w:rPr>
            </w:pPr>
            <w:r>
              <w:rPr>
                <w:rFonts w:ascii="Arial" w:cs="Arial" w:eastAsia="Arial" w:hAnsi="Arial"/>
                <w:sz w:val="14"/>
                <w:szCs w:val="14"/>
                <w:color w:val="auto"/>
              </w:rPr>
              <w:t>2002</w:t>
            </w:r>
          </w:p>
        </w:tc>
        <w:tc>
          <w:tcPr>
            <w:tcW w:w="220" w:type="dxa"/>
            <w:vAlign w:val="bottom"/>
            <w:tcBorders>
              <w:top w:val="single" w:sz="8" w:color="0070FF"/>
            </w:tcBorders>
          </w:tcPr>
          <w:p>
            <w:pPr>
              <w:spacing w:after="0"/>
              <w:rPr>
                <w:sz w:val="12"/>
                <w:szCs w:val="12"/>
                <w:color w:val="auto"/>
              </w:rPr>
            </w:pPr>
          </w:p>
        </w:tc>
        <w:tc>
          <w:tcPr>
            <w:tcW w:w="460" w:type="dxa"/>
            <w:vAlign w:val="bottom"/>
            <w:tcBorders>
              <w:top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00" w:type="dxa"/>
            <w:vAlign w:val="bottom"/>
            <w:tcBorders>
              <w:top w:val="single" w:sz="8" w:color="0070FF"/>
            </w:tcBorders>
          </w:tcPr>
          <w:p>
            <w:pPr>
              <w:spacing w:after="0" w:line="137" w:lineRule="exact"/>
              <w:rPr>
                <w:sz w:val="20"/>
                <w:szCs w:val="20"/>
                <w:color w:val="auto"/>
              </w:rPr>
            </w:pPr>
            <w:r>
              <w:rPr>
                <w:rFonts w:ascii="Arial" w:cs="Arial" w:eastAsia="Arial" w:hAnsi="Arial"/>
                <w:sz w:val="14"/>
                <w:szCs w:val="14"/>
                <w:color w:val="auto"/>
              </w:rPr>
              <w:t>Total revenues</w:t>
            </w:r>
          </w:p>
        </w:tc>
        <w:tc>
          <w:tcPr>
            <w:tcW w:w="560" w:type="dxa"/>
            <w:vAlign w:val="bottom"/>
            <w:tcBorders>
              <w:top w:val="single" w:sz="8" w:color="0070FF"/>
            </w:tcBorders>
            <w:gridSpan w:val="2"/>
          </w:tcPr>
          <w:p>
            <w:pPr>
              <w:jc w:val="right"/>
              <w:ind w:right="40"/>
              <w:spacing w:after="0" w:line="137"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0070FF"/>
            </w:tcBorders>
          </w:tcPr>
          <w:p>
            <w:pPr>
              <w:jc w:val="right"/>
              <w:ind w:right="69"/>
              <w:spacing w:after="0" w:line="137"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0070FF"/>
            </w:tcBorders>
          </w:tcPr>
          <w:p>
            <w:pPr>
              <w:jc w:val="right"/>
              <w:ind w:right="69"/>
              <w:spacing w:after="0" w:line="137"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0070FF"/>
            </w:tcBorders>
          </w:tcPr>
          <w:p>
            <w:pPr>
              <w:jc w:val="right"/>
              <w:ind w:right="29"/>
              <w:spacing w:after="0" w:line="137" w:lineRule="exact"/>
              <w:rPr>
                <w:sz w:val="20"/>
                <w:szCs w:val="20"/>
                <w:color w:val="auto"/>
              </w:rPr>
            </w:pPr>
            <w:r>
              <w:rPr>
                <w:rFonts w:ascii="Arial" w:cs="Arial" w:eastAsia="Arial" w:hAnsi="Arial"/>
                <w:sz w:val="14"/>
                <w:szCs w:val="14"/>
                <w:color w:val="auto"/>
                <w:w w:val="93"/>
              </w:rPr>
              <w:t>36,501</w:t>
            </w:r>
          </w:p>
        </w:tc>
        <w:tc>
          <w:tcPr>
            <w:tcW w:w="100" w:type="dxa"/>
            <w:vAlign w:val="bottom"/>
            <w:tcBorders>
              <w:top w:val="single" w:sz="8" w:color="0070FF"/>
            </w:tcBorders>
          </w:tcPr>
          <w:p>
            <w:pPr>
              <w:spacing w:after="0"/>
              <w:rPr>
                <w:sz w:val="11"/>
                <w:szCs w:val="11"/>
                <w:color w:val="auto"/>
              </w:rPr>
            </w:pPr>
          </w:p>
        </w:tc>
        <w:tc>
          <w:tcPr>
            <w:tcW w:w="220" w:type="dxa"/>
            <w:vAlign w:val="bottom"/>
            <w:tcBorders>
              <w:top w:val="single" w:sz="8" w:color="0070FF"/>
            </w:tcBorders>
            <w:gridSpan w:val="2"/>
          </w:tcPr>
          <w:p>
            <w:pPr>
              <w:jc w:val="right"/>
              <w:ind w:right="40"/>
              <w:spacing w:after="0" w:line="137"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0070FF"/>
            </w:tcBorders>
          </w:tcPr>
          <w:p>
            <w:pPr>
              <w:jc w:val="right"/>
              <w:ind w:right="69"/>
              <w:spacing w:after="0" w:line="137"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0070FF"/>
            </w:tcBorders>
          </w:tcPr>
          <w:p>
            <w:pPr>
              <w:jc w:val="right"/>
              <w:ind w:right="69"/>
              <w:spacing w:after="0" w:line="137"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0070FF"/>
            </w:tcBorders>
          </w:tcPr>
          <w:p>
            <w:pPr>
              <w:jc w:val="right"/>
              <w:ind w:right="29"/>
              <w:spacing w:after="0" w:line="137" w:lineRule="exact"/>
              <w:rPr>
                <w:sz w:val="20"/>
                <w:szCs w:val="20"/>
                <w:color w:val="auto"/>
              </w:rPr>
            </w:pPr>
            <w:r>
              <w:rPr>
                <w:rFonts w:ascii="Arial" w:cs="Arial" w:eastAsia="Arial" w:hAnsi="Arial"/>
                <w:sz w:val="14"/>
                <w:szCs w:val="14"/>
                <w:color w:val="auto"/>
                <w:w w:val="93"/>
              </w:rPr>
              <w:t>14,459</w:t>
            </w:r>
          </w:p>
        </w:tc>
        <w:tc>
          <w:tcPr>
            <w:tcW w:w="180" w:type="dxa"/>
            <w:vAlign w:val="bottom"/>
            <w:tcBorders>
              <w:top w:val="single" w:sz="8" w:color="0070FF"/>
            </w:tcBorders>
          </w:tcPr>
          <w:p>
            <w:pPr>
              <w:spacing w:after="0"/>
              <w:rPr>
                <w:sz w:val="11"/>
                <w:szCs w:val="11"/>
                <w:color w:val="auto"/>
              </w:rPr>
            </w:pPr>
          </w:p>
        </w:tc>
        <w:tc>
          <w:tcPr>
            <w:tcW w:w="680" w:type="dxa"/>
            <w:vAlign w:val="bottom"/>
            <w:tcBorders>
              <w:top w:val="single" w:sz="8" w:color="0070FF"/>
            </w:tcBorders>
          </w:tcPr>
          <w:p>
            <w:pPr>
              <w:jc w:val="right"/>
              <w:ind w:right="89"/>
              <w:spacing w:after="0" w:line="137" w:lineRule="exact"/>
              <w:rPr>
                <w:sz w:val="20"/>
                <w:szCs w:val="20"/>
                <w:color w:val="auto"/>
              </w:rPr>
            </w:pPr>
            <w:r>
              <w:rPr>
                <w:rFonts w:ascii="Arial" w:cs="Arial" w:eastAsia="Arial" w:hAnsi="Arial"/>
                <w:sz w:val="14"/>
                <w:szCs w:val="14"/>
                <w:b w:val="1"/>
                <w:bCs w:val="1"/>
                <w:color w:val="auto"/>
                <w:w w:val="91"/>
              </w:rPr>
              <w:t>$ 42,323</w:t>
            </w:r>
          </w:p>
        </w:tc>
        <w:tc>
          <w:tcPr>
            <w:tcW w:w="72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$ 31,877</w:t>
            </w:r>
          </w:p>
        </w:tc>
        <w:tc>
          <w:tcPr>
            <w:tcW w:w="880" w:type="dxa"/>
            <w:vAlign w:val="bottom"/>
            <w:tcBorders>
              <w:top w:val="single" w:sz="8" w:color="0070FF"/>
            </w:tcBorders>
          </w:tcPr>
          <w:p>
            <w:pPr>
              <w:jc w:val="right"/>
              <w:ind w:right="49"/>
              <w:spacing w:after="0" w:line="137" w:lineRule="exact"/>
              <w:rPr>
                <w:sz w:val="20"/>
                <w:szCs w:val="20"/>
                <w:color w:val="auto"/>
              </w:rPr>
            </w:pPr>
            <w:r>
              <w:rPr>
                <w:rFonts w:ascii="Arial" w:cs="Arial" w:eastAsia="Arial" w:hAnsi="Arial"/>
                <w:sz w:val="14"/>
                <w:szCs w:val="14"/>
                <w:color w:val="auto"/>
              </w:rPr>
              <w:t>$ 69,549</w:t>
            </w:r>
          </w:p>
        </w:tc>
        <w:tc>
          <w:tcPr>
            <w:tcW w:w="100" w:type="dxa"/>
            <w:vAlign w:val="bottom"/>
            <w:tcBorders>
              <w:top w:val="single" w:sz="8" w:color="0070FF"/>
            </w:tcBorders>
          </w:tcPr>
          <w:p>
            <w:pPr>
              <w:spacing w:after="0"/>
              <w:rPr>
                <w:sz w:val="11"/>
                <w:szCs w:val="11"/>
                <w:color w:val="auto"/>
              </w:rPr>
            </w:pPr>
          </w:p>
        </w:tc>
        <w:tc>
          <w:tcPr>
            <w:tcW w:w="200" w:type="dxa"/>
            <w:vAlign w:val="bottom"/>
            <w:tcBorders>
              <w:top w:val="single" w:sz="8" w:color="0070FF"/>
            </w:tcBorders>
            <w:gridSpan w:val="2"/>
          </w:tcPr>
          <w:p>
            <w:pPr>
              <w:jc w:val="right"/>
              <w:ind w:right="20"/>
              <w:spacing w:after="0" w:line="137"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0070FF"/>
            </w:tcBorders>
          </w:tcPr>
          <w:p>
            <w:pPr>
              <w:jc w:val="right"/>
              <w:ind w:right="69"/>
              <w:spacing w:after="0" w:line="137" w:lineRule="exact"/>
              <w:rPr>
                <w:sz w:val="20"/>
                <w:szCs w:val="20"/>
                <w:color w:val="auto"/>
              </w:rPr>
            </w:pPr>
            <w:r>
              <w:rPr>
                <w:rFonts w:ascii="Arial" w:cs="Arial" w:eastAsia="Arial" w:hAnsi="Arial"/>
                <w:sz w:val="14"/>
                <w:szCs w:val="14"/>
                <w:b w:val="1"/>
                <w:bCs w:val="1"/>
                <w:color w:val="auto"/>
                <w:w w:val="93"/>
              </w:rPr>
              <w:t>19,467</w:t>
            </w:r>
          </w:p>
        </w:tc>
        <w:tc>
          <w:tcPr>
            <w:tcW w:w="2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0070FF"/>
            </w:tcBorders>
          </w:tcPr>
          <w:p>
            <w:pPr>
              <w:jc w:val="right"/>
              <w:ind w:right="109"/>
              <w:spacing w:after="0" w:line="137" w:lineRule="exact"/>
              <w:rPr>
                <w:sz w:val="20"/>
                <w:szCs w:val="20"/>
                <w:color w:val="auto"/>
              </w:rPr>
            </w:pPr>
            <w:r>
              <w:rPr>
                <w:rFonts w:ascii="Arial" w:cs="Arial" w:eastAsia="Arial" w:hAnsi="Arial"/>
                <w:sz w:val="14"/>
                <w:szCs w:val="14"/>
                <w:color w:val="auto"/>
                <w:w w:val="93"/>
              </w:rPr>
              <w:t>15,049</w:t>
            </w:r>
          </w:p>
        </w:tc>
        <w:tc>
          <w:tcPr>
            <w:tcW w:w="22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w w:val="93"/>
              </w:rPr>
              <w:t>46,649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Income (loss) before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1,657</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1,211</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00" w:type="dxa"/>
            <w:vAlign w:val="bottom"/>
          </w:tcPr>
          <w:p>
            <w:pPr>
              <w:ind w:left="120"/>
              <w:spacing w:after="0" w:line="145" w:lineRule="exact"/>
              <w:rPr>
                <w:sz w:val="20"/>
                <w:szCs w:val="20"/>
                <w:color w:val="auto"/>
              </w:rPr>
            </w:pPr>
            <w:r>
              <w:rPr>
                <w:rFonts w:ascii="Arial" w:cs="Arial" w:eastAsia="Arial" w:hAnsi="Arial"/>
                <w:sz w:val="14"/>
                <w:szCs w:val="14"/>
                <w:color w:val="auto"/>
              </w:rPr>
              <w:t>income tax expense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29"/>
              <w:spacing w:after="0" w:line="145" w:lineRule="exact"/>
              <w:rPr>
                <w:sz w:val="20"/>
                <w:szCs w:val="20"/>
                <w:color w:val="auto"/>
              </w:rPr>
            </w:pPr>
            <w:r>
              <w:rPr>
                <w:rFonts w:ascii="Arial" w:cs="Arial" w:eastAsia="Arial" w:hAnsi="Arial"/>
                <w:sz w:val="14"/>
                <w:szCs w:val="14"/>
                <w:color w:val="auto"/>
              </w:rPr>
              <w:t>604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20" w:type="dxa"/>
            <w:vAlign w:val="bottom"/>
          </w:tcPr>
          <w:p>
            <w:pPr>
              <w:jc w:val="right"/>
              <w:ind w:right="29"/>
              <w:spacing w:after="0" w:line="145" w:lineRule="exact"/>
              <w:rPr>
                <w:sz w:val="20"/>
                <w:szCs w:val="20"/>
                <w:color w:val="auto"/>
              </w:rPr>
            </w:pPr>
            <w:r>
              <w:rPr>
                <w:rFonts w:ascii="Arial" w:cs="Arial" w:eastAsia="Arial" w:hAnsi="Arial"/>
                <w:sz w:val="14"/>
                <w:szCs w:val="14"/>
                <w:color w:val="auto"/>
              </w:rPr>
              <w:t>771</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(1,517)</w:t>
            </w:r>
          </w:p>
        </w:tc>
        <w:tc>
          <w:tcPr>
            <w:tcW w:w="880" w:type="dxa"/>
            <w:vAlign w:val="bottom"/>
          </w:tcPr>
          <w:p>
            <w:pPr>
              <w:jc w:val="right"/>
              <w:ind w:right="49"/>
              <w:spacing w:after="0" w:line="145" w:lineRule="exact"/>
              <w:rPr>
                <w:sz w:val="20"/>
                <w:szCs w:val="20"/>
                <w:color w:val="auto"/>
              </w:rPr>
            </w:pPr>
            <w:r>
              <w:rPr>
                <w:rFonts w:ascii="Arial" w:cs="Arial" w:eastAsia="Arial" w:hAnsi="Arial"/>
                <w:sz w:val="14"/>
                <w:szCs w:val="14"/>
                <w:color w:val="auto"/>
              </w:rPr>
              <w:t>646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09"/>
              <w:spacing w:after="0" w:line="145"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1,430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Net income (loss)</w:t>
            </w:r>
          </w:p>
        </w:tc>
        <w:tc>
          <w:tcPr>
            <w:tcW w:w="440" w:type="dxa"/>
            <w:vAlign w:val="bottom"/>
            <w:tcBorders>
              <w:bottom w:val="single" w:sz="8" w:color="0070FF"/>
            </w:tcBorders>
          </w:tcPr>
          <w:p>
            <w:pPr>
              <w:spacing w:after="0"/>
              <w:rPr>
                <w:sz w:val="16"/>
                <w:szCs w:val="16"/>
                <w:color w:val="auto"/>
              </w:rPr>
            </w:pPr>
          </w:p>
        </w:tc>
        <w:tc>
          <w:tcPr>
            <w:tcW w:w="120" w:type="dxa"/>
            <w:vAlign w:val="bottom"/>
            <w:tcBorders>
              <w:bottom w:val="single" w:sz="8" w:color="0070FF"/>
            </w:tcBorders>
          </w:tcPr>
          <w:p>
            <w:pPr>
              <w:spacing w:after="0"/>
              <w:rPr>
                <w:sz w:val="16"/>
                <w:szCs w:val="16"/>
                <w:color w:val="auto"/>
              </w:rPr>
            </w:pPr>
          </w:p>
        </w:tc>
        <w:tc>
          <w:tcPr>
            <w:tcW w:w="4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0FF"/>
            </w:tcBorders>
          </w:tcPr>
          <w:p>
            <w:pPr>
              <w:spacing w:after="0"/>
              <w:rPr>
                <w:sz w:val="16"/>
                <w:szCs w:val="16"/>
                <w:color w:val="auto"/>
              </w:rPr>
            </w:pPr>
          </w:p>
        </w:tc>
        <w:tc>
          <w:tcPr>
            <w:tcW w:w="4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70FF"/>
            </w:tcBorders>
          </w:tcPr>
          <w:p>
            <w:pPr>
              <w:spacing w:after="0"/>
              <w:rPr>
                <w:sz w:val="16"/>
                <w:szCs w:val="16"/>
                <w:color w:val="auto"/>
              </w:rPr>
            </w:pPr>
          </w:p>
        </w:tc>
        <w:tc>
          <w:tcPr>
            <w:tcW w:w="52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0070FF"/>
            </w:tcBorders>
          </w:tcPr>
          <w:p>
            <w:pPr>
              <w:spacing w:after="0"/>
              <w:rPr>
                <w:sz w:val="16"/>
                <w:szCs w:val="16"/>
                <w:color w:val="auto"/>
              </w:rPr>
            </w:pPr>
          </w:p>
        </w:tc>
        <w:tc>
          <w:tcPr>
            <w:tcW w:w="100" w:type="dxa"/>
            <w:vAlign w:val="bottom"/>
            <w:tcBorders>
              <w:bottom w:val="single" w:sz="8" w:color="0070FF"/>
            </w:tcBorders>
          </w:tcPr>
          <w:p>
            <w:pPr>
              <w:spacing w:after="0"/>
              <w:rPr>
                <w:sz w:val="16"/>
                <w:szCs w:val="16"/>
                <w:color w:val="auto"/>
              </w:rPr>
            </w:pPr>
          </w:p>
        </w:tc>
        <w:tc>
          <w:tcPr>
            <w:tcW w:w="120" w:type="dxa"/>
            <w:vAlign w:val="bottom"/>
            <w:tcBorders>
              <w:bottom w:val="single" w:sz="8" w:color="0070FF"/>
            </w:tcBorders>
          </w:tcPr>
          <w:p>
            <w:pPr>
              <w:spacing w:after="0"/>
              <w:rPr>
                <w:sz w:val="16"/>
                <w:szCs w:val="16"/>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0FF"/>
            </w:tcBorders>
          </w:tcPr>
          <w:p>
            <w:pPr>
              <w:spacing w:after="0"/>
              <w:rPr>
                <w:sz w:val="16"/>
                <w:szCs w:val="16"/>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0FF"/>
            </w:tcBorders>
          </w:tcPr>
          <w:p>
            <w:pPr>
              <w:spacing w:after="0"/>
              <w:rPr>
                <w:sz w:val="16"/>
                <w:szCs w:val="16"/>
                <w:color w:val="auto"/>
              </w:rPr>
            </w:pPr>
          </w:p>
        </w:tc>
        <w:tc>
          <w:tcPr>
            <w:tcW w:w="52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486</w:t>
            </w:r>
          </w:p>
        </w:tc>
        <w:tc>
          <w:tcPr>
            <w:tcW w:w="180" w:type="dxa"/>
            <w:vAlign w:val="bottom"/>
            <w:tcBorders>
              <w:bottom w:val="single" w:sz="8" w:color="0070FF"/>
            </w:tcBorders>
          </w:tcPr>
          <w:p>
            <w:pPr>
              <w:spacing w:after="0"/>
              <w:rPr>
                <w:sz w:val="16"/>
                <w:szCs w:val="16"/>
                <w:color w:val="auto"/>
              </w:rPr>
            </w:pPr>
          </w:p>
        </w:tc>
        <w:tc>
          <w:tcPr>
            <w:tcW w:w="68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b w:val="1"/>
                <w:bCs w:val="1"/>
                <w:color w:val="auto"/>
              </w:rPr>
              <w:t>1,508</w:t>
            </w:r>
          </w:p>
        </w:tc>
        <w:tc>
          <w:tcPr>
            <w:tcW w:w="7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(1,540)</w:t>
            </w:r>
          </w:p>
        </w:tc>
        <w:tc>
          <w:tcPr>
            <w:tcW w:w="8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0070FF"/>
            </w:tcBorders>
          </w:tcPr>
          <w:p>
            <w:pPr>
              <w:spacing w:after="0"/>
              <w:rPr>
                <w:sz w:val="16"/>
                <w:szCs w:val="16"/>
                <w:color w:val="auto"/>
              </w:rPr>
            </w:pPr>
          </w:p>
        </w:tc>
        <w:tc>
          <w:tcPr>
            <w:tcW w:w="100" w:type="dxa"/>
            <w:vAlign w:val="bottom"/>
            <w:tcBorders>
              <w:bottom w:val="single" w:sz="8" w:color="0070FF"/>
            </w:tcBorders>
          </w:tcPr>
          <w:p>
            <w:pPr>
              <w:spacing w:after="0"/>
              <w:rPr>
                <w:sz w:val="16"/>
                <w:szCs w:val="16"/>
                <w:color w:val="auto"/>
              </w:rPr>
            </w:pPr>
          </w:p>
        </w:tc>
        <w:tc>
          <w:tcPr>
            <w:tcW w:w="100" w:type="dxa"/>
            <w:vAlign w:val="bottom"/>
            <w:tcBorders>
              <w:bottom w:val="single" w:sz="8" w:color="0070FF"/>
            </w:tcBorders>
          </w:tcPr>
          <w:p>
            <w:pPr>
              <w:spacing w:after="0"/>
              <w:rPr>
                <w:sz w:val="16"/>
                <w:szCs w:val="16"/>
                <w:color w:val="auto"/>
              </w:rPr>
            </w:pPr>
          </w:p>
        </w:tc>
        <w:tc>
          <w:tcPr>
            <w:tcW w:w="5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1,029</w:t>
            </w:r>
          </w:p>
        </w:tc>
        <w:tc>
          <w:tcPr>
            <w:tcW w:w="260" w:type="dxa"/>
            <w:vAlign w:val="bottom"/>
            <w:tcBorders>
              <w:bottom w:val="single" w:sz="8" w:color="0070FF"/>
            </w:tcBorders>
          </w:tcPr>
          <w:p>
            <w:pPr>
              <w:spacing w:after="0"/>
              <w:rPr>
                <w:sz w:val="16"/>
                <w:szCs w:val="16"/>
                <w:color w:val="auto"/>
              </w:rPr>
            </w:pPr>
          </w:p>
        </w:tc>
        <w:tc>
          <w:tcPr>
            <w:tcW w:w="6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0070FF"/>
            </w:tcBorders>
          </w:tcPr>
          <w:p>
            <w:pPr>
              <w:spacing w:after="0"/>
              <w:rPr>
                <w:sz w:val="16"/>
                <w:szCs w:val="16"/>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1,144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b w:val="1"/>
                <w:bCs w:val="1"/>
                <w:color w:val="auto"/>
              </w:rPr>
              <w:t>At December 31</w:t>
            </w:r>
          </w:p>
        </w:tc>
        <w:tc>
          <w:tcPr>
            <w:tcW w:w="44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spacing w:after="0"/>
              <w:rPr>
                <w:sz w:val="14"/>
                <w:szCs w:val="14"/>
                <w:color w:val="auto"/>
              </w:rPr>
            </w:pPr>
          </w:p>
        </w:tc>
        <w:tc>
          <w:tcPr>
            <w:tcW w:w="2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spacing w:after="0"/>
              <w:rPr>
                <w:sz w:val="14"/>
                <w:szCs w:val="14"/>
                <w:color w:val="auto"/>
              </w:rPr>
            </w:pPr>
          </w:p>
        </w:tc>
        <w:tc>
          <w:tcPr>
            <w:tcW w:w="24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spacing w:after="0"/>
              <w:rPr>
                <w:sz w:val="14"/>
                <w:szCs w:val="14"/>
                <w:color w:val="auto"/>
              </w:rPr>
            </w:pPr>
          </w:p>
        </w:tc>
        <w:tc>
          <w:tcPr>
            <w:tcW w:w="2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spacing w:after="0"/>
              <w:rPr>
                <w:sz w:val="14"/>
                <w:szCs w:val="14"/>
                <w:color w:val="auto"/>
              </w:rPr>
            </w:pPr>
          </w:p>
        </w:tc>
        <w:tc>
          <w:tcPr>
            <w:tcW w:w="26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spacing w:after="0"/>
              <w:rPr>
                <w:sz w:val="14"/>
                <w:szCs w:val="14"/>
                <w:color w:val="auto"/>
              </w:rPr>
            </w:pPr>
          </w:p>
        </w:tc>
        <w:tc>
          <w:tcPr>
            <w:tcW w:w="18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spacing w:after="0"/>
              <w:rPr>
                <w:sz w:val="14"/>
                <w:szCs w:val="14"/>
                <w:color w:val="auto"/>
              </w:rPr>
            </w:pPr>
          </w:p>
        </w:tc>
        <w:tc>
          <w:tcPr>
            <w:tcW w:w="88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spacing w:after="0"/>
              <w:rPr>
                <w:sz w:val="14"/>
                <w:szCs w:val="14"/>
                <w:color w:val="auto"/>
              </w:rPr>
            </w:pPr>
          </w:p>
        </w:tc>
        <w:tc>
          <w:tcPr>
            <w:tcW w:w="2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spacing w:after="0"/>
              <w:rPr>
                <w:sz w:val="14"/>
                <w:szCs w:val="14"/>
                <w:color w:val="auto"/>
              </w:rPr>
            </w:pPr>
          </w:p>
        </w:tc>
        <w:tc>
          <w:tcPr>
            <w:tcW w:w="2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gridSpan w:val="2"/>
          </w:tcPr>
          <w:p>
            <w:pPr>
              <w:spacing w:after="0" w:line="133" w:lineRule="exact"/>
              <w:rPr>
                <w:sz w:val="20"/>
                <w:szCs w:val="20"/>
                <w:color w:val="auto"/>
              </w:rPr>
            </w:pPr>
            <w:r>
              <w:rPr>
                <w:rFonts w:ascii="Arial" w:cs="Arial" w:eastAsia="Arial" w:hAnsi="Arial"/>
                <w:sz w:val="14"/>
                <w:szCs w:val="14"/>
                <w:color w:val="auto"/>
              </w:rPr>
              <w:t>Current assets</w:t>
            </w:r>
          </w:p>
        </w:tc>
        <w:tc>
          <w:tcPr>
            <w:tcW w:w="560" w:type="dxa"/>
            <w:vAlign w:val="bottom"/>
            <w:gridSpan w:val="2"/>
          </w:tcPr>
          <w:p>
            <w:pPr>
              <w:jc w:val="right"/>
              <w:ind w:right="40"/>
              <w:spacing w:after="0" w:line="133"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69"/>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69"/>
              <w:spacing w:after="0" w:line="133"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33"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line="133"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69"/>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69"/>
              <w:spacing w:after="0" w:line="133"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89"/>
              <w:spacing w:after="0" w:line="133" w:lineRule="exact"/>
              <w:rPr>
                <w:sz w:val="20"/>
                <w:szCs w:val="20"/>
                <w:color w:val="auto"/>
              </w:rPr>
            </w:pPr>
            <w:r>
              <w:rPr>
                <w:rFonts w:ascii="Arial" w:cs="Arial" w:eastAsia="Arial" w:hAnsi="Arial"/>
                <w:sz w:val="14"/>
                <w:szCs w:val="14"/>
                <w:b w:val="1"/>
                <w:bCs w:val="1"/>
                <w:color w:val="auto"/>
                <w:w w:val="91"/>
              </w:rPr>
              <w:t>$ 12,204</w:t>
            </w:r>
          </w:p>
        </w:tc>
        <w:tc>
          <w:tcPr>
            <w:tcW w:w="720" w:type="dxa"/>
            <w:vAlign w:val="bottom"/>
          </w:tcPr>
          <w:p>
            <w:pPr>
              <w:jc w:val="right"/>
              <w:spacing w:after="0" w:line="133" w:lineRule="exact"/>
              <w:rPr>
                <w:sz w:val="20"/>
                <w:szCs w:val="20"/>
                <w:color w:val="auto"/>
              </w:rPr>
            </w:pPr>
            <w:r>
              <w:rPr>
                <w:rFonts w:ascii="Arial" w:cs="Arial" w:eastAsia="Arial" w:hAnsi="Arial"/>
                <w:sz w:val="14"/>
                <w:szCs w:val="14"/>
                <w:color w:val="auto"/>
              </w:rPr>
              <w:t>$ 16,808</w:t>
            </w:r>
          </w:p>
        </w:tc>
        <w:tc>
          <w:tcPr>
            <w:tcW w:w="880" w:type="dxa"/>
            <w:vAlign w:val="bottom"/>
          </w:tcPr>
          <w:p>
            <w:pPr>
              <w:jc w:val="right"/>
              <w:ind w:right="49"/>
              <w:spacing w:after="0" w:line="133" w:lineRule="exact"/>
              <w:rPr>
                <w:sz w:val="20"/>
                <w:szCs w:val="20"/>
                <w:color w:val="auto"/>
              </w:rPr>
            </w:pPr>
            <w:r>
              <w:rPr>
                <w:rFonts w:ascii="Arial" w:cs="Arial" w:eastAsia="Arial" w:hAnsi="Arial"/>
                <w:sz w:val="14"/>
                <w:szCs w:val="14"/>
                <w:color w:val="auto"/>
              </w:rPr>
              <w:t>$ 17,015</w:t>
            </w:r>
          </w:p>
        </w:tc>
        <w:tc>
          <w:tcPr>
            <w:tcW w:w="100" w:type="dxa"/>
            <w:vAlign w:val="bottom"/>
          </w:tcPr>
          <w:p>
            <w:pPr>
              <w:spacing w:after="0"/>
              <w:rPr>
                <w:sz w:val="11"/>
                <w:szCs w:val="11"/>
                <w:color w:val="auto"/>
              </w:rPr>
            </w:pPr>
          </w:p>
        </w:tc>
        <w:tc>
          <w:tcPr>
            <w:tcW w:w="200" w:type="dxa"/>
            <w:vAlign w:val="bottom"/>
            <w:gridSpan w:val="2"/>
          </w:tcPr>
          <w:p>
            <w:pPr>
              <w:jc w:val="right"/>
              <w:ind w:right="20"/>
              <w:spacing w:after="0" w:line="133"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9"/>
              <w:spacing w:after="0" w:line="133" w:lineRule="exact"/>
              <w:rPr>
                <w:sz w:val="20"/>
                <w:szCs w:val="20"/>
                <w:color w:val="auto"/>
              </w:rPr>
            </w:pPr>
            <w:r>
              <w:rPr>
                <w:rFonts w:ascii="Arial" w:cs="Arial" w:eastAsia="Arial" w:hAnsi="Arial"/>
                <w:sz w:val="14"/>
                <w:szCs w:val="14"/>
                <w:b w:val="1"/>
                <w:bCs w:val="1"/>
                <w:color w:val="auto"/>
              </w:rPr>
              <w:t>5,180</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09"/>
              <w:spacing w:after="0" w:line="133" w:lineRule="exact"/>
              <w:rPr>
                <w:sz w:val="20"/>
                <w:szCs w:val="20"/>
                <w:color w:val="auto"/>
              </w:rPr>
            </w:pPr>
            <w:r>
              <w:rPr>
                <w:rFonts w:ascii="Arial" w:cs="Arial" w:eastAsia="Arial" w:hAnsi="Arial"/>
                <w:sz w:val="14"/>
                <w:szCs w:val="14"/>
                <w:color w:val="auto"/>
              </w:rPr>
              <w:t>6,270</w:t>
            </w:r>
          </w:p>
        </w:tc>
        <w:tc>
          <w:tcPr>
            <w:tcW w:w="22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5,922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Noncurrent assets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39,422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40,884</w:t>
            </w:r>
          </w:p>
        </w:tc>
        <w:tc>
          <w:tcPr>
            <w:tcW w:w="8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40,191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w w:val="93"/>
              </w:rPr>
              <w:t>15,765</w:t>
            </w:r>
          </w:p>
        </w:tc>
        <w:tc>
          <w:tcPr>
            <w:tcW w:w="26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w w:val="93"/>
              </w:rPr>
              <w:t>15,219</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3"/>
              </w:rPr>
              <w:t>16,276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89"/>
              <w:spacing w:after="0" w:line="149" w:lineRule="exact"/>
              <w:rPr>
                <w:sz w:val="20"/>
                <w:szCs w:val="20"/>
                <w:color w:val="auto"/>
              </w:rPr>
            </w:pPr>
            <w:r>
              <w:rPr>
                <w:rFonts w:ascii="Arial" w:cs="Arial" w:eastAsia="Arial" w:hAnsi="Arial"/>
                <w:sz w:val="14"/>
                <w:szCs w:val="14"/>
                <w:b w:val="1"/>
                <w:bCs w:val="1"/>
                <w:color w:val="auto"/>
              </w:rPr>
              <w:t>9,642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14,414</w:t>
            </w:r>
          </w:p>
        </w:tc>
        <w:tc>
          <w:tcPr>
            <w:tcW w:w="8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14,688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4,132</w:t>
            </w:r>
          </w:p>
        </w:tc>
        <w:tc>
          <w:tcPr>
            <w:tcW w:w="26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5,158</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Noncurrent liabilities</w:t>
            </w:r>
          </w:p>
        </w:tc>
        <w:tc>
          <w:tcPr>
            <w:tcW w:w="44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b w:val="1"/>
                <w:bCs w:val="1"/>
                <w:color w:val="auto"/>
              </w:rPr>
              <w:t>22,738</w:t>
            </w:r>
          </w:p>
        </w:tc>
        <w:tc>
          <w:tcPr>
            <w:tcW w:w="7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24,129</w:t>
            </w:r>
          </w:p>
        </w:tc>
        <w:tc>
          <w:tcPr>
            <w:tcW w:w="88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23,255</w:t>
            </w:r>
          </w:p>
        </w:tc>
        <w:tc>
          <w:tcPr>
            <w:tcW w:w="1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5,002</w:t>
            </w:r>
          </w:p>
        </w:tc>
        <w:tc>
          <w:tcPr>
            <w:tcW w:w="2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rPr>
              <w:t>5,668</w:t>
            </w:r>
          </w:p>
        </w:tc>
        <w:tc>
          <w:tcPr>
            <w:tcW w:w="22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auto"/>
              </w:rPr>
              <w:t>Net equity</w:t>
            </w:r>
          </w:p>
        </w:tc>
        <w:tc>
          <w:tcPr>
            <w:tcW w:w="56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b w:val="1"/>
                <w:bCs w:val="1"/>
                <w:color w:val="auto"/>
                <w:w w:val="91"/>
              </w:rPr>
              <w:t>$ 19,246</w:t>
            </w:r>
          </w:p>
        </w:tc>
        <w:tc>
          <w:tcPr>
            <w:tcW w:w="7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$ 19,149</w:t>
            </w:r>
          </w:p>
        </w:tc>
        <w:tc>
          <w:tcPr>
            <w:tcW w:w="88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color w:val="auto"/>
              </w:rPr>
              <w:t>$ 19,263</w:t>
            </w:r>
          </w:p>
        </w:tc>
        <w:tc>
          <w:tcPr>
            <w:tcW w:w="100" w:type="dxa"/>
            <w:vAlign w:val="bottom"/>
            <w:tcBorders>
              <w:bottom w:val="single" w:sz="8" w:color="0070FF"/>
            </w:tcBorders>
          </w:tcPr>
          <w:p>
            <w:pPr>
              <w:spacing w:after="0"/>
              <w:rPr>
                <w:sz w:val="15"/>
                <w:szCs w:val="15"/>
                <w:color w:val="auto"/>
              </w:rPr>
            </w:pPr>
          </w:p>
        </w:tc>
        <w:tc>
          <w:tcPr>
            <w:tcW w:w="200" w:type="dxa"/>
            <w:vAlign w:val="bottom"/>
            <w:tcBorders>
              <w:bottom w:val="single" w:sz="8" w:color="0070FF"/>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w w:val="93"/>
              </w:rPr>
              <w:t>11,811</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color w:val="auto"/>
                <w:w w:val="93"/>
              </w:rPr>
              <w:t>10,663</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3"/>
              </w:rPr>
              <w:t>11,841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0"/>
          <w:szCs w:val="10"/>
          <w:color w:val="auto"/>
        </w:rPr>
      </w:pPr>
      <w:r>
        <w:rPr>
          <w:rFonts w:ascii="Arial" w:cs="Arial" w:eastAsia="Arial" w:hAnsi="Arial"/>
          <w:sz w:val="12"/>
          <w:szCs w:val="12"/>
          <w:color w:val="auto"/>
        </w:rPr>
        <w:t>Accounted for under the equity method pre-merger and the cost basis post-merger.</w:t>
      </w:r>
    </w:p>
    <w:p>
      <w:pPr>
        <w:spacing w:after="0" w:line="11" w:lineRule="exact"/>
        <w:rPr>
          <w:sz w:val="20"/>
          <w:szCs w:val="20"/>
          <w:color w:val="auto"/>
        </w:rPr>
      </w:pPr>
    </w:p>
    <w:p>
      <w:pPr>
        <w:ind w:left="240" w:right="440" w:hanging="232"/>
        <w:spacing w:after="0" w:line="234" w:lineRule="auto"/>
        <w:tabs>
          <w:tab w:leader="none" w:pos="240" w:val="left"/>
        </w:tabs>
        <w:numPr>
          <w:ilvl w:val="0"/>
          <w:numId w:val="46"/>
        </w:numPr>
        <w:rPr>
          <w:rFonts w:ascii="Arial" w:cs="Arial" w:eastAsia="Arial" w:hAnsi="Arial"/>
          <w:sz w:val="10"/>
          <w:szCs w:val="10"/>
          <w:color w:val="auto"/>
        </w:rPr>
      </w:pPr>
      <w:r>
        <w:rPr>
          <w:rFonts w:ascii="Arial" w:cs="Arial" w:eastAsia="Arial" w:hAnsi="Arial"/>
          <w:sz w:val="12"/>
          <w:szCs w:val="12"/>
          <w:color w:val="auto"/>
        </w:rPr>
        <w:t>The company’s share of income and underlying equity in the net assets of its investments includes the effects of write-downs of certain investments – largely related to Dynegy Inc. and Caltex Australia Ltd., as described in the preceding section.</w:t>
      </w:r>
    </w:p>
    <w:p>
      <w:pPr>
        <w:spacing w:after="0" w:line="1" w:lineRule="exact"/>
        <w:rPr>
          <w:sz w:val="20"/>
          <w:szCs w:val="20"/>
          <w:color w:val="auto"/>
        </w:rPr>
      </w:pPr>
    </w:p>
    <w:p>
      <w:pPr>
        <w:ind w:left="240" w:hanging="232"/>
        <w:spacing w:after="0"/>
        <w:tabs>
          <w:tab w:leader="none" w:pos="240" w:val="left"/>
        </w:tabs>
        <w:numPr>
          <w:ilvl w:val="0"/>
          <w:numId w:val="47"/>
        </w:numPr>
        <w:rPr>
          <w:rFonts w:ascii="Arial" w:cs="Arial" w:eastAsia="Arial" w:hAnsi="Arial"/>
          <w:sz w:val="10"/>
          <w:szCs w:val="10"/>
          <w:color w:val="auto"/>
        </w:rPr>
      </w:pPr>
      <w:r>
        <w:rPr>
          <w:rFonts w:ascii="Arial" w:cs="Arial" w:eastAsia="Arial" w:hAnsi="Arial"/>
          <w:sz w:val="12"/>
          <w:szCs w:val="12"/>
          <w:color w:val="auto"/>
        </w:rPr>
        <w:t>2002 conformed to the 2003 presentation.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580" w:type="dxa"/>
            <w:vAlign w:val="bottom"/>
            <w:gridSpan w:val="2"/>
            <w:vMerge w:val="restart"/>
          </w:tcPr>
          <w:p>
            <w:pPr>
              <w:spacing w:after="0"/>
              <w:rPr>
                <w:sz w:val="20"/>
                <w:szCs w:val="20"/>
                <w:color w:val="auto"/>
              </w:rPr>
            </w:pPr>
            <w:r>
              <w:rPr>
                <w:rFonts w:ascii="Arial" w:cs="Arial" w:eastAsia="Arial" w:hAnsi="Arial"/>
                <w:sz w:val="27"/>
                <w:szCs w:val="27"/>
                <w:b w:val="1"/>
                <w:bCs w:val="1"/>
                <w:color w:val="0070FF"/>
              </w:rPr>
              <w:t>»</w:t>
            </w:r>
          </w:p>
        </w:tc>
        <w:tc>
          <w:tcPr>
            <w:tcW w:w="100" w:type="dxa"/>
            <w:vAlign w:val="bottom"/>
          </w:tcPr>
          <w:p>
            <w:pPr>
              <w:spacing w:after="0"/>
              <w:rPr>
                <w:sz w:val="3"/>
                <w:szCs w:val="3"/>
                <w:color w:val="auto"/>
              </w:rPr>
            </w:pPr>
          </w:p>
        </w:tc>
        <w:tc>
          <w:tcPr>
            <w:tcW w:w="3120" w:type="dxa"/>
            <w:vAlign w:val="bottom"/>
            <w:gridSpan w:val="6"/>
            <w:vMerge w:val="restart"/>
          </w:tcPr>
          <w:p>
            <w:pPr>
              <w:jc w:val="right"/>
              <w:ind w:right="249"/>
              <w:spacing w:after="0"/>
              <w:rPr>
                <w:sz w:val="20"/>
                <w:szCs w:val="20"/>
                <w:color w:val="auto"/>
              </w:rPr>
            </w:pPr>
            <w:r>
              <w:rPr>
                <w:rFonts w:ascii="Arial" w:cs="Arial" w:eastAsia="Arial" w:hAnsi="Arial"/>
                <w:sz w:val="14"/>
                <w:szCs w:val="14"/>
                <w:i w:val="1"/>
                <w:iCs w:val="1"/>
                <w:color w:val="0070FF"/>
                <w:w w:val="94"/>
              </w:rPr>
              <w:t>Notes to the Consolidated Financial Statements</w:t>
            </w: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300" w:type="dxa"/>
            <w:vAlign w:val="bottom"/>
            <w:gridSpan w:val="5"/>
            <w:vMerge w:val="restart"/>
          </w:tcPr>
          <w:p>
            <w:pPr>
              <w:jc w:val="right"/>
              <w:spacing w:after="0"/>
              <w:rPr>
                <w:sz w:val="20"/>
                <w:szCs w:val="20"/>
                <w:color w:val="auto"/>
              </w:rPr>
            </w:pPr>
            <w:r>
              <w:rPr>
                <w:rFonts w:ascii="Arial" w:cs="Arial" w:eastAsia="Arial" w:hAnsi="Arial"/>
                <w:sz w:val="13"/>
                <w:szCs w:val="13"/>
                <w:i w:val="1"/>
                <w:iCs w:val="1"/>
                <w:color w:val="0070FF"/>
                <w:w w:val="88"/>
              </w:rPr>
              <w:t>Millions of dollars, except per-share amounts</w:t>
            </w:r>
          </w:p>
        </w:tc>
        <w:tc>
          <w:tcPr>
            <w:tcW w:w="0" w:type="dxa"/>
            <w:vAlign w:val="bottom"/>
          </w:tcPr>
          <w:p>
            <w:pPr>
              <w:spacing w:after="0" w:line="20" w:lineRule="exact"/>
              <w:rPr>
                <w:sz w:val="1"/>
                <w:szCs w:val="1"/>
                <w:color w:val="auto"/>
              </w:rPr>
            </w:pPr>
          </w:p>
        </w:tc>
      </w:tr>
      <w:tr>
        <w:trPr>
          <w:trHeight w:val="164"/>
        </w:trPr>
        <w:tc>
          <w:tcPr>
            <w:tcW w:w="580" w:type="dxa"/>
            <w:vAlign w:val="bottom"/>
            <w:gridSpan w:val="2"/>
            <w:vMerge w:val="continue"/>
          </w:tcPr>
          <w:p>
            <w:pPr>
              <w:spacing w:after="0"/>
              <w:rPr>
                <w:sz w:val="14"/>
                <w:szCs w:val="14"/>
                <w:color w:val="auto"/>
              </w:rPr>
            </w:pPr>
          </w:p>
        </w:tc>
        <w:tc>
          <w:tcPr>
            <w:tcW w:w="100" w:type="dxa"/>
            <w:vAlign w:val="bottom"/>
            <w:tcBorders>
              <w:left w:val="single" w:sz="8" w:color="0070FF"/>
            </w:tcBorders>
          </w:tcPr>
          <w:p>
            <w:pPr>
              <w:spacing w:after="0"/>
              <w:rPr>
                <w:sz w:val="14"/>
                <w:szCs w:val="14"/>
                <w:color w:val="auto"/>
              </w:rPr>
            </w:pPr>
          </w:p>
        </w:tc>
        <w:tc>
          <w:tcPr>
            <w:tcW w:w="3120" w:type="dxa"/>
            <w:vAlign w:val="bottom"/>
            <w:gridSpan w:val="6"/>
            <w:vMerge w:val="continue"/>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 w:type="dxa"/>
            <w:vAlign w:val="bottom"/>
            <w:tcBorders>
              <w:bottom w:val="single" w:sz="8" w:color="0070FF"/>
            </w:tcBorders>
            <w:gridSpan w:val="2"/>
            <w:vMerge w:val="continue"/>
          </w:tcPr>
          <w:p>
            <w:pPr>
              <w:spacing w:after="0"/>
              <w:rPr>
                <w:sz w:val="13"/>
                <w:szCs w:val="13"/>
                <w:color w:val="auto"/>
              </w:rPr>
            </w:pPr>
          </w:p>
        </w:tc>
        <w:tc>
          <w:tcPr>
            <w:tcW w:w="100" w:type="dxa"/>
            <w:vAlign w:val="bottom"/>
            <w:tcBorders>
              <w:left w:val="single" w:sz="8" w:color="0070FF"/>
              <w:bottom w:val="single" w:sz="8" w:color="0070FF"/>
            </w:tcBorders>
          </w:tcPr>
          <w:p>
            <w:pPr>
              <w:spacing w:after="0"/>
              <w:rPr>
                <w:sz w:val="13"/>
                <w:szCs w:val="13"/>
                <w:color w:val="auto"/>
              </w:rPr>
            </w:pPr>
          </w:p>
        </w:tc>
        <w:tc>
          <w:tcPr>
            <w:tcW w:w="1300" w:type="dxa"/>
            <w:vAlign w:val="bottom"/>
            <w:tcBorders>
              <w:bottom w:val="single" w:sz="8" w:color="0070FF"/>
            </w:tcBorders>
          </w:tcPr>
          <w:p>
            <w:pPr>
              <w:spacing w:after="0"/>
              <w:rPr>
                <w:sz w:val="13"/>
                <w:szCs w:val="13"/>
                <w:color w:val="auto"/>
              </w:rPr>
            </w:pPr>
          </w:p>
        </w:tc>
        <w:tc>
          <w:tcPr>
            <w:tcW w:w="24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spacing w:after="0"/>
              <w:rPr>
                <w:sz w:val="13"/>
                <w:szCs w:val="13"/>
                <w:color w:val="auto"/>
              </w:rPr>
            </w:pPr>
          </w:p>
        </w:tc>
        <w:tc>
          <w:tcPr>
            <w:tcW w:w="2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spacing w:after="0"/>
              <w:rPr>
                <w:sz w:val="13"/>
                <w:szCs w:val="13"/>
                <w:color w:val="auto"/>
              </w:rPr>
            </w:pPr>
          </w:p>
        </w:tc>
        <w:tc>
          <w:tcPr>
            <w:tcW w:w="760" w:type="dxa"/>
            <w:vAlign w:val="bottom"/>
            <w:tcBorders>
              <w:bottom w:val="single" w:sz="8" w:color="0070FF"/>
            </w:tcBorders>
          </w:tcPr>
          <w:p>
            <w:pPr>
              <w:spacing w:after="0"/>
              <w:rPr>
                <w:sz w:val="13"/>
                <w:szCs w:val="13"/>
                <w:color w:val="auto"/>
              </w:rPr>
            </w:pPr>
          </w:p>
        </w:tc>
        <w:tc>
          <w:tcPr>
            <w:tcW w:w="18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spacing w:after="0"/>
              <w:rPr>
                <w:sz w:val="13"/>
                <w:szCs w:val="13"/>
                <w:color w:val="auto"/>
              </w:rPr>
            </w:pPr>
          </w:p>
        </w:tc>
        <w:tc>
          <w:tcPr>
            <w:tcW w:w="920" w:type="dxa"/>
            <w:vAlign w:val="bottom"/>
            <w:tcBorders>
              <w:bottom w:val="single" w:sz="8" w:color="0070FF"/>
            </w:tcBorders>
          </w:tcPr>
          <w:p>
            <w:pPr>
              <w:spacing w:after="0"/>
              <w:rPr>
                <w:sz w:val="13"/>
                <w:szCs w:val="13"/>
                <w:color w:val="auto"/>
              </w:rPr>
            </w:pPr>
          </w:p>
        </w:tc>
        <w:tc>
          <w:tcPr>
            <w:tcW w:w="20" w:type="dxa"/>
            <w:vAlign w:val="bottom"/>
            <w:tcBorders>
              <w:bottom w:val="single" w:sz="8" w:color="0070FF"/>
            </w:tcBorders>
          </w:tcPr>
          <w:p>
            <w:pPr>
              <w:spacing w:after="0"/>
              <w:rPr>
                <w:sz w:val="13"/>
                <w:szCs w:val="13"/>
                <w:color w:val="auto"/>
              </w:rPr>
            </w:pPr>
          </w:p>
        </w:tc>
        <w:tc>
          <w:tcPr>
            <w:tcW w:w="16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spacing w:after="0"/>
              <w:rPr>
                <w:sz w:val="13"/>
                <w:szCs w:val="13"/>
                <w:color w:val="auto"/>
              </w:rPr>
            </w:pPr>
          </w:p>
        </w:tc>
        <w:tc>
          <w:tcPr>
            <w:tcW w:w="2300" w:type="dxa"/>
            <w:vAlign w:val="bottom"/>
            <w:tcBorders>
              <w:bottom w:val="single" w:sz="8" w:color="0070FF"/>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980" w:type="dxa"/>
            <w:vAlign w:val="bottom"/>
            <w:gridSpan w:val="4"/>
          </w:tcPr>
          <w:p>
            <w:pPr>
              <w:spacing w:after="0"/>
              <w:rPr>
                <w:sz w:val="20"/>
                <w:szCs w:val="20"/>
                <w:color w:val="auto"/>
              </w:rPr>
            </w:pPr>
            <w:r>
              <w:rPr>
                <w:rFonts w:ascii="Arial" w:cs="Arial" w:eastAsia="Arial" w:hAnsi="Arial"/>
                <w:sz w:val="16"/>
                <w:szCs w:val="16"/>
                <w:b w:val="1"/>
                <w:bCs w:val="1"/>
                <w:color w:val="0070FF"/>
              </w:rPr>
              <w:t>NOTE 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180" w:type="dxa"/>
            <w:vAlign w:val="bottom"/>
            <w:gridSpan w:val="8"/>
          </w:tcPr>
          <w:p>
            <w:pPr>
              <w:spacing w:after="0"/>
              <w:rPr>
                <w:sz w:val="20"/>
                <w:szCs w:val="20"/>
                <w:color w:val="auto"/>
              </w:rPr>
            </w:pPr>
            <w:r>
              <w:rPr>
                <w:rFonts w:ascii="Arial" w:cs="Arial" w:eastAsia="Arial" w:hAnsi="Arial"/>
                <w:sz w:val="16"/>
                <w:szCs w:val="16"/>
                <w:b w:val="1"/>
                <w:bCs w:val="1"/>
                <w:color w:val="0070FF"/>
              </w:rPr>
              <w:t>PROPERTIES, PLANT AND EQUIPMENT</w:t>
            </w:r>
            <w:r>
              <w:rPr>
                <w:rFonts w:ascii="Arial" w:cs="Arial" w:eastAsia="Arial" w:hAnsi="Arial"/>
                <w:sz w:val="27"/>
                <w:szCs w:val="27"/>
                <w:b w:val="1"/>
                <w:bCs w:val="1"/>
                <w:color w:val="0070FF"/>
                <w:vertAlign w:val="superscript"/>
              </w:rPr>
              <w:t>1</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0070FF"/>
            </w:tcBorders>
          </w:tcPr>
          <w:p>
            <w:pPr>
              <w:spacing w:after="0"/>
              <w:rPr>
                <w:sz w:val="24"/>
                <w:szCs w:val="24"/>
                <w:color w:val="auto"/>
              </w:rPr>
            </w:pPr>
          </w:p>
        </w:tc>
        <w:tc>
          <w:tcPr>
            <w:tcW w:w="620" w:type="dxa"/>
            <w:vAlign w:val="bottom"/>
            <w:tcBorders>
              <w:bottom w:val="single" w:sz="8" w:color="0070FF"/>
            </w:tcBorders>
          </w:tcPr>
          <w:p>
            <w:pPr>
              <w:spacing w:after="0"/>
              <w:rPr>
                <w:sz w:val="24"/>
                <w:szCs w:val="24"/>
                <w:color w:val="auto"/>
              </w:rPr>
            </w:pPr>
          </w:p>
        </w:tc>
        <w:tc>
          <w:tcPr>
            <w:tcW w:w="240" w:type="dxa"/>
            <w:vAlign w:val="bottom"/>
            <w:tcBorders>
              <w:bottom w:val="single" w:sz="8" w:color="0070FF"/>
            </w:tcBorders>
          </w:tcPr>
          <w:p>
            <w:pPr>
              <w:spacing w:after="0"/>
              <w:rPr>
                <w:sz w:val="24"/>
                <w:szCs w:val="24"/>
                <w:color w:val="auto"/>
              </w:rPr>
            </w:pPr>
          </w:p>
        </w:tc>
        <w:tc>
          <w:tcPr>
            <w:tcW w:w="620" w:type="dxa"/>
            <w:vAlign w:val="bottom"/>
            <w:tcBorders>
              <w:bottom w:val="single" w:sz="8" w:color="0070FF"/>
            </w:tcBorders>
          </w:tcPr>
          <w:p>
            <w:pPr>
              <w:spacing w:after="0"/>
              <w:rPr>
                <w:sz w:val="24"/>
                <w:szCs w:val="24"/>
                <w:color w:val="auto"/>
              </w:rPr>
            </w:pPr>
          </w:p>
        </w:tc>
        <w:tc>
          <w:tcPr>
            <w:tcW w:w="760" w:type="dxa"/>
            <w:vAlign w:val="bottom"/>
            <w:tcBorders>
              <w:bottom w:val="single" w:sz="8" w:color="0070FF"/>
            </w:tcBorders>
          </w:tcPr>
          <w:p>
            <w:pPr>
              <w:spacing w:after="0"/>
              <w:rPr>
                <w:sz w:val="24"/>
                <w:szCs w:val="24"/>
                <w:color w:val="auto"/>
              </w:rPr>
            </w:pPr>
          </w:p>
        </w:tc>
        <w:tc>
          <w:tcPr>
            <w:tcW w:w="180" w:type="dxa"/>
            <w:vAlign w:val="bottom"/>
            <w:tcBorders>
              <w:bottom w:val="single" w:sz="8" w:color="0070FF"/>
            </w:tcBorders>
          </w:tcPr>
          <w:p>
            <w:pPr>
              <w:spacing w:after="0"/>
              <w:rPr>
                <w:sz w:val="24"/>
                <w:szCs w:val="24"/>
                <w:color w:val="auto"/>
              </w:rPr>
            </w:pPr>
          </w:p>
        </w:tc>
        <w:tc>
          <w:tcPr>
            <w:tcW w:w="100" w:type="dxa"/>
            <w:vAlign w:val="bottom"/>
            <w:tcBorders>
              <w:bottom w:val="single" w:sz="8" w:color="0070FF"/>
            </w:tcBorders>
          </w:tcPr>
          <w:p>
            <w:pPr>
              <w:spacing w:after="0"/>
              <w:rPr>
                <w:sz w:val="24"/>
                <w:szCs w:val="24"/>
                <w:color w:val="auto"/>
              </w:rPr>
            </w:pPr>
          </w:p>
        </w:tc>
        <w:tc>
          <w:tcPr>
            <w:tcW w:w="580" w:type="dxa"/>
            <w:vAlign w:val="bottom"/>
            <w:tcBorders>
              <w:bottom w:val="single" w:sz="8" w:color="0070FF"/>
            </w:tcBorders>
          </w:tcPr>
          <w:p>
            <w:pPr>
              <w:spacing w:after="0"/>
              <w:rPr>
                <w:sz w:val="24"/>
                <w:szCs w:val="24"/>
                <w:color w:val="auto"/>
              </w:rPr>
            </w:pPr>
          </w:p>
        </w:tc>
        <w:tc>
          <w:tcPr>
            <w:tcW w:w="660" w:type="dxa"/>
            <w:vAlign w:val="bottom"/>
            <w:tcBorders>
              <w:bottom w:val="single" w:sz="8" w:color="0070FF"/>
            </w:tcBorders>
          </w:tcPr>
          <w:p>
            <w:pPr>
              <w:spacing w:after="0"/>
              <w:rPr>
                <w:sz w:val="24"/>
                <w:szCs w:val="24"/>
                <w:color w:val="auto"/>
              </w:rPr>
            </w:pPr>
          </w:p>
        </w:tc>
        <w:tc>
          <w:tcPr>
            <w:tcW w:w="940" w:type="dxa"/>
            <w:vAlign w:val="bottom"/>
            <w:tcBorders>
              <w:bottom w:val="single" w:sz="8" w:color="0070FF"/>
            </w:tcBorders>
            <w:gridSpan w:val="2"/>
          </w:tcPr>
          <w:p>
            <w:pPr>
              <w:jc w:val="right"/>
              <w:ind w:right="20"/>
              <w:spacing w:after="0"/>
              <w:rPr>
                <w:sz w:val="20"/>
                <w:szCs w:val="20"/>
                <w:color w:val="auto"/>
              </w:rPr>
            </w:pPr>
            <w:r>
              <w:rPr>
                <w:rFonts w:ascii="Arial" w:cs="Arial" w:eastAsia="Arial" w:hAnsi="Arial"/>
                <w:sz w:val="14"/>
                <w:szCs w:val="14"/>
                <w:color w:val="auto"/>
                <w:w w:val="88"/>
              </w:rPr>
              <w:t>At December 31</w:t>
            </w:r>
          </w:p>
        </w:tc>
        <w:tc>
          <w:tcPr>
            <w:tcW w:w="160" w:type="dxa"/>
            <w:vAlign w:val="bottom"/>
          </w:tcPr>
          <w:p>
            <w:pPr>
              <w:spacing w:after="0"/>
              <w:rPr>
                <w:sz w:val="24"/>
                <w:szCs w:val="24"/>
                <w:color w:val="auto"/>
              </w:rPr>
            </w:pPr>
          </w:p>
        </w:tc>
        <w:tc>
          <w:tcPr>
            <w:tcW w:w="600" w:type="dxa"/>
            <w:vAlign w:val="bottom"/>
            <w:tcBorders>
              <w:bottom w:val="single" w:sz="8" w:color="0070FF"/>
            </w:tcBorders>
          </w:tcPr>
          <w:p>
            <w:pPr>
              <w:spacing w:after="0"/>
              <w:rPr>
                <w:sz w:val="24"/>
                <w:szCs w:val="24"/>
                <w:color w:val="auto"/>
              </w:rPr>
            </w:pPr>
          </w:p>
        </w:tc>
        <w:tc>
          <w:tcPr>
            <w:tcW w:w="740" w:type="dxa"/>
            <w:vAlign w:val="bottom"/>
            <w:tcBorders>
              <w:bottom w:val="single" w:sz="8" w:color="0070FF"/>
            </w:tcBorders>
          </w:tcPr>
          <w:p>
            <w:pPr>
              <w:spacing w:after="0"/>
              <w:rPr>
                <w:sz w:val="24"/>
                <w:szCs w:val="24"/>
                <w:color w:val="auto"/>
              </w:rPr>
            </w:pPr>
          </w:p>
        </w:tc>
        <w:tc>
          <w:tcPr>
            <w:tcW w:w="600" w:type="dxa"/>
            <w:vAlign w:val="bottom"/>
            <w:tcBorders>
              <w:bottom w:val="single" w:sz="8" w:color="0070FF"/>
            </w:tcBorders>
          </w:tcPr>
          <w:p>
            <w:pPr>
              <w:spacing w:after="0"/>
              <w:rPr>
                <w:sz w:val="24"/>
                <w:szCs w:val="24"/>
                <w:color w:val="auto"/>
              </w:rPr>
            </w:pPr>
          </w:p>
        </w:tc>
        <w:tc>
          <w:tcPr>
            <w:tcW w:w="120" w:type="dxa"/>
            <w:vAlign w:val="bottom"/>
            <w:tcBorders>
              <w:bottom w:val="single" w:sz="8" w:color="0070FF"/>
            </w:tcBorders>
          </w:tcPr>
          <w:p>
            <w:pPr>
              <w:spacing w:after="0"/>
              <w:rPr>
                <w:sz w:val="24"/>
                <w:szCs w:val="24"/>
                <w:color w:val="auto"/>
              </w:rPr>
            </w:pPr>
          </w:p>
        </w:tc>
        <w:tc>
          <w:tcPr>
            <w:tcW w:w="200" w:type="dxa"/>
            <w:vAlign w:val="bottom"/>
            <w:tcBorders>
              <w:bottom w:val="single" w:sz="8" w:color="0070FF"/>
            </w:tcBorders>
          </w:tcPr>
          <w:p>
            <w:pPr>
              <w:spacing w:after="0"/>
              <w:rPr>
                <w:sz w:val="24"/>
                <w:szCs w:val="24"/>
                <w:color w:val="auto"/>
              </w:rPr>
            </w:pPr>
          </w:p>
        </w:tc>
        <w:tc>
          <w:tcPr>
            <w:tcW w:w="520" w:type="dxa"/>
            <w:vAlign w:val="bottom"/>
            <w:tcBorders>
              <w:bottom w:val="single" w:sz="8" w:color="0070FF"/>
            </w:tcBorders>
          </w:tcPr>
          <w:p>
            <w:pPr>
              <w:spacing w:after="0"/>
              <w:rPr>
                <w:sz w:val="24"/>
                <w:szCs w:val="24"/>
                <w:color w:val="auto"/>
              </w:rPr>
            </w:pPr>
          </w:p>
        </w:tc>
        <w:tc>
          <w:tcPr>
            <w:tcW w:w="146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w w:val="89"/>
              </w:rPr>
              <w:t>Year ended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w w:val="96"/>
              </w:rPr>
              <w:t>Gross Investment at Cost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jc w:val="right"/>
              <w:ind w:right="20"/>
              <w:spacing w:after="0" w:line="169" w:lineRule="exact"/>
              <w:rPr>
                <w:sz w:val="20"/>
                <w:szCs w:val="20"/>
                <w:color w:val="auto"/>
              </w:rPr>
            </w:pPr>
            <w:r>
              <w:rPr>
                <w:rFonts w:ascii="Arial" w:cs="Arial" w:eastAsia="Arial" w:hAnsi="Arial"/>
                <w:sz w:val="12"/>
                <w:szCs w:val="12"/>
                <w:color w:val="auto"/>
              </w:rPr>
              <w:t>Net Investment</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5"/>
          </w:tcPr>
          <w:p>
            <w:pPr>
              <w:jc w:val="right"/>
              <w:ind w:right="652"/>
              <w:spacing w:after="0" w:line="169" w:lineRule="exact"/>
              <w:rPr>
                <w:sz w:val="20"/>
                <w:szCs w:val="20"/>
                <w:color w:val="auto"/>
              </w:rPr>
            </w:pPr>
            <w:r>
              <w:rPr>
                <w:rFonts w:ascii="Arial" w:cs="Arial" w:eastAsia="Arial" w:hAnsi="Arial"/>
                <w:sz w:val="12"/>
                <w:szCs w:val="12"/>
                <w:color w:val="auto"/>
              </w:rPr>
              <w:t>Additions at Cost</w:t>
            </w:r>
            <w:r>
              <w:rPr>
                <w:rFonts w:ascii="Arial" w:cs="Arial" w:eastAsia="Arial" w:hAnsi="Arial"/>
                <w:sz w:val="19"/>
                <w:szCs w:val="19"/>
                <w:color w:val="auto"/>
                <w:vertAlign w:val="superscript"/>
              </w:rPr>
              <w:t>3</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Depreciation Expense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0070FF"/>
            </w:tcBorders>
          </w:tcPr>
          <w:p>
            <w:pPr>
              <w:spacing w:after="0"/>
              <w:rPr>
                <w:sz w:val="12"/>
                <w:szCs w:val="12"/>
                <w:color w:val="auto"/>
              </w:rPr>
            </w:pPr>
          </w:p>
        </w:tc>
        <w:tc>
          <w:tcPr>
            <w:tcW w:w="100" w:type="dxa"/>
            <w:vAlign w:val="bottom"/>
            <w:tcBorders>
              <w:bottom w:val="single" w:sz="8" w:color="0070FF"/>
            </w:tcBorders>
          </w:tcPr>
          <w:p>
            <w:pPr>
              <w:spacing w:after="0"/>
              <w:rPr>
                <w:sz w:val="12"/>
                <w:szCs w:val="12"/>
                <w:color w:val="auto"/>
              </w:rPr>
            </w:pPr>
          </w:p>
        </w:tc>
        <w:tc>
          <w:tcPr>
            <w:tcW w:w="1300" w:type="dxa"/>
            <w:vAlign w:val="bottom"/>
            <w:tcBorders>
              <w:bottom w:val="single" w:sz="8" w:color="0070FF"/>
            </w:tcBorders>
          </w:tcPr>
          <w:p>
            <w:pPr>
              <w:spacing w:after="0"/>
              <w:rPr>
                <w:sz w:val="12"/>
                <w:szCs w:val="12"/>
                <w:color w:val="auto"/>
              </w:rPr>
            </w:pPr>
          </w:p>
        </w:tc>
        <w:tc>
          <w:tcPr>
            <w:tcW w:w="240" w:type="dxa"/>
            <w:vAlign w:val="bottom"/>
            <w:tcBorders>
              <w:bottom w:val="single" w:sz="8" w:color="0070FF"/>
            </w:tcBorders>
          </w:tcPr>
          <w:p>
            <w:pPr>
              <w:spacing w:after="0"/>
              <w:rPr>
                <w:sz w:val="12"/>
                <w:szCs w:val="12"/>
                <w:color w:val="auto"/>
              </w:rPr>
            </w:pPr>
          </w:p>
        </w:tc>
        <w:tc>
          <w:tcPr>
            <w:tcW w:w="100" w:type="dxa"/>
            <w:vAlign w:val="bottom"/>
            <w:tcBorders>
              <w:top w:val="single" w:sz="8" w:color="0070FF"/>
              <w:bottom w:val="single" w:sz="8" w:color="0070FF"/>
            </w:tcBorders>
          </w:tcPr>
          <w:p>
            <w:pPr>
              <w:spacing w:after="0"/>
              <w:rPr>
                <w:sz w:val="12"/>
                <w:szCs w:val="12"/>
                <w:color w:val="auto"/>
              </w:rPr>
            </w:pPr>
          </w:p>
        </w:tc>
        <w:tc>
          <w:tcPr>
            <w:tcW w:w="620" w:type="dxa"/>
            <w:vAlign w:val="bottom"/>
            <w:tcBorders>
              <w:top w:val="single" w:sz="8" w:color="0070FF"/>
              <w:bottom w:val="single" w:sz="8" w:color="0070FF"/>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top w:val="single" w:sz="8" w:color="0070FF"/>
              <w:bottom w:val="single" w:sz="8" w:color="0070FF"/>
            </w:tcBorders>
          </w:tcPr>
          <w:p>
            <w:pPr>
              <w:spacing w:after="0"/>
              <w:rPr>
                <w:sz w:val="12"/>
                <w:szCs w:val="12"/>
                <w:color w:val="auto"/>
              </w:rPr>
            </w:pPr>
          </w:p>
        </w:tc>
        <w:tc>
          <w:tcPr>
            <w:tcW w:w="620" w:type="dxa"/>
            <w:vAlign w:val="bottom"/>
            <w:tcBorders>
              <w:top w:val="single" w:sz="8" w:color="0070FF"/>
              <w:bottom w:val="single" w:sz="8" w:color="0070FF"/>
            </w:tcBorders>
          </w:tcPr>
          <w:p>
            <w:pPr>
              <w:jc w:val="right"/>
              <w:ind w:right="69"/>
              <w:spacing w:after="0" w:line="142" w:lineRule="exact"/>
              <w:rPr>
                <w:sz w:val="20"/>
                <w:szCs w:val="20"/>
                <w:color w:val="auto"/>
              </w:rPr>
            </w:pPr>
            <w:r>
              <w:rPr>
                <w:rFonts w:ascii="Arial" w:cs="Arial" w:eastAsia="Arial" w:hAnsi="Arial"/>
                <w:sz w:val="14"/>
                <w:szCs w:val="14"/>
                <w:color w:val="auto"/>
              </w:rPr>
              <w:t>2002</w:t>
            </w:r>
          </w:p>
        </w:tc>
        <w:tc>
          <w:tcPr>
            <w:tcW w:w="760" w:type="dxa"/>
            <w:vAlign w:val="bottom"/>
            <w:tcBorders>
              <w:top w:val="single" w:sz="8" w:color="0070FF"/>
              <w:bottom w:val="single" w:sz="8" w:color="0070FF"/>
            </w:tcBorders>
          </w:tcPr>
          <w:p>
            <w:pPr>
              <w:jc w:val="right"/>
              <w:ind w:right="28"/>
              <w:spacing w:after="0" w:line="142" w:lineRule="exact"/>
              <w:rPr>
                <w:sz w:val="20"/>
                <w:szCs w:val="20"/>
                <w:color w:val="auto"/>
              </w:rPr>
            </w:pPr>
            <w:r>
              <w:rPr>
                <w:rFonts w:ascii="Arial" w:cs="Arial" w:eastAsia="Arial" w:hAnsi="Arial"/>
                <w:sz w:val="14"/>
                <w:szCs w:val="14"/>
                <w:color w:val="auto"/>
              </w:rPr>
              <w:t>2001</w:t>
            </w:r>
          </w:p>
        </w:tc>
        <w:tc>
          <w:tcPr>
            <w:tcW w:w="180" w:type="dxa"/>
            <w:vAlign w:val="bottom"/>
            <w:tcBorders>
              <w:bottom w:val="single" w:sz="8" w:color="0070FF"/>
            </w:tcBorders>
          </w:tcPr>
          <w:p>
            <w:pPr>
              <w:spacing w:after="0"/>
              <w:rPr>
                <w:sz w:val="12"/>
                <w:szCs w:val="12"/>
                <w:color w:val="auto"/>
              </w:rPr>
            </w:pPr>
          </w:p>
        </w:tc>
        <w:tc>
          <w:tcPr>
            <w:tcW w:w="100" w:type="dxa"/>
            <w:vAlign w:val="bottom"/>
            <w:tcBorders>
              <w:top w:val="single" w:sz="8" w:color="0070FF"/>
              <w:bottom w:val="single" w:sz="8" w:color="0070FF"/>
            </w:tcBorders>
          </w:tcPr>
          <w:p>
            <w:pPr>
              <w:spacing w:after="0"/>
              <w:rPr>
                <w:sz w:val="12"/>
                <w:szCs w:val="12"/>
                <w:color w:val="auto"/>
              </w:rPr>
            </w:pPr>
          </w:p>
        </w:tc>
        <w:tc>
          <w:tcPr>
            <w:tcW w:w="580" w:type="dxa"/>
            <w:vAlign w:val="bottom"/>
            <w:tcBorders>
              <w:top w:val="single" w:sz="8" w:color="0070FF"/>
              <w:bottom w:val="single" w:sz="8" w:color="0070FF"/>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2003</w:t>
            </w:r>
          </w:p>
        </w:tc>
        <w:tc>
          <w:tcPr>
            <w:tcW w:w="66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c>
          <w:tcPr>
            <w:tcW w:w="920" w:type="dxa"/>
            <w:vAlign w:val="bottom"/>
            <w:tcBorders>
              <w:top w:val="single" w:sz="8" w:color="0070FF"/>
              <w:bottom w:val="single" w:sz="8" w:color="0070FF"/>
            </w:tcBorders>
          </w:tcPr>
          <w:p>
            <w:pPr>
              <w:jc w:val="right"/>
              <w:ind w:right="49"/>
              <w:spacing w:after="0" w:line="142" w:lineRule="exact"/>
              <w:rPr>
                <w:sz w:val="20"/>
                <w:szCs w:val="20"/>
                <w:color w:val="auto"/>
              </w:rPr>
            </w:pPr>
            <w:r>
              <w:rPr>
                <w:rFonts w:ascii="Arial" w:cs="Arial" w:eastAsia="Arial" w:hAnsi="Arial"/>
                <w:sz w:val="14"/>
                <w:szCs w:val="14"/>
                <w:color w:val="auto"/>
              </w:rPr>
              <w:t>2001</w:t>
            </w:r>
          </w:p>
        </w:tc>
        <w:tc>
          <w:tcPr>
            <w:tcW w:w="20" w:type="dxa"/>
            <w:vAlign w:val="bottom"/>
            <w:tcBorders>
              <w:bottom w:val="single" w:sz="8" w:color="0070FF"/>
            </w:tcBorders>
          </w:tcPr>
          <w:p>
            <w:pPr>
              <w:spacing w:after="0"/>
              <w:rPr>
                <w:sz w:val="12"/>
                <w:szCs w:val="12"/>
                <w:color w:val="auto"/>
              </w:rPr>
            </w:pPr>
          </w:p>
        </w:tc>
        <w:tc>
          <w:tcPr>
            <w:tcW w:w="160" w:type="dxa"/>
            <w:vAlign w:val="bottom"/>
            <w:tcBorders>
              <w:bottom w:val="single" w:sz="8" w:color="0070FF"/>
            </w:tcBorders>
          </w:tcPr>
          <w:p>
            <w:pPr>
              <w:spacing w:after="0"/>
              <w:rPr>
                <w:sz w:val="12"/>
                <w:szCs w:val="12"/>
                <w:color w:val="auto"/>
              </w:rPr>
            </w:pPr>
          </w:p>
        </w:tc>
        <w:tc>
          <w:tcPr>
            <w:tcW w:w="600" w:type="dxa"/>
            <w:vAlign w:val="bottom"/>
            <w:tcBorders>
              <w:top w:val="single" w:sz="8" w:color="0070FF"/>
              <w:bottom w:val="single" w:sz="8" w:color="0070F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2003</w:t>
            </w:r>
          </w:p>
        </w:tc>
        <w:tc>
          <w:tcPr>
            <w:tcW w:w="740" w:type="dxa"/>
            <w:vAlign w:val="bottom"/>
            <w:tcBorders>
              <w:top w:val="single" w:sz="8" w:color="0070FF"/>
              <w:bottom w:val="single" w:sz="8" w:color="0070FF"/>
            </w:tcBorders>
          </w:tcPr>
          <w:p>
            <w:pPr>
              <w:jc w:val="right"/>
              <w:ind w:right="89"/>
              <w:spacing w:after="0" w:line="142" w:lineRule="exact"/>
              <w:rPr>
                <w:sz w:val="20"/>
                <w:szCs w:val="20"/>
                <w:color w:val="auto"/>
              </w:rPr>
            </w:pPr>
            <w:r>
              <w:rPr>
                <w:rFonts w:ascii="Arial" w:cs="Arial" w:eastAsia="Arial" w:hAnsi="Arial"/>
                <w:sz w:val="14"/>
                <w:szCs w:val="14"/>
                <w:color w:val="auto"/>
              </w:rPr>
              <w:t>2002</w:t>
            </w:r>
          </w:p>
        </w:tc>
        <w:tc>
          <w:tcPr>
            <w:tcW w:w="60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120" w:type="dxa"/>
            <w:vAlign w:val="bottom"/>
            <w:tcBorders>
              <w:top w:val="single" w:sz="8" w:color="0070FF"/>
              <w:bottom w:val="single" w:sz="8" w:color="0070FF"/>
            </w:tcBorders>
          </w:tcPr>
          <w:p>
            <w:pPr>
              <w:spacing w:after="0"/>
              <w:rPr>
                <w:sz w:val="12"/>
                <w:szCs w:val="12"/>
                <w:color w:val="auto"/>
              </w:rPr>
            </w:pPr>
          </w:p>
        </w:tc>
        <w:tc>
          <w:tcPr>
            <w:tcW w:w="200" w:type="dxa"/>
            <w:vAlign w:val="bottom"/>
            <w:tcBorders>
              <w:bottom w:val="single" w:sz="8" w:color="0070FF"/>
            </w:tcBorders>
          </w:tcPr>
          <w:p>
            <w:pPr>
              <w:spacing w:after="0"/>
              <w:rPr>
                <w:sz w:val="12"/>
                <w:szCs w:val="12"/>
                <w:color w:val="auto"/>
              </w:rPr>
            </w:pPr>
          </w:p>
        </w:tc>
        <w:tc>
          <w:tcPr>
            <w:tcW w:w="520" w:type="dxa"/>
            <w:vAlign w:val="bottom"/>
            <w:tcBorders>
              <w:top w:val="single" w:sz="8" w:color="0070FF"/>
              <w:bottom w:val="single" w:sz="8" w:color="0070FF"/>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840" w:type="dxa"/>
            <w:vAlign w:val="bottom"/>
            <w:tcBorders>
              <w:top w:val="single" w:sz="8" w:color="0070FF"/>
              <w:bottom w:val="single" w:sz="8" w:color="0070FF"/>
            </w:tcBorders>
          </w:tcPr>
          <w:p>
            <w:pPr>
              <w:jc w:val="right"/>
              <w:ind w:right="89"/>
              <w:spacing w:after="0" w:line="142" w:lineRule="exact"/>
              <w:rPr>
                <w:sz w:val="20"/>
                <w:szCs w:val="20"/>
                <w:color w:val="auto"/>
              </w:rPr>
            </w:pPr>
            <w:r>
              <w:rPr>
                <w:rFonts w:ascii="Arial" w:cs="Arial" w:eastAsia="Arial" w:hAnsi="Arial"/>
                <w:sz w:val="14"/>
                <w:szCs w:val="14"/>
                <w:color w:val="auto"/>
              </w:rPr>
              <w:t>2002</w:t>
            </w:r>
          </w:p>
        </w:tc>
        <w:tc>
          <w:tcPr>
            <w:tcW w:w="62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60" w:type="dxa"/>
            <w:vAlign w:val="bottom"/>
            <w:gridSpan w:val="3"/>
          </w:tcPr>
          <w:p>
            <w:pPr>
              <w:spacing w:after="0" w:line="137" w:lineRule="exact"/>
              <w:rPr>
                <w:sz w:val="20"/>
                <w:szCs w:val="20"/>
                <w:color w:val="auto"/>
              </w:rPr>
            </w:pPr>
            <w:r>
              <w:rPr>
                <w:rFonts w:ascii="Arial" w:cs="Arial" w:eastAsia="Arial" w:hAnsi="Arial"/>
                <w:sz w:val="14"/>
                <w:szCs w:val="14"/>
                <w:b w:val="1"/>
                <w:bCs w:val="1"/>
                <w:color w:val="auto"/>
              </w:rPr>
              <w:t>Exploration and Production</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34,798</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9,953</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$ 1,776</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$ 1,815</w:t>
            </w: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United States</w:t>
            </w:r>
          </w:p>
        </w:tc>
        <w:tc>
          <w:tcPr>
            <w:tcW w:w="3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69"/>
              <w:spacing w:after="0" w:line="145" w:lineRule="exact"/>
              <w:rPr>
                <w:sz w:val="20"/>
                <w:szCs w:val="20"/>
                <w:color w:val="auto"/>
              </w:rPr>
            </w:pPr>
            <w:r>
              <w:rPr>
                <w:rFonts w:ascii="Arial" w:cs="Arial" w:eastAsia="Arial" w:hAnsi="Arial"/>
                <w:sz w:val="14"/>
                <w:szCs w:val="14"/>
                <w:color w:val="auto"/>
              </w:rPr>
              <w:t>39,986</w:t>
            </w:r>
          </w:p>
        </w:tc>
        <w:tc>
          <w:tcPr>
            <w:tcW w:w="760" w:type="dxa"/>
            <w:vAlign w:val="bottom"/>
          </w:tcPr>
          <w:p>
            <w:pPr>
              <w:jc w:val="right"/>
              <w:ind w:right="28"/>
              <w:spacing w:after="0" w:line="145" w:lineRule="exact"/>
              <w:rPr>
                <w:sz w:val="20"/>
                <w:szCs w:val="20"/>
                <w:color w:val="auto"/>
              </w:rPr>
            </w:pPr>
            <w:r>
              <w:rPr>
                <w:rFonts w:ascii="Arial" w:cs="Arial" w:eastAsia="Arial" w:hAnsi="Arial"/>
                <w:sz w:val="14"/>
                <w:szCs w:val="14"/>
                <w:color w:val="auto"/>
              </w:rPr>
              <w:t>$ 38,582</w:t>
            </w: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$ 10,457</w:t>
            </w:r>
          </w:p>
        </w:tc>
        <w:tc>
          <w:tcPr>
            <w:tcW w:w="920" w:type="dxa"/>
            <w:vAlign w:val="bottom"/>
          </w:tcPr>
          <w:p>
            <w:pPr>
              <w:jc w:val="right"/>
              <w:ind w:right="49"/>
              <w:spacing w:after="0" w:line="145" w:lineRule="exact"/>
              <w:rPr>
                <w:sz w:val="20"/>
                <w:szCs w:val="20"/>
                <w:color w:val="auto"/>
              </w:rPr>
            </w:pPr>
            <w:r>
              <w:rPr>
                <w:rFonts w:ascii="Arial" w:cs="Arial" w:eastAsia="Arial" w:hAnsi="Arial"/>
                <w:sz w:val="14"/>
                <w:szCs w:val="14"/>
                <w:color w:val="auto"/>
              </w:rPr>
              <w:t>$ 10,560</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$ 1,658</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$ 1,973</w:t>
            </w:r>
          </w:p>
        </w:tc>
        <w:tc>
          <w:tcPr>
            <w:tcW w:w="840" w:type="dxa"/>
            <w:vAlign w:val="bottom"/>
            <w:gridSpan w:val="3"/>
            <w:vMerge w:val="continue"/>
          </w:tcPr>
          <w:p>
            <w:pPr>
              <w:spacing w:after="0"/>
              <w:rPr>
                <w:sz w:val="12"/>
                <w:szCs w:val="12"/>
                <w:color w:val="auto"/>
              </w:rPr>
            </w:pPr>
          </w:p>
        </w:tc>
        <w:tc>
          <w:tcPr>
            <w:tcW w:w="8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$ 1,806</w:t>
            </w: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$ 3,508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37,402</w:t>
            </w:r>
          </w:p>
        </w:tc>
        <w:tc>
          <w:tcPr>
            <w:tcW w:w="2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36,382</w:t>
            </w:r>
          </w:p>
        </w:tc>
        <w:tc>
          <w:tcPr>
            <w:tcW w:w="7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33,273</w:t>
            </w:r>
          </w:p>
        </w:tc>
        <w:tc>
          <w:tcPr>
            <w:tcW w:w="18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w w:val="93"/>
              </w:rPr>
              <w:t>20,572</w:t>
            </w:r>
          </w:p>
        </w:tc>
        <w:tc>
          <w:tcPr>
            <w:tcW w:w="6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18,908</w:t>
            </w:r>
          </w:p>
        </w:tc>
        <w:tc>
          <w:tcPr>
            <w:tcW w:w="9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17,743</w:t>
            </w:r>
          </w:p>
        </w:tc>
        <w:tc>
          <w:tcPr>
            <w:tcW w:w="2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gridSpan w:val="2"/>
          </w:tcPr>
          <w:p>
            <w:pPr>
              <w:jc w:val="right"/>
              <w:ind w:right="92"/>
              <w:spacing w:after="0"/>
              <w:rPr>
                <w:sz w:val="20"/>
                <w:szCs w:val="20"/>
                <w:color w:val="auto"/>
              </w:rPr>
            </w:pPr>
            <w:r>
              <w:rPr>
                <w:rFonts w:ascii="Arial" w:cs="Arial" w:eastAsia="Arial" w:hAnsi="Arial"/>
                <w:sz w:val="14"/>
                <w:szCs w:val="14"/>
                <w:b w:val="1"/>
                <w:bCs w:val="1"/>
                <w:color w:val="auto"/>
              </w:rPr>
              <w:t>3,246</w:t>
            </w:r>
          </w:p>
        </w:tc>
        <w:tc>
          <w:tcPr>
            <w:tcW w:w="7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3,343</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2,900</w:t>
            </w:r>
          </w:p>
        </w:tc>
        <w:tc>
          <w:tcPr>
            <w:tcW w:w="840" w:type="dxa"/>
            <w:vAlign w:val="bottom"/>
            <w:tcBorders>
              <w:bottom w:val="single" w:sz="8" w:color="0070FF"/>
            </w:tcBorders>
            <w:gridSpan w:val="3"/>
          </w:tcPr>
          <w:p>
            <w:pPr>
              <w:jc w:val="right"/>
              <w:ind w:right="12"/>
              <w:spacing w:after="0"/>
              <w:rPr>
                <w:sz w:val="20"/>
                <w:szCs w:val="20"/>
                <w:color w:val="auto"/>
              </w:rPr>
            </w:pPr>
            <w:r>
              <w:rPr>
                <w:rFonts w:ascii="Arial" w:cs="Arial" w:eastAsia="Arial" w:hAnsi="Arial"/>
                <w:sz w:val="14"/>
                <w:szCs w:val="14"/>
                <w:b w:val="1"/>
                <w:bCs w:val="1"/>
                <w:color w:val="auto"/>
              </w:rPr>
              <w:t>2,227</w:t>
            </w:r>
          </w:p>
        </w:tc>
        <w:tc>
          <w:tcPr>
            <w:tcW w:w="8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2,132</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60" w:type="dxa"/>
            <w:vAlign w:val="bottom"/>
            <w:gridSpan w:val="3"/>
          </w:tcPr>
          <w:p>
            <w:pPr>
              <w:spacing w:after="0" w:line="137" w:lineRule="exact"/>
              <w:rPr>
                <w:sz w:val="20"/>
                <w:szCs w:val="20"/>
                <w:color w:val="auto"/>
              </w:rPr>
            </w:pPr>
            <w:r>
              <w:rPr>
                <w:rFonts w:ascii="Arial" w:cs="Arial" w:eastAsia="Arial" w:hAnsi="Arial"/>
                <w:sz w:val="14"/>
                <w:szCs w:val="14"/>
                <w:color w:val="auto"/>
              </w:rPr>
              <w:t>Total Exploration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72,200</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30,525</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5,022</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4,042</w:t>
            </w: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and Production</w:t>
            </w:r>
          </w:p>
        </w:tc>
        <w:tc>
          <w:tcPr>
            <w:tcW w:w="24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vMerge w:val="continue"/>
          </w:tcPr>
          <w:p>
            <w:pPr>
              <w:spacing w:after="0"/>
              <w:rPr>
                <w:sz w:val="14"/>
                <w:szCs w:val="14"/>
                <w:color w:val="auto"/>
              </w:rPr>
            </w:pPr>
          </w:p>
        </w:tc>
        <w:tc>
          <w:tcPr>
            <w:tcW w:w="2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76,368</w:t>
            </w:r>
          </w:p>
        </w:tc>
        <w:tc>
          <w:tcPr>
            <w:tcW w:w="7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71,855</w:t>
            </w:r>
          </w:p>
        </w:tc>
        <w:tc>
          <w:tcPr>
            <w:tcW w:w="18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vMerge w:val="continue"/>
          </w:tcPr>
          <w:p>
            <w:pPr>
              <w:spacing w:after="0"/>
              <w:rPr>
                <w:sz w:val="14"/>
                <w:szCs w:val="14"/>
                <w:color w:val="auto"/>
              </w:rPr>
            </w:pPr>
          </w:p>
        </w:tc>
        <w:tc>
          <w:tcPr>
            <w:tcW w:w="6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29,365</w:t>
            </w:r>
          </w:p>
        </w:tc>
        <w:tc>
          <w:tcPr>
            <w:tcW w:w="9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28,303</w:t>
            </w:r>
          </w:p>
        </w:tc>
        <w:tc>
          <w:tcPr>
            <w:tcW w:w="2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gridSpan w:val="2"/>
            <w:vMerge w:val="continue"/>
          </w:tcPr>
          <w:p>
            <w:pPr>
              <w:spacing w:after="0"/>
              <w:rPr>
                <w:sz w:val="14"/>
                <w:szCs w:val="14"/>
                <w:color w:val="auto"/>
              </w:rPr>
            </w:pPr>
          </w:p>
        </w:tc>
        <w:tc>
          <w:tcPr>
            <w:tcW w:w="7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5,001</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4,873</w:t>
            </w:r>
          </w:p>
        </w:tc>
        <w:tc>
          <w:tcPr>
            <w:tcW w:w="840" w:type="dxa"/>
            <w:vAlign w:val="bottom"/>
            <w:tcBorders>
              <w:bottom w:val="single" w:sz="8" w:color="0070FF"/>
            </w:tcBorders>
            <w:gridSpan w:val="3"/>
            <w:vMerge w:val="continue"/>
          </w:tcPr>
          <w:p>
            <w:pPr>
              <w:spacing w:after="0"/>
              <w:rPr>
                <w:sz w:val="14"/>
                <w:szCs w:val="14"/>
                <w:color w:val="auto"/>
              </w:rPr>
            </w:pPr>
          </w:p>
        </w:tc>
        <w:tc>
          <w:tcPr>
            <w:tcW w:w="8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3,938</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5,593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Refining, Marketing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and Transportation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12,959</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5,881</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389</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493</w:t>
            </w: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60" w:type="dxa"/>
            <w:vAlign w:val="bottom"/>
            <w:gridSpan w:val="3"/>
          </w:tcPr>
          <w:p>
            <w:pPr>
              <w:ind w:left="260"/>
              <w:spacing w:after="0" w:line="145" w:lineRule="exact"/>
              <w:rPr>
                <w:sz w:val="20"/>
                <w:szCs w:val="20"/>
                <w:color w:val="auto"/>
              </w:rPr>
            </w:pPr>
            <w:r>
              <w:rPr>
                <w:rFonts w:ascii="Arial" w:cs="Arial" w:eastAsia="Arial" w:hAnsi="Arial"/>
                <w:sz w:val="14"/>
                <w:szCs w:val="14"/>
                <w:color w:val="auto"/>
              </w:rPr>
              <w:t>United States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69"/>
              <w:spacing w:after="0" w:line="145" w:lineRule="exact"/>
              <w:rPr>
                <w:sz w:val="20"/>
                <w:szCs w:val="20"/>
                <w:color w:val="auto"/>
              </w:rPr>
            </w:pPr>
            <w:r>
              <w:rPr>
                <w:rFonts w:ascii="Arial" w:cs="Arial" w:eastAsia="Arial" w:hAnsi="Arial"/>
                <w:sz w:val="14"/>
                <w:szCs w:val="14"/>
                <w:color w:val="auto"/>
              </w:rPr>
              <w:t>13,423</w:t>
            </w:r>
          </w:p>
        </w:tc>
        <w:tc>
          <w:tcPr>
            <w:tcW w:w="76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12,944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6,296</w:t>
            </w:r>
          </w:p>
        </w:tc>
        <w:tc>
          <w:tcPr>
            <w:tcW w:w="920" w:type="dxa"/>
            <w:vAlign w:val="bottom"/>
          </w:tcPr>
          <w:p>
            <w:pPr>
              <w:jc w:val="right"/>
              <w:ind w:right="49"/>
              <w:spacing w:after="0" w:line="145" w:lineRule="exact"/>
              <w:rPr>
                <w:sz w:val="20"/>
                <w:szCs w:val="20"/>
                <w:color w:val="auto"/>
              </w:rPr>
            </w:pPr>
            <w:r>
              <w:rPr>
                <w:rFonts w:ascii="Arial" w:cs="Arial" w:eastAsia="Arial" w:hAnsi="Arial"/>
                <w:sz w:val="14"/>
                <w:szCs w:val="14"/>
                <w:color w:val="auto"/>
              </w:rPr>
              <w:t>6,237</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671</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626</w:t>
            </w:r>
          </w:p>
        </w:tc>
        <w:tc>
          <w:tcPr>
            <w:tcW w:w="840" w:type="dxa"/>
            <w:vAlign w:val="bottom"/>
            <w:gridSpan w:val="3"/>
            <w:vMerge w:val="continue"/>
          </w:tcPr>
          <w:p>
            <w:pPr>
              <w:spacing w:after="0"/>
              <w:rPr>
                <w:sz w:val="12"/>
                <w:szCs w:val="12"/>
                <w:color w:val="auto"/>
              </w:rPr>
            </w:pPr>
          </w:p>
        </w:tc>
        <w:tc>
          <w:tcPr>
            <w:tcW w:w="8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570</w:t>
            </w: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Borders>
              <w:bottom w:val="single" w:sz="8" w:color="0070FF"/>
            </w:tcBorders>
            <w:gridSpan w:val="3"/>
          </w:tcPr>
          <w:p>
            <w:pPr>
              <w:ind w:left="26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11,174</w:t>
            </w:r>
          </w:p>
        </w:tc>
        <w:tc>
          <w:tcPr>
            <w:tcW w:w="2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11,194</w:t>
            </w:r>
          </w:p>
        </w:tc>
        <w:tc>
          <w:tcPr>
            <w:tcW w:w="7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10,878</w:t>
            </w:r>
          </w:p>
        </w:tc>
        <w:tc>
          <w:tcPr>
            <w:tcW w:w="18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5,944</w:t>
            </w:r>
          </w:p>
        </w:tc>
        <w:tc>
          <w:tcPr>
            <w:tcW w:w="6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6,310</w:t>
            </w:r>
          </w:p>
        </w:tc>
        <w:tc>
          <w:tcPr>
            <w:tcW w:w="9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6,349</w:t>
            </w:r>
          </w:p>
        </w:tc>
        <w:tc>
          <w:tcPr>
            <w:tcW w:w="2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gridSpan w:val="2"/>
          </w:tcPr>
          <w:p>
            <w:pPr>
              <w:jc w:val="right"/>
              <w:ind w:right="92"/>
              <w:spacing w:after="0"/>
              <w:rPr>
                <w:sz w:val="20"/>
                <w:szCs w:val="20"/>
                <w:color w:val="auto"/>
              </w:rPr>
            </w:pPr>
            <w:r>
              <w:rPr>
                <w:rFonts w:ascii="Arial" w:cs="Arial" w:eastAsia="Arial" w:hAnsi="Arial"/>
                <w:sz w:val="14"/>
                <w:szCs w:val="14"/>
                <w:b w:val="1"/>
                <w:bCs w:val="1"/>
                <w:color w:val="auto"/>
              </w:rPr>
              <w:t>388</w:t>
            </w:r>
          </w:p>
        </w:tc>
        <w:tc>
          <w:tcPr>
            <w:tcW w:w="7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411</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566</w:t>
            </w:r>
          </w:p>
        </w:tc>
        <w:tc>
          <w:tcPr>
            <w:tcW w:w="840" w:type="dxa"/>
            <w:vAlign w:val="bottom"/>
            <w:tcBorders>
              <w:bottom w:val="single" w:sz="8" w:color="0070FF"/>
            </w:tcBorders>
            <w:gridSpan w:val="3"/>
          </w:tcPr>
          <w:p>
            <w:pPr>
              <w:jc w:val="right"/>
              <w:ind w:right="12"/>
              <w:spacing w:after="0"/>
              <w:rPr>
                <w:sz w:val="20"/>
                <w:szCs w:val="20"/>
                <w:color w:val="auto"/>
              </w:rPr>
            </w:pPr>
            <w:r>
              <w:rPr>
                <w:rFonts w:ascii="Arial" w:cs="Arial" w:eastAsia="Arial" w:hAnsi="Arial"/>
                <w:sz w:val="14"/>
                <w:szCs w:val="14"/>
                <w:b w:val="1"/>
                <w:bCs w:val="1"/>
                <w:color w:val="auto"/>
              </w:rPr>
              <w:t>655</w:t>
            </w:r>
          </w:p>
        </w:tc>
        <w:tc>
          <w:tcPr>
            <w:tcW w:w="8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530</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60" w:type="dxa"/>
            <w:vAlign w:val="bottom"/>
            <w:gridSpan w:val="3"/>
          </w:tcPr>
          <w:p>
            <w:pPr>
              <w:spacing w:after="0" w:line="137" w:lineRule="exact"/>
              <w:rPr>
                <w:sz w:val="20"/>
                <w:szCs w:val="20"/>
                <w:color w:val="auto"/>
              </w:rPr>
            </w:pPr>
            <w:r>
              <w:rPr>
                <w:rFonts w:ascii="Arial" w:cs="Arial" w:eastAsia="Arial" w:hAnsi="Arial"/>
                <w:sz w:val="14"/>
                <w:szCs w:val="14"/>
                <w:color w:val="auto"/>
              </w:rPr>
              <w:t>Total Refining, Marketing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24,133</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11,825</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777</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1,148</w:t>
            </w: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and Transportation</w:t>
            </w:r>
          </w:p>
        </w:tc>
        <w:tc>
          <w:tcPr>
            <w:tcW w:w="24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vMerge w:val="continue"/>
          </w:tcPr>
          <w:p>
            <w:pPr>
              <w:spacing w:after="0"/>
              <w:rPr>
                <w:sz w:val="14"/>
                <w:szCs w:val="14"/>
                <w:color w:val="auto"/>
              </w:rPr>
            </w:pPr>
          </w:p>
        </w:tc>
        <w:tc>
          <w:tcPr>
            <w:tcW w:w="2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24,617</w:t>
            </w:r>
          </w:p>
        </w:tc>
        <w:tc>
          <w:tcPr>
            <w:tcW w:w="7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23,822</w:t>
            </w:r>
          </w:p>
        </w:tc>
        <w:tc>
          <w:tcPr>
            <w:tcW w:w="18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vMerge w:val="continue"/>
          </w:tcPr>
          <w:p>
            <w:pPr>
              <w:spacing w:after="0"/>
              <w:rPr>
                <w:sz w:val="14"/>
                <w:szCs w:val="14"/>
                <w:color w:val="auto"/>
              </w:rPr>
            </w:pPr>
          </w:p>
        </w:tc>
        <w:tc>
          <w:tcPr>
            <w:tcW w:w="6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12,606</w:t>
            </w:r>
          </w:p>
        </w:tc>
        <w:tc>
          <w:tcPr>
            <w:tcW w:w="9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12,586</w:t>
            </w:r>
          </w:p>
        </w:tc>
        <w:tc>
          <w:tcPr>
            <w:tcW w:w="2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gridSpan w:val="2"/>
            <w:vMerge w:val="continue"/>
          </w:tcPr>
          <w:p>
            <w:pPr>
              <w:spacing w:after="0"/>
              <w:rPr>
                <w:sz w:val="14"/>
                <w:szCs w:val="14"/>
                <w:color w:val="auto"/>
              </w:rPr>
            </w:pPr>
          </w:p>
        </w:tc>
        <w:tc>
          <w:tcPr>
            <w:tcW w:w="7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1,082</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1,192</w:t>
            </w:r>
          </w:p>
        </w:tc>
        <w:tc>
          <w:tcPr>
            <w:tcW w:w="840" w:type="dxa"/>
            <w:vAlign w:val="bottom"/>
            <w:tcBorders>
              <w:bottom w:val="single" w:sz="8" w:color="0070FF"/>
            </w:tcBorders>
            <w:gridSpan w:val="3"/>
            <w:vMerge w:val="continue"/>
          </w:tcPr>
          <w:p>
            <w:pPr>
              <w:spacing w:after="0"/>
              <w:rPr>
                <w:sz w:val="14"/>
                <w:szCs w:val="14"/>
                <w:color w:val="auto"/>
              </w:rPr>
            </w:pPr>
          </w:p>
        </w:tc>
        <w:tc>
          <w:tcPr>
            <w:tcW w:w="8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1,100</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w w:val="91"/>
              </w:rPr>
              <w:t>Chemicals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613</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303</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12</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21</w:t>
            </w: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United States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69"/>
              <w:spacing w:after="0" w:line="145" w:lineRule="exact"/>
              <w:rPr>
                <w:sz w:val="20"/>
                <w:szCs w:val="20"/>
                <w:color w:val="auto"/>
              </w:rPr>
            </w:pPr>
            <w:r>
              <w:rPr>
                <w:rFonts w:ascii="Arial" w:cs="Arial" w:eastAsia="Arial" w:hAnsi="Arial"/>
                <w:sz w:val="14"/>
                <w:szCs w:val="14"/>
                <w:color w:val="auto"/>
              </w:rPr>
              <w:t>614</w:t>
            </w:r>
          </w:p>
        </w:tc>
        <w:tc>
          <w:tcPr>
            <w:tcW w:w="760" w:type="dxa"/>
            <w:vAlign w:val="bottom"/>
          </w:tcPr>
          <w:p>
            <w:pPr>
              <w:jc w:val="right"/>
              <w:ind w:right="28"/>
              <w:spacing w:after="0" w:line="145" w:lineRule="exact"/>
              <w:rPr>
                <w:sz w:val="20"/>
                <w:szCs w:val="20"/>
                <w:color w:val="auto"/>
              </w:rPr>
            </w:pPr>
            <w:r>
              <w:rPr>
                <w:rFonts w:ascii="Arial" w:cs="Arial" w:eastAsia="Arial" w:hAnsi="Arial"/>
                <w:sz w:val="14"/>
                <w:szCs w:val="14"/>
                <w:color w:val="auto"/>
              </w:rPr>
              <w:t>602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317</w:t>
            </w:r>
          </w:p>
        </w:tc>
        <w:tc>
          <w:tcPr>
            <w:tcW w:w="920" w:type="dxa"/>
            <w:vAlign w:val="bottom"/>
          </w:tcPr>
          <w:p>
            <w:pPr>
              <w:jc w:val="right"/>
              <w:ind w:right="49"/>
              <w:spacing w:after="0" w:line="145" w:lineRule="exact"/>
              <w:rPr>
                <w:sz w:val="20"/>
                <w:szCs w:val="20"/>
                <w:color w:val="auto"/>
              </w:rPr>
            </w:pPr>
            <w:r>
              <w:rPr>
                <w:rFonts w:ascii="Arial" w:cs="Arial" w:eastAsia="Arial" w:hAnsi="Arial"/>
                <w:sz w:val="14"/>
                <w:szCs w:val="14"/>
                <w:color w:val="auto"/>
              </w:rPr>
              <w:t>321</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16</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10</w:t>
            </w:r>
          </w:p>
        </w:tc>
        <w:tc>
          <w:tcPr>
            <w:tcW w:w="840" w:type="dxa"/>
            <w:vAlign w:val="bottom"/>
            <w:gridSpan w:val="3"/>
            <w:vMerge w:val="continue"/>
          </w:tcPr>
          <w:p>
            <w:pPr>
              <w:spacing w:after="0"/>
              <w:rPr>
                <w:sz w:val="12"/>
                <w:szCs w:val="12"/>
                <w:color w:val="auto"/>
              </w:rPr>
            </w:pPr>
          </w:p>
        </w:tc>
        <w:tc>
          <w:tcPr>
            <w:tcW w:w="8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21</w:t>
            </w: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719</w:t>
            </w:r>
          </w:p>
        </w:tc>
        <w:tc>
          <w:tcPr>
            <w:tcW w:w="2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731</w:t>
            </w:r>
          </w:p>
        </w:tc>
        <w:tc>
          <w:tcPr>
            <w:tcW w:w="7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698</w:t>
            </w:r>
          </w:p>
        </w:tc>
        <w:tc>
          <w:tcPr>
            <w:tcW w:w="18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404</w:t>
            </w:r>
          </w:p>
        </w:tc>
        <w:tc>
          <w:tcPr>
            <w:tcW w:w="6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420</w:t>
            </w:r>
          </w:p>
        </w:tc>
        <w:tc>
          <w:tcPr>
            <w:tcW w:w="9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405</w:t>
            </w:r>
          </w:p>
        </w:tc>
        <w:tc>
          <w:tcPr>
            <w:tcW w:w="2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gridSpan w:val="2"/>
          </w:tcPr>
          <w:p>
            <w:pPr>
              <w:jc w:val="right"/>
              <w:ind w:right="92"/>
              <w:spacing w:after="0"/>
              <w:rPr>
                <w:sz w:val="20"/>
                <w:szCs w:val="20"/>
                <w:color w:val="auto"/>
              </w:rPr>
            </w:pPr>
            <w:r>
              <w:rPr>
                <w:rFonts w:ascii="Arial" w:cs="Arial" w:eastAsia="Arial" w:hAnsi="Arial"/>
                <w:sz w:val="14"/>
                <w:szCs w:val="14"/>
                <w:b w:val="1"/>
                <w:bCs w:val="1"/>
                <w:color w:val="auto"/>
              </w:rPr>
              <w:t>24</w:t>
            </w:r>
          </w:p>
        </w:tc>
        <w:tc>
          <w:tcPr>
            <w:tcW w:w="7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37</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31</w:t>
            </w:r>
          </w:p>
        </w:tc>
        <w:tc>
          <w:tcPr>
            <w:tcW w:w="840" w:type="dxa"/>
            <w:vAlign w:val="bottom"/>
            <w:tcBorders>
              <w:bottom w:val="single" w:sz="8" w:color="0070FF"/>
            </w:tcBorders>
            <w:gridSpan w:val="3"/>
          </w:tcPr>
          <w:p>
            <w:pPr>
              <w:jc w:val="right"/>
              <w:ind w:right="12"/>
              <w:spacing w:after="0"/>
              <w:rPr>
                <w:sz w:val="20"/>
                <w:szCs w:val="20"/>
                <w:color w:val="auto"/>
              </w:rPr>
            </w:pPr>
            <w:r>
              <w:rPr>
                <w:rFonts w:ascii="Arial" w:cs="Arial" w:eastAsia="Arial" w:hAnsi="Arial"/>
                <w:sz w:val="14"/>
                <w:szCs w:val="14"/>
                <w:b w:val="1"/>
                <w:bCs w:val="1"/>
                <w:color w:val="auto"/>
              </w:rPr>
              <w:t>38</w:t>
            </w:r>
          </w:p>
        </w:tc>
        <w:tc>
          <w:tcPr>
            <w:tcW w:w="8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21</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196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color w:val="auto"/>
              </w:rPr>
              <w:t>Total Chemicals</w:t>
            </w:r>
          </w:p>
        </w:tc>
        <w:tc>
          <w:tcPr>
            <w:tcW w:w="24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1,332</w:t>
            </w:r>
          </w:p>
        </w:tc>
        <w:tc>
          <w:tcPr>
            <w:tcW w:w="2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rPr>
              <w:t>1,345</w:t>
            </w:r>
          </w:p>
        </w:tc>
        <w:tc>
          <w:tcPr>
            <w:tcW w:w="7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1,300</w:t>
            </w:r>
          </w:p>
        </w:tc>
        <w:tc>
          <w:tcPr>
            <w:tcW w:w="18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707</w:t>
            </w:r>
          </w:p>
        </w:tc>
        <w:tc>
          <w:tcPr>
            <w:tcW w:w="6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737</w:t>
            </w:r>
          </w:p>
        </w:tc>
        <w:tc>
          <w:tcPr>
            <w:tcW w:w="92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color w:val="auto"/>
              </w:rPr>
              <w:t>726</w:t>
            </w:r>
          </w:p>
        </w:tc>
        <w:tc>
          <w:tcPr>
            <w:tcW w:w="20" w:type="dxa"/>
            <w:vAlign w:val="bottom"/>
            <w:tcBorders>
              <w:bottom w:val="single" w:sz="8" w:color="0070FF"/>
            </w:tcBorders>
          </w:tcPr>
          <w:p>
            <w:pPr>
              <w:spacing w:after="0"/>
              <w:rPr>
                <w:sz w:val="13"/>
                <w:szCs w:val="13"/>
                <w:color w:val="auto"/>
              </w:rPr>
            </w:pPr>
          </w:p>
        </w:tc>
        <w:tc>
          <w:tcPr>
            <w:tcW w:w="760" w:type="dxa"/>
            <w:vAlign w:val="bottom"/>
            <w:tcBorders>
              <w:bottom w:val="single" w:sz="8" w:color="0070FF"/>
            </w:tcBorders>
            <w:gridSpan w:val="2"/>
          </w:tcPr>
          <w:p>
            <w:pPr>
              <w:jc w:val="right"/>
              <w:ind w:right="92"/>
              <w:spacing w:after="0" w:line="155" w:lineRule="exact"/>
              <w:rPr>
                <w:sz w:val="20"/>
                <w:szCs w:val="20"/>
                <w:color w:val="auto"/>
              </w:rPr>
            </w:pPr>
            <w:r>
              <w:rPr>
                <w:rFonts w:ascii="Arial" w:cs="Arial" w:eastAsia="Arial" w:hAnsi="Arial"/>
                <w:sz w:val="14"/>
                <w:szCs w:val="14"/>
                <w:b w:val="1"/>
                <w:bCs w:val="1"/>
                <w:color w:val="auto"/>
              </w:rPr>
              <w:t>36</w:t>
            </w:r>
          </w:p>
        </w:tc>
        <w:tc>
          <w:tcPr>
            <w:tcW w:w="7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53</w:t>
            </w: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41</w:t>
            </w:r>
          </w:p>
        </w:tc>
        <w:tc>
          <w:tcPr>
            <w:tcW w:w="840" w:type="dxa"/>
            <w:vAlign w:val="bottom"/>
            <w:tcBorders>
              <w:bottom w:val="single" w:sz="8" w:color="0070FF"/>
            </w:tcBorders>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59</w:t>
            </w:r>
          </w:p>
        </w:tc>
        <w:tc>
          <w:tcPr>
            <w:tcW w:w="8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42</w:t>
            </w:r>
          </w:p>
        </w:tc>
        <w:tc>
          <w:tcPr>
            <w:tcW w:w="6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7"/>
        </w:trPr>
        <w:tc>
          <w:tcPr>
            <w:tcW w:w="680" w:type="dxa"/>
            <w:vAlign w:val="bottom"/>
            <w:gridSpan w:val="3"/>
          </w:tcPr>
          <w:p>
            <w:pPr>
              <w:spacing w:after="0" w:line="178" w:lineRule="exact"/>
              <w:rPr>
                <w:sz w:val="20"/>
                <w:szCs w:val="20"/>
                <w:color w:val="auto"/>
              </w:rPr>
            </w:pPr>
            <w:r>
              <w:rPr>
                <w:rFonts w:ascii="Arial" w:cs="Arial" w:eastAsia="Arial" w:hAnsi="Arial"/>
                <w:sz w:val="13"/>
                <w:szCs w:val="13"/>
                <w:b w:val="1"/>
                <w:bCs w:val="1"/>
                <w:color w:val="auto"/>
              </w:rPr>
              <w:t>All Other</w:t>
            </w:r>
            <w:r>
              <w:rPr>
                <w:rFonts w:ascii="Arial" w:cs="Arial" w:eastAsia="Arial" w:hAnsi="Arial"/>
                <w:sz w:val="20"/>
                <w:szCs w:val="20"/>
                <w:color w:val="auto"/>
                <w:vertAlign w:val="superscript"/>
              </w:rPr>
              <w:t>4</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2,772</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1,393</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169</w:t>
            </w: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109</w:t>
            </w: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United States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69"/>
              <w:spacing w:after="0" w:line="145" w:lineRule="exact"/>
              <w:rPr>
                <w:sz w:val="20"/>
                <w:szCs w:val="20"/>
                <w:color w:val="auto"/>
              </w:rPr>
            </w:pPr>
            <w:r>
              <w:rPr>
                <w:rFonts w:ascii="Arial" w:cs="Arial" w:eastAsia="Arial" w:hAnsi="Arial"/>
                <w:sz w:val="14"/>
                <w:szCs w:val="14"/>
                <w:color w:val="auto"/>
              </w:rPr>
              <w:t>2,783</w:t>
            </w:r>
          </w:p>
        </w:tc>
        <w:tc>
          <w:tcPr>
            <w:tcW w:w="76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2,826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1,334</w:t>
            </w:r>
          </w:p>
        </w:tc>
        <w:tc>
          <w:tcPr>
            <w:tcW w:w="920" w:type="dxa"/>
            <w:vAlign w:val="bottom"/>
          </w:tcPr>
          <w:p>
            <w:pPr>
              <w:jc w:val="right"/>
              <w:ind w:right="49"/>
              <w:spacing w:after="0" w:line="145" w:lineRule="exact"/>
              <w:rPr>
                <w:sz w:val="20"/>
                <w:szCs w:val="20"/>
                <w:color w:val="auto"/>
              </w:rPr>
            </w:pPr>
            <w:r>
              <w:rPr>
                <w:rFonts w:ascii="Arial" w:cs="Arial" w:eastAsia="Arial" w:hAnsi="Arial"/>
                <w:sz w:val="14"/>
                <w:szCs w:val="14"/>
                <w:color w:val="auto"/>
              </w:rPr>
              <w:t>1,249</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230</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171</w:t>
            </w:r>
          </w:p>
        </w:tc>
        <w:tc>
          <w:tcPr>
            <w:tcW w:w="840" w:type="dxa"/>
            <w:vAlign w:val="bottom"/>
            <w:gridSpan w:val="3"/>
            <w:vMerge w:val="continue"/>
          </w:tcPr>
          <w:p>
            <w:pPr>
              <w:spacing w:after="0"/>
              <w:rPr>
                <w:sz w:val="12"/>
                <w:szCs w:val="12"/>
                <w:color w:val="auto"/>
              </w:rPr>
            </w:pPr>
          </w:p>
        </w:tc>
        <w:tc>
          <w:tcPr>
            <w:tcW w:w="840" w:type="dxa"/>
            <w:vAlign w:val="bottom"/>
          </w:tcPr>
          <w:p>
            <w:pPr>
              <w:jc w:val="right"/>
              <w:ind w:right="89"/>
              <w:spacing w:after="0" w:line="145" w:lineRule="exact"/>
              <w:rPr>
                <w:sz w:val="20"/>
                <w:szCs w:val="20"/>
                <w:color w:val="auto"/>
              </w:rPr>
            </w:pPr>
            <w:r>
              <w:rPr>
                <w:rFonts w:ascii="Arial" w:cs="Arial" w:eastAsia="Arial" w:hAnsi="Arial"/>
                <w:sz w:val="14"/>
                <w:szCs w:val="14"/>
                <w:color w:val="auto"/>
              </w:rPr>
              <w:t>149</w:t>
            </w: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Borders>
              <w:bottom w:val="single" w:sz="8" w:color="0070FF"/>
            </w:tcBorders>
            <w:gridSpan w:val="3"/>
          </w:tcPr>
          <w:p>
            <w:pPr>
              <w:ind w:left="1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119</w:t>
            </w:r>
          </w:p>
        </w:tc>
        <w:tc>
          <w:tcPr>
            <w:tcW w:w="2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118</w:t>
            </w:r>
          </w:p>
        </w:tc>
        <w:tc>
          <w:tcPr>
            <w:tcW w:w="76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57</w:t>
            </w:r>
          </w:p>
        </w:tc>
        <w:tc>
          <w:tcPr>
            <w:tcW w:w="18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88</w:t>
            </w:r>
          </w:p>
        </w:tc>
        <w:tc>
          <w:tcPr>
            <w:tcW w:w="6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113</w:t>
            </w:r>
          </w:p>
        </w:tc>
        <w:tc>
          <w:tcPr>
            <w:tcW w:w="9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gridSpan w:val="2"/>
          </w:tcPr>
          <w:p>
            <w:pPr>
              <w:jc w:val="right"/>
              <w:ind w:right="92"/>
              <w:spacing w:after="0"/>
              <w:rPr>
                <w:sz w:val="20"/>
                <w:szCs w:val="20"/>
                <w:color w:val="auto"/>
              </w:rPr>
            </w:pPr>
            <w:r>
              <w:rPr>
                <w:rFonts w:ascii="Arial" w:cs="Arial" w:eastAsia="Arial" w:hAnsi="Arial"/>
                <w:sz w:val="14"/>
                <w:szCs w:val="14"/>
                <w:b w:val="1"/>
                <w:bCs w:val="1"/>
                <w:color w:val="auto"/>
              </w:rPr>
              <w:t>8</w:t>
            </w:r>
          </w:p>
        </w:tc>
        <w:tc>
          <w:tcPr>
            <w:tcW w:w="7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55</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w:t>
            </w:r>
          </w:p>
        </w:tc>
        <w:tc>
          <w:tcPr>
            <w:tcW w:w="840" w:type="dxa"/>
            <w:vAlign w:val="bottom"/>
            <w:tcBorders>
              <w:bottom w:val="single" w:sz="8" w:color="0070FF"/>
            </w:tcBorders>
            <w:gridSpan w:val="3"/>
          </w:tcPr>
          <w:p>
            <w:pPr>
              <w:jc w:val="right"/>
              <w:ind w:right="12"/>
              <w:spacing w:after="0"/>
              <w:rPr>
                <w:sz w:val="20"/>
                <w:szCs w:val="20"/>
                <w:color w:val="auto"/>
              </w:rPr>
            </w:pPr>
            <w:r>
              <w:rPr>
                <w:rFonts w:ascii="Arial" w:cs="Arial" w:eastAsia="Arial" w:hAnsi="Arial"/>
                <w:sz w:val="14"/>
                <w:szCs w:val="14"/>
                <w:b w:val="1"/>
                <w:bCs w:val="1"/>
                <w:color w:val="auto"/>
              </w:rPr>
              <w:t>26</w:t>
            </w:r>
          </w:p>
        </w:tc>
        <w:tc>
          <w:tcPr>
            <w:tcW w:w="8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w:t>
            </w:r>
          </w:p>
        </w:tc>
        <w:tc>
          <w:tcPr>
            <w:tcW w:w="6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196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color w:val="auto"/>
              </w:rPr>
              <w:t>Total All Other</w:t>
            </w:r>
          </w:p>
        </w:tc>
        <w:tc>
          <w:tcPr>
            <w:tcW w:w="24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2,891</w:t>
            </w:r>
          </w:p>
        </w:tc>
        <w:tc>
          <w:tcPr>
            <w:tcW w:w="2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rPr>
              <w:t>2,901</w:t>
            </w:r>
          </w:p>
        </w:tc>
        <w:tc>
          <w:tcPr>
            <w:tcW w:w="76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2,883</w:t>
            </w:r>
          </w:p>
        </w:tc>
        <w:tc>
          <w:tcPr>
            <w:tcW w:w="18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1,481</w:t>
            </w:r>
          </w:p>
        </w:tc>
        <w:tc>
          <w:tcPr>
            <w:tcW w:w="6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1,447</w:t>
            </w:r>
          </w:p>
        </w:tc>
        <w:tc>
          <w:tcPr>
            <w:tcW w:w="92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color w:val="auto"/>
              </w:rPr>
              <w:t>1,267</w:t>
            </w:r>
          </w:p>
        </w:tc>
        <w:tc>
          <w:tcPr>
            <w:tcW w:w="20" w:type="dxa"/>
            <w:vAlign w:val="bottom"/>
            <w:tcBorders>
              <w:bottom w:val="single" w:sz="8" w:color="0070FF"/>
            </w:tcBorders>
          </w:tcPr>
          <w:p>
            <w:pPr>
              <w:spacing w:after="0"/>
              <w:rPr>
                <w:sz w:val="13"/>
                <w:szCs w:val="13"/>
                <w:color w:val="auto"/>
              </w:rPr>
            </w:pPr>
          </w:p>
        </w:tc>
        <w:tc>
          <w:tcPr>
            <w:tcW w:w="760" w:type="dxa"/>
            <w:vAlign w:val="bottom"/>
            <w:tcBorders>
              <w:bottom w:val="single" w:sz="8" w:color="0070FF"/>
            </w:tcBorders>
            <w:gridSpan w:val="2"/>
          </w:tcPr>
          <w:p>
            <w:pPr>
              <w:jc w:val="right"/>
              <w:ind w:right="92"/>
              <w:spacing w:after="0" w:line="155" w:lineRule="exact"/>
              <w:rPr>
                <w:sz w:val="20"/>
                <w:szCs w:val="20"/>
                <w:color w:val="auto"/>
              </w:rPr>
            </w:pPr>
            <w:r>
              <w:rPr>
                <w:rFonts w:ascii="Arial" w:cs="Arial" w:eastAsia="Arial" w:hAnsi="Arial"/>
                <w:sz w:val="14"/>
                <w:szCs w:val="14"/>
                <w:b w:val="1"/>
                <w:bCs w:val="1"/>
                <w:color w:val="auto"/>
              </w:rPr>
              <w:t>177</w:t>
            </w:r>
          </w:p>
        </w:tc>
        <w:tc>
          <w:tcPr>
            <w:tcW w:w="7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285</w:t>
            </w: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840" w:type="dxa"/>
            <w:vAlign w:val="bottom"/>
            <w:tcBorders>
              <w:bottom w:val="single" w:sz="8" w:color="0070FF"/>
            </w:tcBorders>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135</w:t>
            </w:r>
          </w:p>
        </w:tc>
        <w:tc>
          <w:tcPr>
            <w:tcW w:w="8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151</w:t>
            </w:r>
          </w:p>
        </w:tc>
        <w:tc>
          <w:tcPr>
            <w:tcW w:w="6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33"/>
        </w:trPr>
        <w:tc>
          <w:tcPr>
            <w:tcW w:w="1980" w:type="dxa"/>
            <w:vAlign w:val="bottom"/>
            <w:gridSpan w:val="4"/>
          </w:tcPr>
          <w:p>
            <w:pPr>
              <w:spacing w:after="0" w:line="133" w:lineRule="exact"/>
              <w:rPr>
                <w:sz w:val="20"/>
                <w:szCs w:val="20"/>
                <w:color w:val="auto"/>
              </w:rPr>
            </w:pPr>
            <w:r>
              <w:rPr>
                <w:rFonts w:ascii="Arial" w:cs="Arial" w:eastAsia="Arial" w:hAnsi="Arial"/>
                <w:sz w:val="14"/>
                <w:szCs w:val="14"/>
                <w:color w:val="auto"/>
              </w:rPr>
              <w:t>Total United States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51,142</w:t>
            </w:r>
          </w:p>
        </w:tc>
        <w:tc>
          <w:tcPr>
            <w:tcW w:w="240" w:type="dxa"/>
            <w:vAlign w:val="bottom"/>
          </w:tcPr>
          <w:p>
            <w:pPr>
              <w:spacing w:after="0"/>
              <w:rPr>
                <w:sz w:val="11"/>
                <w:szCs w:val="11"/>
                <w:color w:val="auto"/>
              </w:rPr>
            </w:pPr>
          </w:p>
        </w:tc>
        <w:tc>
          <w:tcPr>
            <w:tcW w:w="620" w:type="dxa"/>
            <w:vAlign w:val="bottom"/>
          </w:tcPr>
          <w:p>
            <w:pPr>
              <w:jc w:val="right"/>
              <w:ind w:right="69"/>
              <w:spacing w:after="0" w:line="133" w:lineRule="exact"/>
              <w:rPr>
                <w:sz w:val="20"/>
                <w:szCs w:val="20"/>
                <w:color w:val="auto"/>
              </w:rPr>
            </w:pPr>
            <w:r>
              <w:rPr>
                <w:rFonts w:ascii="Arial" w:cs="Arial" w:eastAsia="Arial" w:hAnsi="Arial"/>
                <w:sz w:val="14"/>
                <w:szCs w:val="14"/>
                <w:color w:val="auto"/>
              </w:rPr>
              <w:t>56,806</w:t>
            </w:r>
          </w:p>
        </w:tc>
        <w:tc>
          <w:tcPr>
            <w:tcW w:w="760" w:type="dxa"/>
            <w:vAlign w:val="bottom"/>
          </w:tcPr>
          <w:p>
            <w:pPr>
              <w:jc w:val="right"/>
              <w:ind w:right="28"/>
              <w:spacing w:after="0" w:line="133" w:lineRule="exact"/>
              <w:rPr>
                <w:sz w:val="20"/>
                <w:szCs w:val="20"/>
                <w:color w:val="auto"/>
              </w:rPr>
            </w:pPr>
            <w:r>
              <w:rPr>
                <w:rFonts w:ascii="Arial" w:cs="Arial" w:eastAsia="Arial" w:hAnsi="Arial"/>
                <w:sz w:val="14"/>
                <w:szCs w:val="14"/>
                <w:color w:val="auto"/>
              </w:rPr>
              <w:t>54,954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w w:val="93"/>
              </w:rPr>
              <w:t>17,530</w:t>
            </w:r>
          </w:p>
        </w:tc>
        <w:tc>
          <w:tcPr>
            <w:tcW w:w="660" w:type="dxa"/>
            <w:vAlign w:val="bottom"/>
          </w:tcPr>
          <w:p>
            <w:pPr>
              <w:jc w:val="right"/>
              <w:spacing w:after="0" w:line="133" w:lineRule="exact"/>
              <w:rPr>
                <w:sz w:val="20"/>
                <w:szCs w:val="20"/>
                <w:color w:val="auto"/>
              </w:rPr>
            </w:pPr>
            <w:r>
              <w:rPr>
                <w:rFonts w:ascii="Arial" w:cs="Arial" w:eastAsia="Arial" w:hAnsi="Arial"/>
                <w:sz w:val="14"/>
                <w:szCs w:val="14"/>
                <w:color w:val="auto"/>
              </w:rPr>
              <w:t>18,404</w:t>
            </w:r>
          </w:p>
        </w:tc>
        <w:tc>
          <w:tcPr>
            <w:tcW w:w="920" w:type="dxa"/>
            <w:vAlign w:val="bottom"/>
          </w:tcPr>
          <w:p>
            <w:pPr>
              <w:jc w:val="right"/>
              <w:ind w:right="49"/>
              <w:spacing w:after="0" w:line="133" w:lineRule="exact"/>
              <w:rPr>
                <w:sz w:val="20"/>
                <w:szCs w:val="20"/>
                <w:color w:val="auto"/>
              </w:rPr>
            </w:pPr>
            <w:r>
              <w:rPr>
                <w:rFonts w:ascii="Arial" w:cs="Arial" w:eastAsia="Arial" w:hAnsi="Arial"/>
                <w:sz w:val="14"/>
                <w:szCs w:val="14"/>
                <w:color w:val="auto"/>
              </w:rPr>
              <w:t>18,367</w:t>
            </w:r>
          </w:p>
        </w:tc>
        <w:tc>
          <w:tcPr>
            <w:tcW w:w="20" w:type="dxa"/>
            <w:vAlign w:val="bottom"/>
          </w:tcPr>
          <w:p>
            <w:pPr>
              <w:spacing w:after="0"/>
              <w:rPr>
                <w:sz w:val="11"/>
                <w:szCs w:val="11"/>
                <w:color w:val="auto"/>
              </w:rPr>
            </w:pPr>
          </w:p>
        </w:tc>
        <w:tc>
          <w:tcPr>
            <w:tcW w:w="760" w:type="dxa"/>
            <w:vAlign w:val="bottom"/>
            <w:gridSpan w:val="2"/>
          </w:tcPr>
          <w:p>
            <w:pPr>
              <w:jc w:val="right"/>
              <w:ind w:right="92"/>
              <w:spacing w:after="0" w:line="133" w:lineRule="exact"/>
              <w:rPr>
                <w:sz w:val="20"/>
                <w:szCs w:val="20"/>
                <w:color w:val="auto"/>
              </w:rPr>
            </w:pPr>
            <w:r>
              <w:rPr>
                <w:rFonts w:ascii="Arial" w:cs="Arial" w:eastAsia="Arial" w:hAnsi="Arial"/>
                <w:sz w:val="14"/>
                <w:szCs w:val="14"/>
                <w:b w:val="1"/>
                <w:bCs w:val="1"/>
                <w:color w:val="auto"/>
              </w:rPr>
              <w:t>2,346</w:t>
            </w:r>
          </w:p>
        </w:tc>
        <w:tc>
          <w:tcPr>
            <w:tcW w:w="740" w:type="dxa"/>
            <w:vAlign w:val="bottom"/>
          </w:tcPr>
          <w:p>
            <w:pPr>
              <w:jc w:val="right"/>
              <w:ind w:right="89"/>
              <w:spacing w:after="0" w:line="133" w:lineRule="exact"/>
              <w:rPr>
                <w:sz w:val="20"/>
                <w:szCs w:val="20"/>
                <w:color w:val="auto"/>
              </w:rPr>
            </w:pPr>
            <w:r>
              <w:rPr>
                <w:rFonts w:ascii="Arial" w:cs="Arial" w:eastAsia="Arial" w:hAnsi="Arial"/>
                <w:sz w:val="14"/>
                <w:szCs w:val="14"/>
                <w:color w:val="auto"/>
              </w:rPr>
              <w:t>2,575</w:t>
            </w:r>
          </w:p>
        </w:tc>
        <w:tc>
          <w:tcPr>
            <w:tcW w:w="600" w:type="dxa"/>
            <w:vAlign w:val="bottom"/>
          </w:tcPr>
          <w:p>
            <w:pPr>
              <w:jc w:val="right"/>
              <w:spacing w:after="0" w:line="133" w:lineRule="exact"/>
              <w:rPr>
                <w:sz w:val="20"/>
                <w:szCs w:val="20"/>
                <w:color w:val="auto"/>
              </w:rPr>
            </w:pPr>
            <w:r>
              <w:rPr>
                <w:rFonts w:ascii="Arial" w:cs="Arial" w:eastAsia="Arial" w:hAnsi="Arial"/>
                <w:sz w:val="14"/>
                <w:szCs w:val="14"/>
                <w:color w:val="auto"/>
              </w:rPr>
              <w:t>2,780</w:t>
            </w:r>
          </w:p>
        </w:tc>
        <w:tc>
          <w:tcPr>
            <w:tcW w:w="840" w:type="dxa"/>
            <w:vAlign w:val="bottom"/>
            <w:gridSpan w:val="3"/>
          </w:tcPr>
          <w:p>
            <w:pPr>
              <w:jc w:val="right"/>
              <w:ind w:right="12"/>
              <w:spacing w:after="0" w:line="133" w:lineRule="exact"/>
              <w:rPr>
                <w:sz w:val="20"/>
                <w:szCs w:val="20"/>
                <w:color w:val="auto"/>
              </w:rPr>
            </w:pPr>
            <w:r>
              <w:rPr>
                <w:rFonts w:ascii="Arial" w:cs="Arial" w:eastAsia="Arial" w:hAnsi="Arial"/>
                <w:sz w:val="14"/>
                <w:szCs w:val="14"/>
                <w:b w:val="1"/>
                <w:bCs w:val="1"/>
                <w:color w:val="auto"/>
              </w:rPr>
              <w:t>2,438</w:t>
            </w:r>
          </w:p>
        </w:tc>
        <w:tc>
          <w:tcPr>
            <w:tcW w:w="840" w:type="dxa"/>
            <w:vAlign w:val="bottom"/>
          </w:tcPr>
          <w:p>
            <w:pPr>
              <w:jc w:val="right"/>
              <w:ind w:right="89"/>
              <w:spacing w:after="0" w:line="133" w:lineRule="exact"/>
              <w:rPr>
                <w:sz w:val="20"/>
                <w:szCs w:val="20"/>
                <w:color w:val="auto"/>
              </w:rPr>
            </w:pPr>
            <w:r>
              <w:rPr>
                <w:rFonts w:ascii="Arial" w:cs="Arial" w:eastAsia="Arial" w:hAnsi="Arial"/>
                <w:sz w:val="14"/>
                <w:szCs w:val="14"/>
                <w:color w:val="auto"/>
              </w:rPr>
              <w:t>2,546</w:t>
            </w:r>
          </w:p>
        </w:tc>
        <w:tc>
          <w:tcPr>
            <w:tcW w:w="620" w:type="dxa"/>
            <w:vAlign w:val="bottom"/>
          </w:tcPr>
          <w:p>
            <w:pPr>
              <w:jc w:val="right"/>
              <w:spacing w:after="0" w:line="133" w:lineRule="exact"/>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171"/>
        </w:trPr>
        <w:tc>
          <w:tcPr>
            <w:tcW w:w="1980" w:type="dxa"/>
            <w:vAlign w:val="bottom"/>
            <w:gridSpan w:val="4"/>
          </w:tcPr>
          <w:p>
            <w:pPr>
              <w:spacing w:after="0"/>
              <w:rPr>
                <w:sz w:val="20"/>
                <w:szCs w:val="20"/>
                <w:color w:val="auto"/>
              </w:rPr>
            </w:pPr>
            <w:r>
              <w:rPr>
                <w:rFonts w:ascii="Arial" w:cs="Arial" w:eastAsia="Arial" w:hAnsi="Arial"/>
                <w:sz w:val="14"/>
                <w:szCs w:val="14"/>
                <w:color w:val="auto"/>
              </w:rPr>
              <w:t>Total International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49,414</w:t>
            </w:r>
          </w:p>
        </w:tc>
        <w:tc>
          <w:tcPr>
            <w:tcW w:w="240" w:type="dxa"/>
            <w:vAlign w:val="bottom"/>
          </w:tcPr>
          <w:p>
            <w:pPr>
              <w:spacing w:after="0"/>
              <w:rPr>
                <w:sz w:val="14"/>
                <w:szCs w:val="14"/>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48,425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44,906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27,008</w:t>
            </w:r>
          </w:p>
        </w:tc>
        <w:tc>
          <w:tcPr>
            <w:tcW w:w="660" w:type="dxa"/>
            <w:vAlign w:val="bottom"/>
          </w:tcPr>
          <w:p>
            <w:pPr>
              <w:jc w:val="right"/>
              <w:spacing w:after="0"/>
              <w:rPr>
                <w:sz w:val="20"/>
                <w:szCs w:val="20"/>
                <w:color w:val="auto"/>
              </w:rPr>
            </w:pPr>
            <w:r>
              <w:rPr>
                <w:rFonts w:ascii="Arial" w:cs="Arial" w:eastAsia="Arial" w:hAnsi="Arial"/>
                <w:sz w:val="14"/>
                <w:szCs w:val="14"/>
                <w:color w:val="auto"/>
              </w:rPr>
              <w:t>25,751</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24,515</w:t>
            </w:r>
          </w:p>
        </w:tc>
        <w:tc>
          <w:tcPr>
            <w:tcW w:w="20" w:type="dxa"/>
            <w:vAlign w:val="bottom"/>
          </w:tcPr>
          <w:p>
            <w:pPr>
              <w:spacing w:after="0"/>
              <w:rPr>
                <w:sz w:val="14"/>
                <w:szCs w:val="14"/>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3,666</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3,846</w:t>
            </w:r>
          </w:p>
        </w:tc>
        <w:tc>
          <w:tcPr>
            <w:tcW w:w="600" w:type="dxa"/>
            <w:vAlign w:val="bottom"/>
          </w:tcPr>
          <w:p>
            <w:pPr>
              <w:jc w:val="right"/>
              <w:spacing w:after="0"/>
              <w:rPr>
                <w:sz w:val="20"/>
                <w:szCs w:val="20"/>
                <w:color w:val="auto"/>
              </w:rPr>
            </w:pPr>
            <w:r>
              <w:rPr>
                <w:rFonts w:ascii="Arial" w:cs="Arial" w:eastAsia="Arial" w:hAnsi="Arial"/>
                <w:sz w:val="14"/>
                <w:szCs w:val="14"/>
                <w:color w:val="auto"/>
              </w:rPr>
              <w:t>3,500</w:t>
            </w:r>
          </w:p>
        </w:tc>
        <w:tc>
          <w:tcPr>
            <w:tcW w:w="8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2,946</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2,685</w:t>
            </w:r>
          </w:p>
        </w:tc>
        <w:tc>
          <w:tcPr>
            <w:tcW w:w="620" w:type="dxa"/>
            <w:vAlign w:val="bottom"/>
          </w:tcPr>
          <w:p>
            <w:pPr>
              <w:jc w:val="right"/>
              <w:spacing w:after="0"/>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Borders>
              <w:top w:val="single" w:sz="8" w:color="0070FF"/>
              <w:bottom w:val="single" w:sz="8" w:color="0070FF"/>
            </w:tcBorders>
            <w:gridSpan w:val="2"/>
          </w:tcPr>
          <w:p>
            <w:pPr>
              <w:ind w:left="120"/>
              <w:spacing w:after="0" w:line="155" w:lineRule="exact"/>
              <w:rPr>
                <w:sz w:val="20"/>
                <w:szCs w:val="20"/>
                <w:color w:val="auto"/>
              </w:rPr>
            </w:pPr>
            <w:r>
              <w:rPr>
                <w:rFonts w:ascii="Arial" w:cs="Arial" w:eastAsia="Arial" w:hAnsi="Arial"/>
                <w:sz w:val="14"/>
                <w:szCs w:val="14"/>
                <w:color w:val="auto"/>
              </w:rPr>
              <w:t>Total</w:t>
            </w:r>
          </w:p>
        </w:tc>
        <w:tc>
          <w:tcPr>
            <w:tcW w:w="1300" w:type="dxa"/>
            <w:vAlign w:val="bottom"/>
            <w:tcBorders>
              <w:top w:val="single" w:sz="8" w:color="0070FF"/>
              <w:bottom w:val="single" w:sz="8" w:color="0070FF"/>
            </w:tcBorders>
          </w:tcPr>
          <w:p>
            <w:pPr>
              <w:spacing w:after="0"/>
              <w:rPr>
                <w:sz w:val="15"/>
                <w:szCs w:val="15"/>
                <w:color w:val="auto"/>
              </w:rPr>
            </w:pPr>
          </w:p>
        </w:tc>
        <w:tc>
          <w:tcPr>
            <w:tcW w:w="340" w:type="dxa"/>
            <w:vAlign w:val="bottom"/>
            <w:tcBorders>
              <w:top w:val="single" w:sz="8" w:color="0070FF"/>
              <w:bottom w:val="single" w:sz="8" w:color="0070FF"/>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0070FF"/>
              <w:bottom w:val="single" w:sz="8" w:color="0070FF"/>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0"/>
              </w:rPr>
              <w:t>100,556</w:t>
            </w:r>
          </w:p>
        </w:tc>
        <w:tc>
          <w:tcPr>
            <w:tcW w:w="24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0070FF"/>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w w:val="90"/>
              </w:rPr>
              <w:t>105,231</w:t>
            </w:r>
          </w:p>
        </w:tc>
        <w:tc>
          <w:tcPr>
            <w:tcW w:w="760" w:type="dxa"/>
            <w:vAlign w:val="bottom"/>
            <w:tcBorders>
              <w:top w:val="single" w:sz="8" w:color="0070FF"/>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$ 99,860</w:t>
            </w:r>
          </w:p>
        </w:tc>
        <w:tc>
          <w:tcPr>
            <w:tcW w:w="180" w:type="dxa"/>
            <w:vAlign w:val="bottom"/>
            <w:tcBorders>
              <w:top w:val="single" w:sz="8" w:color="0070FF"/>
              <w:bottom w:val="single" w:sz="8" w:color="0070FF"/>
            </w:tcBorders>
          </w:tcPr>
          <w:p>
            <w:pPr>
              <w:spacing w:after="0"/>
              <w:rPr>
                <w:sz w:val="15"/>
                <w:szCs w:val="15"/>
                <w:color w:val="auto"/>
              </w:rPr>
            </w:pPr>
          </w:p>
        </w:tc>
        <w:tc>
          <w:tcPr>
            <w:tcW w:w="10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0070FF"/>
              <w:bottom w:val="single" w:sz="8" w:color="0070FF"/>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3"/>
              </w:rPr>
              <w:t>44,538</w:t>
            </w:r>
          </w:p>
        </w:tc>
        <w:tc>
          <w:tcPr>
            <w:tcW w:w="66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$ 44,155</w:t>
            </w:r>
          </w:p>
        </w:tc>
        <w:tc>
          <w:tcPr>
            <w:tcW w:w="920" w:type="dxa"/>
            <w:vAlign w:val="bottom"/>
            <w:tcBorders>
              <w:top w:val="single" w:sz="8" w:color="0070FF"/>
              <w:bottom w:val="single" w:sz="8" w:color="0070FF"/>
            </w:tcBorders>
          </w:tcPr>
          <w:p>
            <w:pPr>
              <w:jc w:val="right"/>
              <w:ind w:right="49"/>
              <w:spacing w:after="0" w:line="155" w:lineRule="exact"/>
              <w:rPr>
                <w:sz w:val="20"/>
                <w:szCs w:val="20"/>
                <w:color w:val="auto"/>
              </w:rPr>
            </w:pPr>
            <w:r>
              <w:rPr>
                <w:rFonts w:ascii="Arial" w:cs="Arial" w:eastAsia="Arial" w:hAnsi="Arial"/>
                <w:sz w:val="14"/>
                <w:szCs w:val="14"/>
                <w:color w:val="auto"/>
              </w:rPr>
              <w:t>$ 42,882</w:t>
            </w:r>
          </w:p>
        </w:tc>
        <w:tc>
          <w:tcPr>
            <w:tcW w:w="20" w:type="dxa"/>
            <w:vAlign w:val="bottom"/>
            <w:tcBorders>
              <w:top w:val="single" w:sz="8" w:color="0070FF"/>
              <w:bottom w:val="single" w:sz="8" w:color="0070FF"/>
            </w:tcBorders>
          </w:tcPr>
          <w:p>
            <w:pPr>
              <w:spacing w:after="0"/>
              <w:rPr>
                <w:sz w:val="15"/>
                <w:szCs w:val="15"/>
                <w:color w:val="auto"/>
              </w:rPr>
            </w:pPr>
          </w:p>
        </w:tc>
        <w:tc>
          <w:tcPr>
            <w:tcW w:w="760" w:type="dxa"/>
            <w:vAlign w:val="bottom"/>
            <w:tcBorders>
              <w:top w:val="single" w:sz="8" w:color="0070FF"/>
              <w:bottom w:val="single" w:sz="8" w:color="0070FF"/>
            </w:tcBorders>
            <w:gridSpan w:val="2"/>
          </w:tcPr>
          <w:p>
            <w:pPr>
              <w:jc w:val="right"/>
              <w:ind w:right="92"/>
              <w:spacing w:after="0" w:line="155" w:lineRule="exact"/>
              <w:rPr>
                <w:sz w:val="20"/>
                <w:szCs w:val="20"/>
                <w:color w:val="auto"/>
              </w:rPr>
            </w:pPr>
            <w:r>
              <w:rPr>
                <w:rFonts w:ascii="Arial" w:cs="Arial" w:eastAsia="Arial" w:hAnsi="Arial"/>
                <w:sz w:val="14"/>
                <w:szCs w:val="14"/>
                <w:b w:val="1"/>
                <w:bCs w:val="1"/>
                <w:color w:val="auto"/>
              </w:rPr>
              <w:t>$ 6,012</w:t>
            </w:r>
          </w:p>
        </w:tc>
        <w:tc>
          <w:tcPr>
            <w:tcW w:w="740" w:type="dxa"/>
            <w:vAlign w:val="bottom"/>
            <w:tcBorders>
              <w:top w:val="single" w:sz="8" w:color="0070FF"/>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$ 6,421</w:t>
            </w:r>
          </w:p>
        </w:tc>
        <w:tc>
          <w:tcPr>
            <w:tcW w:w="60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$ 6,280</w:t>
            </w:r>
          </w:p>
        </w:tc>
        <w:tc>
          <w:tcPr>
            <w:tcW w:w="840" w:type="dxa"/>
            <w:vAlign w:val="bottom"/>
            <w:tcBorders>
              <w:top w:val="single" w:sz="8" w:color="0070FF"/>
              <w:bottom w:val="single" w:sz="8" w:color="0070FF"/>
            </w:tcBorders>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$ 5,384</w:t>
            </w:r>
          </w:p>
        </w:tc>
        <w:tc>
          <w:tcPr>
            <w:tcW w:w="840" w:type="dxa"/>
            <w:vAlign w:val="bottom"/>
            <w:tcBorders>
              <w:top w:val="single" w:sz="8" w:color="0070FF"/>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$ 5,231</w:t>
            </w:r>
          </w:p>
        </w:tc>
        <w:tc>
          <w:tcPr>
            <w:tcW w:w="62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$ 7,059</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40" w:hanging="232"/>
        <w:spacing w:after="0"/>
        <w:tabs>
          <w:tab w:leader="none" w:pos="240" w:val="left"/>
        </w:tabs>
        <w:numPr>
          <w:ilvl w:val="0"/>
          <w:numId w:val="48"/>
        </w:numPr>
        <w:rPr>
          <w:rFonts w:ascii="Arial" w:cs="Arial" w:eastAsia="Arial" w:hAnsi="Arial"/>
          <w:sz w:val="10"/>
          <w:szCs w:val="10"/>
          <w:color w:val="auto"/>
        </w:rPr>
      </w:pPr>
      <w:r>
        <w:rPr>
          <w:rFonts w:ascii="Arial" w:cs="Arial" w:eastAsia="Arial" w:hAnsi="Arial"/>
          <w:sz w:val="12"/>
          <w:szCs w:val="12"/>
          <w:color w:val="auto"/>
        </w:rPr>
        <w:t>Refer to Note 25 on page FS-50 for a discussion of the effect on 2003 PP&amp;E balances and depreciation expenses related to the adoption of FAS 143, “Accounting for Asset Retirement Obligations.”</w:t>
      </w:r>
    </w:p>
    <w:p>
      <w:pPr>
        <w:spacing w:after="0" w:line="10" w:lineRule="exact"/>
        <w:rPr>
          <w:rFonts w:ascii="Arial" w:cs="Arial" w:eastAsia="Arial" w:hAnsi="Arial"/>
          <w:sz w:val="10"/>
          <w:szCs w:val="10"/>
          <w:color w:val="auto"/>
        </w:rPr>
      </w:pPr>
    </w:p>
    <w:p>
      <w:pPr>
        <w:ind w:right="4760"/>
        <w:spacing w:after="0" w:line="281" w:lineRule="auto"/>
        <w:rPr>
          <w:rFonts w:ascii="Arial" w:cs="Arial" w:eastAsia="Arial" w:hAnsi="Arial"/>
          <w:sz w:val="10"/>
          <w:szCs w:val="10"/>
          <w:color w:val="auto"/>
        </w:rPr>
      </w:pPr>
      <w:r>
        <w:rPr>
          <w:rFonts w:ascii="Arial" w:cs="Arial" w:eastAsia="Arial" w:hAnsi="Arial"/>
          <w:sz w:val="10"/>
          <w:szCs w:val="10"/>
          <w:color w:val="auto"/>
        </w:rPr>
        <w:t xml:space="preserve">2 </w:t>
      </w:r>
      <w:r>
        <w:rPr>
          <w:rFonts w:ascii="Arial" w:cs="Arial" w:eastAsia="Arial" w:hAnsi="Arial"/>
          <w:sz w:val="11"/>
          <w:szCs w:val="11"/>
          <w:color w:val="auto"/>
        </w:rPr>
        <w:t>Net of accumulated abandonment and restoration costs of $2,263 and $2,155 at December 31, 2002 and 2001, respectively.</w:t>
      </w:r>
      <w:r>
        <w:rPr>
          <w:rFonts w:ascii="Arial" w:cs="Arial" w:eastAsia="Arial" w:hAnsi="Arial"/>
          <w:sz w:val="10"/>
          <w:szCs w:val="10"/>
          <w:color w:val="auto"/>
        </w:rPr>
        <w:t xml:space="preserve"> 3 </w:t>
      </w:r>
      <w:r>
        <w:rPr>
          <w:rFonts w:ascii="Arial" w:cs="Arial" w:eastAsia="Arial" w:hAnsi="Arial"/>
          <w:sz w:val="11"/>
          <w:szCs w:val="11"/>
          <w:color w:val="auto"/>
        </w:rPr>
        <w:t>Net of dry hole expense related to prior years’ expenditures of $124, $36 and $228 in 2003, 2002 and 2001, respectively.</w:t>
      </w:r>
    </w:p>
    <w:p>
      <w:pPr>
        <w:spacing w:after="0"/>
        <w:rPr>
          <w:rFonts w:ascii="Arial" w:cs="Arial" w:eastAsia="Arial" w:hAnsi="Arial"/>
          <w:sz w:val="10"/>
          <w:szCs w:val="10"/>
          <w:color w:val="auto"/>
        </w:rPr>
      </w:pPr>
      <w:r>
        <w:rPr>
          <w:rFonts w:ascii="Arial" w:cs="Arial" w:eastAsia="Arial" w:hAnsi="Arial"/>
          <w:sz w:val="10"/>
          <w:szCs w:val="10"/>
          <w:color w:val="auto"/>
        </w:rPr>
        <w:t xml:space="preserve">4    </w:t>
      </w:r>
      <w:r>
        <w:rPr>
          <w:rFonts w:ascii="Arial" w:cs="Arial" w:eastAsia="Arial" w:hAnsi="Arial"/>
          <w:sz w:val="11"/>
          <w:szCs w:val="11"/>
          <w:color w:val="auto"/>
        </w:rPr>
        <w:t>Primarily coal, real estate assets and management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149860</wp:posOffset>
            </wp:positionV>
            <wp:extent cx="8890" cy="2847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284734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16.</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TAXES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00" w:type="dxa"/>
            <w:vAlign w:val="bottom"/>
            <w:tcBorders>
              <w:bottom w:val="single" w:sz="8" w:color="0070FF"/>
            </w:tcBorders>
            <w:gridSpan w:val="5"/>
          </w:tcPr>
          <w:p>
            <w:pPr>
              <w:jc w:val="right"/>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0070FF"/>
            </w:tcBorders>
          </w:tcPr>
          <w:p>
            <w:pPr>
              <w:spacing w:after="0"/>
              <w:rPr>
                <w:sz w:val="12"/>
                <w:szCs w:val="12"/>
                <w:color w:val="auto"/>
              </w:rPr>
            </w:pPr>
          </w:p>
        </w:tc>
        <w:tc>
          <w:tcPr>
            <w:tcW w:w="520" w:type="dxa"/>
            <w:vAlign w:val="bottom"/>
            <w:tcBorders>
              <w:bottom w:val="single" w:sz="8" w:color="0070FF"/>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0070FF"/>
            </w:tcBorders>
          </w:tcPr>
          <w:p>
            <w:pPr>
              <w:spacing w:after="0"/>
              <w:rPr>
                <w:sz w:val="12"/>
                <w:szCs w:val="12"/>
                <w:color w:val="auto"/>
              </w:rPr>
            </w:pPr>
          </w:p>
        </w:tc>
        <w:tc>
          <w:tcPr>
            <w:tcW w:w="460" w:type="dxa"/>
            <w:vAlign w:val="bottom"/>
            <w:tcBorders>
              <w:bottom w:val="single" w:sz="8" w:color="0070FF"/>
            </w:tcBorders>
          </w:tcPr>
          <w:p>
            <w:pPr>
              <w:jc w:val="right"/>
              <w:ind w:right="69"/>
              <w:spacing w:after="0" w:line="142" w:lineRule="exact"/>
              <w:rPr>
                <w:sz w:val="20"/>
                <w:szCs w:val="20"/>
                <w:color w:val="auto"/>
              </w:rPr>
            </w:pPr>
            <w:r>
              <w:rPr>
                <w:rFonts w:ascii="Arial" w:cs="Arial" w:eastAsia="Arial" w:hAnsi="Arial"/>
                <w:sz w:val="14"/>
                <w:szCs w:val="14"/>
                <w:color w:val="auto"/>
                <w:w w:val="96"/>
              </w:rPr>
              <w:t>2002</w:t>
            </w:r>
          </w:p>
        </w:tc>
        <w:tc>
          <w:tcPr>
            <w:tcW w:w="160" w:type="dxa"/>
            <w:vAlign w:val="bottom"/>
            <w:tcBorders>
              <w:bottom w:val="single" w:sz="8" w:color="0070FF"/>
            </w:tcBorders>
          </w:tcPr>
          <w:p>
            <w:pPr>
              <w:spacing w:after="0"/>
              <w:rPr>
                <w:sz w:val="12"/>
                <w:szCs w:val="12"/>
                <w:color w:val="auto"/>
              </w:rPr>
            </w:pPr>
          </w:p>
        </w:tc>
        <w:tc>
          <w:tcPr>
            <w:tcW w:w="3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w w:val="96"/>
              </w:rPr>
              <w:t>2001</w:t>
            </w:r>
          </w:p>
        </w:tc>
        <w:tc>
          <w:tcPr>
            <w:tcW w:w="0" w:type="dxa"/>
            <w:vAlign w:val="bottom"/>
          </w:tcPr>
          <w:p>
            <w:pPr>
              <w:spacing w:after="0"/>
              <w:rPr>
                <w:sz w:val="1"/>
                <w:szCs w:val="1"/>
                <w:color w:val="auto"/>
              </w:rPr>
            </w:pPr>
          </w:p>
        </w:tc>
      </w:tr>
      <w:tr>
        <w:trPr>
          <w:trHeight w:val="137"/>
        </w:trPr>
        <w:tc>
          <w:tcPr>
            <w:tcW w:w="3780" w:type="dxa"/>
            <w:vAlign w:val="bottom"/>
          </w:tcPr>
          <w:p>
            <w:pPr>
              <w:ind w:left="20"/>
              <w:spacing w:after="0" w:line="137" w:lineRule="exact"/>
              <w:rPr>
                <w:sz w:val="20"/>
                <w:szCs w:val="20"/>
                <w:color w:val="auto"/>
              </w:rPr>
            </w:pPr>
            <w:r>
              <w:rPr>
                <w:rFonts w:ascii="Arial" w:cs="Arial" w:eastAsia="Arial" w:hAnsi="Arial"/>
                <w:sz w:val="14"/>
                <w:szCs w:val="14"/>
                <w:color w:val="auto"/>
              </w:rPr>
              <w:t>Taxes on income</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U.S. federal</w:t>
            </w:r>
          </w:p>
        </w:tc>
        <w:tc>
          <w:tcPr>
            <w:tcW w:w="5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81"/>
              </w:rPr>
              <w:t>$ 1,147</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80" w:type="dxa"/>
            <w:vAlign w:val="bottom"/>
          </w:tcPr>
          <w:p>
            <w:pPr>
              <w:ind w:left="140"/>
              <w:spacing w:after="0" w:line="145" w:lineRule="exact"/>
              <w:rPr>
                <w:sz w:val="20"/>
                <w:szCs w:val="20"/>
                <w:color w:val="auto"/>
              </w:rPr>
            </w:pPr>
            <w:r>
              <w:rPr>
                <w:rFonts w:ascii="Arial" w:cs="Arial" w:eastAsia="Arial" w:hAnsi="Arial"/>
                <w:sz w:val="14"/>
                <w:szCs w:val="14"/>
                <w:color w:val="auto"/>
              </w:rPr>
              <w:t>Current</w:t>
            </w:r>
          </w:p>
        </w:tc>
        <w:tc>
          <w:tcPr>
            <w:tcW w:w="520" w:type="dxa"/>
            <w:vAlign w:val="bottom"/>
            <w:vMerge w:val="continue"/>
          </w:tcPr>
          <w:p>
            <w:pPr>
              <w:spacing w:after="0"/>
              <w:rPr>
                <w:sz w:val="12"/>
                <w:szCs w:val="12"/>
                <w:color w:val="auto"/>
              </w:rPr>
            </w:pP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9"/>
              <w:spacing w:after="0" w:line="145" w:lineRule="exact"/>
              <w:rPr>
                <w:sz w:val="20"/>
                <w:szCs w:val="20"/>
                <w:color w:val="auto"/>
              </w:rPr>
            </w:pPr>
            <w:r>
              <w:rPr>
                <w:rFonts w:ascii="Arial" w:cs="Arial" w:eastAsia="Arial" w:hAnsi="Arial"/>
                <w:sz w:val="14"/>
                <w:szCs w:val="14"/>
                <w:color w:val="auto"/>
              </w:rPr>
              <w:t>(72)</w:t>
            </w: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9"/>
        </w:trPr>
        <w:tc>
          <w:tcPr>
            <w:tcW w:w="3780" w:type="dxa"/>
            <w:vAlign w:val="bottom"/>
          </w:tcPr>
          <w:p>
            <w:pPr>
              <w:ind w:left="140"/>
              <w:spacing w:after="0" w:line="149" w:lineRule="exact"/>
              <w:rPr>
                <w:sz w:val="20"/>
                <w:szCs w:val="20"/>
                <w:color w:val="auto"/>
              </w:rPr>
            </w:pPr>
            <w:r>
              <w:rPr>
                <w:rFonts w:ascii="Arial" w:cs="Arial" w:eastAsia="Arial" w:hAnsi="Arial"/>
                <w:sz w:val="14"/>
                <w:szCs w:val="14"/>
                <w:color w:val="auto"/>
              </w:rPr>
              <w:t>Deferred</w:t>
            </w:r>
          </w:p>
        </w:tc>
        <w:tc>
          <w:tcPr>
            <w:tcW w:w="52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121</w:t>
            </w:r>
          </w:p>
        </w:tc>
        <w:tc>
          <w:tcPr>
            <w:tcW w:w="180" w:type="dxa"/>
            <w:vAlign w:val="bottom"/>
          </w:tcPr>
          <w:p>
            <w:pPr>
              <w:spacing w:after="0"/>
              <w:rPr>
                <w:sz w:val="12"/>
                <w:szCs w:val="12"/>
                <w:color w:val="auto"/>
              </w:rPr>
            </w:pPr>
          </w:p>
        </w:tc>
        <w:tc>
          <w:tcPr>
            <w:tcW w:w="460" w:type="dxa"/>
            <w:vAlign w:val="bottom"/>
          </w:tcPr>
          <w:p>
            <w:pPr>
              <w:jc w:val="right"/>
              <w:ind w:right="9"/>
              <w:spacing w:after="0" w:line="149" w:lineRule="exact"/>
              <w:rPr>
                <w:sz w:val="20"/>
                <w:szCs w:val="20"/>
                <w:color w:val="auto"/>
              </w:rPr>
            </w:pPr>
            <w:r>
              <w:rPr>
                <w:rFonts w:ascii="Arial" w:cs="Arial" w:eastAsia="Arial" w:hAnsi="Arial"/>
                <w:sz w:val="14"/>
                <w:szCs w:val="14"/>
                <w:color w:val="auto"/>
              </w:rPr>
              <w:t>(414)</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State and local</w:t>
            </w:r>
          </w:p>
        </w:tc>
        <w:tc>
          <w:tcPr>
            <w:tcW w:w="5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133</w:t>
            </w:r>
          </w:p>
        </w:tc>
        <w:tc>
          <w:tcPr>
            <w:tcW w:w="18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56"/>
        </w:trPr>
        <w:tc>
          <w:tcPr>
            <w:tcW w:w="378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Total United States</w:t>
            </w:r>
          </w:p>
        </w:tc>
        <w:tc>
          <w:tcPr>
            <w:tcW w:w="52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1,401</w:t>
            </w:r>
          </w:p>
        </w:tc>
        <w:tc>
          <w:tcPr>
            <w:tcW w:w="18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(465)</w:t>
            </w:r>
          </w:p>
        </w:tc>
        <w:tc>
          <w:tcPr>
            <w:tcW w:w="160" w:type="dxa"/>
            <w:vAlign w:val="bottom"/>
            <w:tcBorders>
              <w:bottom w:val="single" w:sz="8" w:color="0070FF"/>
            </w:tcBorders>
          </w:tcPr>
          <w:p>
            <w:pPr>
              <w:spacing w:after="0"/>
              <w:rPr>
                <w:sz w:val="13"/>
                <w:szCs w:val="13"/>
                <w:color w:val="auto"/>
              </w:rPr>
            </w:pP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37"/>
        </w:trPr>
        <w:tc>
          <w:tcPr>
            <w:tcW w:w="3780" w:type="dxa"/>
            <w:vAlign w:val="bottom"/>
          </w:tcPr>
          <w:p>
            <w:pPr>
              <w:ind w:left="140"/>
              <w:spacing w:after="0" w:line="137" w:lineRule="exact"/>
              <w:rPr>
                <w:sz w:val="20"/>
                <w:szCs w:val="20"/>
                <w:color w:val="auto"/>
              </w:rPr>
            </w:pPr>
            <w:r>
              <w:rPr>
                <w:rFonts w:ascii="Arial" w:cs="Arial" w:eastAsia="Arial" w:hAnsi="Arial"/>
                <w:sz w:val="14"/>
                <w:szCs w:val="14"/>
                <w:color w:val="auto"/>
              </w:rPr>
              <w:t>International</w:t>
            </w:r>
          </w:p>
        </w:tc>
        <w:tc>
          <w:tcPr>
            <w:tcW w:w="5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3,900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80" w:type="dxa"/>
            <w:vAlign w:val="bottom"/>
          </w:tcPr>
          <w:p>
            <w:pPr>
              <w:ind w:left="140"/>
              <w:spacing w:after="0" w:line="145" w:lineRule="exact"/>
              <w:rPr>
                <w:sz w:val="20"/>
                <w:szCs w:val="20"/>
                <w:color w:val="auto"/>
              </w:rPr>
            </w:pPr>
            <w:r>
              <w:rPr>
                <w:rFonts w:ascii="Arial" w:cs="Arial" w:eastAsia="Arial" w:hAnsi="Arial"/>
                <w:sz w:val="14"/>
                <w:szCs w:val="14"/>
                <w:color w:val="auto"/>
              </w:rPr>
              <w:t>Current</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69"/>
              <w:spacing w:after="0" w:line="145" w:lineRule="exact"/>
              <w:rPr>
                <w:sz w:val="20"/>
                <w:szCs w:val="20"/>
                <w:color w:val="auto"/>
              </w:rPr>
            </w:pPr>
            <w:r>
              <w:rPr>
                <w:rFonts w:ascii="Arial" w:cs="Arial" w:eastAsia="Arial" w:hAnsi="Arial"/>
                <w:sz w:val="14"/>
                <w:szCs w:val="14"/>
                <w:color w:val="auto"/>
                <w:w w:val="85"/>
              </w:rPr>
              <w:t>3,156</w:t>
            </w:r>
          </w:p>
        </w:tc>
        <w:tc>
          <w:tcPr>
            <w:tcW w:w="16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w w:val="85"/>
              </w:rPr>
              <w:t>3,764</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Deferred</w:t>
            </w:r>
          </w:p>
        </w:tc>
        <w:tc>
          <w:tcPr>
            <w:tcW w:w="5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43</w:t>
            </w:r>
          </w:p>
        </w:tc>
        <w:tc>
          <w:tcPr>
            <w:tcW w:w="18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333</w:t>
            </w:r>
          </w:p>
        </w:tc>
        <w:tc>
          <w:tcPr>
            <w:tcW w:w="16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378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Total International</w:t>
            </w:r>
          </w:p>
        </w:tc>
        <w:tc>
          <w:tcPr>
            <w:tcW w:w="52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3,943</w:t>
            </w:r>
          </w:p>
        </w:tc>
        <w:tc>
          <w:tcPr>
            <w:tcW w:w="18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w w:val="85"/>
              </w:rPr>
              <w:t>3,489</w:t>
            </w:r>
          </w:p>
        </w:tc>
        <w:tc>
          <w:tcPr>
            <w:tcW w:w="160" w:type="dxa"/>
            <w:vAlign w:val="bottom"/>
            <w:tcBorders>
              <w:bottom w:val="single" w:sz="8" w:color="0070FF"/>
            </w:tcBorders>
          </w:tcPr>
          <w:p>
            <w:pPr>
              <w:spacing w:after="0"/>
              <w:rPr>
                <w:sz w:val="13"/>
                <w:szCs w:val="13"/>
                <w:color w:val="auto"/>
              </w:rPr>
            </w:pP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3,781</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taxes on income</w:t>
            </w:r>
          </w:p>
        </w:tc>
        <w:tc>
          <w:tcPr>
            <w:tcW w:w="52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w w:val="88"/>
              </w:rPr>
              <w:t>$5,344</w:t>
            </w:r>
          </w:p>
        </w:tc>
        <w:tc>
          <w:tcPr>
            <w:tcW w:w="1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w w:val="85"/>
              </w:rPr>
              <w:t>3,024</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4,360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0" w:firstLine="203"/>
        <w:spacing w:after="0" w:line="291" w:lineRule="auto"/>
        <w:rPr>
          <w:sz w:val="20"/>
          <w:szCs w:val="20"/>
          <w:color w:val="auto"/>
        </w:rPr>
      </w:pPr>
      <w:r>
        <w:rPr>
          <w:rFonts w:ascii="Arial" w:cs="Arial" w:eastAsia="Arial" w:hAnsi="Arial"/>
          <w:sz w:val="15"/>
          <w:szCs w:val="15"/>
          <w:color w:val="auto"/>
        </w:rPr>
        <w:t>In 2003, the before-tax income, including related corporate and other charges, for U.S. operations was $5,701, compared with a before-tax loss of $2,140 in 2002 and before-tax income of $1,778 in 2001. For international operations, before-tax income was $7,069, $6,296 and $6,513 in 2003, 2002 and 2001, respectively. U.S. federal income tax expense was reduced by $196, $208 and $202 in 2003, 2002 and 2001, respectively, for business tax credits.</w:t>
      </w:r>
    </w:p>
    <w:p>
      <w:pPr>
        <w:spacing w:after="0" w:line="123" w:lineRule="exact"/>
        <w:rPr>
          <w:sz w:val="20"/>
          <w:szCs w:val="20"/>
          <w:color w:val="auto"/>
        </w:rPr>
      </w:pPr>
    </w:p>
    <w:p>
      <w:pPr>
        <w:ind w:right="200" w:firstLine="200"/>
        <w:spacing w:after="0" w:line="293" w:lineRule="auto"/>
        <w:rPr>
          <w:sz w:val="20"/>
          <w:szCs w:val="20"/>
          <w:color w:val="auto"/>
        </w:rPr>
      </w:pPr>
      <w:r>
        <w:rPr>
          <w:rFonts w:ascii="Arial" w:cs="Arial" w:eastAsia="Arial" w:hAnsi="Arial"/>
          <w:sz w:val="16"/>
          <w:szCs w:val="16"/>
          <w:color w:val="auto"/>
        </w:rPr>
        <w:t>The preceding table does not include a U.S. deferred tax benefit of $191 and a foreign deferred tax expense of $170 associ-</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ated with the adoption of FAS 143, and the related cumulative effect of change in accounting principle.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table also does not include a current U.S. tax benefit of $2 and a U.S.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deferred tax benefit of $142 associated with the extraordinary item in 2001.</w:t>
      </w:r>
    </w:p>
    <w:p>
      <w:pPr>
        <w:spacing w:after="0" w:line="19" w:lineRule="exact"/>
        <w:rPr>
          <w:sz w:val="20"/>
          <w:szCs w:val="20"/>
          <w:color w:val="auto"/>
        </w:rPr>
      </w:pPr>
    </w:p>
    <w:p>
      <w:pPr>
        <w:ind w:right="240" w:firstLine="200"/>
        <w:spacing w:after="0" w:line="288" w:lineRule="auto"/>
        <w:rPr>
          <w:sz w:val="20"/>
          <w:szCs w:val="20"/>
          <w:color w:val="auto"/>
        </w:rPr>
      </w:pPr>
      <w:r>
        <w:rPr>
          <w:rFonts w:ascii="Arial" w:cs="Arial" w:eastAsia="Arial" w:hAnsi="Arial"/>
          <w:sz w:val="16"/>
          <w:szCs w:val="16"/>
          <w:color w:val="auto"/>
        </w:rPr>
        <w:t>The company’s effective income tax rate varied from the U.S. statutory federal income tax rate because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tcBorders>
              <w:bottom w:val="single" w:sz="8" w:color="0070FF"/>
            </w:tcBorders>
            <w:gridSpan w:val="4"/>
          </w:tcPr>
          <w:p>
            <w:pPr>
              <w:jc w:val="right"/>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bottom w:val="single" w:sz="8" w:color="0070FF"/>
            </w:tcBorders>
          </w:tcPr>
          <w:p>
            <w:pPr>
              <w:spacing w:after="0"/>
              <w:rPr>
                <w:sz w:val="12"/>
                <w:szCs w:val="12"/>
                <w:color w:val="auto"/>
              </w:rPr>
            </w:pPr>
          </w:p>
        </w:tc>
        <w:tc>
          <w:tcPr>
            <w:tcW w:w="32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32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208"/>
              <w:spacing w:after="0" w:line="142" w:lineRule="exact"/>
              <w:rPr>
                <w:sz w:val="20"/>
                <w:szCs w:val="20"/>
                <w:color w:val="auto"/>
              </w:rPr>
            </w:pPr>
            <w:r>
              <w:rPr>
                <w:rFonts w:ascii="Arial" w:cs="Arial" w:eastAsia="Arial" w:hAnsi="Arial"/>
                <w:sz w:val="14"/>
                <w:szCs w:val="14"/>
                <w:color w:val="auto"/>
                <w:w w:val="96"/>
              </w:rPr>
              <w:t>2002</w:t>
            </w:r>
          </w:p>
        </w:tc>
        <w:tc>
          <w:tcPr>
            <w:tcW w:w="460" w:type="dxa"/>
            <w:vAlign w:val="bottom"/>
            <w:tcBorders>
              <w:bottom w:val="single" w:sz="8" w:color="0070FF"/>
            </w:tcBorders>
          </w:tcPr>
          <w:p>
            <w:pPr>
              <w:jc w:val="right"/>
              <w:ind w:right="68"/>
              <w:spacing w:after="0" w:line="142" w:lineRule="exact"/>
              <w:rPr>
                <w:sz w:val="20"/>
                <w:szCs w:val="20"/>
                <w:color w:val="auto"/>
              </w:rPr>
            </w:pPr>
            <w:r>
              <w:rPr>
                <w:rFonts w:ascii="Arial" w:cs="Arial" w:eastAsia="Arial" w:hAnsi="Arial"/>
                <w:sz w:val="14"/>
                <w:szCs w:val="14"/>
                <w:color w:val="auto"/>
                <w:w w:val="96"/>
              </w:rPr>
              <w:t>2001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Pr>
          <w:p>
            <w:pPr>
              <w:spacing w:after="0" w:line="143" w:lineRule="exact"/>
              <w:rPr>
                <w:sz w:val="20"/>
                <w:szCs w:val="20"/>
                <w:color w:val="auto"/>
              </w:rPr>
            </w:pPr>
            <w:r>
              <w:rPr>
                <w:rFonts w:ascii="Arial" w:cs="Arial" w:eastAsia="Arial" w:hAnsi="Arial"/>
                <w:sz w:val="14"/>
                <w:szCs w:val="14"/>
                <w:color w:val="auto"/>
              </w:rPr>
              <w:t>U.S. statutory federal income tax rate</w:t>
            </w: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35.0%</w:t>
            </w:r>
          </w:p>
        </w:tc>
        <w:tc>
          <w:tcPr>
            <w:tcW w:w="600" w:type="dxa"/>
            <w:vAlign w:val="bottom"/>
          </w:tcPr>
          <w:p>
            <w:pPr>
              <w:jc w:val="right"/>
              <w:ind w:right="88"/>
              <w:spacing w:after="0" w:line="143" w:lineRule="exact"/>
              <w:rPr>
                <w:sz w:val="20"/>
                <w:szCs w:val="20"/>
                <w:color w:val="auto"/>
              </w:rPr>
            </w:pPr>
            <w:r>
              <w:rPr>
                <w:rFonts w:ascii="Arial" w:cs="Arial" w:eastAsia="Arial" w:hAnsi="Arial"/>
                <w:sz w:val="14"/>
                <w:szCs w:val="14"/>
                <w:color w:val="auto"/>
              </w:rPr>
              <w:t>35.0%</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Effect of income taxes from inter-</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20"/>
              <w:spacing w:after="0" w:line="149" w:lineRule="exact"/>
              <w:rPr>
                <w:sz w:val="20"/>
                <w:szCs w:val="20"/>
                <w:color w:val="auto"/>
              </w:rPr>
            </w:pPr>
            <w:r>
              <w:rPr>
                <w:rFonts w:ascii="Arial" w:cs="Arial" w:eastAsia="Arial" w:hAnsi="Arial"/>
                <w:sz w:val="14"/>
                <w:szCs w:val="14"/>
                <w:color w:val="auto"/>
              </w:rPr>
              <w:t>national operations in excess of</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20"/>
              <w:spacing w:after="0" w:line="149" w:lineRule="exact"/>
              <w:rPr>
                <w:sz w:val="20"/>
                <w:szCs w:val="20"/>
                <w:color w:val="auto"/>
              </w:rPr>
            </w:pPr>
            <w:r>
              <w:rPr>
                <w:rFonts w:ascii="Arial" w:cs="Arial" w:eastAsia="Arial" w:hAnsi="Arial"/>
                <w:sz w:val="14"/>
                <w:szCs w:val="14"/>
                <w:color w:val="auto"/>
              </w:rPr>
              <w:t>taxes at the U.S. statutory rate</w:t>
            </w:r>
          </w:p>
        </w:tc>
        <w:tc>
          <w:tcPr>
            <w:tcW w:w="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29.6</w:t>
            </w:r>
          </w:p>
        </w:tc>
        <w:tc>
          <w:tcPr>
            <w:tcW w:w="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State and local taxes on income, net</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0.5</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60" w:type="dxa"/>
            <w:vAlign w:val="bottom"/>
          </w:tcPr>
          <w:p>
            <w:pPr>
              <w:ind w:left="120"/>
              <w:spacing w:after="0" w:line="145" w:lineRule="exact"/>
              <w:rPr>
                <w:sz w:val="20"/>
                <w:szCs w:val="20"/>
                <w:color w:val="auto"/>
              </w:rPr>
            </w:pPr>
            <w:r>
              <w:rPr>
                <w:rFonts w:ascii="Arial" w:cs="Arial" w:eastAsia="Arial" w:hAnsi="Arial"/>
                <w:sz w:val="14"/>
                <w:szCs w:val="14"/>
                <w:color w:val="auto"/>
              </w:rPr>
              <w:t>of U.S. federal income tax benefit</w:t>
            </w:r>
          </w:p>
        </w:tc>
        <w:tc>
          <w:tcPr>
            <w:tcW w:w="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08"/>
              <w:spacing w:after="0" w:line="145" w:lineRule="exact"/>
              <w:rPr>
                <w:sz w:val="20"/>
                <w:szCs w:val="20"/>
                <w:color w:val="auto"/>
              </w:rPr>
            </w:pPr>
            <w:r>
              <w:rPr>
                <w:rFonts w:ascii="Arial" w:cs="Arial" w:eastAsia="Arial" w:hAnsi="Arial"/>
                <w:sz w:val="14"/>
                <w:szCs w:val="14"/>
                <w:color w:val="auto"/>
              </w:rPr>
              <w:t>1.1</w:t>
            </w:r>
          </w:p>
        </w:tc>
        <w:tc>
          <w:tcPr>
            <w:tcW w:w="460" w:type="dxa"/>
            <w:vAlign w:val="bottom"/>
          </w:tcPr>
          <w:p>
            <w:pPr>
              <w:jc w:val="right"/>
              <w:ind w:right="68"/>
              <w:spacing w:after="0" w:line="145"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Prior-year tax adjustments</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(1.6)</w:t>
            </w:r>
          </w:p>
        </w:tc>
        <w:tc>
          <w:tcPr>
            <w:tcW w:w="6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(7.0)</w:t>
            </w:r>
          </w:p>
        </w:tc>
        <w:tc>
          <w:tcPr>
            <w:tcW w:w="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3"/>
        </w:trPr>
        <w:tc>
          <w:tcPr>
            <w:tcW w:w="3780" w:type="dxa"/>
            <w:vAlign w:val="bottom"/>
            <w:gridSpan w:val="2"/>
          </w:tcPr>
          <w:p>
            <w:pPr>
              <w:spacing w:after="0" w:line="153" w:lineRule="exact"/>
              <w:rPr>
                <w:sz w:val="20"/>
                <w:szCs w:val="20"/>
                <w:color w:val="auto"/>
              </w:rPr>
            </w:pPr>
            <w:r>
              <w:rPr>
                <w:rFonts w:ascii="Arial" w:cs="Arial" w:eastAsia="Arial" w:hAnsi="Arial"/>
                <w:sz w:val="14"/>
                <w:szCs w:val="14"/>
                <w:color w:val="auto"/>
              </w:rPr>
              <w:t>Tax credits</w:t>
            </w:r>
          </w:p>
        </w:tc>
        <w:tc>
          <w:tcPr>
            <w:tcW w:w="64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(1.5)</w:t>
            </w:r>
          </w:p>
        </w:tc>
        <w:tc>
          <w:tcPr>
            <w:tcW w:w="60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(5.0)</w:t>
            </w:r>
          </w:p>
        </w:tc>
        <w:tc>
          <w:tcPr>
            <w:tcW w:w="460" w:type="dxa"/>
            <w:vAlign w:val="bottom"/>
          </w:tcPr>
          <w:p>
            <w:pPr>
              <w:jc w:val="right"/>
              <w:ind w:right="8"/>
              <w:spacing w:after="0" w:line="153"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Effects of enacted changes in tax</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0.3</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20"/>
              <w:spacing w:after="0" w:line="149" w:lineRule="exact"/>
              <w:rPr>
                <w:sz w:val="20"/>
                <w:szCs w:val="20"/>
                <w:color w:val="auto"/>
              </w:rPr>
            </w:pPr>
            <w:r>
              <w:rPr>
                <w:rFonts w:ascii="Arial" w:cs="Arial" w:eastAsia="Arial" w:hAnsi="Arial"/>
                <w:sz w:val="14"/>
                <w:szCs w:val="14"/>
                <w:color w:val="auto"/>
              </w:rPr>
              <w:t>laws/rates on deferred tax liabilities</w:t>
            </w:r>
          </w:p>
        </w:tc>
        <w:tc>
          <w:tcPr>
            <w:tcW w:w="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2.0</w:t>
            </w:r>
          </w:p>
        </w:tc>
        <w:tc>
          <w:tcPr>
            <w:tcW w:w="4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Impairment of investments in</w:t>
            </w: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60" w:type="dxa"/>
            <w:vAlign w:val="bottom"/>
          </w:tcPr>
          <w:p>
            <w:pPr>
              <w:ind w:left="120"/>
              <w:spacing w:after="0" w:line="145" w:lineRule="exact"/>
              <w:rPr>
                <w:sz w:val="20"/>
                <w:szCs w:val="20"/>
                <w:color w:val="auto"/>
              </w:rPr>
            </w:pPr>
            <w:r>
              <w:rPr>
                <w:rFonts w:ascii="Arial" w:cs="Arial" w:eastAsia="Arial" w:hAnsi="Arial"/>
                <w:sz w:val="14"/>
                <w:szCs w:val="14"/>
                <w:color w:val="auto"/>
              </w:rPr>
              <w:t>equity affiliates</w:t>
            </w:r>
          </w:p>
        </w:tc>
        <w:tc>
          <w:tcPr>
            <w:tcW w:w="640" w:type="dxa"/>
            <w:vAlign w:val="bottom"/>
            <w:gridSpan w:val="2"/>
            <w:vMerge w:val="continue"/>
          </w:tcPr>
          <w:p>
            <w:pPr>
              <w:spacing w:after="0"/>
              <w:rPr>
                <w:sz w:val="12"/>
                <w:szCs w:val="12"/>
                <w:color w:val="auto"/>
              </w:rPr>
            </w:pPr>
          </w:p>
        </w:tc>
        <w:tc>
          <w:tcPr>
            <w:tcW w:w="600" w:type="dxa"/>
            <w:vAlign w:val="bottom"/>
          </w:tcPr>
          <w:p>
            <w:pPr>
              <w:jc w:val="right"/>
              <w:ind w:right="208"/>
              <w:spacing w:after="0" w:line="145" w:lineRule="exact"/>
              <w:rPr>
                <w:sz w:val="20"/>
                <w:szCs w:val="20"/>
                <w:color w:val="auto"/>
              </w:rPr>
            </w:pPr>
            <w:r>
              <w:rPr>
                <w:rFonts w:ascii="Arial" w:cs="Arial" w:eastAsia="Arial" w:hAnsi="Arial"/>
                <w:sz w:val="14"/>
                <w:szCs w:val="14"/>
                <w:color w:val="auto"/>
              </w:rPr>
              <w:t>12.4</w:t>
            </w:r>
          </w:p>
        </w:tc>
        <w:tc>
          <w:tcPr>
            <w:tcW w:w="460" w:type="dxa"/>
            <w:vAlign w:val="bottom"/>
          </w:tcPr>
          <w:p>
            <w:pPr>
              <w:jc w:val="right"/>
              <w:ind w:right="68"/>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0070FF"/>
            </w:tcBorders>
            <w:gridSpan w:val="2"/>
          </w:tcPr>
          <w:p>
            <w:pPr>
              <w:jc w:val="right"/>
              <w:ind w:right="260"/>
              <w:spacing w:after="0"/>
              <w:rPr>
                <w:sz w:val="20"/>
                <w:szCs w:val="20"/>
                <w:color w:val="auto"/>
              </w:rPr>
            </w:pPr>
            <w:r>
              <w:rPr>
                <w:rFonts w:ascii="Arial" w:cs="Arial" w:eastAsia="Arial" w:hAnsi="Arial"/>
                <w:sz w:val="14"/>
                <w:szCs w:val="14"/>
                <w:b w:val="1"/>
                <w:bCs w:val="1"/>
                <w:color w:val="auto"/>
              </w:rPr>
              <w:t>(1.9)</w:t>
            </w:r>
          </w:p>
        </w:tc>
        <w:tc>
          <w:tcPr>
            <w:tcW w:w="600" w:type="dxa"/>
            <w:vAlign w:val="bottom"/>
            <w:tcBorders>
              <w:bottom w:val="single" w:sz="8" w:color="0070FF"/>
            </w:tcBorders>
          </w:tcPr>
          <w:p>
            <w:pPr>
              <w:jc w:val="right"/>
              <w:ind w:right="2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7"/>
        </w:trPr>
        <w:tc>
          <w:tcPr>
            <w:tcW w:w="3780" w:type="dxa"/>
            <w:vAlign w:val="bottom"/>
            <w:gridSpan w:val="2"/>
          </w:tcPr>
          <w:p>
            <w:pPr>
              <w:spacing w:after="0" w:line="137" w:lineRule="exact"/>
              <w:rPr>
                <w:sz w:val="20"/>
                <w:szCs w:val="20"/>
                <w:color w:val="auto"/>
              </w:rPr>
            </w:pPr>
            <w:r>
              <w:rPr>
                <w:rFonts w:ascii="Arial" w:cs="Arial" w:eastAsia="Arial" w:hAnsi="Arial"/>
                <w:sz w:val="14"/>
                <w:szCs w:val="14"/>
                <w:color w:val="auto"/>
              </w:rPr>
              <w:t>Consolidated companies</w:t>
            </w:r>
          </w:p>
        </w:tc>
        <w:tc>
          <w:tcPr>
            <w:tcW w:w="32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42.9</w:t>
            </w:r>
          </w:p>
        </w:tc>
        <w:tc>
          <w:tcPr>
            <w:tcW w:w="320" w:type="dxa"/>
            <w:vAlign w:val="bottom"/>
          </w:tcPr>
          <w:p>
            <w:pPr>
              <w:spacing w:after="0"/>
              <w:rPr>
                <w:sz w:val="11"/>
                <w:szCs w:val="11"/>
                <w:color w:val="auto"/>
              </w:rPr>
            </w:pPr>
          </w:p>
        </w:tc>
        <w:tc>
          <w:tcPr>
            <w:tcW w:w="600" w:type="dxa"/>
            <w:vAlign w:val="bottom"/>
          </w:tcPr>
          <w:p>
            <w:pPr>
              <w:jc w:val="right"/>
              <w:ind w:right="208"/>
              <w:spacing w:after="0" w:line="137" w:lineRule="exact"/>
              <w:rPr>
                <w:sz w:val="20"/>
                <w:szCs w:val="20"/>
                <w:color w:val="auto"/>
              </w:rPr>
            </w:pPr>
            <w:r>
              <w:rPr>
                <w:rFonts w:ascii="Arial" w:cs="Arial" w:eastAsia="Arial" w:hAnsi="Arial"/>
                <w:sz w:val="14"/>
                <w:szCs w:val="14"/>
                <w:color w:val="auto"/>
              </w:rPr>
              <w:t>68.1</w:t>
            </w:r>
          </w:p>
        </w:tc>
        <w:tc>
          <w:tcPr>
            <w:tcW w:w="460" w:type="dxa"/>
            <w:vAlign w:val="bottom"/>
          </w:tcPr>
          <w:p>
            <w:pPr>
              <w:jc w:val="right"/>
              <w:ind w:right="68"/>
              <w:spacing w:after="0" w:line="137" w:lineRule="exact"/>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Effect of recording income from</w:t>
            </w: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(1.1)</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certain equity affiliates on an after-tax basis</w:t>
            </w:r>
          </w:p>
        </w:tc>
        <w:tc>
          <w:tcPr>
            <w:tcW w:w="640" w:type="dxa"/>
            <w:vAlign w:val="bottom"/>
            <w:tcBorders>
              <w:bottom w:val="single" w:sz="8" w:color="0070FF"/>
            </w:tcBorders>
            <w:gridSpan w:val="2"/>
            <w:vMerge w:val="continue"/>
          </w:tcPr>
          <w:p>
            <w:pPr>
              <w:spacing w:after="0"/>
              <w:rPr>
                <w:sz w:val="14"/>
                <w:szCs w:val="14"/>
                <w:color w:val="auto"/>
              </w:rPr>
            </w:pPr>
          </w:p>
        </w:tc>
        <w:tc>
          <w:tcPr>
            <w:tcW w:w="600" w:type="dxa"/>
            <w:vAlign w:val="bottom"/>
            <w:tcBorders>
              <w:bottom w:val="single" w:sz="8" w:color="0070FF"/>
            </w:tcBorders>
          </w:tcPr>
          <w:p>
            <w:pPr>
              <w:jc w:val="right"/>
              <w:ind w:right="208"/>
              <w:spacing w:after="0"/>
              <w:rPr>
                <w:sz w:val="20"/>
                <w:szCs w:val="20"/>
                <w:color w:val="auto"/>
              </w:rPr>
            </w:pPr>
            <w:r>
              <w:rPr>
                <w:rFonts w:ascii="Arial" w:cs="Arial" w:eastAsia="Arial" w:hAnsi="Arial"/>
                <w:sz w:val="14"/>
                <w:szCs w:val="14"/>
                <w:color w:val="auto"/>
              </w:rPr>
              <w:t>4.7</w:t>
            </w:r>
          </w:p>
        </w:tc>
        <w:tc>
          <w:tcPr>
            <w:tcW w:w="46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376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Effective tax rate</w:t>
            </w:r>
          </w:p>
        </w:tc>
        <w:tc>
          <w:tcPr>
            <w:tcW w:w="640" w:type="dxa"/>
            <w:vAlign w:val="bottom"/>
            <w:tcBorders>
              <w:bottom w:val="single" w:sz="8" w:color="0070FF"/>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41.8%</w:t>
            </w:r>
          </w:p>
        </w:tc>
        <w:tc>
          <w:tcPr>
            <w:tcW w:w="60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color w:val="auto"/>
              </w:rPr>
              <w:t>72.8%</w:t>
            </w: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bl>
    <w:p>
      <w:pPr>
        <w:spacing w:after="0" w:line="760" w:lineRule="exact"/>
        <w:rPr>
          <w:sz w:val="20"/>
          <w:szCs w:val="20"/>
          <w:color w:val="auto"/>
        </w:rPr>
      </w:pPr>
    </w:p>
    <w:p>
      <w:pPr>
        <w:sectPr>
          <w:pgSz w:w="11900" w:h="16838" w:orient="portrait"/>
          <w:cols w:equalWidth="0" w:num="2">
            <w:col w:w="5480" w:space="400"/>
            <w:col w:w="5540"/>
          </w:cols>
          <w:pgMar w:left="240" w:top="419" w:right="239" w:bottom="1440" w:gutter="0" w:footer="0" w:header="0"/>
          <w:type w:val="continuous"/>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7" w:name="page78"/>
    <w:bookmarkEnd w:id="7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19" w:right="29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0070FF"/>
        </w:rPr>
        <w:t>NOTE 16. TAXES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4" w:lineRule="exact"/>
        <w:rPr>
          <w:sz w:val="20"/>
          <w:szCs w:val="20"/>
          <w:color w:val="auto"/>
        </w:rPr>
      </w:pPr>
    </w:p>
    <w:p>
      <w:pPr>
        <w:ind w:right="20" w:firstLine="203"/>
        <w:spacing w:after="0" w:line="271" w:lineRule="auto"/>
        <w:rPr>
          <w:sz w:val="20"/>
          <w:szCs w:val="20"/>
          <w:color w:val="auto"/>
        </w:rPr>
      </w:pPr>
      <w:r>
        <w:rPr>
          <w:rFonts w:ascii="Arial" w:cs="Arial" w:eastAsia="Arial" w:hAnsi="Arial"/>
          <w:sz w:val="16"/>
          <w:szCs w:val="16"/>
          <w:color w:val="auto"/>
        </w:rPr>
        <w:t>In 2003, the effective tax rate was about 42 percent. The decrease in the effective tax rate in 2003 compared with 2002 resulted from a lower proportion of international taxable income, which is taxed at higher rates than U.S. taxable income, and the absence in 2003 of the 2002 tax effects of the capital losses discussed in the next paragraph.</w:t>
      </w:r>
    </w:p>
    <w:p>
      <w:pPr>
        <w:spacing w:after="0" w:line="136" w:lineRule="exact"/>
        <w:rPr>
          <w:sz w:val="20"/>
          <w:szCs w:val="20"/>
          <w:color w:val="auto"/>
        </w:rPr>
      </w:pPr>
    </w:p>
    <w:p>
      <w:pPr>
        <w:ind w:right="140" w:firstLine="200"/>
        <w:spacing w:after="0" w:line="265" w:lineRule="auto"/>
        <w:rPr>
          <w:sz w:val="20"/>
          <w:szCs w:val="20"/>
          <w:color w:val="auto"/>
        </w:rPr>
      </w:pPr>
      <w:r>
        <w:rPr>
          <w:rFonts w:ascii="Arial" w:cs="Arial" w:eastAsia="Arial" w:hAnsi="Arial"/>
          <w:sz w:val="16"/>
          <w:szCs w:val="16"/>
          <w:color w:val="auto"/>
        </w:rPr>
        <w:t>The increase in the 2002 effective tax rate from 2001 was due to a number of factors. One reason was that U.S. before-tax income (generally subject to a lower tax rate) was a significantly smaller percentage of overall before-tax income in 2002. Another major factor was that the impairment of the investments in Dynegy and Caltex Australia were capital losses for which no offsetting capital gains were available.</w:t>
      </w:r>
    </w:p>
    <w:p>
      <w:pPr>
        <w:jc w:val="both"/>
        <w:ind w:right="60" w:firstLine="200"/>
        <w:spacing w:after="0" w:line="264" w:lineRule="auto"/>
        <w:rPr>
          <w:sz w:val="20"/>
          <w:szCs w:val="20"/>
          <w:color w:val="auto"/>
        </w:rPr>
      </w:pPr>
      <w:r>
        <w:rPr>
          <w:rFonts w:ascii="Arial" w:cs="Arial" w:eastAsia="Arial" w:hAnsi="Arial"/>
          <w:sz w:val="16"/>
          <w:szCs w:val="16"/>
          <w:color w:val="auto"/>
        </w:rPr>
        <w:t>The company records its deferred taxes on a tax-jurisdiction basis and classifies those net amounts as current or noncurrent based on the balance sheet classification of the related assets or liabilities.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reported deferred tax balances are composed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At December 31</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0070FF"/>
            </w:tcBorders>
          </w:tcPr>
          <w:p>
            <w:pPr>
              <w:spacing w:after="0"/>
              <w:rPr>
                <w:sz w:val="12"/>
                <w:szCs w:val="12"/>
                <w:color w:val="auto"/>
              </w:rPr>
            </w:pPr>
          </w:p>
        </w:tc>
        <w:tc>
          <w:tcPr>
            <w:tcW w:w="44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7"/>
        </w:trPr>
        <w:tc>
          <w:tcPr>
            <w:tcW w:w="4280" w:type="dxa"/>
            <w:vAlign w:val="bottom"/>
          </w:tcPr>
          <w:p>
            <w:pPr>
              <w:ind w:left="20"/>
              <w:spacing w:after="0" w:line="137" w:lineRule="exact"/>
              <w:rPr>
                <w:sz w:val="20"/>
                <w:szCs w:val="20"/>
                <w:color w:val="auto"/>
              </w:rPr>
            </w:pPr>
            <w:r>
              <w:rPr>
                <w:rFonts w:ascii="Arial" w:cs="Arial" w:eastAsia="Arial" w:hAnsi="Arial"/>
                <w:sz w:val="14"/>
                <w:szCs w:val="14"/>
                <w:color w:val="auto"/>
              </w:rPr>
              <w:t>Deferred tax liabilities</w:t>
            </w:r>
          </w:p>
        </w:tc>
        <w:tc>
          <w:tcPr>
            <w:tcW w:w="6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8"/>
              </w:rPr>
              <w:t>$ 8,796</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80" w:type="dxa"/>
            <w:vAlign w:val="bottom"/>
          </w:tcPr>
          <w:p>
            <w:pPr>
              <w:ind w:left="140"/>
              <w:spacing w:after="0" w:line="145" w:lineRule="exact"/>
              <w:rPr>
                <w:sz w:val="20"/>
                <w:szCs w:val="20"/>
                <w:color w:val="auto"/>
              </w:rPr>
            </w:pPr>
            <w:r>
              <w:rPr>
                <w:rFonts w:ascii="Arial" w:cs="Arial" w:eastAsia="Arial" w:hAnsi="Arial"/>
                <w:sz w:val="14"/>
                <w:szCs w:val="14"/>
                <w:color w:val="auto"/>
              </w:rPr>
              <w:t>Properties, plant and equipment</w:t>
            </w:r>
          </w:p>
        </w:tc>
        <w:tc>
          <w:tcPr>
            <w:tcW w:w="600" w:type="dxa"/>
            <w:vAlign w:val="bottom"/>
            <w:vMerge w:val="continue"/>
          </w:tcPr>
          <w:p>
            <w:pPr>
              <w:spacing w:after="0"/>
              <w:rPr>
                <w:sz w:val="12"/>
                <w:szCs w:val="12"/>
                <w:color w:val="auto"/>
              </w:rPr>
            </w:pPr>
          </w:p>
        </w:tc>
        <w:tc>
          <w:tcPr>
            <w:tcW w:w="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7,818</w:t>
            </w:r>
          </w:p>
        </w:tc>
        <w:tc>
          <w:tcPr>
            <w:tcW w:w="0" w:type="dxa"/>
            <w:vAlign w:val="bottom"/>
          </w:tcPr>
          <w:p>
            <w:pPr>
              <w:spacing w:after="0"/>
              <w:rPr>
                <w:sz w:val="1"/>
                <w:szCs w:val="1"/>
                <w:color w:val="auto"/>
              </w:rPr>
            </w:pPr>
          </w:p>
        </w:tc>
      </w:tr>
      <w:tr>
        <w:trPr>
          <w:trHeight w:val="149"/>
        </w:trPr>
        <w:tc>
          <w:tcPr>
            <w:tcW w:w="4280" w:type="dxa"/>
            <w:vAlign w:val="bottom"/>
          </w:tcPr>
          <w:p>
            <w:pPr>
              <w:ind w:left="140"/>
              <w:spacing w:after="0" w:line="149" w:lineRule="exact"/>
              <w:rPr>
                <w:sz w:val="20"/>
                <w:szCs w:val="20"/>
                <w:color w:val="auto"/>
              </w:rPr>
            </w:pPr>
            <w:r>
              <w:rPr>
                <w:rFonts w:ascii="Arial" w:cs="Arial" w:eastAsia="Arial" w:hAnsi="Arial"/>
                <w:sz w:val="14"/>
                <w:szCs w:val="14"/>
                <w:color w:val="auto"/>
              </w:rPr>
              <w:t>Inventory</w:t>
            </w:r>
          </w:p>
        </w:tc>
        <w:tc>
          <w:tcPr>
            <w:tcW w:w="60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(57)</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Investments and other</w:t>
            </w:r>
          </w:p>
        </w:tc>
        <w:tc>
          <w:tcPr>
            <w:tcW w:w="60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602</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56"/>
        </w:trPr>
        <w:tc>
          <w:tcPr>
            <w:tcW w:w="428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Total deferred tax liabilities</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9,341</w:t>
            </w:r>
          </w:p>
        </w:tc>
        <w:tc>
          <w:tcPr>
            <w:tcW w:w="1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8,353</w:t>
            </w:r>
          </w:p>
        </w:tc>
        <w:tc>
          <w:tcPr>
            <w:tcW w:w="0" w:type="dxa"/>
            <w:vAlign w:val="bottom"/>
          </w:tcPr>
          <w:p>
            <w:pPr>
              <w:spacing w:after="0"/>
              <w:rPr>
                <w:sz w:val="1"/>
                <w:szCs w:val="1"/>
                <w:color w:val="auto"/>
              </w:rPr>
            </w:pPr>
          </w:p>
        </w:tc>
      </w:tr>
      <w:tr>
        <w:trPr>
          <w:trHeight w:val="137"/>
        </w:trPr>
        <w:tc>
          <w:tcPr>
            <w:tcW w:w="4280" w:type="dxa"/>
            <w:vAlign w:val="bottom"/>
          </w:tcPr>
          <w:p>
            <w:pPr>
              <w:ind w:left="20"/>
              <w:spacing w:after="0" w:line="137" w:lineRule="exact"/>
              <w:rPr>
                <w:sz w:val="20"/>
                <w:szCs w:val="20"/>
                <w:color w:val="auto"/>
              </w:rPr>
            </w:pPr>
            <w:r>
              <w:rPr>
                <w:rFonts w:ascii="Arial" w:cs="Arial" w:eastAsia="Arial" w:hAnsi="Arial"/>
                <w:sz w:val="14"/>
                <w:szCs w:val="14"/>
                <w:color w:val="auto"/>
              </w:rPr>
              <w:t>Deferred tax assets</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(1,221)</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80" w:type="dxa"/>
            <w:vAlign w:val="bottom"/>
          </w:tcPr>
          <w:p>
            <w:pPr>
              <w:ind w:left="140"/>
              <w:spacing w:after="0" w:line="145" w:lineRule="exact"/>
              <w:rPr>
                <w:sz w:val="20"/>
                <w:szCs w:val="20"/>
                <w:color w:val="auto"/>
              </w:rPr>
            </w:pPr>
            <w:r>
              <w:rPr>
                <w:rFonts w:ascii="Arial" w:cs="Arial" w:eastAsia="Arial" w:hAnsi="Arial"/>
                <w:sz w:val="14"/>
                <w:szCs w:val="14"/>
                <w:color w:val="auto"/>
              </w:rPr>
              <w:t>Abandonment/environmental reserves</w:t>
            </w: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49"/>
        </w:trPr>
        <w:tc>
          <w:tcPr>
            <w:tcW w:w="4280" w:type="dxa"/>
            <w:vAlign w:val="bottom"/>
          </w:tcPr>
          <w:p>
            <w:pPr>
              <w:ind w:left="140"/>
              <w:spacing w:after="0" w:line="149" w:lineRule="exact"/>
              <w:rPr>
                <w:sz w:val="20"/>
                <w:szCs w:val="20"/>
                <w:color w:val="auto"/>
              </w:rPr>
            </w:pPr>
            <w:r>
              <w:rPr>
                <w:rFonts w:ascii="Arial" w:cs="Arial" w:eastAsia="Arial" w:hAnsi="Arial"/>
                <w:sz w:val="14"/>
                <w:szCs w:val="14"/>
                <w:color w:val="auto"/>
              </w:rPr>
              <w:t>Employee benefits</w:t>
            </w:r>
          </w:p>
        </w:tc>
        <w:tc>
          <w:tcPr>
            <w:tcW w:w="60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(1,272)</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4"/>
              </w:rPr>
              <w:t>(1,414)</w:t>
            </w:r>
          </w:p>
        </w:tc>
        <w:tc>
          <w:tcPr>
            <w:tcW w:w="0" w:type="dxa"/>
            <w:vAlign w:val="bottom"/>
          </w:tcPr>
          <w:p>
            <w:pPr>
              <w:spacing w:after="0"/>
              <w:rPr>
                <w:sz w:val="1"/>
                <w:szCs w:val="1"/>
                <w:color w:val="auto"/>
              </w:rPr>
            </w:pPr>
          </w:p>
        </w:tc>
      </w:tr>
      <w:tr>
        <w:trPr>
          <w:trHeight w:val="149"/>
        </w:trPr>
        <w:tc>
          <w:tcPr>
            <w:tcW w:w="4280" w:type="dxa"/>
            <w:vAlign w:val="bottom"/>
          </w:tcPr>
          <w:p>
            <w:pPr>
              <w:ind w:left="140"/>
              <w:spacing w:after="0" w:line="149" w:lineRule="exact"/>
              <w:rPr>
                <w:sz w:val="20"/>
                <w:szCs w:val="20"/>
                <w:color w:val="auto"/>
              </w:rPr>
            </w:pPr>
            <w:r>
              <w:rPr>
                <w:rFonts w:ascii="Arial" w:cs="Arial" w:eastAsia="Arial" w:hAnsi="Arial"/>
                <w:sz w:val="14"/>
                <w:szCs w:val="14"/>
                <w:color w:val="auto"/>
              </w:rPr>
              <w:t>Tax loss carryforwards</w:t>
            </w:r>
          </w:p>
        </w:tc>
        <w:tc>
          <w:tcPr>
            <w:tcW w:w="60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(956)</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49"/>
        </w:trPr>
        <w:tc>
          <w:tcPr>
            <w:tcW w:w="4280" w:type="dxa"/>
            <w:vAlign w:val="bottom"/>
          </w:tcPr>
          <w:p>
            <w:pPr>
              <w:ind w:left="140"/>
              <w:spacing w:after="0" w:line="149" w:lineRule="exact"/>
              <w:rPr>
                <w:sz w:val="20"/>
                <w:szCs w:val="20"/>
                <w:color w:val="auto"/>
              </w:rPr>
            </w:pPr>
            <w:r>
              <w:rPr>
                <w:rFonts w:ascii="Arial" w:cs="Arial" w:eastAsia="Arial" w:hAnsi="Arial"/>
                <w:sz w:val="14"/>
                <w:szCs w:val="14"/>
                <w:color w:val="auto"/>
              </w:rPr>
              <w:t>AMT/other tax credits</w:t>
            </w:r>
          </w:p>
        </w:tc>
        <w:tc>
          <w:tcPr>
            <w:tcW w:w="60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(352)</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4280" w:type="dxa"/>
            <w:vAlign w:val="bottom"/>
          </w:tcPr>
          <w:p>
            <w:pPr>
              <w:ind w:left="140"/>
              <w:spacing w:after="0" w:line="149" w:lineRule="exact"/>
              <w:rPr>
                <w:sz w:val="20"/>
                <w:szCs w:val="20"/>
                <w:color w:val="auto"/>
              </w:rPr>
            </w:pPr>
            <w:r>
              <w:rPr>
                <w:rFonts w:ascii="Arial" w:cs="Arial" w:eastAsia="Arial" w:hAnsi="Arial"/>
                <w:sz w:val="14"/>
                <w:szCs w:val="14"/>
                <w:color w:val="auto"/>
              </w:rPr>
              <w:t>Other accrued liabilities</w:t>
            </w:r>
          </w:p>
        </w:tc>
        <w:tc>
          <w:tcPr>
            <w:tcW w:w="60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(199)</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0070FF"/>
            </w:tcBorders>
          </w:tcPr>
          <w:p>
            <w:pPr>
              <w:ind w:left="140"/>
              <w:spacing w:after="0"/>
              <w:rPr>
                <w:sz w:val="20"/>
                <w:szCs w:val="20"/>
                <w:color w:val="auto"/>
              </w:rPr>
            </w:pPr>
            <w:r>
              <w:rPr>
                <w:rFonts w:ascii="Arial" w:cs="Arial" w:eastAsia="Arial" w:hAnsi="Arial"/>
                <w:sz w:val="14"/>
                <w:szCs w:val="14"/>
                <w:color w:val="auto"/>
              </w:rPr>
              <w:t>Miscellaneous</w:t>
            </w:r>
          </w:p>
        </w:tc>
        <w:tc>
          <w:tcPr>
            <w:tcW w:w="600" w:type="dxa"/>
            <w:vAlign w:val="bottom"/>
            <w:tcBorders>
              <w:bottom w:val="single" w:sz="8" w:color="0070FF"/>
            </w:tcBorders>
          </w:tcPr>
          <w:p>
            <w:pPr>
              <w:jc w:val="right"/>
              <w:ind w:right="9"/>
              <w:spacing w:after="0"/>
              <w:rPr>
                <w:sz w:val="20"/>
                <w:szCs w:val="20"/>
                <w:color w:val="auto"/>
              </w:rPr>
            </w:pPr>
            <w:r>
              <w:rPr>
                <w:rFonts w:ascii="Arial" w:cs="Arial" w:eastAsia="Arial" w:hAnsi="Arial"/>
                <w:sz w:val="14"/>
                <w:szCs w:val="14"/>
                <w:b w:val="1"/>
                <w:bCs w:val="1"/>
                <w:color w:val="auto"/>
              </w:rPr>
              <w:t>(2,034)</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94"/>
              </w:rPr>
              <w:t>(1,927)</w:t>
            </w:r>
          </w:p>
        </w:tc>
        <w:tc>
          <w:tcPr>
            <w:tcW w:w="0" w:type="dxa"/>
            <w:vAlign w:val="bottom"/>
          </w:tcPr>
          <w:p>
            <w:pPr>
              <w:spacing w:after="0"/>
              <w:rPr>
                <w:sz w:val="1"/>
                <w:szCs w:val="1"/>
                <w:color w:val="auto"/>
              </w:rPr>
            </w:pPr>
          </w:p>
        </w:tc>
      </w:tr>
      <w:tr>
        <w:trPr>
          <w:trHeight w:val="156"/>
        </w:trPr>
        <w:tc>
          <w:tcPr>
            <w:tcW w:w="428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Total deferred tax assets</w:t>
            </w:r>
          </w:p>
        </w:tc>
        <w:tc>
          <w:tcPr>
            <w:tcW w:w="60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b w:val="1"/>
                <w:bCs w:val="1"/>
                <w:color w:val="auto"/>
              </w:rPr>
              <w:t>(6,034)</w:t>
            </w:r>
          </w:p>
        </w:tc>
        <w:tc>
          <w:tcPr>
            <w:tcW w:w="1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4"/>
              </w:rPr>
              <w:t>(5,604)</w:t>
            </w:r>
          </w:p>
        </w:tc>
        <w:tc>
          <w:tcPr>
            <w:tcW w:w="0" w:type="dxa"/>
            <w:vAlign w:val="bottom"/>
          </w:tcPr>
          <w:p>
            <w:pPr>
              <w:spacing w:after="0"/>
              <w:rPr>
                <w:sz w:val="1"/>
                <w:szCs w:val="1"/>
                <w:color w:val="auto"/>
              </w:rPr>
            </w:pPr>
          </w:p>
        </w:tc>
      </w:tr>
      <w:tr>
        <w:trPr>
          <w:trHeight w:val="156"/>
        </w:trPr>
        <w:tc>
          <w:tcPr>
            <w:tcW w:w="428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Deferred tax assets valuation allowance</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1,553</w:t>
            </w:r>
          </w:p>
        </w:tc>
        <w:tc>
          <w:tcPr>
            <w:tcW w:w="1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deferred taxes, net</w:t>
            </w:r>
          </w:p>
        </w:tc>
        <w:tc>
          <w:tcPr>
            <w:tcW w:w="60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w w:val="98"/>
              </w:rPr>
              <w:t>$ 4,860</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4,489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200"/>
        <w:spacing w:after="0" w:line="288" w:lineRule="auto"/>
        <w:rPr>
          <w:sz w:val="20"/>
          <w:szCs w:val="20"/>
          <w:color w:val="auto"/>
        </w:rPr>
      </w:pPr>
      <w:r>
        <w:rPr>
          <w:rFonts w:ascii="Arial" w:cs="Arial" w:eastAsia="Arial" w:hAnsi="Arial"/>
          <w:sz w:val="15"/>
          <w:szCs w:val="15"/>
          <w:color w:val="auto"/>
        </w:rPr>
        <w:t>The valuation allowance relates to foreign tax credit carry-forwards, tax loss carryforwards and temporary differences for which no benefit is expected to be realized. The decrease in the valuation allowance relates primarily to the expiration of foreign tax credits and to the release of the valuation allowance on certain net operating losses, which management believes will now be realized. Tax loss carryforwards exist in many foreign jurisdictions and expire at various times beginning 2004 through 2010. However, some of these tax loss carryforwards do not have an expiration date.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 December 31, 2003 and 2002, deferred taxes were classified in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100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w w:val="96"/>
              </w:rPr>
              <w:t>At December 31</w:t>
            </w:r>
          </w:p>
        </w:tc>
      </w:tr>
      <w:tr>
        <w:trPr>
          <w:trHeight w:val="142"/>
        </w:trPr>
        <w:tc>
          <w:tcPr>
            <w:tcW w:w="440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460" w:type="dxa"/>
            <w:vAlign w:val="bottom"/>
            <w:tcBorders>
              <w:bottom w:val="single" w:sz="8" w:color="0070FF"/>
            </w:tcBorders>
          </w:tcPr>
          <w:p>
            <w:pPr>
              <w:jc w:val="right"/>
              <w:ind w:right="69"/>
              <w:spacing w:after="0" w:line="142" w:lineRule="exact"/>
              <w:rPr>
                <w:sz w:val="20"/>
                <w:szCs w:val="20"/>
                <w:color w:val="auto"/>
              </w:rPr>
            </w:pPr>
            <w:r>
              <w:rPr>
                <w:rFonts w:ascii="Arial" w:cs="Arial" w:eastAsia="Arial" w:hAnsi="Arial"/>
                <w:sz w:val="14"/>
                <w:szCs w:val="14"/>
                <w:b w:val="1"/>
                <w:bCs w:val="1"/>
                <w:color w:val="auto"/>
                <w:w w:val="96"/>
              </w:rPr>
              <w:t>2003</w:t>
            </w:r>
          </w:p>
        </w:tc>
        <w:tc>
          <w:tcPr>
            <w:tcW w:w="160" w:type="dxa"/>
            <w:vAlign w:val="bottom"/>
            <w:tcBorders>
              <w:bottom w:val="single" w:sz="8" w:color="0070FF"/>
            </w:tcBorders>
          </w:tcPr>
          <w:p>
            <w:pPr>
              <w:spacing w:after="0"/>
              <w:rPr>
                <w:sz w:val="12"/>
                <w:szCs w:val="12"/>
                <w:color w:val="auto"/>
              </w:rPr>
            </w:pPr>
          </w:p>
        </w:tc>
        <w:tc>
          <w:tcPr>
            <w:tcW w:w="3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w w:val="96"/>
              </w:rPr>
              <w:t>2002</w:t>
            </w:r>
          </w:p>
        </w:tc>
      </w:tr>
      <w:tr>
        <w:trPr>
          <w:trHeight w:val="133"/>
        </w:trPr>
        <w:tc>
          <w:tcPr>
            <w:tcW w:w="4400" w:type="dxa"/>
            <w:vAlign w:val="bottom"/>
          </w:tcPr>
          <w:p>
            <w:pPr>
              <w:ind w:left="20"/>
              <w:spacing w:after="0" w:line="133"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ind w:right="9"/>
              <w:spacing w:after="0" w:line="133" w:lineRule="exact"/>
              <w:rPr>
                <w:sz w:val="20"/>
                <w:szCs w:val="20"/>
                <w:color w:val="auto"/>
              </w:rPr>
            </w:pPr>
            <w:r>
              <w:rPr>
                <w:rFonts w:ascii="Arial" w:cs="Arial" w:eastAsia="Arial" w:hAnsi="Arial"/>
                <w:sz w:val="14"/>
                <w:szCs w:val="14"/>
                <w:b w:val="1"/>
                <w:bCs w:val="1"/>
                <w:color w:val="auto"/>
              </w:rPr>
              <w:t>(940)</w:t>
            </w:r>
          </w:p>
        </w:tc>
        <w:tc>
          <w:tcPr>
            <w:tcW w:w="1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33" w:lineRule="exact"/>
              <w:rPr>
                <w:sz w:val="20"/>
                <w:szCs w:val="20"/>
                <w:color w:val="auto"/>
              </w:rPr>
            </w:pPr>
            <w:r>
              <w:rPr>
                <w:rFonts w:ascii="Arial" w:cs="Arial" w:eastAsia="Arial" w:hAnsi="Arial"/>
                <w:sz w:val="14"/>
                <w:szCs w:val="14"/>
                <w:color w:val="auto"/>
              </w:rPr>
              <w:t>(760)</w:t>
            </w:r>
          </w:p>
        </w:tc>
      </w:tr>
      <w:tr>
        <w:trPr>
          <w:trHeight w:val="149"/>
        </w:trPr>
        <w:tc>
          <w:tcPr>
            <w:tcW w:w="4400" w:type="dxa"/>
            <w:vAlign w:val="bottom"/>
          </w:tcPr>
          <w:p>
            <w:pPr>
              <w:ind w:left="20"/>
              <w:spacing w:after="0" w:line="149" w:lineRule="exact"/>
              <w:rPr>
                <w:sz w:val="20"/>
                <w:szCs w:val="20"/>
                <w:color w:val="auto"/>
              </w:rPr>
            </w:pPr>
            <w:r>
              <w:rPr>
                <w:rFonts w:ascii="Arial" w:cs="Arial" w:eastAsia="Arial" w:hAnsi="Arial"/>
                <w:sz w:val="14"/>
                <w:szCs w:val="14"/>
                <w:color w:val="auto"/>
              </w:rPr>
              <w:t>Deferred charges and other assets</w:t>
            </w:r>
          </w:p>
        </w:tc>
        <w:tc>
          <w:tcPr>
            <w:tcW w:w="80" w:type="dxa"/>
            <w:vAlign w:val="bottom"/>
          </w:tcPr>
          <w:p>
            <w:pPr>
              <w:spacing w:after="0"/>
              <w:rPr>
                <w:sz w:val="12"/>
                <w:szCs w:val="12"/>
                <w:color w:val="auto"/>
              </w:rPr>
            </w:pPr>
          </w:p>
        </w:tc>
        <w:tc>
          <w:tcPr>
            <w:tcW w:w="46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(641)</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(455)</w:t>
            </w:r>
          </w:p>
        </w:tc>
      </w:tr>
      <w:tr>
        <w:trPr>
          <w:trHeight w:val="149"/>
        </w:trPr>
        <w:tc>
          <w:tcPr>
            <w:tcW w:w="4400" w:type="dxa"/>
            <w:vAlign w:val="bottom"/>
          </w:tcPr>
          <w:p>
            <w:pPr>
              <w:ind w:left="20"/>
              <w:spacing w:after="0" w:line="149" w:lineRule="exact"/>
              <w:rPr>
                <w:sz w:val="20"/>
                <w:szCs w:val="20"/>
                <w:color w:val="auto"/>
              </w:rPr>
            </w:pPr>
            <w:r>
              <w:rPr>
                <w:rFonts w:ascii="Arial" w:cs="Arial" w:eastAsia="Arial" w:hAnsi="Arial"/>
                <w:sz w:val="14"/>
                <w:szCs w:val="14"/>
                <w:color w:val="auto"/>
              </w:rPr>
              <w:t>Federal and other taxes on income</w:t>
            </w:r>
          </w:p>
        </w:tc>
        <w:tc>
          <w:tcPr>
            <w:tcW w:w="80" w:type="dxa"/>
            <w:vAlign w:val="bottom"/>
          </w:tcPr>
          <w:p>
            <w:pPr>
              <w:spacing w:after="0"/>
              <w:rPr>
                <w:sz w:val="12"/>
                <w:szCs w:val="12"/>
                <w:color w:val="auto"/>
              </w:rPr>
            </w:pPr>
          </w:p>
        </w:tc>
        <w:tc>
          <w:tcPr>
            <w:tcW w:w="460" w:type="dxa"/>
            <w:vAlign w:val="bottom"/>
          </w:tcPr>
          <w:p>
            <w:pPr>
              <w:jc w:val="right"/>
              <w:ind w:right="69"/>
              <w:spacing w:after="0" w:line="149" w:lineRule="exact"/>
              <w:rPr>
                <w:sz w:val="20"/>
                <w:szCs w:val="20"/>
                <w:color w:val="auto"/>
              </w:rPr>
            </w:pPr>
            <w:r>
              <w:rPr>
                <w:rFonts w:ascii="Arial" w:cs="Arial" w:eastAsia="Arial" w:hAnsi="Arial"/>
                <w:sz w:val="14"/>
                <w:szCs w:val="14"/>
                <w:b w:val="1"/>
                <w:bCs w:val="1"/>
                <w:color w:val="auto"/>
              </w:rPr>
              <w:t>24</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r>
      <w:tr>
        <w:trPr>
          <w:trHeight w:val="171"/>
        </w:trPr>
        <w:tc>
          <w:tcPr>
            <w:tcW w:w="440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Noncurrent deferred income taxes</w:t>
            </w:r>
          </w:p>
        </w:tc>
        <w:tc>
          <w:tcPr>
            <w:tcW w:w="8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w w:val="85"/>
              </w:rPr>
              <w:t>6,417</w:t>
            </w:r>
          </w:p>
        </w:tc>
        <w:tc>
          <w:tcPr>
            <w:tcW w:w="160" w:type="dxa"/>
            <w:vAlign w:val="bottom"/>
            <w:tcBorders>
              <w:bottom w:val="single" w:sz="8" w:color="0070FF"/>
            </w:tcBorders>
          </w:tcPr>
          <w:p>
            <w:pPr>
              <w:spacing w:after="0"/>
              <w:rPr>
                <w:sz w:val="14"/>
                <w:szCs w:val="14"/>
                <w:color w:val="auto"/>
              </w:rPr>
            </w:pPr>
          </w:p>
        </w:tc>
        <w:tc>
          <w:tcPr>
            <w:tcW w:w="3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85"/>
              </w:rPr>
              <w:t>5,619</w:t>
            </w:r>
          </w:p>
        </w:tc>
      </w:tr>
      <w:tr>
        <w:trPr>
          <w:trHeight w:val="176"/>
        </w:trPr>
        <w:tc>
          <w:tcPr>
            <w:tcW w:w="440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Total deferred income taxes, net</w:t>
            </w: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w w:val="85"/>
              </w:rPr>
              <w:t>4,860</w:t>
            </w:r>
          </w:p>
        </w:tc>
        <w:tc>
          <w:tcPr>
            <w:tcW w:w="1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4,489</w:t>
            </w: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both"/>
        <w:ind w:left="360" w:right="100" w:firstLine="203"/>
        <w:spacing w:after="0" w:line="303" w:lineRule="auto"/>
        <w:rPr>
          <w:sz w:val="20"/>
          <w:szCs w:val="20"/>
          <w:color w:val="auto"/>
        </w:rPr>
      </w:pPr>
      <w:r>
        <w:rPr>
          <w:rFonts w:ascii="Arial" w:cs="Arial" w:eastAsia="Arial" w:hAnsi="Arial"/>
          <w:sz w:val="14"/>
          <w:szCs w:val="14"/>
          <w:color w:val="auto"/>
        </w:rPr>
        <w:t>It is the company’s policy for subsidiaries included in the U.S. consolidated tax return to record income tax expense as though they filed separately, with the parent recording the adjustment to income tax expense for the effects of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-422910</wp:posOffset>
            </wp:positionV>
            <wp:extent cx="8890" cy="638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6380480"/>
                    </a:xfrm>
                    <a:prstGeom prst="rect">
                      <a:avLst/>
                    </a:prstGeom>
                    <a:noFill/>
                  </pic:spPr>
                </pic:pic>
              </a:graphicData>
            </a:graphic>
          </wp:anchor>
        </w:drawing>
      </w:r>
    </w:p>
    <w:p>
      <w:pPr>
        <w:ind w:left="360" w:right="100"/>
        <w:spacing w:after="0" w:line="264" w:lineRule="auto"/>
        <w:rPr>
          <w:sz w:val="20"/>
          <w:szCs w:val="20"/>
          <w:color w:val="auto"/>
        </w:rPr>
      </w:pPr>
      <w:r>
        <w:rPr>
          <w:rFonts w:ascii="Arial" w:cs="Arial" w:eastAsia="Arial" w:hAnsi="Arial"/>
          <w:sz w:val="16"/>
          <w:szCs w:val="16"/>
          <w:color w:val="auto"/>
        </w:rPr>
        <w:t>Income taxes are accrued for retained earnings of international subsidiaries and corporate joint ventures intended to be remitted. Income taxes are not accrued for unremitted earnings of international operations that have been or are intended to be reinvested indefinitely.</w:t>
      </w:r>
    </w:p>
    <w:p>
      <w:pPr>
        <w:spacing w:after="0" w:line="1" w:lineRule="exact"/>
        <w:rPr>
          <w:sz w:val="20"/>
          <w:szCs w:val="20"/>
          <w:color w:val="auto"/>
        </w:rPr>
      </w:pPr>
    </w:p>
    <w:p>
      <w:pPr>
        <w:ind w:left="360" w:right="100" w:firstLine="203"/>
        <w:spacing w:after="0" w:line="281" w:lineRule="auto"/>
        <w:rPr>
          <w:sz w:val="20"/>
          <w:szCs w:val="20"/>
          <w:color w:val="auto"/>
        </w:rPr>
      </w:pPr>
      <w:r>
        <w:rPr>
          <w:rFonts w:ascii="Arial" w:cs="Arial" w:eastAsia="Arial" w:hAnsi="Arial"/>
          <w:sz w:val="15"/>
          <w:szCs w:val="15"/>
          <w:color w:val="auto"/>
        </w:rPr>
        <w:t>Undistributed earnings of international consolidated subsidiaries and affiliates for which no deferred income tax provision has been made for possible future remittances totaled approximately $10,541 at December 31, 2003. Substantially all of this amount represents earnings reinvested as part of the company’s ongoing business. It is not practicable to estimate the amount of taxes that might be payable on the eventual remittance of such earnings. On remittance, certain countries impose withholding taxes that, subject to certain limitations, are then available for use as tax credits against a U.S. tax liability, if any.</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Taxes other than on income were as follows:</w:t>
      </w:r>
    </w:p>
    <w:p>
      <w:pPr>
        <w:spacing w:after="0" w:line="16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spacing w:after="0"/>
              <w:rPr>
                <w:sz w:val="14"/>
                <w:szCs w:val="14"/>
                <w:color w:val="auto"/>
              </w:rPr>
            </w:pPr>
          </w:p>
        </w:tc>
        <w:tc>
          <w:tcPr>
            <w:tcW w:w="1400" w:type="dxa"/>
            <w:vAlign w:val="bottom"/>
            <w:tcBorders>
              <w:bottom w:val="single" w:sz="8" w:color="0070FF"/>
            </w:tcBorders>
            <w:gridSpan w:val="4"/>
          </w:tcPr>
          <w:p>
            <w:pPr>
              <w:jc w:val="right"/>
              <w:spacing w:after="0"/>
              <w:rPr>
                <w:sz w:val="20"/>
                <w:szCs w:val="20"/>
                <w:color w:val="auto"/>
              </w:rPr>
            </w:pPr>
            <w:r>
              <w:rPr>
                <w:rFonts w:ascii="Arial" w:cs="Arial" w:eastAsia="Arial" w:hAnsi="Arial"/>
                <w:sz w:val="14"/>
                <w:szCs w:val="14"/>
                <w:color w:val="auto"/>
                <w:w w:val="84"/>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44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jc w:val="right"/>
              <w:ind w:right="28"/>
              <w:spacing w:after="0" w:line="142" w:lineRule="exact"/>
              <w:rPr>
                <w:sz w:val="20"/>
                <w:szCs w:val="20"/>
                <w:color w:val="auto"/>
              </w:rPr>
            </w:pPr>
            <w:r>
              <w:rPr>
                <w:rFonts w:ascii="Arial" w:cs="Arial" w:eastAsia="Arial" w:hAnsi="Arial"/>
                <w:sz w:val="14"/>
                <w:szCs w:val="14"/>
                <w:color w:val="auto"/>
              </w:rPr>
              <w:t>2002</w:t>
            </w:r>
          </w:p>
        </w:tc>
        <w:tc>
          <w:tcPr>
            <w:tcW w:w="180" w:type="dxa"/>
            <w:vAlign w:val="bottom"/>
            <w:tcBorders>
              <w:bottom w:val="single" w:sz="8" w:color="0070FF"/>
            </w:tcBorders>
          </w:tcPr>
          <w:p>
            <w:pPr>
              <w:spacing w:after="0"/>
              <w:rPr>
                <w:sz w:val="12"/>
                <w:szCs w:val="12"/>
                <w:color w:val="auto"/>
              </w:rPr>
            </w:pPr>
          </w:p>
        </w:tc>
        <w:tc>
          <w:tcPr>
            <w:tcW w:w="4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40" w:type="dxa"/>
            <w:vAlign w:val="bottom"/>
          </w:tcPr>
          <w:p>
            <w:pPr>
              <w:spacing w:after="0" w:line="137" w:lineRule="exact"/>
              <w:rPr>
                <w:sz w:val="20"/>
                <w:szCs w:val="20"/>
                <w:color w:val="auto"/>
              </w:rPr>
            </w:pPr>
            <w:r>
              <w:rPr>
                <w:rFonts w:ascii="Arial" w:cs="Arial" w:eastAsia="Arial" w:hAnsi="Arial"/>
                <w:sz w:val="14"/>
                <w:szCs w:val="14"/>
                <w:color w:val="auto"/>
              </w:rPr>
              <w:t>United States</w:t>
            </w: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3,744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ind w:left="120"/>
              <w:spacing w:after="0" w:line="145" w:lineRule="exact"/>
              <w:rPr>
                <w:sz w:val="20"/>
                <w:szCs w:val="20"/>
                <w:color w:val="auto"/>
              </w:rPr>
            </w:pPr>
            <w:r>
              <w:rPr>
                <w:rFonts w:ascii="Arial" w:cs="Arial" w:eastAsia="Arial" w:hAnsi="Arial"/>
                <w:sz w:val="14"/>
                <w:szCs w:val="14"/>
                <w:color w:val="auto"/>
              </w:rPr>
              <w:t>Excise taxes on products and merchandise</w:t>
            </w:r>
          </w:p>
        </w:tc>
        <w:tc>
          <w:tcPr>
            <w:tcW w:w="58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3,990</w:t>
            </w: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3,954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40" w:type="dxa"/>
            <w:vAlign w:val="bottom"/>
          </w:tcPr>
          <w:p>
            <w:pPr>
              <w:ind w:left="120"/>
              <w:spacing w:after="0" w:line="153" w:lineRule="exact"/>
              <w:rPr>
                <w:sz w:val="20"/>
                <w:szCs w:val="20"/>
                <w:color w:val="auto"/>
              </w:rPr>
            </w:pPr>
            <w:r>
              <w:rPr>
                <w:rFonts w:ascii="Arial" w:cs="Arial" w:eastAsia="Arial" w:hAnsi="Arial"/>
                <w:sz w:val="14"/>
                <w:szCs w:val="14"/>
                <w:color w:val="auto"/>
              </w:rPr>
              <w:t>Import duties and other levies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3"/>
                <w:szCs w:val="13"/>
                <w:color w:val="auto"/>
              </w:rPr>
            </w:pPr>
          </w:p>
        </w:tc>
        <w:tc>
          <w:tcPr>
            <w:tcW w:w="5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3"/>
                <w:szCs w:val="13"/>
                <w:color w:val="auto"/>
              </w:rPr>
            </w:pPr>
          </w:p>
        </w:tc>
        <w:tc>
          <w:tcPr>
            <w:tcW w:w="48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rPr>
              <w:t>Property and other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ind w:left="240"/>
              <w:spacing w:after="0" w:line="145" w:lineRule="exact"/>
              <w:rPr>
                <w:sz w:val="20"/>
                <w:szCs w:val="20"/>
                <w:color w:val="auto"/>
              </w:rPr>
            </w:pPr>
            <w:r>
              <w:rPr>
                <w:rFonts w:ascii="Arial" w:cs="Arial" w:eastAsia="Arial" w:hAnsi="Arial"/>
                <w:sz w:val="14"/>
                <w:szCs w:val="14"/>
                <w:color w:val="auto"/>
              </w:rPr>
              <w:t>miscellaneous taxes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348</w:t>
            </w:r>
          </w:p>
        </w:tc>
        <w:tc>
          <w:tcPr>
            <w:tcW w:w="18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rPr>
              <w:t>Payroll taxes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138</w:t>
            </w:r>
          </w:p>
        </w:tc>
        <w:tc>
          <w:tcPr>
            <w:tcW w:w="240" w:type="dxa"/>
            <w:vAlign w:val="bottom"/>
          </w:tcPr>
          <w:p>
            <w:pPr>
              <w:spacing w:after="0"/>
              <w:rPr>
                <w:sz w:val="12"/>
                <w:szCs w:val="12"/>
                <w:color w:val="auto"/>
              </w:rPr>
            </w:pP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141</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Taxes on production</w:t>
            </w:r>
          </w:p>
        </w:tc>
        <w:tc>
          <w:tcPr>
            <w:tcW w:w="50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244</w:t>
            </w:r>
          </w:p>
        </w:tc>
        <w:tc>
          <w:tcPr>
            <w:tcW w:w="24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179</w:t>
            </w:r>
          </w:p>
        </w:tc>
        <w:tc>
          <w:tcPr>
            <w:tcW w:w="18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Borders>
              <w:bottom w:val="single" w:sz="8" w:color="0070FF"/>
            </w:tcBorders>
          </w:tcPr>
          <w:p>
            <w:pPr>
              <w:ind w:left="240"/>
              <w:spacing w:after="0" w:line="155" w:lineRule="exact"/>
              <w:rPr>
                <w:sz w:val="20"/>
                <w:szCs w:val="20"/>
                <w:color w:val="auto"/>
              </w:rPr>
            </w:pPr>
            <w:r>
              <w:rPr>
                <w:rFonts w:ascii="Arial" w:cs="Arial" w:eastAsia="Arial" w:hAnsi="Arial"/>
                <w:sz w:val="14"/>
                <w:szCs w:val="14"/>
                <w:color w:val="auto"/>
              </w:rPr>
              <w:t>Total United States</w:t>
            </w:r>
          </w:p>
        </w:tc>
        <w:tc>
          <w:tcPr>
            <w:tcW w:w="50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4,446</w:t>
            </w:r>
          </w:p>
        </w:tc>
        <w:tc>
          <w:tcPr>
            <w:tcW w:w="240" w:type="dxa"/>
            <w:vAlign w:val="bottom"/>
            <w:tcBorders>
              <w:bottom w:val="single" w:sz="8" w:color="0070FF"/>
            </w:tcBorders>
          </w:tcPr>
          <w:p>
            <w:pPr>
              <w:spacing w:after="0"/>
              <w:rPr>
                <w:sz w:val="13"/>
                <w:szCs w:val="13"/>
                <w:color w:val="auto"/>
              </w:rPr>
            </w:pPr>
          </w:p>
        </w:tc>
        <w:tc>
          <w:tcPr>
            <w:tcW w:w="5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4,670</w:t>
            </w:r>
          </w:p>
        </w:tc>
        <w:tc>
          <w:tcPr>
            <w:tcW w:w="180" w:type="dxa"/>
            <w:vAlign w:val="bottom"/>
            <w:tcBorders>
              <w:bottom w:val="single" w:sz="8" w:color="0070FF"/>
            </w:tcBorders>
          </w:tcPr>
          <w:p>
            <w:pPr>
              <w:spacing w:after="0"/>
              <w:rPr>
                <w:sz w:val="13"/>
                <w:szCs w:val="13"/>
                <w:color w:val="auto"/>
              </w:rPr>
            </w:pPr>
          </w:p>
        </w:tc>
        <w:tc>
          <w:tcPr>
            <w:tcW w:w="4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4,745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40" w:type="dxa"/>
            <w:vAlign w:val="bottom"/>
          </w:tcPr>
          <w:p>
            <w:pPr>
              <w:spacing w:after="0" w:line="137" w:lineRule="exact"/>
              <w:rPr>
                <w:sz w:val="20"/>
                <w:szCs w:val="20"/>
                <w:color w:val="auto"/>
              </w:rPr>
            </w:pPr>
            <w:r>
              <w:rPr>
                <w:rFonts w:ascii="Arial" w:cs="Arial" w:eastAsia="Arial" w:hAnsi="Arial"/>
                <w:sz w:val="14"/>
                <w:szCs w:val="14"/>
                <w:color w:val="auto"/>
              </w:rPr>
              <w:t>International</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rPr>
              <w:t>Excise taxes on products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3,351</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ind w:left="240"/>
              <w:spacing w:after="0" w:line="145" w:lineRule="exact"/>
              <w:rPr>
                <w:sz w:val="20"/>
                <w:szCs w:val="20"/>
                <w:color w:val="auto"/>
              </w:rPr>
            </w:pPr>
            <w:r>
              <w:rPr>
                <w:rFonts w:ascii="Arial" w:cs="Arial" w:eastAsia="Arial" w:hAnsi="Arial"/>
                <w:sz w:val="14"/>
                <w:szCs w:val="14"/>
                <w:color w:val="auto"/>
              </w:rPr>
              <w:t>and merchandise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3,016</w:t>
            </w:r>
          </w:p>
        </w:tc>
        <w:tc>
          <w:tcPr>
            <w:tcW w:w="18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2,592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40" w:type="dxa"/>
            <w:vAlign w:val="bottom"/>
          </w:tcPr>
          <w:p>
            <w:pPr>
              <w:ind w:left="120"/>
              <w:spacing w:after="0" w:line="153" w:lineRule="exact"/>
              <w:rPr>
                <w:sz w:val="20"/>
                <w:szCs w:val="20"/>
                <w:color w:val="auto"/>
              </w:rPr>
            </w:pPr>
            <w:r>
              <w:rPr>
                <w:rFonts w:ascii="Arial" w:cs="Arial" w:eastAsia="Arial" w:hAnsi="Arial"/>
                <w:sz w:val="14"/>
                <w:szCs w:val="14"/>
                <w:color w:val="auto"/>
              </w:rPr>
              <w:t>Import duties and other levies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9,652</w:t>
            </w:r>
          </w:p>
        </w:tc>
        <w:tc>
          <w:tcPr>
            <w:tcW w:w="240" w:type="dxa"/>
            <w:vAlign w:val="bottom"/>
          </w:tcPr>
          <w:p>
            <w:pPr>
              <w:spacing w:after="0"/>
              <w:rPr>
                <w:sz w:val="13"/>
                <w:szCs w:val="13"/>
                <w:color w:val="auto"/>
              </w:rPr>
            </w:pPr>
          </w:p>
        </w:tc>
        <w:tc>
          <w:tcPr>
            <w:tcW w:w="500" w:type="dxa"/>
            <w:vAlign w:val="bottom"/>
          </w:tcPr>
          <w:p>
            <w:pPr>
              <w:jc w:val="right"/>
              <w:ind w:right="28"/>
              <w:spacing w:after="0" w:line="153" w:lineRule="exact"/>
              <w:rPr>
                <w:sz w:val="20"/>
                <w:szCs w:val="20"/>
                <w:color w:val="auto"/>
              </w:rPr>
            </w:pPr>
            <w:r>
              <w:rPr>
                <w:rFonts w:ascii="Arial" w:cs="Arial" w:eastAsia="Arial" w:hAnsi="Arial"/>
                <w:sz w:val="14"/>
                <w:szCs w:val="14"/>
                <w:color w:val="auto"/>
              </w:rPr>
              <w:t>8,587</w:t>
            </w:r>
          </w:p>
        </w:tc>
        <w:tc>
          <w:tcPr>
            <w:tcW w:w="180" w:type="dxa"/>
            <w:vAlign w:val="bottom"/>
          </w:tcPr>
          <w:p>
            <w:pPr>
              <w:spacing w:after="0"/>
              <w:rPr>
                <w:sz w:val="13"/>
                <w:szCs w:val="13"/>
                <w:color w:val="auto"/>
              </w:rPr>
            </w:pPr>
          </w:p>
        </w:tc>
        <w:tc>
          <w:tcPr>
            <w:tcW w:w="480" w:type="dxa"/>
            <w:vAlign w:val="bottom"/>
          </w:tcPr>
          <w:p>
            <w:pPr>
              <w:jc w:val="right"/>
              <w:spacing w:after="0" w:line="153" w:lineRule="exact"/>
              <w:rPr>
                <w:sz w:val="20"/>
                <w:szCs w:val="20"/>
                <w:color w:val="auto"/>
              </w:rPr>
            </w:pPr>
            <w:r>
              <w:rPr>
                <w:rFonts w:ascii="Arial" w:cs="Arial" w:eastAsia="Arial" w:hAnsi="Arial"/>
                <w:sz w:val="14"/>
                <w:szCs w:val="14"/>
                <w:color w:val="auto"/>
              </w:rPr>
              <w:t>7,461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rPr>
              <w:t>Property and other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320</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ind w:left="240"/>
              <w:spacing w:after="0" w:line="145" w:lineRule="exact"/>
              <w:rPr>
                <w:sz w:val="20"/>
                <w:szCs w:val="20"/>
                <w:color w:val="auto"/>
              </w:rPr>
            </w:pPr>
            <w:r>
              <w:rPr>
                <w:rFonts w:ascii="Arial" w:cs="Arial" w:eastAsia="Arial" w:hAnsi="Arial"/>
                <w:sz w:val="14"/>
                <w:szCs w:val="14"/>
                <w:color w:val="auto"/>
              </w:rPr>
              <w:t>miscellaneous taxes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291</w:t>
            </w:r>
          </w:p>
        </w:tc>
        <w:tc>
          <w:tcPr>
            <w:tcW w:w="18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rPr>
              <w:t>Payroll taxes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w:t>
            </w:r>
          </w:p>
        </w:tc>
        <w:tc>
          <w:tcPr>
            <w:tcW w:w="240" w:type="dxa"/>
            <w:vAlign w:val="bottom"/>
          </w:tcPr>
          <w:p>
            <w:pPr>
              <w:spacing w:after="0"/>
              <w:rPr>
                <w:sz w:val="12"/>
                <w:szCs w:val="12"/>
                <w:color w:val="auto"/>
              </w:rPr>
            </w:pP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Taxes on production</w:t>
            </w:r>
          </w:p>
        </w:tc>
        <w:tc>
          <w:tcPr>
            <w:tcW w:w="50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83</w:t>
            </w:r>
          </w:p>
        </w:tc>
        <w:tc>
          <w:tcPr>
            <w:tcW w:w="24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79</w:t>
            </w:r>
          </w:p>
        </w:tc>
        <w:tc>
          <w:tcPr>
            <w:tcW w:w="18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Borders>
              <w:bottom w:val="single" w:sz="8" w:color="0070FF"/>
            </w:tcBorders>
          </w:tcPr>
          <w:p>
            <w:pPr>
              <w:ind w:left="240"/>
              <w:spacing w:after="0" w:line="155" w:lineRule="exact"/>
              <w:rPr>
                <w:sz w:val="20"/>
                <w:szCs w:val="20"/>
                <w:color w:val="auto"/>
              </w:rPr>
            </w:pPr>
            <w:r>
              <w:rPr>
                <w:rFonts w:ascii="Arial" w:cs="Arial" w:eastAsia="Arial" w:hAnsi="Arial"/>
                <w:sz w:val="14"/>
                <w:szCs w:val="14"/>
                <w:color w:val="auto"/>
              </w:rPr>
              <w:t>Total International</w:t>
            </w:r>
          </w:p>
        </w:tc>
        <w:tc>
          <w:tcPr>
            <w:tcW w:w="500" w:type="dxa"/>
            <w:vAlign w:val="bottom"/>
            <w:tcBorders>
              <w:bottom w:val="single" w:sz="8" w:color="0070FF"/>
            </w:tcBorders>
          </w:tcPr>
          <w:p>
            <w:pPr>
              <w:spacing w:after="0"/>
              <w:rPr>
                <w:sz w:val="13"/>
                <w:szCs w:val="13"/>
                <w:color w:val="auto"/>
              </w:rPr>
            </w:pPr>
          </w:p>
        </w:tc>
        <w:tc>
          <w:tcPr>
            <w:tcW w:w="8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88"/>
              </w:rPr>
              <w:t>13,460</w:t>
            </w:r>
          </w:p>
        </w:tc>
        <w:tc>
          <w:tcPr>
            <w:tcW w:w="240" w:type="dxa"/>
            <w:vAlign w:val="bottom"/>
            <w:tcBorders>
              <w:bottom w:val="single" w:sz="8" w:color="0070FF"/>
            </w:tcBorders>
          </w:tcPr>
          <w:p>
            <w:pPr>
              <w:spacing w:after="0"/>
              <w:rPr>
                <w:sz w:val="13"/>
                <w:szCs w:val="13"/>
                <w:color w:val="auto"/>
              </w:rPr>
            </w:pPr>
          </w:p>
        </w:tc>
        <w:tc>
          <w:tcPr>
            <w:tcW w:w="5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w w:val="88"/>
              </w:rPr>
              <w:t>12,019</w:t>
            </w:r>
          </w:p>
        </w:tc>
        <w:tc>
          <w:tcPr>
            <w:tcW w:w="180" w:type="dxa"/>
            <w:vAlign w:val="bottom"/>
            <w:tcBorders>
              <w:bottom w:val="single" w:sz="8" w:color="0070FF"/>
            </w:tcBorders>
          </w:tcPr>
          <w:p>
            <w:pPr>
              <w:spacing w:after="0"/>
              <w:rPr>
                <w:sz w:val="13"/>
                <w:szCs w:val="13"/>
                <w:color w:val="auto"/>
              </w:rPr>
            </w:pPr>
          </w:p>
        </w:tc>
        <w:tc>
          <w:tcPr>
            <w:tcW w:w="4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3"/>
              </w:rPr>
              <w:t>10,411</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30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 taxes other than on income</w:t>
            </w:r>
          </w:p>
        </w:tc>
        <w:tc>
          <w:tcPr>
            <w:tcW w:w="580" w:type="dxa"/>
            <w:vAlign w:val="bottom"/>
            <w:tcBorders>
              <w:bottom w:val="single" w:sz="8" w:color="0070FF"/>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88"/>
              </w:rPr>
              <w:t>17,906</w:t>
            </w:r>
          </w:p>
        </w:tc>
        <w:tc>
          <w:tcPr>
            <w:tcW w:w="2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w w:val="88"/>
              </w:rPr>
              <w:t>16,689</w:t>
            </w:r>
          </w:p>
        </w:tc>
        <w:tc>
          <w:tcPr>
            <w:tcW w:w="1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93"/>
              </w:rPr>
              <w:t>15,156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70FF"/>
        </w:rPr>
        <w:t>NOTE 17.</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70FF"/>
        </w:rPr>
        <w:t>SHORT-TERM DEBT</w:t>
      </w:r>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At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0070FF"/>
            </w:tcBorders>
          </w:tcPr>
          <w:p>
            <w:pPr>
              <w:spacing w:after="0"/>
              <w:rPr>
                <w:sz w:val="12"/>
                <w:szCs w:val="12"/>
                <w:color w:val="auto"/>
              </w:rPr>
            </w:pPr>
          </w:p>
        </w:tc>
        <w:tc>
          <w:tcPr>
            <w:tcW w:w="100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0070FF"/>
            </w:tcBorders>
          </w:tcPr>
          <w:p>
            <w:pPr>
              <w:spacing w:after="0"/>
              <w:rPr>
                <w:sz w:val="12"/>
                <w:szCs w:val="12"/>
                <w:color w:val="auto"/>
              </w:rPr>
            </w:pPr>
          </w:p>
        </w:tc>
        <w:tc>
          <w:tcPr>
            <w:tcW w:w="44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4"/>
                <w:szCs w:val="14"/>
                <w:color w:val="auto"/>
              </w:rPr>
              <w:t>Commercial paper*</w:t>
            </w:r>
          </w:p>
        </w:tc>
        <w:tc>
          <w:tcPr>
            <w:tcW w:w="1600" w:type="dxa"/>
            <w:vAlign w:val="bottom"/>
            <w:gridSpan w:val="2"/>
          </w:tcPr>
          <w:p>
            <w:pPr>
              <w:jc w:val="right"/>
              <w:ind w:right="72"/>
              <w:spacing w:after="0" w:line="137" w:lineRule="exact"/>
              <w:rPr>
                <w:sz w:val="20"/>
                <w:szCs w:val="20"/>
                <w:color w:val="auto"/>
              </w:rPr>
            </w:pPr>
            <w:r>
              <w:rPr>
                <w:rFonts w:ascii="Arial" w:cs="Arial" w:eastAsia="Arial" w:hAnsi="Arial"/>
                <w:sz w:val="14"/>
                <w:szCs w:val="14"/>
                <w:b w:val="1"/>
                <w:bCs w:val="1"/>
                <w:color w:val="auto"/>
              </w:rPr>
              <w:t>$ 4,078</w:t>
            </w:r>
          </w:p>
        </w:tc>
        <w:tc>
          <w:tcPr>
            <w:tcW w:w="16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7" w:lineRule="exact"/>
              <w:rPr>
                <w:sz w:val="20"/>
                <w:szCs w:val="20"/>
                <w:color w:val="auto"/>
              </w:rPr>
            </w:pPr>
            <w:r>
              <w:rPr>
                <w:rFonts w:ascii="Arial" w:cs="Arial" w:eastAsia="Arial" w:hAnsi="Arial"/>
                <w:sz w:val="14"/>
                <w:szCs w:val="14"/>
                <w:color w:val="auto"/>
              </w:rPr>
              <w:t>7,183</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Notes payable to banks and others with</w:t>
            </w:r>
          </w:p>
        </w:tc>
        <w:tc>
          <w:tcPr>
            <w:tcW w:w="16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190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ind w:left="120"/>
              <w:spacing w:after="0" w:line="145" w:lineRule="exact"/>
              <w:rPr>
                <w:sz w:val="20"/>
                <w:szCs w:val="20"/>
                <w:color w:val="auto"/>
              </w:rPr>
            </w:pPr>
            <w:r>
              <w:rPr>
                <w:rFonts w:ascii="Arial" w:cs="Arial" w:eastAsia="Arial" w:hAnsi="Arial"/>
                <w:sz w:val="14"/>
                <w:szCs w:val="14"/>
                <w:color w:val="auto"/>
              </w:rPr>
              <w:t>originating terms of one year or less</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53"/>
        </w:trPr>
        <w:tc>
          <w:tcPr>
            <w:tcW w:w="3280" w:type="dxa"/>
            <w:vAlign w:val="bottom"/>
            <w:gridSpan w:val="2"/>
          </w:tcPr>
          <w:p>
            <w:pPr>
              <w:spacing w:after="0" w:line="153" w:lineRule="exact"/>
              <w:rPr>
                <w:sz w:val="20"/>
                <w:szCs w:val="20"/>
                <w:color w:val="auto"/>
              </w:rPr>
            </w:pPr>
            <w:r>
              <w:rPr>
                <w:rFonts w:ascii="Arial" w:cs="Arial" w:eastAsia="Arial" w:hAnsi="Arial"/>
                <w:sz w:val="14"/>
                <w:szCs w:val="14"/>
                <w:color w:val="auto"/>
              </w:rPr>
              <w:t>Current maturities of long-term debt</w:t>
            </w:r>
          </w:p>
        </w:tc>
        <w:tc>
          <w:tcPr>
            <w:tcW w:w="1600" w:type="dxa"/>
            <w:vAlign w:val="bottom"/>
            <w:gridSpan w:val="2"/>
          </w:tcPr>
          <w:p>
            <w:pPr>
              <w:jc w:val="right"/>
              <w:ind w:right="72"/>
              <w:spacing w:after="0" w:line="153" w:lineRule="exact"/>
              <w:rPr>
                <w:sz w:val="20"/>
                <w:szCs w:val="20"/>
                <w:color w:val="auto"/>
              </w:rPr>
            </w:pPr>
            <w:r>
              <w:rPr>
                <w:rFonts w:ascii="Arial" w:cs="Arial" w:eastAsia="Arial" w:hAnsi="Arial"/>
                <w:sz w:val="14"/>
                <w:szCs w:val="14"/>
                <w:b w:val="1"/>
                <w:bCs w:val="1"/>
                <w:color w:val="auto"/>
              </w:rPr>
              <w:t>863</w:t>
            </w:r>
          </w:p>
        </w:tc>
        <w:tc>
          <w:tcPr>
            <w:tcW w:w="16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Current maturities of long-term</w:t>
            </w:r>
          </w:p>
        </w:tc>
        <w:tc>
          <w:tcPr>
            <w:tcW w:w="16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71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20"/>
              <w:spacing w:after="0" w:line="149" w:lineRule="exact"/>
              <w:rPr>
                <w:sz w:val="20"/>
                <w:szCs w:val="20"/>
                <w:color w:val="auto"/>
              </w:rPr>
            </w:pPr>
            <w:r>
              <w:rPr>
                <w:rFonts w:ascii="Arial" w:cs="Arial" w:eastAsia="Arial" w:hAnsi="Arial"/>
                <w:sz w:val="14"/>
                <w:szCs w:val="14"/>
                <w:color w:val="auto"/>
              </w:rPr>
              <w:t>capital leases</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Redeemable long-term obligations</w:t>
            </w:r>
          </w:p>
        </w:tc>
        <w:tc>
          <w:tcPr>
            <w:tcW w:w="16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487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ind w:left="120"/>
              <w:spacing w:after="0" w:line="145" w:lineRule="exact"/>
              <w:rPr>
                <w:sz w:val="20"/>
                <w:szCs w:val="20"/>
                <w:color w:val="auto"/>
              </w:rPr>
            </w:pPr>
            <w:r>
              <w:rPr>
                <w:rFonts w:ascii="Arial" w:cs="Arial" w:eastAsia="Arial" w:hAnsi="Arial"/>
                <w:sz w:val="14"/>
                <w:szCs w:val="14"/>
                <w:color w:val="auto"/>
              </w:rPr>
              <w:t>Long-term debt</w:t>
            </w: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Capital leases</w:t>
            </w:r>
          </w:p>
        </w:tc>
        <w:tc>
          <w:tcPr>
            <w:tcW w:w="1600" w:type="dxa"/>
            <w:vAlign w:val="bottom"/>
            <w:tcBorders>
              <w:bottom w:val="single" w:sz="8" w:color="0070FF"/>
            </w:tcBorders>
            <w:gridSpan w:val="2"/>
          </w:tcPr>
          <w:p>
            <w:pPr>
              <w:jc w:val="right"/>
              <w:ind w:right="72"/>
              <w:spacing w:after="0"/>
              <w:rPr>
                <w:sz w:val="20"/>
                <w:szCs w:val="20"/>
                <w:color w:val="auto"/>
              </w:rPr>
            </w:pPr>
            <w:r>
              <w:rPr>
                <w:rFonts w:ascii="Arial" w:cs="Arial" w:eastAsia="Arial" w:hAnsi="Arial"/>
                <w:sz w:val="14"/>
                <w:szCs w:val="14"/>
                <w:b w:val="1"/>
                <w:bCs w:val="1"/>
                <w:color w:val="auto"/>
              </w:rPr>
              <w:t>299</w:t>
            </w:r>
          </w:p>
        </w:tc>
        <w:tc>
          <w:tcPr>
            <w:tcW w:w="16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ind w:left="120"/>
              <w:spacing w:after="0" w:line="133" w:lineRule="exact"/>
              <w:rPr>
                <w:sz w:val="20"/>
                <w:szCs w:val="20"/>
                <w:color w:val="auto"/>
              </w:rPr>
            </w:pPr>
            <w:r>
              <w:rPr>
                <w:rFonts w:ascii="Arial" w:cs="Arial" w:eastAsia="Arial" w:hAnsi="Arial"/>
                <w:sz w:val="14"/>
                <w:szCs w:val="14"/>
                <w:color w:val="auto"/>
              </w:rPr>
              <w:t>Subtotal</w:t>
            </w:r>
          </w:p>
        </w:tc>
        <w:tc>
          <w:tcPr>
            <w:tcW w:w="1600" w:type="dxa"/>
            <w:vAlign w:val="bottom"/>
            <w:gridSpan w:val="2"/>
          </w:tcPr>
          <w:p>
            <w:pPr>
              <w:jc w:val="right"/>
              <w:ind w:right="72"/>
              <w:spacing w:after="0" w:line="133" w:lineRule="exact"/>
              <w:rPr>
                <w:sz w:val="20"/>
                <w:szCs w:val="20"/>
                <w:color w:val="auto"/>
              </w:rPr>
            </w:pPr>
            <w:r>
              <w:rPr>
                <w:rFonts w:ascii="Arial" w:cs="Arial" w:eastAsia="Arial" w:hAnsi="Arial"/>
                <w:sz w:val="14"/>
                <w:szCs w:val="14"/>
                <w:b w:val="1"/>
                <w:bCs w:val="1"/>
                <w:color w:val="auto"/>
              </w:rPr>
              <w:t>5,988</w:t>
            </w:r>
          </w:p>
        </w:tc>
        <w:tc>
          <w:tcPr>
            <w:tcW w:w="16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4"/>
                <w:szCs w:val="14"/>
                <w:color w:val="auto"/>
              </w:rPr>
              <w:t>9,468</w:t>
            </w:r>
          </w:p>
        </w:tc>
        <w:tc>
          <w:tcPr>
            <w:tcW w:w="0" w:type="dxa"/>
            <w:vAlign w:val="bottom"/>
          </w:tcPr>
          <w:p>
            <w:pPr>
              <w:spacing w:after="0"/>
              <w:rPr>
                <w:sz w:val="1"/>
                <w:szCs w:val="1"/>
                <w:color w:val="auto"/>
              </w:rPr>
            </w:pPr>
          </w:p>
        </w:tc>
      </w:tr>
      <w:tr>
        <w:trPr>
          <w:trHeight w:val="171"/>
        </w:trPr>
        <w:tc>
          <w:tcPr>
            <w:tcW w:w="3280" w:type="dxa"/>
            <w:vAlign w:val="bottom"/>
            <w:gridSpan w:val="2"/>
          </w:tcPr>
          <w:p>
            <w:pPr>
              <w:spacing w:after="0"/>
              <w:rPr>
                <w:sz w:val="20"/>
                <w:szCs w:val="20"/>
                <w:color w:val="auto"/>
              </w:rPr>
            </w:pPr>
            <w:r>
              <w:rPr>
                <w:rFonts w:ascii="Arial" w:cs="Arial" w:eastAsia="Arial" w:hAnsi="Arial"/>
                <w:sz w:val="14"/>
                <w:szCs w:val="14"/>
                <w:color w:val="auto"/>
              </w:rPr>
              <w:t>Reclassified to long-term debt</w:t>
            </w:r>
          </w:p>
        </w:tc>
        <w:tc>
          <w:tcPr>
            <w:tcW w:w="1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(4,285)</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0"/>
              </w:rPr>
              <w:t>(4,110)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tcBorders>
              <w:top w:val="single" w:sz="8" w:color="0070FF"/>
              <w:bottom w:val="single" w:sz="8" w:color="0070FF"/>
            </w:tcBorders>
          </w:tcPr>
          <w:p>
            <w:pPr>
              <w:ind w:left="120"/>
              <w:spacing w:after="0" w:line="155" w:lineRule="exact"/>
              <w:rPr>
                <w:sz w:val="20"/>
                <w:szCs w:val="20"/>
                <w:color w:val="auto"/>
              </w:rPr>
            </w:pPr>
            <w:r>
              <w:rPr>
                <w:rFonts w:ascii="Arial" w:cs="Arial" w:eastAsia="Arial" w:hAnsi="Arial"/>
                <w:sz w:val="14"/>
                <w:szCs w:val="14"/>
                <w:color w:val="auto"/>
              </w:rPr>
              <w:t>Total short-term debt</w:t>
            </w:r>
          </w:p>
        </w:tc>
        <w:tc>
          <w:tcPr>
            <w:tcW w:w="1600" w:type="dxa"/>
            <w:vAlign w:val="bottom"/>
            <w:tcBorders>
              <w:top w:val="single" w:sz="8" w:color="0070FF"/>
              <w:bottom w:val="single" w:sz="8" w:color="0070FF"/>
            </w:tcBorders>
            <w:gridSpan w:val="2"/>
          </w:tcPr>
          <w:p>
            <w:pPr>
              <w:jc w:val="right"/>
              <w:ind w:right="72"/>
              <w:spacing w:after="0" w:line="155" w:lineRule="exact"/>
              <w:rPr>
                <w:sz w:val="20"/>
                <w:szCs w:val="20"/>
                <w:color w:val="auto"/>
              </w:rPr>
            </w:pPr>
            <w:r>
              <w:rPr>
                <w:rFonts w:ascii="Arial" w:cs="Arial" w:eastAsia="Arial" w:hAnsi="Arial"/>
                <w:sz w:val="14"/>
                <w:szCs w:val="14"/>
                <w:b w:val="1"/>
                <w:bCs w:val="1"/>
                <w:color w:val="auto"/>
              </w:rPr>
              <w:t>$ 1,703</w:t>
            </w:r>
          </w:p>
        </w:tc>
        <w:tc>
          <w:tcPr>
            <w:tcW w:w="16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5,358</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480" w:right="580" w:hanging="116"/>
        <w:spacing w:after="0" w:line="252" w:lineRule="auto"/>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Weighted-average interest rates at December 31, 2003 and 2002, were 1.01 per- cent and 1.47 percent, respectively, including the effect of interest rate swaps.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FS-41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132715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40"/>
            <w:col w:w="5840"/>
          </w:cols>
          <w:pgMar w:left="240" w:top="419" w:right="29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0070FF"/>
        </w:rPr>
        <w:t>NOTE 17. SHORT-TERM DEBT – Continued</w:t>
      </w:r>
    </w:p>
    <w:p>
      <w:pPr>
        <w:spacing w:after="0" w:line="155" w:lineRule="exact"/>
        <w:rPr>
          <w:sz w:val="20"/>
          <w:szCs w:val="20"/>
          <w:color w:val="auto"/>
        </w:rPr>
      </w:pPr>
    </w:p>
    <w:p>
      <w:pPr>
        <w:jc w:val="both"/>
        <w:ind w:right="40" w:firstLine="203"/>
        <w:spacing w:after="0" w:line="335" w:lineRule="auto"/>
        <w:rPr>
          <w:sz w:val="20"/>
          <w:szCs w:val="20"/>
          <w:color w:val="auto"/>
        </w:rPr>
      </w:pPr>
      <w:r>
        <w:rPr>
          <w:rFonts w:ascii="Arial" w:cs="Arial" w:eastAsia="Arial" w:hAnsi="Arial"/>
          <w:sz w:val="14"/>
          <w:szCs w:val="14"/>
          <w:color w:val="auto"/>
        </w:rPr>
        <w:t>Redeemable long-term obligations consist primarily of tax-exempt variable-rate put bonds that are included as current liabilities because they become redeemable at the option of the bondholders during the year following the balance sheet date.</w:t>
      </w:r>
    </w:p>
    <w:p>
      <w:pPr>
        <w:spacing w:after="0" w:line="96" w:lineRule="exact"/>
        <w:rPr>
          <w:sz w:val="20"/>
          <w:szCs w:val="20"/>
          <w:color w:val="auto"/>
        </w:rPr>
      </w:pPr>
    </w:p>
    <w:p>
      <w:pPr>
        <w:ind w:firstLine="200"/>
        <w:spacing w:after="0" w:line="265" w:lineRule="auto"/>
        <w:rPr>
          <w:sz w:val="20"/>
          <w:szCs w:val="20"/>
          <w:color w:val="auto"/>
        </w:rPr>
      </w:pPr>
      <w:r>
        <w:rPr>
          <w:rFonts w:ascii="Arial" w:cs="Arial" w:eastAsia="Arial" w:hAnsi="Arial"/>
          <w:sz w:val="16"/>
          <w:szCs w:val="16"/>
          <w:color w:val="auto"/>
        </w:rPr>
        <w:t>The company periodically enters into interest rate swaps on a portion of its short-term debt. See Note 8 beginning on page FS-33 for information concerning the company’s debt-related derivative activities.</w:t>
      </w:r>
    </w:p>
    <w:p>
      <w:pPr>
        <w:spacing w:after="0" w:line="2" w:lineRule="exact"/>
        <w:rPr>
          <w:sz w:val="20"/>
          <w:szCs w:val="20"/>
          <w:color w:val="auto"/>
        </w:rPr>
      </w:pPr>
    </w:p>
    <w:p>
      <w:pPr>
        <w:ind w:right="140" w:firstLine="194"/>
        <w:spacing w:after="0" w:line="264" w:lineRule="auto"/>
        <w:rPr>
          <w:sz w:val="20"/>
          <w:szCs w:val="20"/>
          <w:color w:val="auto"/>
        </w:rPr>
      </w:pPr>
      <w:r>
        <w:rPr>
          <w:rFonts w:ascii="Arial" w:cs="Arial" w:eastAsia="Arial" w:hAnsi="Arial"/>
          <w:sz w:val="16"/>
          <w:szCs w:val="16"/>
          <w:color w:val="auto"/>
        </w:rPr>
        <w:t>At December 31, 2003, the company had $4,285 of committed credit facilities with banks worldwide, which permit the company to refinance short-term obligations on a long-term basis. The facilities support the company’s commercial paper borrowings. Interest on borrowings under the terms of specific agreements may be based on the London Interbank Offered Rate or bank prime rate. No amounts were outstanding under these credit agreements during 2003 or at year-end.</w:t>
      </w:r>
    </w:p>
    <w:p>
      <w:pPr>
        <w:spacing w:after="0" w:line="1" w:lineRule="exact"/>
        <w:rPr>
          <w:sz w:val="20"/>
          <w:szCs w:val="20"/>
          <w:color w:val="auto"/>
        </w:rPr>
      </w:pPr>
    </w:p>
    <w:p>
      <w:pPr>
        <w:ind w:right="60" w:firstLine="194"/>
        <w:spacing w:after="0" w:line="295" w:lineRule="auto"/>
        <w:rPr>
          <w:sz w:val="20"/>
          <w:szCs w:val="20"/>
          <w:color w:val="auto"/>
        </w:rPr>
      </w:pPr>
      <w:r>
        <w:rPr>
          <w:rFonts w:ascii="Arial" w:cs="Arial" w:eastAsia="Arial" w:hAnsi="Arial"/>
          <w:sz w:val="15"/>
          <w:szCs w:val="15"/>
          <w:color w:val="auto"/>
        </w:rPr>
        <w:t>At December 31, 2003 and 2002, the company classified $4,285 and $4,110, respectively, of short-term debt as long-term. Settlement of these obligations is not expected to require the use of working capital in 2004, as the company has both the intent and the ability to refinance this debt on a long-term basis.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18.</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LONG-TERM DEBT</w:t>
      </w:r>
    </w:p>
    <w:p>
      <w:pPr>
        <w:spacing w:after="0" w:line="155"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ChevronTexaco has three “shelf” registrations on file with the Securities and Exchange Commission that together would permit the issuance of $3,800 of debt securities pursuant to Rule 415 of the Securities Act of 1933. The company’s long-term debt outstanding at year-end 2003 and 2002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114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At December 31</w:t>
            </w:r>
          </w:p>
        </w:tc>
      </w:tr>
      <w:tr>
        <w:trPr>
          <w:trHeight w:val="142"/>
        </w:trPr>
        <w:tc>
          <w:tcPr>
            <w:tcW w:w="426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540" w:type="dxa"/>
            <w:vAlign w:val="bottom"/>
            <w:tcBorders>
              <w:bottom w:val="single" w:sz="8" w:color="0070FF"/>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bottom w:val="single" w:sz="8" w:color="0070FF"/>
            </w:tcBorders>
          </w:tcPr>
          <w:p>
            <w:pPr>
              <w:spacing w:after="0"/>
              <w:rPr>
                <w:sz w:val="12"/>
                <w:szCs w:val="12"/>
                <w:color w:val="auto"/>
              </w:rPr>
            </w:pPr>
          </w:p>
        </w:tc>
        <w:tc>
          <w:tcPr>
            <w:tcW w:w="46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r>
      <w:tr>
        <w:trPr>
          <w:trHeight w:val="133"/>
        </w:trPr>
        <w:tc>
          <w:tcPr>
            <w:tcW w:w="4260" w:type="dxa"/>
            <w:vAlign w:val="bottom"/>
          </w:tcPr>
          <w:p>
            <w:pPr>
              <w:ind w:left="20"/>
              <w:spacing w:after="0" w:line="133" w:lineRule="exact"/>
              <w:rPr>
                <w:sz w:val="20"/>
                <w:szCs w:val="20"/>
                <w:color w:val="auto"/>
              </w:rPr>
            </w:pPr>
            <w:r>
              <w:rPr>
                <w:rFonts w:ascii="Arial" w:cs="Arial" w:eastAsia="Arial" w:hAnsi="Arial"/>
                <w:sz w:val="14"/>
                <w:szCs w:val="14"/>
                <w:color w:val="auto"/>
              </w:rPr>
              <w:t>3.5% guarantees due 2007</w:t>
            </w:r>
          </w:p>
        </w:tc>
        <w:tc>
          <w:tcPr>
            <w:tcW w:w="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1,993</w:t>
            </w:r>
          </w:p>
        </w:tc>
        <w:tc>
          <w:tcPr>
            <w:tcW w:w="1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1,992</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3.375% notes due 2008</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749</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6.625% notes due 2004</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499</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r>
      <w:tr>
        <w:trPr>
          <w:trHeight w:val="162"/>
        </w:trPr>
        <w:tc>
          <w:tcPr>
            <w:tcW w:w="4260" w:type="dxa"/>
            <w:vAlign w:val="bottom"/>
          </w:tcPr>
          <w:p>
            <w:pPr>
              <w:ind w:left="20"/>
              <w:spacing w:after="0"/>
              <w:rPr>
                <w:sz w:val="20"/>
                <w:szCs w:val="20"/>
                <w:color w:val="auto"/>
              </w:rPr>
            </w:pPr>
            <w:r>
              <w:rPr>
                <w:rFonts w:ascii="Arial" w:cs="Arial" w:eastAsia="Arial" w:hAnsi="Arial"/>
                <w:sz w:val="14"/>
                <w:szCs w:val="14"/>
                <w:color w:val="auto"/>
              </w:rPr>
              <w:t>5.5% note due 2009</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431</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3"/>
                <w:szCs w:val="13"/>
                <w:color w:val="auto"/>
              </w:rPr>
              <w:t>7.327% amortizing notes due 2014</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360</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175"/>
        </w:trPr>
        <w:tc>
          <w:tcPr>
            <w:tcW w:w="4260" w:type="dxa"/>
            <w:vAlign w:val="bottom"/>
          </w:tcPr>
          <w:p>
            <w:pPr>
              <w:ind w:left="20"/>
              <w:spacing w:after="0" w:line="175" w:lineRule="exact"/>
              <w:rPr>
                <w:sz w:val="20"/>
                <w:szCs w:val="20"/>
                <w:color w:val="auto"/>
              </w:rPr>
            </w:pPr>
            <w:r>
              <w:rPr>
                <w:rFonts w:ascii="Arial" w:cs="Arial" w:eastAsia="Arial" w:hAnsi="Arial"/>
                <w:sz w:val="13"/>
                <w:szCs w:val="13"/>
                <w:color w:val="auto"/>
              </w:rPr>
              <w:t>8.11% amortizing notes due 2004</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240</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6% notes due 2005</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299</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9.75% debentures due 2020</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250</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5.7% notes due 2008</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220</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8.5% notes due 2003</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7.75% debentures due 2033</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8.625% debentures due 2031</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199</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8.625% debentures due 2032</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199</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7.5% debentures due 2043</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198</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6.875% debentures due 2023</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7.09% notes due 2007</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150</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8.25% debentures due 2006</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150</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49"/>
        </w:trPr>
        <w:tc>
          <w:tcPr>
            <w:tcW w:w="4260" w:type="dxa"/>
            <w:vAlign w:val="bottom"/>
          </w:tcPr>
          <w:p>
            <w:pPr>
              <w:ind w:left="20"/>
              <w:spacing w:after="0" w:line="149" w:lineRule="exact"/>
              <w:rPr>
                <w:sz w:val="20"/>
                <w:szCs w:val="20"/>
                <w:color w:val="auto"/>
              </w:rPr>
            </w:pPr>
            <w:r>
              <w:rPr>
                <w:rFonts w:ascii="Arial" w:cs="Arial" w:eastAsia="Arial" w:hAnsi="Arial"/>
                <w:sz w:val="14"/>
                <w:szCs w:val="14"/>
                <w:color w:val="auto"/>
              </w:rPr>
              <w:t>8.625% debentures due 2010</w:t>
            </w:r>
          </w:p>
        </w:tc>
        <w:tc>
          <w:tcPr>
            <w:tcW w:w="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150</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62"/>
        </w:trPr>
        <w:tc>
          <w:tcPr>
            <w:tcW w:w="4260" w:type="dxa"/>
            <w:vAlign w:val="bottom"/>
          </w:tcPr>
          <w:p>
            <w:pPr>
              <w:ind w:left="20"/>
              <w:spacing w:after="0"/>
              <w:rPr>
                <w:sz w:val="20"/>
                <w:szCs w:val="20"/>
                <w:color w:val="auto"/>
              </w:rPr>
            </w:pPr>
            <w:r>
              <w:rPr>
                <w:rFonts w:ascii="Arial" w:cs="Arial" w:eastAsia="Arial" w:hAnsi="Arial"/>
                <w:sz w:val="14"/>
                <w:szCs w:val="14"/>
                <w:color w:val="auto"/>
              </w:rPr>
              <w:t>8.875% debentures due 2021</w:t>
            </w: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150</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3"/>
                <w:szCs w:val="13"/>
                <w:color w:val="auto"/>
              </w:rPr>
              <w:t>Medium-term notes, maturing from 2003 to 2043 (7.1%)</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210</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189"/>
        </w:trPr>
        <w:tc>
          <w:tcPr>
            <w:tcW w:w="4260" w:type="dxa"/>
            <w:vAlign w:val="bottom"/>
          </w:tcPr>
          <w:p>
            <w:pPr>
              <w:ind w:left="20"/>
              <w:spacing w:after="0" w:line="189" w:lineRule="exact"/>
              <w:rPr>
                <w:sz w:val="20"/>
                <w:szCs w:val="20"/>
                <w:color w:val="auto"/>
              </w:rPr>
            </w:pPr>
            <w:r>
              <w:rPr>
                <w:rFonts w:ascii="Arial" w:cs="Arial" w:eastAsia="Arial" w:hAnsi="Arial"/>
                <w:sz w:val="13"/>
                <w:szCs w:val="13"/>
                <w:color w:val="auto"/>
              </w:rPr>
              <w:t>Other foreign currency obligations (4.4%)</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52</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198"/>
        </w:trPr>
        <w:tc>
          <w:tcPr>
            <w:tcW w:w="4260" w:type="dxa"/>
            <w:vAlign w:val="bottom"/>
            <w:tcBorders>
              <w:bottom w:val="single" w:sz="8" w:color="0070FF"/>
            </w:tcBorders>
          </w:tcPr>
          <w:p>
            <w:pPr>
              <w:ind w:left="20"/>
              <w:spacing w:after="0" w:line="198" w:lineRule="exact"/>
              <w:rPr>
                <w:sz w:val="20"/>
                <w:szCs w:val="20"/>
                <w:color w:val="auto"/>
              </w:rPr>
            </w:pPr>
            <w:r>
              <w:rPr>
                <w:rFonts w:ascii="Arial" w:cs="Arial" w:eastAsia="Arial" w:hAnsi="Arial"/>
                <w:sz w:val="14"/>
                <w:szCs w:val="14"/>
                <w:color w:val="auto"/>
              </w:rPr>
              <w:t>Other long-term debt (3.5%)</w:t>
            </w:r>
            <w:r>
              <w:rPr>
                <w:rFonts w:ascii="Arial" w:cs="Arial" w:eastAsia="Arial" w:hAnsi="Arial"/>
                <w:sz w:val="22"/>
                <w:szCs w:val="22"/>
                <w:color w:val="auto"/>
                <w:vertAlign w:val="superscript"/>
              </w:rPr>
              <w:t>3</w:t>
            </w:r>
          </w:p>
        </w:tc>
        <w:tc>
          <w:tcPr>
            <w:tcW w:w="80" w:type="dxa"/>
            <w:vAlign w:val="bottom"/>
            <w:tcBorders>
              <w:bottom w:val="single" w:sz="8" w:color="0070FF"/>
            </w:tcBorders>
          </w:tcPr>
          <w:p>
            <w:pPr>
              <w:spacing w:after="0"/>
              <w:rPr>
                <w:sz w:val="17"/>
                <w:szCs w:val="17"/>
                <w:color w:val="auto"/>
              </w:rPr>
            </w:pPr>
          </w:p>
        </w:tc>
        <w:tc>
          <w:tcPr>
            <w:tcW w:w="5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730</w:t>
            </w:r>
          </w:p>
        </w:tc>
        <w:tc>
          <w:tcPr>
            <w:tcW w:w="140" w:type="dxa"/>
            <w:vAlign w:val="bottom"/>
            <w:tcBorders>
              <w:bottom w:val="single" w:sz="8" w:color="0070FF"/>
            </w:tcBorders>
          </w:tcPr>
          <w:p>
            <w:pPr>
              <w:spacing w:after="0"/>
              <w:rPr>
                <w:sz w:val="17"/>
                <w:szCs w:val="17"/>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678</w:t>
            </w:r>
          </w:p>
        </w:tc>
      </w:tr>
      <w:tr>
        <w:trPr>
          <w:trHeight w:val="133"/>
        </w:trPr>
        <w:tc>
          <w:tcPr>
            <w:tcW w:w="4260" w:type="dxa"/>
            <w:vAlign w:val="bottom"/>
          </w:tcPr>
          <w:p>
            <w:pPr>
              <w:ind w:left="140"/>
              <w:spacing w:after="0" w:line="133" w:lineRule="exact"/>
              <w:rPr>
                <w:sz w:val="20"/>
                <w:szCs w:val="20"/>
                <w:color w:val="auto"/>
              </w:rPr>
            </w:pPr>
            <w:r>
              <w:rPr>
                <w:rFonts w:ascii="Arial" w:cs="Arial" w:eastAsia="Arial" w:hAnsi="Arial"/>
                <w:sz w:val="14"/>
                <w:szCs w:val="14"/>
                <w:color w:val="auto"/>
              </w:rPr>
              <w:t>Total including debt due within one year</w:t>
            </w:r>
          </w:p>
        </w:tc>
        <w:tc>
          <w:tcPr>
            <w:tcW w:w="80" w:type="dxa"/>
            <w:vAlign w:val="bottom"/>
          </w:tcPr>
          <w:p>
            <w:pPr>
              <w:spacing w:after="0"/>
              <w:rPr>
                <w:sz w:val="11"/>
                <w:szCs w:val="11"/>
                <w:color w:val="auto"/>
              </w:rPr>
            </w:pPr>
          </w:p>
        </w:tc>
        <w:tc>
          <w:tcPr>
            <w:tcW w:w="54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7,229</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7,296</w:t>
            </w:r>
          </w:p>
        </w:tc>
      </w:tr>
      <w:tr>
        <w:trPr>
          <w:trHeight w:val="149"/>
        </w:trPr>
        <w:tc>
          <w:tcPr>
            <w:tcW w:w="4260" w:type="dxa"/>
            <w:vAlign w:val="bottom"/>
          </w:tcPr>
          <w:p>
            <w:pPr>
              <w:ind w:left="280"/>
              <w:spacing w:after="0" w:line="149" w:lineRule="exact"/>
              <w:rPr>
                <w:sz w:val="20"/>
                <w:szCs w:val="20"/>
                <w:color w:val="auto"/>
              </w:rPr>
            </w:pPr>
            <w:r>
              <w:rPr>
                <w:rFonts w:ascii="Arial" w:cs="Arial" w:eastAsia="Arial" w:hAnsi="Arial"/>
                <w:sz w:val="14"/>
                <w:szCs w:val="14"/>
                <w:color w:val="auto"/>
              </w:rPr>
              <w:t>Debt due within one year</w:t>
            </w:r>
          </w:p>
        </w:tc>
        <w:tc>
          <w:tcPr>
            <w:tcW w:w="8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(863)</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r>
      <w:tr>
        <w:trPr>
          <w:trHeight w:val="171"/>
        </w:trPr>
        <w:tc>
          <w:tcPr>
            <w:tcW w:w="4260" w:type="dxa"/>
            <w:vAlign w:val="bottom"/>
            <w:tcBorders>
              <w:bottom w:val="single" w:sz="8" w:color="0070FF"/>
            </w:tcBorders>
          </w:tcPr>
          <w:p>
            <w:pPr>
              <w:ind w:left="280"/>
              <w:spacing w:after="0"/>
              <w:rPr>
                <w:sz w:val="20"/>
                <w:szCs w:val="20"/>
                <w:color w:val="auto"/>
              </w:rPr>
            </w:pPr>
            <w:r>
              <w:rPr>
                <w:rFonts w:ascii="Arial" w:cs="Arial" w:eastAsia="Arial" w:hAnsi="Arial"/>
                <w:sz w:val="14"/>
                <w:szCs w:val="14"/>
                <w:color w:val="auto"/>
              </w:rPr>
              <w:t>Reclassified from short-term debt</w:t>
            </w:r>
          </w:p>
        </w:tc>
        <w:tc>
          <w:tcPr>
            <w:tcW w:w="8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4,285</w:t>
            </w:r>
          </w:p>
        </w:tc>
        <w:tc>
          <w:tcPr>
            <w:tcW w:w="14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4,110</w:t>
            </w:r>
          </w:p>
        </w:tc>
      </w:tr>
      <w:tr>
        <w:trPr>
          <w:trHeight w:val="176"/>
        </w:trPr>
        <w:tc>
          <w:tcPr>
            <w:tcW w:w="4260" w:type="dxa"/>
            <w:vAlign w:val="bottom"/>
            <w:tcBorders>
              <w:bottom w:val="single" w:sz="8" w:color="0070FF"/>
            </w:tcBorders>
          </w:tcPr>
          <w:p>
            <w:pPr>
              <w:ind w:left="20"/>
              <w:spacing w:after="0" w:line="155" w:lineRule="exact"/>
              <w:rPr>
                <w:sz w:val="20"/>
                <w:szCs w:val="20"/>
                <w:color w:val="auto"/>
              </w:rPr>
            </w:pPr>
            <w:r>
              <w:rPr>
                <w:rFonts w:ascii="Arial" w:cs="Arial" w:eastAsia="Arial" w:hAnsi="Arial"/>
                <w:sz w:val="14"/>
                <w:szCs w:val="14"/>
                <w:color w:val="auto"/>
              </w:rPr>
              <w:t>Total long-term debt</w:t>
            </w:r>
          </w:p>
        </w:tc>
        <w:tc>
          <w:tcPr>
            <w:tcW w:w="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3"/>
              </w:rPr>
              <w:t>10,651</w:t>
            </w:r>
          </w:p>
        </w:tc>
        <w:tc>
          <w:tcPr>
            <w:tcW w:w="1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8"/>
              </w:rPr>
              <w:t>10,666</w:t>
            </w:r>
          </w:p>
        </w:tc>
      </w:tr>
    </w:tbl>
    <w:p>
      <w:pPr>
        <w:spacing w:after="0" w:line="29" w:lineRule="exact"/>
        <w:rPr>
          <w:sz w:val="20"/>
          <w:szCs w:val="20"/>
          <w:color w:val="auto"/>
        </w:rPr>
      </w:pPr>
    </w:p>
    <w:p>
      <w:pPr>
        <w:ind w:left="140" w:hanging="128"/>
        <w:spacing w:after="0"/>
        <w:tabs>
          <w:tab w:leader="none" w:pos="140" w:val="left"/>
        </w:tabs>
        <w:numPr>
          <w:ilvl w:val="0"/>
          <w:numId w:val="50"/>
        </w:numPr>
        <w:rPr>
          <w:rFonts w:ascii="Arial" w:cs="Arial" w:eastAsia="Arial" w:hAnsi="Arial"/>
          <w:sz w:val="10"/>
          <w:szCs w:val="10"/>
          <w:color w:val="auto"/>
        </w:rPr>
      </w:pPr>
      <w:r>
        <w:rPr>
          <w:rFonts w:ascii="Arial" w:cs="Arial" w:eastAsia="Arial" w:hAnsi="Arial"/>
          <w:sz w:val="12"/>
          <w:szCs w:val="12"/>
          <w:color w:val="auto"/>
        </w:rPr>
        <w:t>Guarantee of ESOP debt.</w:t>
      </w:r>
    </w:p>
    <w:p>
      <w:pPr>
        <w:spacing w:after="0" w:line="11" w:lineRule="exact"/>
        <w:rPr>
          <w:sz w:val="20"/>
          <w:szCs w:val="20"/>
          <w:color w:val="auto"/>
        </w:rPr>
      </w:pPr>
    </w:p>
    <w:p>
      <w:pPr>
        <w:ind w:left="140" w:hanging="128"/>
        <w:spacing w:after="0"/>
        <w:tabs>
          <w:tab w:leader="none" w:pos="140" w:val="left"/>
        </w:tabs>
        <w:numPr>
          <w:ilvl w:val="0"/>
          <w:numId w:val="51"/>
        </w:numPr>
        <w:rPr>
          <w:rFonts w:ascii="Arial" w:cs="Arial" w:eastAsia="Arial" w:hAnsi="Arial"/>
          <w:sz w:val="10"/>
          <w:szCs w:val="10"/>
          <w:color w:val="auto"/>
        </w:rPr>
      </w:pPr>
      <w:r>
        <w:rPr>
          <w:rFonts w:ascii="Arial" w:cs="Arial" w:eastAsia="Arial" w:hAnsi="Arial"/>
          <w:sz w:val="12"/>
          <w:szCs w:val="12"/>
          <w:color w:val="auto"/>
        </w:rPr>
        <w:t>Debt assumed from ESOP in 1999.</w:t>
      </w:r>
    </w:p>
    <w:p>
      <w:pPr>
        <w:spacing w:after="0" w:line="11" w:lineRule="exact"/>
        <w:rPr>
          <w:sz w:val="20"/>
          <w:szCs w:val="20"/>
          <w:color w:val="auto"/>
        </w:rPr>
      </w:pPr>
    </w:p>
    <w:p>
      <w:pPr>
        <w:ind w:left="140" w:hanging="128"/>
        <w:spacing w:after="0"/>
        <w:tabs>
          <w:tab w:leader="none" w:pos="140" w:val="left"/>
        </w:tabs>
        <w:numPr>
          <w:ilvl w:val="0"/>
          <w:numId w:val="52"/>
        </w:numPr>
        <w:rPr>
          <w:rFonts w:ascii="Arial" w:cs="Arial" w:eastAsia="Arial" w:hAnsi="Arial"/>
          <w:sz w:val="10"/>
          <w:szCs w:val="10"/>
          <w:color w:val="auto"/>
        </w:rPr>
      </w:pPr>
      <w:r>
        <w:rPr>
          <w:rFonts w:ascii="Arial" w:cs="Arial" w:eastAsia="Arial" w:hAnsi="Arial"/>
          <w:sz w:val="12"/>
          <w:szCs w:val="12"/>
          <w:color w:val="auto"/>
        </w:rPr>
        <w:t>Less than $150 individually; weighted-average interest rates at December 31,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both"/>
        <w:ind w:right="200" w:firstLine="203"/>
        <w:spacing w:after="0" w:line="265" w:lineRule="auto"/>
        <w:rPr>
          <w:sz w:val="20"/>
          <w:szCs w:val="20"/>
          <w:color w:val="auto"/>
        </w:rPr>
      </w:pPr>
      <w:r>
        <w:rPr>
          <w:rFonts w:ascii="Arial" w:cs="Arial" w:eastAsia="Arial" w:hAnsi="Arial"/>
          <w:sz w:val="16"/>
          <w:szCs w:val="16"/>
          <w:color w:val="auto"/>
        </w:rPr>
        <w:t>Consolidated long-term debt maturing after December 31, 2003, is as follows: 2004 – $863; 2005 – $572; 2006 – $326; 2007 – $2,209; and 2008 – $1,044; after 2008 – $2,215.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-422910</wp:posOffset>
            </wp:positionV>
            <wp:extent cx="8890" cy="764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7640955"/>
                    </a:xfrm>
                    <a:prstGeom prst="rect">
                      <a:avLst/>
                    </a:prstGeom>
                    <a:noFill/>
                  </pic:spPr>
                </pic:pic>
              </a:graphicData>
            </a:graphic>
          </wp:anchor>
        </w:drawing>
      </w:r>
    </w:p>
    <w:p>
      <w:pPr>
        <w:ind w:right="60" w:firstLine="203"/>
        <w:spacing w:after="0" w:line="295" w:lineRule="auto"/>
        <w:rPr>
          <w:sz w:val="20"/>
          <w:szCs w:val="20"/>
          <w:color w:val="auto"/>
        </w:rPr>
      </w:pPr>
      <w:r>
        <w:rPr>
          <w:rFonts w:ascii="Arial" w:cs="Arial" w:eastAsia="Arial" w:hAnsi="Arial"/>
          <w:sz w:val="15"/>
          <w:szCs w:val="15"/>
          <w:color w:val="auto"/>
        </w:rPr>
        <w:t>In February 2003, the company redeemed $200 of Texaco Capital Inc. bonds originally due in 2033. Also in February, the company issued $750 of 3.375 percent bonds due in February 2008 under a shelf registration. The proceeds from this issuance were used to pay down commercial paper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19.</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NEW ACCOUNTING STANDARDS</w:t>
      </w:r>
    </w:p>
    <w:p>
      <w:pPr>
        <w:spacing w:after="0" w:line="155"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In January 2003, the Financial Accounting Standards Board (FASB) issued Interpretation No. 46, “Consolidation of Variable Interest Entities” (FIN 46). FIN 46 amended ARB 51, “Consolidated Financial Statements,” and established standards for determining under what circumstances a variable interest entity (VIE) should be consolidated by its primary beneficiary. FIN 46 also requires disclosures about VIEs that the company is not required to consolidate but in which it has a significant variable interest. On December 17, 2003, the FASB issued FIN 46-R, which not only included amendments to FIN 46, but also required application of the interpretation to all affected entities no later than March 31, 2004, for calendar-year reporting companies. However, companies must have applied the interpretation to special-purpose entities by December 31, 2003. The adoption of FIN 46-R as it relates to special-purpose entities did not have a material impact on the company’s results of operations, financial position or liquidity, and the company does not expect a material impact upon its full adoption of the interpretation as of March 31, 2004.</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20.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ACCOUNTING FOR MINERAL INTERESTS INVESTMENT</w:t>
      </w:r>
    </w:p>
    <w:p>
      <w:pPr>
        <w:spacing w:after="0" w:line="15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Securities and Exchange Commission (SEC) has questioned certain public companies in the oil, gas and mining industries as to the proper accounting for, and reporting of acquired contractual mineral interests under FASB Statement No. 141, “Business Combinations” (FAS 141), and FASB Statement No. 142, “Goodwill and Intangible Assets” (FAS 142). These accounting standards became effective for the company on July 1, 2001, and January 1, 2002, respectively.</w:t>
      </w:r>
    </w:p>
    <w:p>
      <w:pPr>
        <w:spacing w:after="0" w:line="3" w:lineRule="exact"/>
        <w:rPr>
          <w:sz w:val="20"/>
          <w:szCs w:val="20"/>
          <w:color w:val="auto"/>
        </w:rPr>
      </w:pPr>
    </w:p>
    <w:p>
      <w:pPr>
        <w:ind w:right="80" w:firstLine="194"/>
        <w:spacing w:after="0" w:line="281" w:lineRule="auto"/>
        <w:rPr>
          <w:sz w:val="20"/>
          <w:szCs w:val="20"/>
          <w:color w:val="auto"/>
        </w:rPr>
      </w:pPr>
      <w:r>
        <w:rPr>
          <w:rFonts w:ascii="Arial" w:cs="Arial" w:eastAsia="Arial" w:hAnsi="Arial"/>
          <w:sz w:val="15"/>
          <w:szCs w:val="15"/>
          <w:color w:val="auto"/>
        </w:rPr>
        <w:t>At issue is whether such mineral interest costs should be classified on the balance sheet as part of “Properties, plant and equipment” or as “Intangible assets.” The company will continue to classify these costs as “Properties, plant and equipment” and apportion them to expense in future periods under the company’s existing accounting policy until authoritative guidance is provided.</w:t>
      </w:r>
    </w:p>
    <w:p>
      <w:pPr>
        <w:spacing w:after="0" w:line="3" w:lineRule="exact"/>
        <w:rPr>
          <w:sz w:val="20"/>
          <w:szCs w:val="20"/>
          <w:color w:val="auto"/>
        </w:rPr>
      </w:pPr>
    </w:p>
    <w:p>
      <w:pPr>
        <w:ind w:right="60" w:firstLine="203"/>
        <w:spacing w:after="0" w:line="269" w:lineRule="auto"/>
        <w:rPr>
          <w:sz w:val="20"/>
          <w:szCs w:val="20"/>
          <w:color w:val="auto"/>
        </w:rPr>
      </w:pPr>
      <w:r>
        <w:rPr>
          <w:rFonts w:ascii="Arial" w:cs="Arial" w:eastAsia="Arial" w:hAnsi="Arial"/>
          <w:sz w:val="16"/>
          <w:szCs w:val="16"/>
          <w:color w:val="auto"/>
        </w:rPr>
        <w:t>For ChevronTexaco, the net book values of this category of mineral interest investment at December 31, 2003 and 2002, were $3.8 billion and $4.1 billion, respectively. If reclassification of these balances becomes necessary, the company’s statements of income and cash flows would not be affected. However, additional disclosures related to intangible assets would be required as prescribed under the associated accounting standards.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21.</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EMPLOYEE BENEFIT PLANS</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company has defined benefit pension plans for many employees and provides for certain health care and life insurance plans for some active and qualifying retired employees. The company typically funds only those defined benefit plans where legal funding is required. In the United States, this includes all qualified tax-exempt plans subject to the Employee Retirement Income Security Act (ERISA) minimum funding standard. The company does not</w:t>
      </w:r>
    </w:p>
    <w:p>
      <w:pPr>
        <w:spacing w:after="0" w:line="200" w:lineRule="exact"/>
        <w:rPr>
          <w:sz w:val="20"/>
          <w:szCs w:val="20"/>
          <w:color w:val="auto"/>
        </w:rPr>
      </w:pPr>
    </w:p>
    <w:p>
      <w:pPr>
        <w:sectPr>
          <w:pgSz w:w="11900" w:h="16838" w:orient="portrait"/>
          <w:cols w:equalWidth="0" w:num="2">
            <w:col w:w="5480" w:space="400"/>
            <w:col w:w="548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0070FF"/>
        </w:rPr>
        <w:t>NOTE 21. EMPLOYEE BENEFIT PLANS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typically fund domestic nonqualified tax-exempt pension plans or international pension plans that are not subject to legal funding requirements because contributions to these pension plans may be less tax efficient and investment returns may be less attractive than the company’s other investment alternatives.</w:t>
      </w:r>
    </w:p>
    <w:p>
      <w:pPr>
        <w:spacing w:after="0" w:line="119" w:lineRule="exact"/>
        <w:rPr>
          <w:sz w:val="20"/>
          <w:szCs w:val="20"/>
          <w:color w:val="auto"/>
        </w:rPr>
      </w:pPr>
    </w:p>
    <w:p>
      <w:pPr>
        <w:ind w:right="100" w:firstLine="200"/>
        <w:spacing w:after="0" w:line="265" w:lineRule="auto"/>
        <w:rPr>
          <w:sz w:val="20"/>
          <w:szCs w:val="20"/>
          <w:color w:val="auto"/>
        </w:rPr>
      </w:pPr>
      <w:r>
        <w:rPr>
          <w:rFonts w:ascii="Arial" w:cs="Arial" w:eastAsia="Arial" w:hAnsi="Arial"/>
          <w:sz w:val="16"/>
          <w:szCs w:val="16"/>
          <w:color w:val="auto"/>
        </w:rPr>
        <w:t>The company’s annual contributions for medical and dental benefits are limited to the lesser of actual medical and dental claims or a defined fixed per-capita amount. Life insurance benefits are paid by the company and annual contributions are based on actual plan experience.</w:t>
      </w:r>
    </w:p>
    <w:p>
      <w:pPr>
        <w:spacing w:after="0" w:line="2" w:lineRule="exact"/>
        <w:rPr>
          <w:sz w:val="20"/>
          <w:szCs w:val="20"/>
          <w:color w:val="auto"/>
        </w:rPr>
      </w:pPr>
    </w:p>
    <w:p>
      <w:pPr>
        <w:ind w:right="60" w:firstLine="200"/>
        <w:spacing w:after="0" w:line="264" w:lineRule="auto"/>
        <w:rPr>
          <w:sz w:val="20"/>
          <w:szCs w:val="20"/>
          <w:color w:val="auto"/>
        </w:rPr>
      </w:pPr>
      <w:r>
        <w:rPr>
          <w:rFonts w:ascii="Arial" w:cs="Arial" w:eastAsia="Arial" w:hAnsi="Arial"/>
          <w:sz w:val="16"/>
          <w:szCs w:val="16"/>
          <w:color w:val="auto"/>
        </w:rPr>
        <w:t>The company uses a measurement date of December 31 to value its pension and other postretirement benefit plan obligations.</w:t>
      </w:r>
    </w:p>
    <w:p>
      <w:pPr>
        <w:ind w:right="680" w:firstLine="203"/>
        <w:spacing w:after="0" w:line="288" w:lineRule="auto"/>
        <w:rPr>
          <w:sz w:val="20"/>
          <w:szCs w:val="20"/>
          <w:color w:val="auto"/>
        </w:rPr>
      </w:pPr>
      <w:r>
        <w:rPr>
          <w:rFonts w:ascii="Arial" w:cs="Arial" w:eastAsia="Arial" w:hAnsi="Arial"/>
          <w:sz w:val="16"/>
          <w:szCs w:val="16"/>
          <w:color w:val="auto"/>
        </w:rPr>
        <w:t>In December 2003, the Medicare Prescription Drug, Improvement and Modernization Act of 2003 (the Act) became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auto"/>
        </w:rPr>
        <w:t>The Act introduces a prescription drug benefit under Medicare (Medicare Part D) as well as a federal subsidy to sponsors of retiree health care benefit plans, such as the company, that provide a benefit that is at least actuarially equivalent to Medicare Part D. The company is currently evaluating the impact of the legislation to its benefit plan design and accounting. The company has elected, in accordance with FASB Staff Position No. FAS 106-1, “Accounting and Disclosure Requirements Related to the Medicare Prescription Drug, Improvement and Modernization Act of 2003,” to defer recognition of the Act in the company’s measurement of the accumulated postretirement benefit obligation and net postretirement benefit cost in its financial statements and the accompanying notes. Specific accounting guidance for the federal subsidy is pending and, when issued, could require the company to change previously reported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-1602105</wp:posOffset>
            </wp:positionV>
            <wp:extent cx="8890" cy="16294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629410"/>
                    </a:xfrm>
                    <a:prstGeom prst="rect">
                      <a:avLst/>
                    </a:prstGeom>
                    <a:noFill/>
                  </pic:spPr>
                </pic:pic>
              </a:graphicData>
            </a:graphic>
          </wp:anchor>
        </w:drawing>
      </w:r>
    </w:p>
    <w:p>
      <w:pPr>
        <w:spacing w:after="0" w:line="623" w:lineRule="exact"/>
        <w:rPr>
          <w:sz w:val="20"/>
          <w:szCs w:val="20"/>
          <w:color w:val="auto"/>
        </w:rPr>
      </w:pPr>
    </w:p>
    <w:p>
      <w:pPr>
        <w:sectPr>
          <w:pgSz w:w="11900" w:h="16838" w:orient="portrait"/>
          <w:cols w:equalWidth="0" w:num="2">
            <w:col w:w="5460" w:space="420"/>
            <w:col w:w="5540"/>
          </w:cols>
          <w:pgMar w:left="240" w:top="419" w:right="239" w:bottom="1440" w:gutter="0" w:footer="0" w:header="0"/>
        </w:sectPr>
      </w:pP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status of the company’s pension and other postretirement benefit plans for 2003 and 2002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color w:val="auto"/>
              </w:rPr>
              <w:t>Pension Benefits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w w:val="98"/>
              </w:rPr>
              <w:t>Other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0" w:type="dxa"/>
            <w:vAlign w:val="bottom"/>
            <w:tcBorders>
              <w:top w:val="single" w:sz="8" w:color="0070FF"/>
              <w:bottom w:val="single" w:sz="8" w:color="0070FF"/>
            </w:tcBorders>
          </w:tcPr>
          <w:p>
            <w:pPr>
              <w:spacing w:after="0"/>
              <w:rPr>
                <w:sz w:val="12"/>
                <w:szCs w:val="12"/>
                <w:color w:val="auto"/>
              </w:rPr>
            </w:pPr>
          </w:p>
        </w:tc>
        <w:tc>
          <w:tcPr>
            <w:tcW w:w="800" w:type="dxa"/>
            <w:vAlign w:val="bottom"/>
            <w:tcBorders>
              <w:top w:val="single" w:sz="8" w:color="0070FF"/>
              <w:bottom w:val="single" w:sz="8" w:color="0070FF"/>
            </w:tcBorders>
          </w:tcPr>
          <w:p>
            <w:pPr>
              <w:spacing w:after="0"/>
              <w:rPr>
                <w:sz w:val="12"/>
                <w:szCs w:val="12"/>
                <w:color w:val="auto"/>
              </w:rPr>
            </w:pPr>
          </w:p>
        </w:tc>
        <w:tc>
          <w:tcPr>
            <w:tcW w:w="380" w:type="dxa"/>
            <w:vAlign w:val="bottom"/>
            <w:tcBorders>
              <w:top w:val="single" w:sz="8" w:color="0070FF"/>
              <w:bottom w:val="single" w:sz="8" w:color="0070FF"/>
            </w:tcBorders>
          </w:tcPr>
          <w:p>
            <w:pPr>
              <w:spacing w:after="0"/>
              <w:rPr>
                <w:sz w:val="12"/>
                <w:szCs w:val="12"/>
                <w:color w:val="auto"/>
              </w:rPr>
            </w:pPr>
          </w:p>
        </w:tc>
        <w:tc>
          <w:tcPr>
            <w:tcW w:w="780" w:type="dxa"/>
            <w:vAlign w:val="bottom"/>
            <w:tcBorders>
              <w:top w:val="single" w:sz="8" w:color="0070FF"/>
              <w:bottom w:val="single" w:sz="8" w:color="0070FF"/>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2003</w:t>
            </w:r>
          </w:p>
        </w:tc>
        <w:tc>
          <w:tcPr>
            <w:tcW w:w="360" w:type="dxa"/>
            <w:vAlign w:val="bottom"/>
            <w:tcBorders>
              <w:top w:val="single" w:sz="8" w:color="0070FF"/>
              <w:bottom w:val="single" w:sz="8" w:color="0070FF"/>
            </w:tcBorders>
          </w:tcPr>
          <w:p>
            <w:pPr>
              <w:spacing w:after="0"/>
              <w:rPr>
                <w:sz w:val="12"/>
                <w:szCs w:val="12"/>
                <w:color w:val="auto"/>
              </w:rPr>
            </w:pPr>
          </w:p>
        </w:tc>
        <w:tc>
          <w:tcPr>
            <w:tcW w:w="720" w:type="dxa"/>
            <w:vAlign w:val="bottom"/>
            <w:tcBorders>
              <w:top w:val="single" w:sz="8" w:color="0070FF"/>
              <w:bottom w:val="single" w:sz="8" w:color="0070FF"/>
            </w:tcBorders>
          </w:tcPr>
          <w:p>
            <w:pPr>
              <w:spacing w:after="0"/>
              <w:rPr>
                <w:sz w:val="12"/>
                <w:szCs w:val="12"/>
                <w:color w:val="auto"/>
              </w:rPr>
            </w:pPr>
          </w:p>
        </w:tc>
        <w:tc>
          <w:tcPr>
            <w:tcW w:w="440" w:type="dxa"/>
            <w:vAlign w:val="bottom"/>
            <w:tcBorders>
              <w:top w:val="single" w:sz="8" w:color="0070FF"/>
              <w:bottom w:val="single" w:sz="8" w:color="0070FF"/>
            </w:tcBorders>
          </w:tcPr>
          <w:p>
            <w:pPr>
              <w:spacing w:after="0"/>
              <w:rPr>
                <w:sz w:val="12"/>
                <w:szCs w:val="12"/>
                <w:color w:val="auto"/>
              </w:rPr>
            </w:pPr>
          </w:p>
        </w:tc>
        <w:tc>
          <w:tcPr>
            <w:tcW w:w="580" w:type="dxa"/>
            <w:vAlign w:val="bottom"/>
            <w:tcBorders>
              <w:top w:val="single" w:sz="8" w:color="0070FF"/>
              <w:bottom w:val="single" w:sz="8" w:color="0070FF"/>
            </w:tcBorders>
          </w:tcPr>
          <w:p>
            <w:pPr>
              <w:jc w:val="right"/>
              <w:ind w:right="48"/>
              <w:spacing w:after="0" w:line="142" w:lineRule="exact"/>
              <w:rPr>
                <w:sz w:val="20"/>
                <w:szCs w:val="20"/>
                <w:color w:val="auto"/>
              </w:rPr>
            </w:pPr>
            <w:r>
              <w:rPr>
                <w:rFonts w:ascii="Arial" w:cs="Arial" w:eastAsia="Arial" w:hAnsi="Arial"/>
                <w:sz w:val="14"/>
                <w:szCs w:val="14"/>
                <w:color w:val="auto"/>
              </w:rPr>
              <w:t>2002</w:t>
            </w:r>
          </w:p>
        </w:tc>
        <w:tc>
          <w:tcPr>
            <w:tcW w:w="180" w:type="dxa"/>
            <w:vAlign w:val="bottom"/>
            <w:tcBorders>
              <w:bottom w:val="single" w:sz="8" w:color="0070FF"/>
            </w:tcBorders>
          </w:tcPr>
          <w:p>
            <w:pPr>
              <w:spacing w:after="0"/>
              <w:rPr>
                <w:sz w:val="12"/>
                <w:szCs w:val="12"/>
                <w:color w:val="auto"/>
              </w:rPr>
            </w:pPr>
          </w:p>
        </w:tc>
        <w:tc>
          <w:tcPr>
            <w:tcW w:w="340" w:type="dxa"/>
            <w:vAlign w:val="bottom"/>
            <w:tcBorders>
              <w:bottom w:val="single" w:sz="8" w:color="0070FF"/>
            </w:tcBorders>
          </w:tcPr>
          <w:p>
            <w:pPr>
              <w:spacing w:after="0"/>
              <w:rPr>
                <w:sz w:val="12"/>
                <w:szCs w:val="12"/>
                <w:color w:val="auto"/>
              </w:rPr>
            </w:pPr>
          </w:p>
        </w:tc>
        <w:tc>
          <w:tcPr>
            <w:tcW w:w="760" w:type="dxa"/>
            <w:vAlign w:val="bottom"/>
            <w:tcBorders>
              <w:bottom w:val="single" w:sz="8" w:color="0070FF"/>
            </w:tcBorders>
          </w:tcPr>
          <w:p>
            <w:pPr>
              <w:spacing w:after="0"/>
              <w:rPr>
                <w:sz w:val="12"/>
                <w:szCs w:val="12"/>
                <w:color w:val="auto"/>
              </w:rPr>
            </w:pPr>
          </w:p>
        </w:tc>
        <w:tc>
          <w:tcPr>
            <w:tcW w:w="1020" w:type="dxa"/>
            <w:vAlign w:val="bottom"/>
            <w:tcBorders>
              <w:bottom w:val="single" w:sz="8" w:color="0070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0070FF"/>
            </w:tcBorders>
          </w:tcPr>
          <w:p>
            <w:pPr>
              <w:spacing w:after="0"/>
              <w:rPr>
                <w:sz w:val="12"/>
                <w:szCs w:val="12"/>
                <w:color w:val="auto"/>
              </w:rPr>
            </w:pPr>
          </w:p>
        </w:tc>
        <w:tc>
          <w:tcPr>
            <w:tcW w:w="200" w:type="dxa"/>
            <w:vAlign w:val="bottom"/>
            <w:tcBorders>
              <w:bottom w:val="single" w:sz="8" w:color="0070FF"/>
            </w:tcBorders>
          </w:tcPr>
          <w:p>
            <w:pPr>
              <w:spacing w:after="0"/>
              <w:rPr>
                <w:sz w:val="12"/>
                <w:szCs w:val="12"/>
                <w:color w:val="auto"/>
              </w:rPr>
            </w:pPr>
          </w:p>
        </w:tc>
        <w:tc>
          <w:tcPr>
            <w:tcW w:w="800" w:type="dxa"/>
            <w:vAlign w:val="bottom"/>
            <w:tcBorders>
              <w:bottom w:val="single" w:sz="8" w:color="0070FF"/>
            </w:tcBorders>
          </w:tcPr>
          <w:p>
            <w:pPr>
              <w:jc w:val="right"/>
              <w:ind w:right="248"/>
              <w:spacing w:after="0" w:line="142" w:lineRule="exact"/>
              <w:rPr>
                <w:sz w:val="20"/>
                <w:szCs w:val="20"/>
                <w:color w:val="auto"/>
              </w:rPr>
            </w:pPr>
            <w:r>
              <w:rPr>
                <w:rFonts w:ascii="Arial" w:cs="Arial" w:eastAsia="Arial" w:hAnsi="Arial"/>
                <w:sz w:val="14"/>
                <w:szCs w:val="14"/>
                <w:color w:val="auto"/>
              </w:rPr>
              <w:t>U.S.</w:t>
            </w:r>
          </w:p>
        </w:tc>
        <w:tc>
          <w:tcPr>
            <w:tcW w:w="380" w:type="dxa"/>
            <w:vAlign w:val="bottom"/>
            <w:tcBorders>
              <w:bottom w:val="single" w:sz="8" w:color="0070FF"/>
            </w:tcBorders>
          </w:tcPr>
          <w:p>
            <w:pPr>
              <w:spacing w:after="0"/>
              <w:rPr>
                <w:sz w:val="12"/>
                <w:szCs w:val="12"/>
                <w:color w:val="auto"/>
              </w:rPr>
            </w:pPr>
          </w:p>
        </w:tc>
        <w:tc>
          <w:tcPr>
            <w:tcW w:w="780" w:type="dxa"/>
            <w:vAlign w:val="bottom"/>
            <w:tcBorders>
              <w:bottom w:val="single" w:sz="8" w:color="0070FF"/>
            </w:tcBorders>
          </w:tcPr>
          <w:p>
            <w:pPr>
              <w:jc w:val="right"/>
              <w:ind w:right="248"/>
              <w:spacing w:after="0" w:line="142" w:lineRule="exact"/>
              <w:rPr>
                <w:sz w:val="20"/>
                <w:szCs w:val="20"/>
                <w:color w:val="auto"/>
              </w:rPr>
            </w:pPr>
            <w:r>
              <w:rPr>
                <w:rFonts w:ascii="Arial" w:cs="Arial" w:eastAsia="Arial" w:hAnsi="Arial"/>
                <w:sz w:val="14"/>
                <w:szCs w:val="14"/>
                <w:color w:val="auto"/>
              </w:rPr>
              <w:t>Int'l.</w:t>
            </w:r>
          </w:p>
        </w:tc>
        <w:tc>
          <w:tcPr>
            <w:tcW w:w="360" w:type="dxa"/>
            <w:vAlign w:val="bottom"/>
            <w:tcBorders>
              <w:bottom w:val="single" w:sz="8" w:color="0070FF"/>
            </w:tcBorders>
          </w:tcPr>
          <w:p>
            <w:pPr>
              <w:spacing w:after="0"/>
              <w:rPr>
                <w:sz w:val="12"/>
                <w:szCs w:val="12"/>
                <w:color w:val="auto"/>
              </w:rPr>
            </w:pPr>
          </w:p>
        </w:tc>
        <w:tc>
          <w:tcPr>
            <w:tcW w:w="720" w:type="dxa"/>
            <w:vAlign w:val="bottom"/>
            <w:tcBorders>
              <w:bottom w:val="single" w:sz="8" w:color="0070FF"/>
            </w:tcBorders>
          </w:tcPr>
          <w:p>
            <w:pPr>
              <w:jc w:val="right"/>
              <w:ind w:right="168"/>
              <w:spacing w:after="0" w:line="142" w:lineRule="exact"/>
              <w:rPr>
                <w:sz w:val="20"/>
                <w:szCs w:val="20"/>
                <w:color w:val="auto"/>
              </w:rPr>
            </w:pPr>
            <w:r>
              <w:rPr>
                <w:rFonts w:ascii="Arial" w:cs="Arial" w:eastAsia="Arial" w:hAnsi="Arial"/>
                <w:sz w:val="14"/>
                <w:szCs w:val="14"/>
                <w:color w:val="auto"/>
              </w:rPr>
              <w:t>U.S.</w:t>
            </w:r>
          </w:p>
        </w:tc>
        <w:tc>
          <w:tcPr>
            <w:tcW w:w="440" w:type="dxa"/>
            <w:vAlign w:val="bottom"/>
            <w:tcBorders>
              <w:bottom w:val="single" w:sz="8" w:color="0070FF"/>
            </w:tcBorders>
          </w:tcPr>
          <w:p>
            <w:pPr>
              <w:spacing w:after="0"/>
              <w:rPr>
                <w:sz w:val="12"/>
                <w:szCs w:val="12"/>
                <w:color w:val="auto"/>
              </w:rPr>
            </w:pPr>
          </w:p>
        </w:tc>
        <w:tc>
          <w:tcPr>
            <w:tcW w:w="760" w:type="dxa"/>
            <w:vAlign w:val="bottom"/>
            <w:tcBorders>
              <w:bottom w:val="single" w:sz="8" w:color="0070FF"/>
            </w:tcBorders>
            <w:gridSpan w:val="2"/>
          </w:tcPr>
          <w:p>
            <w:pPr>
              <w:ind w:left="220"/>
              <w:spacing w:after="0" w:line="142" w:lineRule="exact"/>
              <w:rPr>
                <w:sz w:val="20"/>
                <w:szCs w:val="20"/>
                <w:color w:val="auto"/>
              </w:rPr>
            </w:pPr>
            <w:r>
              <w:rPr>
                <w:rFonts w:ascii="Arial" w:cs="Arial" w:eastAsia="Arial" w:hAnsi="Arial"/>
                <w:sz w:val="14"/>
                <w:szCs w:val="14"/>
                <w:color w:val="auto"/>
              </w:rPr>
              <w:t>Int'l.</w:t>
            </w:r>
          </w:p>
        </w:tc>
        <w:tc>
          <w:tcPr>
            <w:tcW w:w="340" w:type="dxa"/>
            <w:vAlign w:val="bottom"/>
            <w:tcBorders>
              <w:bottom w:val="single" w:sz="8" w:color="0070FF"/>
            </w:tcBorders>
          </w:tcPr>
          <w:p>
            <w:pPr>
              <w:spacing w:after="0"/>
              <w:rPr>
                <w:sz w:val="12"/>
                <w:szCs w:val="12"/>
                <w:color w:val="auto"/>
              </w:rPr>
            </w:pPr>
          </w:p>
        </w:tc>
        <w:tc>
          <w:tcPr>
            <w:tcW w:w="760" w:type="dxa"/>
            <w:vAlign w:val="bottom"/>
            <w:tcBorders>
              <w:bottom w:val="single" w:sz="8" w:color="0070FF"/>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48"/>
              <w:spacing w:after="0" w:line="142"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40" w:type="dxa"/>
            <w:vAlign w:val="bottom"/>
          </w:tcPr>
          <w:p>
            <w:pPr>
              <w:spacing w:after="0" w:line="137" w:lineRule="exact"/>
              <w:rPr>
                <w:sz w:val="20"/>
                <w:szCs w:val="20"/>
                <w:color w:val="auto"/>
              </w:rPr>
            </w:pPr>
            <w:r>
              <w:rPr>
                <w:rFonts w:ascii="Arial" w:cs="Arial" w:eastAsia="Arial" w:hAnsi="Arial"/>
                <w:sz w:val="14"/>
                <w:szCs w:val="14"/>
                <w:b w:val="1"/>
                <w:bCs w:val="1"/>
                <w:color w:val="0070FF"/>
              </w:rPr>
              <w:t>CHANGE IN BENEFIT OBLIGATION</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5,308</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2,163</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2,865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40" w:type="dxa"/>
            <w:vAlign w:val="bottom"/>
          </w:tcPr>
          <w:p>
            <w:pPr>
              <w:ind w:left="120"/>
              <w:spacing w:after="0" w:line="145" w:lineRule="exact"/>
              <w:rPr>
                <w:sz w:val="20"/>
                <w:szCs w:val="20"/>
                <w:color w:val="auto"/>
              </w:rPr>
            </w:pPr>
            <w:r>
              <w:rPr>
                <w:rFonts w:ascii="Arial" w:cs="Arial" w:eastAsia="Arial" w:hAnsi="Arial"/>
                <w:sz w:val="14"/>
                <w:szCs w:val="14"/>
                <w:color w:val="auto"/>
              </w:rPr>
              <w:t>Benefit obligation at January 1</w:t>
            </w:r>
          </w:p>
        </w:tc>
        <w:tc>
          <w:tcPr>
            <w:tcW w:w="2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5,180</w:t>
            </w:r>
          </w:p>
        </w:tc>
        <w:tc>
          <w:tcPr>
            <w:tcW w:w="440" w:type="dxa"/>
            <w:vAlign w:val="bottom"/>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1,848</w:t>
            </w:r>
          </w:p>
        </w:tc>
        <w:tc>
          <w:tcPr>
            <w:tcW w:w="1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Service cost</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144</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54</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112</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47</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28</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Interest cost</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334</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151</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334</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143</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191</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Plan participants’ contribution</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Plan amendments</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25</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298</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Actuarial loss</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708</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223</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410</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254</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exchange rate changes</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257</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154</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7</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Benefits paid</w:t>
            </w:r>
          </w:p>
        </w:tc>
        <w:tc>
          <w:tcPr>
            <w:tcW w:w="200" w:type="dxa"/>
            <w:vAlign w:val="bottom"/>
          </w:tcPr>
          <w:p>
            <w:pPr>
              <w:spacing w:after="0"/>
              <w:rPr>
                <w:sz w:val="12"/>
                <w:szCs w:val="12"/>
                <w:color w:val="auto"/>
              </w:rPr>
            </w:pP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(676)</w:t>
            </w:r>
          </w:p>
        </w:tc>
        <w:tc>
          <w:tcPr>
            <w:tcW w:w="3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(162)</w:t>
            </w:r>
          </w:p>
        </w:tc>
        <w:tc>
          <w:tcPr>
            <w:tcW w:w="36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(1,028)</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(200)</w:t>
            </w:r>
          </w:p>
        </w:tc>
        <w:tc>
          <w:tcPr>
            <w:tcW w:w="42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Curtailment</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Acquisitions/joint ventures</w:t>
            </w:r>
          </w:p>
        </w:tc>
        <w:tc>
          <w:tcPr>
            <w:tcW w:w="2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46</w:t>
            </w:r>
          </w:p>
        </w:tc>
        <w:tc>
          <w:tcPr>
            <w:tcW w:w="18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48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Benefit obligation at December 31</w:t>
            </w:r>
          </w:p>
        </w:tc>
        <w:tc>
          <w:tcPr>
            <w:tcW w:w="200" w:type="dxa"/>
            <w:vAlign w:val="bottom"/>
            <w:tcBorders>
              <w:bottom w:val="single" w:sz="8" w:color="0070FF"/>
            </w:tcBorders>
          </w:tcPr>
          <w:p>
            <w:pPr>
              <w:spacing w:after="0"/>
              <w:rPr>
                <w:sz w:val="13"/>
                <w:szCs w:val="13"/>
                <w:color w:val="auto"/>
              </w:rPr>
            </w:pPr>
          </w:p>
        </w:tc>
        <w:tc>
          <w:tcPr>
            <w:tcW w:w="80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5,819</w:t>
            </w:r>
          </w:p>
        </w:tc>
        <w:tc>
          <w:tcPr>
            <w:tcW w:w="38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2,708</w:t>
            </w:r>
          </w:p>
        </w:tc>
        <w:tc>
          <w:tcPr>
            <w:tcW w:w="36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168"/>
              <w:spacing w:after="0" w:line="155" w:lineRule="exact"/>
              <w:rPr>
                <w:sz w:val="20"/>
                <w:szCs w:val="20"/>
                <w:color w:val="auto"/>
              </w:rPr>
            </w:pPr>
            <w:r>
              <w:rPr>
                <w:rFonts w:ascii="Arial" w:cs="Arial" w:eastAsia="Arial" w:hAnsi="Arial"/>
                <w:sz w:val="14"/>
                <w:szCs w:val="14"/>
                <w:color w:val="auto"/>
              </w:rPr>
              <w:t>5,308</w:t>
            </w:r>
          </w:p>
        </w:tc>
        <w:tc>
          <w:tcPr>
            <w:tcW w:w="44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2,163</w:t>
            </w:r>
          </w:p>
        </w:tc>
        <w:tc>
          <w:tcPr>
            <w:tcW w:w="18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76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3,145</w:t>
            </w:r>
          </w:p>
        </w:tc>
        <w:tc>
          <w:tcPr>
            <w:tcW w:w="4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37"/>
        </w:trPr>
        <w:tc>
          <w:tcPr>
            <w:tcW w:w="4860" w:type="dxa"/>
            <w:vAlign w:val="bottom"/>
            <w:gridSpan w:val="2"/>
          </w:tcPr>
          <w:p>
            <w:pPr>
              <w:spacing w:after="0" w:line="137" w:lineRule="exact"/>
              <w:rPr>
                <w:sz w:val="20"/>
                <w:szCs w:val="20"/>
                <w:color w:val="auto"/>
              </w:rPr>
            </w:pPr>
            <w:r>
              <w:rPr>
                <w:rFonts w:ascii="Arial" w:cs="Arial" w:eastAsia="Arial" w:hAnsi="Arial"/>
                <w:sz w:val="14"/>
                <w:szCs w:val="14"/>
                <w:b w:val="1"/>
                <w:bCs w:val="1"/>
                <w:color w:val="0070FF"/>
              </w:rPr>
              <w:t>CHANGE IN PLAN ASSETS</w:t>
            </w:r>
          </w:p>
        </w:tc>
        <w:tc>
          <w:tcPr>
            <w:tcW w:w="200" w:type="dxa"/>
            <w:vAlign w:val="bottom"/>
          </w:tcPr>
          <w:p>
            <w:pPr>
              <w:spacing w:after="0"/>
              <w:rPr>
                <w:sz w:val="11"/>
                <w:szCs w:val="11"/>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3,190</w:t>
            </w:r>
          </w:p>
        </w:tc>
        <w:tc>
          <w:tcPr>
            <w:tcW w:w="380" w:type="dxa"/>
            <w:vAlign w:val="bottom"/>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1,645</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40" w:type="dxa"/>
            <w:vAlign w:val="bottom"/>
          </w:tcPr>
          <w:p>
            <w:pPr>
              <w:ind w:left="260"/>
              <w:spacing w:after="0" w:line="145" w:lineRule="exact"/>
              <w:rPr>
                <w:sz w:val="20"/>
                <w:szCs w:val="20"/>
                <w:color w:val="auto"/>
              </w:rPr>
            </w:pPr>
            <w:r>
              <w:rPr>
                <w:rFonts w:ascii="Arial" w:cs="Arial" w:eastAsia="Arial" w:hAnsi="Arial"/>
                <w:sz w:val="14"/>
                <w:szCs w:val="14"/>
                <w:color w:val="auto"/>
              </w:rPr>
              <w:t>Fair value of plan assets at January 1</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4,400</w:t>
            </w:r>
          </w:p>
        </w:tc>
        <w:tc>
          <w:tcPr>
            <w:tcW w:w="440" w:type="dxa"/>
            <w:vAlign w:val="bottom"/>
          </w:tcPr>
          <w:p>
            <w:pPr>
              <w:spacing w:after="0"/>
              <w:rPr>
                <w:sz w:val="12"/>
                <w:szCs w:val="12"/>
                <w:color w:val="auto"/>
              </w:rPr>
            </w:pP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1,547</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260"/>
              <w:spacing w:after="0" w:line="149" w:lineRule="exact"/>
              <w:rPr>
                <w:sz w:val="20"/>
                <w:szCs w:val="20"/>
                <w:color w:val="auto"/>
              </w:rPr>
            </w:pPr>
            <w:r>
              <w:rPr>
                <w:rFonts w:ascii="Arial" w:cs="Arial" w:eastAsia="Arial" w:hAnsi="Arial"/>
                <w:sz w:val="14"/>
                <w:szCs w:val="14"/>
                <w:color w:val="auto"/>
              </w:rPr>
              <w:t>Actual return on plan assets</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726</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203</w:t>
            </w:r>
          </w:p>
        </w:tc>
        <w:tc>
          <w:tcPr>
            <w:tcW w:w="36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(284)</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ind w:left="260"/>
              <w:spacing w:after="0"/>
              <w:rPr>
                <w:sz w:val="20"/>
                <w:szCs w:val="20"/>
                <w:color w:val="auto"/>
              </w:rPr>
            </w:pPr>
            <w:r>
              <w:rPr>
                <w:rFonts w:ascii="Arial" w:cs="Arial" w:eastAsia="Arial" w:hAnsi="Arial"/>
                <w:sz w:val="14"/>
                <w:szCs w:val="14"/>
                <w:color w:val="auto"/>
              </w:rPr>
              <w:t>Foreign currency exchange rate changes</w:t>
            </w:r>
          </w:p>
        </w:tc>
        <w:tc>
          <w:tcPr>
            <w:tcW w:w="20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228</w:t>
            </w:r>
          </w:p>
        </w:tc>
        <w:tc>
          <w:tcPr>
            <w:tcW w:w="3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ind w:left="260"/>
              <w:spacing w:after="0" w:line="175" w:lineRule="exact"/>
              <w:rPr>
                <w:sz w:val="20"/>
                <w:szCs w:val="20"/>
                <w:color w:val="auto"/>
              </w:rPr>
            </w:pPr>
            <w:r>
              <w:rPr>
                <w:rFonts w:ascii="Arial" w:cs="Arial" w:eastAsia="Arial" w:hAnsi="Arial"/>
                <w:sz w:val="13"/>
                <w:szCs w:val="13"/>
                <w:color w:val="auto"/>
              </w:rPr>
              <w:t>Employer contributions</w:t>
            </w:r>
            <w:r>
              <w:rPr>
                <w:rFonts w:ascii="Arial" w:cs="Arial" w:eastAsia="Arial" w:hAnsi="Arial"/>
                <w:sz w:val="20"/>
                <w:szCs w:val="20"/>
                <w:color w:val="auto"/>
                <w:vertAlign w:val="superscript"/>
              </w:rPr>
              <w:t>1</w:t>
            </w:r>
          </w:p>
        </w:tc>
        <w:tc>
          <w:tcPr>
            <w:tcW w:w="20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1,203</w:t>
            </w:r>
          </w:p>
        </w:tc>
        <w:tc>
          <w:tcPr>
            <w:tcW w:w="380" w:type="dxa"/>
            <w:vAlign w:val="bottom"/>
          </w:tcPr>
          <w:p>
            <w:pPr>
              <w:spacing w:after="0"/>
              <w:rPr>
                <w:sz w:val="15"/>
                <w:szCs w:val="15"/>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214</w:t>
            </w:r>
          </w:p>
        </w:tc>
        <w:tc>
          <w:tcPr>
            <w:tcW w:w="36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200</w:t>
            </w:r>
          </w:p>
        </w:tc>
        <w:tc>
          <w:tcPr>
            <w:tcW w:w="42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ind w:left="260"/>
              <w:spacing w:after="0"/>
              <w:rPr>
                <w:sz w:val="20"/>
                <w:szCs w:val="20"/>
                <w:color w:val="auto"/>
              </w:rPr>
            </w:pPr>
            <w:r>
              <w:rPr>
                <w:rFonts w:ascii="Arial" w:cs="Arial" w:eastAsia="Arial" w:hAnsi="Arial"/>
                <w:sz w:val="14"/>
                <w:szCs w:val="14"/>
                <w:color w:val="auto"/>
              </w:rPr>
              <w:t>Plan participants’ contributions</w:t>
            </w:r>
          </w:p>
        </w:tc>
        <w:tc>
          <w:tcPr>
            <w:tcW w:w="20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ind w:left="260"/>
              <w:spacing w:after="0" w:line="175" w:lineRule="exact"/>
              <w:rPr>
                <w:sz w:val="20"/>
                <w:szCs w:val="20"/>
                <w:color w:val="auto"/>
              </w:rPr>
            </w:pPr>
            <w:r>
              <w:rPr>
                <w:rFonts w:ascii="Arial" w:cs="Arial" w:eastAsia="Arial" w:hAnsi="Arial"/>
                <w:sz w:val="13"/>
                <w:szCs w:val="13"/>
                <w:color w:val="auto"/>
              </w:rPr>
              <w:t>Benefits paid</w:t>
            </w:r>
            <w:r>
              <w:rPr>
                <w:rFonts w:ascii="Arial" w:cs="Arial" w:eastAsia="Arial" w:hAnsi="Arial"/>
                <w:sz w:val="20"/>
                <w:szCs w:val="20"/>
                <w:color w:val="auto"/>
                <w:vertAlign w:val="superscript"/>
              </w:rPr>
              <w:t>1</w:t>
            </w:r>
          </w:p>
        </w:tc>
        <w:tc>
          <w:tcPr>
            <w:tcW w:w="20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(676)</w:t>
            </w:r>
          </w:p>
        </w:tc>
        <w:tc>
          <w:tcPr>
            <w:tcW w:w="380" w:type="dxa"/>
            <w:vAlign w:val="bottom"/>
          </w:tcPr>
          <w:p>
            <w:pPr>
              <w:spacing w:after="0"/>
              <w:rPr>
                <w:sz w:val="15"/>
                <w:szCs w:val="15"/>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(162)</w:t>
            </w:r>
          </w:p>
        </w:tc>
        <w:tc>
          <w:tcPr>
            <w:tcW w:w="36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(1,028)</w:t>
            </w:r>
          </w:p>
        </w:tc>
        <w:tc>
          <w:tcPr>
            <w:tcW w:w="4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(200)</w:t>
            </w:r>
          </w:p>
        </w:tc>
        <w:tc>
          <w:tcPr>
            <w:tcW w:w="42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Acquisitions/joint ventures</w:t>
            </w:r>
          </w:p>
        </w:tc>
        <w:tc>
          <w:tcPr>
            <w:tcW w:w="2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34</w:t>
            </w:r>
          </w:p>
        </w:tc>
        <w:tc>
          <w:tcPr>
            <w:tcW w:w="18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48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Fair value of plan assets at December 31</w:t>
            </w:r>
          </w:p>
        </w:tc>
        <w:tc>
          <w:tcPr>
            <w:tcW w:w="200" w:type="dxa"/>
            <w:vAlign w:val="bottom"/>
            <w:tcBorders>
              <w:bottom w:val="single" w:sz="8" w:color="0070FF"/>
            </w:tcBorders>
          </w:tcPr>
          <w:p>
            <w:pPr>
              <w:spacing w:after="0"/>
              <w:rPr>
                <w:sz w:val="13"/>
                <w:szCs w:val="13"/>
                <w:color w:val="auto"/>
              </w:rPr>
            </w:pPr>
          </w:p>
        </w:tc>
        <w:tc>
          <w:tcPr>
            <w:tcW w:w="80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4,444</w:t>
            </w:r>
          </w:p>
        </w:tc>
        <w:tc>
          <w:tcPr>
            <w:tcW w:w="38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2,129</w:t>
            </w:r>
          </w:p>
        </w:tc>
        <w:tc>
          <w:tcPr>
            <w:tcW w:w="36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168"/>
              <w:spacing w:after="0" w:line="155" w:lineRule="exact"/>
              <w:rPr>
                <w:sz w:val="20"/>
                <w:szCs w:val="20"/>
                <w:color w:val="auto"/>
              </w:rPr>
            </w:pPr>
            <w:r>
              <w:rPr>
                <w:rFonts w:ascii="Arial" w:cs="Arial" w:eastAsia="Arial" w:hAnsi="Arial"/>
                <w:sz w:val="14"/>
                <w:szCs w:val="14"/>
                <w:color w:val="auto"/>
              </w:rPr>
              <w:t>3,190</w:t>
            </w:r>
          </w:p>
        </w:tc>
        <w:tc>
          <w:tcPr>
            <w:tcW w:w="44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1,645</w:t>
            </w:r>
          </w:p>
        </w:tc>
        <w:tc>
          <w:tcPr>
            <w:tcW w:w="18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76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4"/>
                <w:szCs w:val="14"/>
                <w:b w:val="1"/>
                <w:bCs w:val="1"/>
                <w:color w:val="0070FF"/>
              </w:rPr>
              <w:t>FUNDED STATUS</w:t>
            </w:r>
          </w:p>
        </w:tc>
        <w:tc>
          <w:tcPr>
            <w:tcW w:w="200" w:type="dxa"/>
            <w:vAlign w:val="bottom"/>
          </w:tcPr>
          <w:p>
            <w:pPr>
              <w:spacing w:after="0"/>
              <w:rPr>
                <w:sz w:val="11"/>
                <w:szCs w:val="11"/>
                <w:color w:val="auto"/>
              </w:rPr>
            </w:pPr>
          </w:p>
        </w:tc>
        <w:tc>
          <w:tcPr>
            <w:tcW w:w="80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(1,375)</w:t>
            </w:r>
          </w:p>
        </w:tc>
        <w:tc>
          <w:tcPr>
            <w:tcW w:w="380" w:type="dxa"/>
            <w:vAlign w:val="bottom"/>
          </w:tcPr>
          <w:p>
            <w:pPr>
              <w:spacing w:after="0"/>
              <w:rPr>
                <w:sz w:val="11"/>
                <w:szCs w:val="11"/>
                <w:color w:val="auto"/>
              </w:rPr>
            </w:pPr>
          </w:p>
        </w:tc>
        <w:tc>
          <w:tcPr>
            <w:tcW w:w="78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(579)</w:t>
            </w:r>
          </w:p>
        </w:tc>
        <w:tc>
          <w:tcPr>
            <w:tcW w:w="360" w:type="dxa"/>
            <w:vAlign w:val="bottom"/>
          </w:tcPr>
          <w:p>
            <w:pPr>
              <w:spacing w:after="0"/>
              <w:rPr>
                <w:sz w:val="11"/>
                <w:szCs w:val="11"/>
                <w:color w:val="auto"/>
              </w:rPr>
            </w:pPr>
          </w:p>
        </w:tc>
        <w:tc>
          <w:tcPr>
            <w:tcW w:w="720" w:type="dxa"/>
            <w:vAlign w:val="bottom"/>
          </w:tcPr>
          <w:p>
            <w:pPr>
              <w:jc w:val="right"/>
              <w:ind w:right="108"/>
              <w:spacing w:after="0" w:line="133" w:lineRule="exact"/>
              <w:rPr>
                <w:sz w:val="20"/>
                <w:szCs w:val="20"/>
                <w:color w:val="auto"/>
              </w:rPr>
            </w:pPr>
            <w:r>
              <w:rPr>
                <w:rFonts w:ascii="Arial" w:cs="Arial" w:eastAsia="Arial" w:hAnsi="Arial"/>
                <w:sz w:val="14"/>
                <w:szCs w:val="14"/>
                <w:color w:val="auto"/>
              </w:rPr>
              <w:t>(2,118)</w:t>
            </w:r>
          </w:p>
        </w:tc>
        <w:tc>
          <w:tcPr>
            <w:tcW w:w="4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(518)</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ind w:right="148"/>
              <w:spacing w:after="0" w:line="133" w:lineRule="exact"/>
              <w:rPr>
                <w:sz w:val="20"/>
                <w:szCs w:val="20"/>
                <w:color w:val="auto"/>
              </w:rPr>
            </w:pPr>
            <w:r>
              <w:rPr>
                <w:rFonts w:ascii="Arial" w:cs="Arial" w:eastAsia="Arial" w:hAnsi="Arial"/>
                <w:sz w:val="14"/>
                <w:szCs w:val="14"/>
                <w:b w:val="1"/>
                <w:bCs w:val="1"/>
                <w:color w:val="auto"/>
              </w:rPr>
              <w:t>(3,145)</w:t>
            </w:r>
          </w:p>
        </w:tc>
        <w:tc>
          <w:tcPr>
            <w:tcW w:w="420" w:type="dxa"/>
            <w:vAlign w:val="bottom"/>
          </w:tcPr>
          <w:p>
            <w:pPr>
              <w:spacing w:after="0"/>
              <w:rPr>
                <w:sz w:val="11"/>
                <w:szCs w:val="11"/>
                <w:color w:val="auto"/>
              </w:rPr>
            </w:pPr>
          </w:p>
        </w:tc>
        <w:tc>
          <w:tcPr>
            <w:tcW w:w="600" w:type="dxa"/>
            <w:vAlign w:val="bottom"/>
          </w:tcPr>
          <w:p>
            <w:pPr>
              <w:jc w:val="right"/>
              <w:ind w:right="8"/>
              <w:spacing w:after="0" w:line="133" w:lineRule="exact"/>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Unrecognized net actuarial loss</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1,598</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918</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1,686</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793</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656</w:t>
            </w:r>
          </w:p>
        </w:tc>
        <w:tc>
          <w:tcPr>
            <w:tcW w:w="4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120"/>
              <w:spacing w:after="0" w:line="149" w:lineRule="exact"/>
              <w:rPr>
                <w:sz w:val="20"/>
                <w:szCs w:val="20"/>
                <w:color w:val="auto"/>
              </w:rPr>
            </w:pPr>
            <w:r>
              <w:rPr>
                <w:rFonts w:ascii="Arial" w:cs="Arial" w:eastAsia="Arial" w:hAnsi="Arial"/>
                <w:sz w:val="14"/>
                <w:szCs w:val="14"/>
                <w:color w:val="auto"/>
              </w:rPr>
              <w:t>Unrecognized prior-service cost</w:t>
            </w:r>
          </w:p>
        </w:tc>
        <w:tc>
          <w:tcPr>
            <w:tcW w:w="200" w:type="dxa"/>
            <w:vAlign w:val="bottom"/>
          </w:tcPr>
          <w:p>
            <w:pPr>
              <w:spacing w:after="0"/>
              <w:rPr>
                <w:sz w:val="12"/>
                <w:szCs w:val="12"/>
                <w:color w:val="auto"/>
              </w:rPr>
            </w:pPr>
          </w:p>
        </w:tc>
        <w:tc>
          <w:tcPr>
            <w:tcW w:w="80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350</w:t>
            </w:r>
          </w:p>
        </w:tc>
        <w:tc>
          <w:tcPr>
            <w:tcW w:w="380" w:type="dxa"/>
            <w:vAlign w:val="bottom"/>
          </w:tcPr>
          <w:p>
            <w:pPr>
              <w:spacing w:after="0"/>
              <w:rPr>
                <w:sz w:val="12"/>
                <w:szCs w:val="12"/>
                <w:color w:val="auto"/>
              </w:rPr>
            </w:pPr>
          </w:p>
        </w:tc>
        <w:tc>
          <w:tcPr>
            <w:tcW w:w="7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92</w:t>
            </w:r>
          </w:p>
        </w:tc>
        <w:tc>
          <w:tcPr>
            <w:tcW w:w="36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363</w:t>
            </w:r>
          </w:p>
        </w:tc>
        <w:tc>
          <w:tcPr>
            <w:tcW w:w="44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(19)</w:t>
            </w:r>
          </w:p>
        </w:tc>
        <w:tc>
          <w:tcPr>
            <w:tcW w:w="42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Unrecognized net transitional assets</w:t>
            </w:r>
          </w:p>
        </w:tc>
        <w:tc>
          <w:tcPr>
            <w:tcW w:w="2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8</w:t>
            </w:r>
          </w:p>
        </w:tc>
        <w:tc>
          <w:tcPr>
            <w:tcW w:w="36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48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 recognized at December 31</w:t>
            </w:r>
          </w:p>
        </w:tc>
        <w:tc>
          <w:tcPr>
            <w:tcW w:w="2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573</w:t>
            </w:r>
          </w:p>
        </w:tc>
        <w:tc>
          <w:tcPr>
            <w:tcW w:w="380" w:type="dxa"/>
            <w:vAlign w:val="bottom"/>
            <w:tcBorders>
              <w:bottom w:val="single" w:sz="8" w:color="0070FF"/>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439</w:t>
            </w:r>
          </w:p>
        </w:tc>
        <w:tc>
          <w:tcPr>
            <w:tcW w:w="36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color w:val="auto"/>
              </w:rPr>
              <w:t>(69)</w:t>
            </w:r>
          </w:p>
        </w:tc>
        <w:tc>
          <w:tcPr>
            <w:tcW w:w="44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348</w:t>
            </w:r>
          </w:p>
        </w:tc>
        <w:tc>
          <w:tcPr>
            <w:tcW w:w="18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(2,508)</w:t>
            </w:r>
          </w:p>
        </w:tc>
        <w:tc>
          <w:tcPr>
            <w:tcW w:w="4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4"/>
                <w:szCs w:val="14"/>
                <w:b w:val="1"/>
                <w:bCs w:val="1"/>
                <w:color w:val="0070FF"/>
              </w:rPr>
              <w:t>AMOUNTS RECOGNIZED IN THE CONSOLIDATED</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40" w:type="dxa"/>
            <w:vAlign w:val="bottom"/>
          </w:tcPr>
          <w:p>
            <w:pPr>
              <w:ind w:left="120"/>
              <w:spacing w:after="0" w:line="153" w:lineRule="exact"/>
              <w:rPr>
                <w:sz w:val="20"/>
                <w:szCs w:val="20"/>
                <w:color w:val="auto"/>
              </w:rPr>
            </w:pPr>
            <w:r>
              <w:rPr>
                <w:rFonts w:ascii="Arial" w:cs="Arial" w:eastAsia="Arial" w:hAnsi="Arial"/>
                <w:sz w:val="14"/>
                <w:szCs w:val="14"/>
                <w:b w:val="1"/>
                <w:bCs w:val="1"/>
                <w:color w:val="0070FF"/>
              </w:rPr>
              <w:t>BALANCE SHEET AT DECEMBER 31</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10</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679</w:t>
            </w: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40" w:type="dxa"/>
            <w:vAlign w:val="bottom"/>
          </w:tcPr>
          <w:p>
            <w:pPr>
              <w:ind w:left="260"/>
              <w:spacing w:after="0" w:line="145" w:lineRule="exact"/>
              <w:rPr>
                <w:sz w:val="20"/>
                <w:szCs w:val="20"/>
                <w:color w:val="auto"/>
              </w:rPr>
            </w:pPr>
            <w:r>
              <w:rPr>
                <w:rFonts w:ascii="Arial" w:cs="Arial" w:eastAsia="Arial" w:hAnsi="Arial"/>
                <w:sz w:val="14"/>
                <w:szCs w:val="14"/>
                <w:color w:val="auto"/>
              </w:rPr>
              <w:t>Prepaid benefit cost</w:t>
            </w:r>
          </w:p>
        </w:tc>
        <w:tc>
          <w:tcPr>
            <w:tcW w:w="2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164</w:t>
            </w:r>
          </w:p>
        </w:tc>
        <w:tc>
          <w:tcPr>
            <w:tcW w:w="440" w:type="dxa"/>
            <w:vAlign w:val="bottom"/>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652</w:t>
            </w:r>
          </w:p>
        </w:tc>
        <w:tc>
          <w:tcPr>
            <w:tcW w:w="1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260"/>
              <w:spacing w:after="0" w:line="149" w:lineRule="exact"/>
              <w:rPr>
                <w:sz w:val="20"/>
                <w:szCs w:val="20"/>
                <w:color w:val="auto"/>
              </w:rPr>
            </w:pPr>
            <w:r>
              <w:rPr>
                <w:rFonts w:ascii="Arial" w:cs="Arial" w:eastAsia="Arial" w:hAnsi="Arial"/>
                <w:sz w:val="14"/>
                <w:szCs w:val="14"/>
                <w:color w:val="auto"/>
              </w:rPr>
              <w:t>Accrued benefit liability</w:t>
            </w:r>
          </w:p>
        </w:tc>
        <w:tc>
          <w:tcPr>
            <w:tcW w:w="200" w:type="dxa"/>
            <w:vAlign w:val="bottom"/>
          </w:tcPr>
          <w:p>
            <w:pPr>
              <w:spacing w:after="0"/>
              <w:rPr>
                <w:sz w:val="12"/>
                <w:szCs w:val="12"/>
                <w:color w:val="auto"/>
              </w:rPr>
            </w:pP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(970)</w:t>
            </w:r>
          </w:p>
        </w:tc>
        <w:tc>
          <w:tcPr>
            <w:tcW w:w="380" w:type="dxa"/>
            <w:vAlign w:val="bottom"/>
          </w:tcPr>
          <w:p>
            <w:pPr>
              <w:spacing w:after="0"/>
              <w:rPr>
                <w:sz w:val="12"/>
                <w:szCs w:val="12"/>
                <w:color w:val="auto"/>
              </w:rPr>
            </w:pPr>
          </w:p>
        </w:tc>
        <w:tc>
          <w:tcPr>
            <w:tcW w:w="7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(392)</w:t>
            </w:r>
          </w:p>
        </w:tc>
        <w:tc>
          <w:tcPr>
            <w:tcW w:w="36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(1,928)</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(2,508)</w:t>
            </w:r>
          </w:p>
        </w:tc>
        <w:tc>
          <w:tcPr>
            <w:tcW w:w="42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ind w:left="260"/>
              <w:spacing w:after="0"/>
              <w:rPr>
                <w:sz w:val="20"/>
                <w:szCs w:val="20"/>
                <w:color w:val="auto"/>
              </w:rPr>
            </w:pPr>
            <w:r>
              <w:rPr>
                <w:rFonts w:ascii="Arial" w:cs="Arial" w:eastAsia="Arial" w:hAnsi="Arial"/>
                <w:sz w:val="14"/>
                <w:szCs w:val="14"/>
                <w:color w:val="auto"/>
              </w:rPr>
              <w:t>Intangible asset</w:t>
            </w:r>
          </w:p>
        </w:tc>
        <w:tc>
          <w:tcPr>
            <w:tcW w:w="20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349</w:t>
            </w:r>
          </w:p>
        </w:tc>
        <w:tc>
          <w:tcPr>
            <w:tcW w:w="38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18</w:t>
            </w:r>
          </w:p>
        </w:tc>
        <w:tc>
          <w:tcPr>
            <w:tcW w:w="3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360</w:t>
            </w:r>
          </w:p>
        </w:tc>
        <w:tc>
          <w:tcPr>
            <w:tcW w:w="4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Borders>
              <w:bottom w:val="single" w:sz="8" w:color="0070FF"/>
            </w:tcBorders>
          </w:tcPr>
          <w:p>
            <w:pPr>
              <w:ind w:left="260"/>
              <w:spacing w:after="0" w:line="198" w:lineRule="exact"/>
              <w:rPr>
                <w:sz w:val="20"/>
                <w:szCs w:val="20"/>
                <w:color w:val="auto"/>
              </w:rPr>
            </w:pPr>
            <w:r>
              <w:rPr>
                <w:rFonts w:ascii="Arial" w:cs="Arial" w:eastAsia="Arial" w:hAnsi="Arial"/>
                <w:sz w:val="14"/>
                <w:szCs w:val="14"/>
                <w:color w:val="auto"/>
              </w:rPr>
              <w:t>Accumulated other comprehensive income</w:t>
            </w:r>
            <w:r>
              <w:rPr>
                <w:rFonts w:ascii="Arial" w:cs="Arial" w:eastAsia="Arial" w:hAnsi="Arial"/>
                <w:sz w:val="22"/>
                <w:szCs w:val="22"/>
                <w:color w:val="auto"/>
                <w:vertAlign w:val="superscript"/>
              </w:rPr>
              <w:t>2</w:t>
            </w:r>
          </w:p>
        </w:tc>
        <w:tc>
          <w:tcPr>
            <w:tcW w:w="200" w:type="dxa"/>
            <w:vAlign w:val="bottom"/>
            <w:tcBorders>
              <w:bottom w:val="single" w:sz="8" w:color="0070FF"/>
            </w:tcBorders>
          </w:tcPr>
          <w:p>
            <w:pPr>
              <w:spacing w:after="0"/>
              <w:rPr>
                <w:sz w:val="17"/>
                <w:szCs w:val="17"/>
                <w:color w:val="auto"/>
              </w:rPr>
            </w:pPr>
          </w:p>
        </w:tc>
        <w:tc>
          <w:tcPr>
            <w:tcW w:w="80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1,184</w:t>
            </w:r>
          </w:p>
        </w:tc>
        <w:tc>
          <w:tcPr>
            <w:tcW w:w="380" w:type="dxa"/>
            <w:vAlign w:val="bottom"/>
            <w:tcBorders>
              <w:bottom w:val="single" w:sz="8" w:color="0070FF"/>
            </w:tcBorders>
          </w:tcPr>
          <w:p>
            <w:pPr>
              <w:spacing w:after="0"/>
              <w:rPr>
                <w:sz w:val="17"/>
                <w:szCs w:val="17"/>
                <w:color w:val="auto"/>
              </w:rPr>
            </w:pPr>
          </w:p>
        </w:tc>
        <w:tc>
          <w:tcPr>
            <w:tcW w:w="78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134</w:t>
            </w:r>
          </w:p>
        </w:tc>
        <w:tc>
          <w:tcPr>
            <w:tcW w:w="360" w:type="dxa"/>
            <w:vAlign w:val="bottom"/>
            <w:tcBorders>
              <w:bottom w:val="single" w:sz="8" w:color="0070FF"/>
            </w:tcBorders>
          </w:tcPr>
          <w:p>
            <w:pPr>
              <w:spacing w:after="0"/>
              <w:rPr>
                <w:sz w:val="17"/>
                <w:szCs w:val="17"/>
                <w:color w:val="auto"/>
              </w:rPr>
            </w:pPr>
          </w:p>
        </w:tc>
        <w:tc>
          <w:tcPr>
            <w:tcW w:w="72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1,335</w:t>
            </w:r>
          </w:p>
        </w:tc>
        <w:tc>
          <w:tcPr>
            <w:tcW w:w="440" w:type="dxa"/>
            <w:vAlign w:val="bottom"/>
            <w:tcBorders>
              <w:bottom w:val="single" w:sz="8" w:color="0070FF"/>
            </w:tcBorders>
          </w:tcPr>
          <w:p>
            <w:pPr>
              <w:spacing w:after="0"/>
              <w:rPr>
                <w:sz w:val="17"/>
                <w:szCs w:val="17"/>
                <w:color w:val="auto"/>
              </w:rPr>
            </w:pPr>
          </w:p>
        </w:tc>
        <w:tc>
          <w:tcPr>
            <w:tcW w:w="5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0070FF"/>
            </w:tcBorders>
          </w:tcPr>
          <w:p>
            <w:pPr>
              <w:spacing w:after="0"/>
              <w:rPr>
                <w:sz w:val="17"/>
                <w:szCs w:val="17"/>
                <w:color w:val="auto"/>
              </w:rPr>
            </w:pPr>
          </w:p>
        </w:tc>
        <w:tc>
          <w:tcPr>
            <w:tcW w:w="340" w:type="dxa"/>
            <w:vAlign w:val="bottom"/>
            <w:tcBorders>
              <w:bottom w:val="single" w:sz="8" w:color="0070FF"/>
            </w:tcBorders>
          </w:tcPr>
          <w:p>
            <w:pPr>
              <w:spacing w:after="0"/>
              <w:rPr>
                <w:sz w:val="17"/>
                <w:szCs w:val="17"/>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spacing w:after="0"/>
              <w:rPr>
                <w:sz w:val="17"/>
                <w:szCs w:val="17"/>
                <w:color w:val="auto"/>
              </w:rPr>
            </w:pPr>
          </w:p>
        </w:tc>
        <w:tc>
          <w:tcPr>
            <w:tcW w:w="6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70FF"/>
            </w:tcBorders>
            <w:gridSpan w:val="2"/>
          </w:tcPr>
          <w:p>
            <w:pPr>
              <w:spacing w:after="0" w:line="197" w:lineRule="exact"/>
              <w:rPr>
                <w:sz w:val="20"/>
                <w:szCs w:val="20"/>
                <w:color w:val="auto"/>
              </w:rPr>
            </w:pPr>
            <w:r>
              <w:rPr>
                <w:rFonts w:ascii="Arial" w:cs="Arial" w:eastAsia="Arial" w:hAnsi="Arial"/>
                <w:sz w:val="14"/>
                <w:szCs w:val="14"/>
                <w:color w:val="auto"/>
              </w:rPr>
              <w:t>Net amount recognized</w:t>
            </w:r>
            <w:r>
              <w:rPr>
                <w:rFonts w:ascii="Arial" w:cs="Arial" w:eastAsia="Arial" w:hAnsi="Arial"/>
                <w:sz w:val="22"/>
                <w:szCs w:val="22"/>
                <w:color w:val="auto"/>
                <w:vertAlign w:val="superscript"/>
              </w:rPr>
              <w:t>3</w:t>
            </w:r>
          </w:p>
        </w:tc>
        <w:tc>
          <w:tcPr>
            <w:tcW w:w="2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573</w:t>
            </w:r>
          </w:p>
        </w:tc>
        <w:tc>
          <w:tcPr>
            <w:tcW w:w="3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439</w:t>
            </w:r>
          </w:p>
        </w:tc>
        <w:tc>
          <w:tcPr>
            <w:tcW w:w="3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(69)</w:t>
            </w:r>
          </w:p>
        </w:tc>
        <w:tc>
          <w:tcPr>
            <w:tcW w:w="4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348</w:t>
            </w:r>
          </w:p>
        </w:tc>
        <w:tc>
          <w:tcPr>
            <w:tcW w:w="180" w:type="dxa"/>
            <w:vAlign w:val="bottom"/>
            <w:tcBorders>
              <w:bottom w:val="single" w:sz="8" w:color="0070FF"/>
            </w:tcBorders>
          </w:tcPr>
          <w:p>
            <w:pPr>
              <w:spacing w:after="0"/>
              <w:rPr>
                <w:sz w:val="17"/>
                <w:szCs w:val="17"/>
                <w:color w:val="auto"/>
              </w:rPr>
            </w:pPr>
          </w:p>
        </w:tc>
        <w:tc>
          <w:tcPr>
            <w:tcW w:w="3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(2,508)</w:t>
            </w:r>
          </w:p>
        </w:tc>
        <w:tc>
          <w:tcPr>
            <w:tcW w:w="42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8"/>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4"/>
                <w:szCs w:val="14"/>
                <w:b w:val="1"/>
                <w:bCs w:val="1"/>
                <w:color w:val="0070FF"/>
              </w:rPr>
              <w:t>WEIGHTED-AVERAGE ASSUMPTIONS USED TO</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spacing w:after="0" w:line="153" w:lineRule="exact"/>
              <w:rPr>
                <w:sz w:val="20"/>
                <w:szCs w:val="20"/>
                <w:color w:val="auto"/>
              </w:rPr>
            </w:pPr>
            <w:r>
              <w:rPr>
                <w:rFonts w:ascii="Arial" w:cs="Arial" w:eastAsia="Arial" w:hAnsi="Arial"/>
                <w:sz w:val="14"/>
                <w:szCs w:val="14"/>
                <w:b w:val="1"/>
                <w:bCs w:val="1"/>
                <w:color w:val="0070FF"/>
              </w:rPr>
              <w:t>DETERMINE BENEFIT OBLIGATIONS AS OF DECEMBER 31</w:t>
            </w:r>
          </w:p>
        </w:tc>
        <w:tc>
          <w:tcPr>
            <w:tcW w:w="200" w:type="dxa"/>
            <w:vAlign w:val="bottom"/>
          </w:tcPr>
          <w:p>
            <w:pPr>
              <w:spacing w:after="0"/>
              <w:rPr>
                <w:sz w:val="13"/>
                <w:szCs w:val="13"/>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6.0%</w:t>
            </w:r>
          </w:p>
        </w:tc>
        <w:tc>
          <w:tcPr>
            <w:tcW w:w="380" w:type="dxa"/>
            <w:vAlign w:val="bottom"/>
          </w:tcPr>
          <w:p>
            <w:pPr>
              <w:spacing w:after="0"/>
              <w:rPr>
                <w:sz w:val="13"/>
                <w:szCs w:val="13"/>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6.8%</w:t>
            </w: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6.1%</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40" w:type="dxa"/>
            <w:vAlign w:val="bottom"/>
          </w:tcPr>
          <w:p>
            <w:pPr>
              <w:ind w:left="260"/>
              <w:spacing w:after="0" w:line="145" w:lineRule="exact"/>
              <w:rPr>
                <w:sz w:val="20"/>
                <w:szCs w:val="20"/>
                <w:color w:val="auto"/>
              </w:rPr>
            </w:pPr>
            <w:r>
              <w:rPr>
                <w:rFonts w:ascii="Arial" w:cs="Arial" w:eastAsia="Arial" w:hAnsi="Arial"/>
                <w:sz w:val="14"/>
                <w:szCs w:val="14"/>
                <w:color w:val="auto"/>
              </w:rPr>
              <w:t>Discount rate</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48"/>
              <w:spacing w:after="0" w:line="145" w:lineRule="exact"/>
              <w:rPr>
                <w:sz w:val="20"/>
                <w:szCs w:val="20"/>
                <w:color w:val="auto"/>
              </w:rPr>
            </w:pPr>
            <w:r>
              <w:rPr>
                <w:rFonts w:ascii="Arial" w:cs="Arial" w:eastAsia="Arial" w:hAnsi="Arial"/>
                <w:sz w:val="14"/>
                <w:szCs w:val="14"/>
                <w:color w:val="auto"/>
              </w:rPr>
              <w:t>6.8%</w:t>
            </w:r>
          </w:p>
        </w:tc>
        <w:tc>
          <w:tcPr>
            <w:tcW w:w="44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7.1%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Rate of compensation increase</w:t>
            </w:r>
          </w:p>
        </w:tc>
        <w:tc>
          <w:tcPr>
            <w:tcW w:w="200" w:type="dxa"/>
            <w:vAlign w:val="bottom"/>
            <w:tcBorders>
              <w:bottom w:val="single" w:sz="8" w:color="0070FF"/>
            </w:tcBorders>
          </w:tcPr>
          <w:p>
            <w:pPr>
              <w:spacing w:after="0"/>
              <w:rPr>
                <w:sz w:val="16"/>
                <w:szCs w:val="16"/>
                <w:color w:val="auto"/>
              </w:rPr>
            </w:pPr>
          </w:p>
        </w:tc>
        <w:tc>
          <w:tcPr>
            <w:tcW w:w="8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4.0%</w:t>
            </w:r>
          </w:p>
        </w:tc>
        <w:tc>
          <w:tcPr>
            <w:tcW w:w="380" w:type="dxa"/>
            <w:vAlign w:val="bottom"/>
            <w:tcBorders>
              <w:bottom w:val="single" w:sz="8" w:color="0070FF"/>
            </w:tcBorders>
          </w:tcPr>
          <w:p>
            <w:pPr>
              <w:spacing w:after="0"/>
              <w:rPr>
                <w:sz w:val="16"/>
                <w:szCs w:val="16"/>
                <w:color w:val="auto"/>
              </w:rPr>
            </w:pPr>
          </w:p>
        </w:tc>
        <w:tc>
          <w:tcPr>
            <w:tcW w:w="7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4.9%</w:t>
            </w:r>
          </w:p>
        </w:tc>
        <w:tc>
          <w:tcPr>
            <w:tcW w:w="360" w:type="dxa"/>
            <w:vAlign w:val="bottom"/>
            <w:tcBorders>
              <w:bottom w:val="single" w:sz="8" w:color="0070FF"/>
            </w:tcBorders>
          </w:tcPr>
          <w:p>
            <w:pPr>
              <w:spacing w:after="0"/>
              <w:rPr>
                <w:sz w:val="16"/>
                <w:szCs w:val="16"/>
                <w:color w:val="auto"/>
              </w:rPr>
            </w:pPr>
          </w:p>
        </w:tc>
        <w:tc>
          <w:tcPr>
            <w:tcW w:w="72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4.0%</w:t>
            </w:r>
          </w:p>
        </w:tc>
        <w:tc>
          <w:tcPr>
            <w:tcW w:w="440" w:type="dxa"/>
            <w:vAlign w:val="bottom"/>
            <w:tcBorders>
              <w:bottom w:val="single" w:sz="8" w:color="0070FF"/>
            </w:tcBorders>
          </w:tcPr>
          <w:p>
            <w:pPr>
              <w:spacing w:after="0"/>
              <w:rPr>
                <w:sz w:val="16"/>
                <w:szCs w:val="16"/>
                <w:color w:val="auto"/>
              </w:rPr>
            </w:pP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5.1%</w:t>
            </w:r>
          </w:p>
        </w:tc>
        <w:tc>
          <w:tcPr>
            <w:tcW w:w="180" w:type="dxa"/>
            <w:vAlign w:val="bottom"/>
            <w:tcBorders>
              <w:bottom w:val="single" w:sz="8" w:color="0070FF"/>
            </w:tcBorders>
          </w:tcPr>
          <w:p>
            <w:pPr>
              <w:spacing w:after="0"/>
              <w:rPr>
                <w:sz w:val="16"/>
                <w:szCs w:val="16"/>
                <w:color w:val="auto"/>
              </w:rPr>
            </w:pPr>
          </w:p>
        </w:tc>
        <w:tc>
          <w:tcPr>
            <w:tcW w:w="340" w:type="dxa"/>
            <w:vAlign w:val="bottom"/>
            <w:tcBorders>
              <w:bottom w:val="single" w:sz="8" w:color="0070FF"/>
            </w:tcBorders>
          </w:tcPr>
          <w:p>
            <w:pPr>
              <w:spacing w:after="0"/>
              <w:rPr>
                <w:sz w:val="16"/>
                <w:szCs w:val="16"/>
                <w:color w:val="auto"/>
              </w:rPr>
            </w:pPr>
          </w:p>
        </w:tc>
        <w:tc>
          <w:tcPr>
            <w:tcW w:w="7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420" w:type="dxa"/>
            <w:vAlign w:val="bottom"/>
            <w:tcBorders>
              <w:bottom w:val="single" w:sz="8" w:color="0070FF"/>
            </w:tcBorders>
          </w:tcPr>
          <w:p>
            <w:pPr>
              <w:spacing w:after="0"/>
              <w:rPr>
                <w:sz w:val="16"/>
                <w:szCs w:val="16"/>
                <w:color w:val="auto"/>
              </w:rPr>
            </w:pP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40" w:hanging="232"/>
        <w:spacing w:after="0"/>
        <w:tabs>
          <w:tab w:leader="none" w:pos="240" w:val="left"/>
        </w:tabs>
        <w:numPr>
          <w:ilvl w:val="0"/>
          <w:numId w:val="53"/>
        </w:numPr>
        <w:rPr>
          <w:rFonts w:ascii="Arial" w:cs="Arial" w:eastAsia="Arial" w:hAnsi="Arial"/>
          <w:sz w:val="10"/>
          <w:szCs w:val="10"/>
          <w:color w:val="auto"/>
        </w:rPr>
      </w:pPr>
      <w:r>
        <w:rPr>
          <w:rFonts w:ascii="Arial" w:cs="Arial" w:eastAsia="Arial" w:hAnsi="Arial"/>
          <w:sz w:val="12"/>
          <w:szCs w:val="12"/>
          <w:color w:val="auto"/>
        </w:rPr>
        <w:t>Amounts for 2002 conformed to 2003 presentation to include company contributions and benefits paid for nonqualified plans.</w:t>
      </w:r>
    </w:p>
    <w:p>
      <w:pPr>
        <w:spacing w:after="0" w:line="11" w:lineRule="exact"/>
        <w:rPr>
          <w:sz w:val="20"/>
          <w:szCs w:val="20"/>
          <w:color w:val="auto"/>
        </w:rPr>
      </w:pPr>
    </w:p>
    <w:p>
      <w:pPr>
        <w:ind w:left="240" w:hanging="232"/>
        <w:spacing w:after="0"/>
        <w:tabs>
          <w:tab w:leader="none" w:pos="240" w:val="left"/>
        </w:tabs>
        <w:numPr>
          <w:ilvl w:val="0"/>
          <w:numId w:val="54"/>
        </w:numPr>
        <w:rPr>
          <w:rFonts w:ascii="Arial" w:cs="Arial" w:eastAsia="Arial" w:hAnsi="Arial"/>
          <w:sz w:val="9"/>
          <w:szCs w:val="9"/>
          <w:color w:val="auto"/>
        </w:rPr>
      </w:pPr>
      <w:r>
        <w:rPr>
          <w:rFonts w:ascii="Arial" w:cs="Arial" w:eastAsia="Arial" w:hAnsi="Arial"/>
          <w:sz w:val="11"/>
          <w:szCs w:val="11"/>
          <w:color w:val="auto"/>
        </w:rPr>
        <w:t>“Accumulated other comprehensive income” includes deferred income taxes of $415 and $47 in 2003 for U.S. and International, respectively, and $467 and $4 in 2002 for U.S. and International, respectively. This item</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is presented net of these taxes in the Consolidated Statement of Stockholders’ Equity.</w:t>
      </w:r>
    </w:p>
    <w:p>
      <w:pPr>
        <w:jc w:val="both"/>
        <w:ind w:left="240" w:right="260" w:hanging="232"/>
        <w:spacing w:after="0" w:line="237" w:lineRule="auto"/>
        <w:tabs>
          <w:tab w:leader="none" w:pos="240" w:val="left"/>
        </w:tabs>
        <w:numPr>
          <w:ilvl w:val="0"/>
          <w:numId w:val="55"/>
        </w:numPr>
        <w:rPr>
          <w:rFonts w:ascii="Arial" w:cs="Arial" w:eastAsia="Arial" w:hAnsi="Arial"/>
          <w:sz w:val="10"/>
          <w:szCs w:val="10"/>
          <w:color w:val="auto"/>
        </w:rPr>
      </w:pPr>
      <w:r>
        <w:rPr>
          <w:rFonts w:ascii="Arial" w:cs="Arial" w:eastAsia="Arial" w:hAnsi="Arial"/>
          <w:sz w:val="12"/>
          <w:szCs w:val="12"/>
          <w:color w:val="auto"/>
        </w:rPr>
        <w:t>The company recorded additional minimum pension liabilities of $1,533 and $152 in 2003 for U.S. and International, respectively, and 20 in 2002 for U.S. $1,695 and $ and International, respectively, to reflect the amount of unfunded accumulated benefit obligations. The additional minimum pension liabilities are offset by intangible assets and a charge to “Accumulated other comprehensive income. ” Accrued liabilities also reflect net minimum liabilities for plans with prepaid benefit costs and additional minimum liabilities.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220345</wp:posOffset>
            </wp:positionV>
            <wp:extent cx="8890" cy="9690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96901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0070FF"/>
        </w:rPr>
        <w:t>NOTE 21. EMPLOYEE BENEFIT PLANS – Continued</w:t>
      </w:r>
    </w:p>
    <w:p>
      <w:pPr>
        <w:spacing w:after="0" w:line="155" w:lineRule="exact"/>
        <w:rPr>
          <w:sz w:val="20"/>
          <w:szCs w:val="20"/>
          <w:color w:val="auto"/>
        </w:rPr>
      </w:pPr>
    </w:p>
    <w:p>
      <w:pPr>
        <w:ind w:right="20" w:firstLine="200"/>
        <w:spacing w:after="0" w:line="305" w:lineRule="auto"/>
        <w:rPr>
          <w:sz w:val="20"/>
          <w:szCs w:val="20"/>
          <w:color w:val="auto"/>
        </w:rPr>
      </w:pPr>
      <w:r>
        <w:rPr>
          <w:rFonts w:ascii="Arial" w:cs="Arial" w:eastAsia="Arial" w:hAnsi="Arial"/>
          <w:sz w:val="15"/>
          <w:szCs w:val="15"/>
          <w:color w:val="auto"/>
        </w:rPr>
        <w:t>The accumulated benefit obligations for all U.S. pension plans and pension plans outside the U.S. were $5,374 and $2,372, respectively, at December 31, 2003, and $4,945 and $1,740, respectively, at December 31, 2002.</w:t>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components of net periodic benefit cost for 2003, 2002 and 2001 were: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220" w:firstLine="203"/>
        <w:spacing w:after="0" w:line="293" w:lineRule="auto"/>
        <w:rPr>
          <w:sz w:val="20"/>
          <w:szCs w:val="20"/>
          <w:color w:val="auto"/>
        </w:rPr>
      </w:pPr>
      <w:r>
        <w:rPr>
          <w:rFonts w:ascii="Arial" w:cs="Arial" w:eastAsia="Arial" w:hAnsi="Arial"/>
          <w:sz w:val="16"/>
          <w:szCs w:val="16"/>
          <w:color w:val="auto"/>
        </w:rPr>
        <w:t>Information for pension plans with an accumulated benefit obligation in excess of plan assets at December 31, 2003 and 2002 was: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rPr>
              <w:t>At December 31</w:t>
            </w:r>
          </w:p>
        </w:tc>
      </w:tr>
      <w:tr>
        <w:trPr>
          <w:trHeight w:val="142"/>
        </w:trPr>
        <w:tc>
          <w:tcPr>
            <w:tcW w:w="20" w:type="dxa"/>
            <w:vAlign w:val="bottom"/>
          </w:tcPr>
          <w:p>
            <w:pPr>
              <w:spacing w:after="0"/>
              <w:rPr>
                <w:sz w:val="12"/>
                <w:szCs w:val="12"/>
                <w:color w:val="auto"/>
              </w:rPr>
            </w:pPr>
          </w:p>
        </w:tc>
        <w:tc>
          <w:tcPr>
            <w:tcW w:w="3120" w:type="dxa"/>
            <w:vAlign w:val="bottom"/>
            <w:tcBorders>
              <w:bottom w:val="single" w:sz="8" w:color="0070FF"/>
            </w:tcBorders>
          </w:tcPr>
          <w:p>
            <w:pPr>
              <w:spacing w:after="0"/>
              <w:rPr>
                <w:sz w:val="12"/>
                <w:szCs w:val="12"/>
                <w:color w:val="auto"/>
              </w:rPr>
            </w:pPr>
          </w:p>
        </w:tc>
        <w:tc>
          <w:tcPr>
            <w:tcW w:w="126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2003</w:t>
            </w:r>
          </w:p>
        </w:tc>
        <w:tc>
          <w:tcPr>
            <w:tcW w:w="58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2002</w:t>
            </w:r>
          </w:p>
        </w:tc>
      </w:tr>
      <w:tr>
        <w:trPr>
          <w:trHeight w:val="133"/>
        </w:trPr>
        <w:tc>
          <w:tcPr>
            <w:tcW w:w="20" w:type="dxa"/>
            <w:vAlign w:val="bottom"/>
          </w:tcPr>
          <w:p>
            <w:pPr>
              <w:spacing w:after="0"/>
              <w:rPr>
                <w:sz w:val="11"/>
                <w:szCs w:val="11"/>
                <w:color w:val="auto"/>
              </w:rPr>
            </w:pPr>
          </w:p>
        </w:tc>
        <w:tc>
          <w:tcPr>
            <w:tcW w:w="3120" w:type="dxa"/>
            <w:vAlign w:val="bottom"/>
          </w:tcPr>
          <w:p>
            <w:pPr>
              <w:spacing w:after="0" w:line="133" w:lineRule="exact"/>
              <w:rPr>
                <w:sz w:val="20"/>
                <w:szCs w:val="20"/>
                <w:color w:val="auto"/>
              </w:rPr>
            </w:pPr>
            <w:r>
              <w:rPr>
                <w:rFonts w:ascii="Arial" w:cs="Arial" w:eastAsia="Arial" w:hAnsi="Arial"/>
                <w:sz w:val="14"/>
                <w:szCs w:val="14"/>
                <w:color w:val="auto"/>
              </w:rPr>
              <w:t>Projected benefit obligations</w:t>
            </w:r>
          </w:p>
        </w:tc>
        <w:tc>
          <w:tcPr>
            <w:tcW w:w="1760" w:type="dxa"/>
            <w:vAlign w:val="bottom"/>
            <w:gridSpan w:val="2"/>
          </w:tcPr>
          <w:p>
            <w:pPr>
              <w:jc w:val="right"/>
              <w:ind w:right="32"/>
              <w:spacing w:after="0" w:line="133" w:lineRule="exact"/>
              <w:rPr>
                <w:sz w:val="20"/>
                <w:szCs w:val="20"/>
                <w:color w:val="auto"/>
              </w:rPr>
            </w:pPr>
            <w:r>
              <w:rPr>
                <w:rFonts w:ascii="Arial" w:cs="Arial" w:eastAsia="Arial" w:hAnsi="Arial"/>
                <w:sz w:val="14"/>
                <w:szCs w:val="14"/>
                <w:b w:val="1"/>
                <w:bCs w:val="1"/>
                <w:color w:val="auto"/>
              </w:rPr>
              <w:t>$6,637</w:t>
            </w: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$5,761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Accumulated benefit obligations</w:t>
            </w:r>
          </w:p>
        </w:tc>
        <w:tc>
          <w:tcPr>
            <w:tcW w:w="176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6,067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5,327</w:t>
            </w:r>
          </w:p>
        </w:tc>
      </w:tr>
      <w:tr>
        <w:trPr>
          <w:trHeight w:val="192"/>
        </w:trPr>
        <w:tc>
          <w:tcPr>
            <w:tcW w:w="314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Fair value of plan assets</w:t>
            </w:r>
          </w:p>
        </w:tc>
        <w:tc>
          <w:tcPr>
            <w:tcW w:w="1760" w:type="dxa"/>
            <w:vAlign w:val="bottom"/>
            <w:tcBorders>
              <w:bottom w:val="single" w:sz="8" w:color="0070FF"/>
            </w:tcBorders>
            <w:gridSpan w:val="2"/>
          </w:tcPr>
          <w:p>
            <w:pPr>
              <w:jc w:val="right"/>
              <w:ind w:right="32"/>
              <w:spacing w:after="0"/>
              <w:rPr>
                <w:sz w:val="20"/>
                <w:szCs w:val="20"/>
                <w:color w:val="auto"/>
              </w:rPr>
            </w:pPr>
            <w:r>
              <w:rPr>
                <w:rFonts w:ascii="Arial" w:cs="Arial" w:eastAsia="Arial" w:hAnsi="Arial"/>
                <w:sz w:val="14"/>
                <w:szCs w:val="14"/>
                <w:b w:val="1"/>
                <w:bCs w:val="1"/>
                <w:color w:val="auto"/>
              </w:rPr>
              <w:t>4,791</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3,283</w:t>
            </w:r>
          </w:p>
        </w:tc>
      </w:tr>
    </w:tbl>
    <w:p>
      <w:pPr>
        <w:spacing w:after="0" w:line="905" w:lineRule="exact"/>
        <w:rPr>
          <w:sz w:val="20"/>
          <w:szCs w:val="20"/>
          <w:color w:val="auto"/>
        </w:rPr>
      </w:pPr>
    </w:p>
    <w:p>
      <w:pPr>
        <w:sectPr>
          <w:pgSz w:w="11900" w:h="16838" w:orient="portrait"/>
          <w:cols w:equalWidth="0" w:num="2">
            <w:col w:w="5480" w:space="400"/>
            <w:col w:w="55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4"/>
                <w:szCs w:val="14"/>
                <w:color w:val="auto"/>
              </w:rPr>
              <w:t>Pension Benefits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Other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0070FF"/>
              <w:bottom w:val="single" w:sz="8" w:color="0070FF"/>
            </w:tcBorders>
          </w:tcPr>
          <w:p>
            <w:pPr>
              <w:spacing w:after="0"/>
              <w:rPr>
                <w:sz w:val="12"/>
                <w:szCs w:val="12"/>
                <w:color w:val="auto"/>
              </w:rPr>
            </w:pPr>
          </w:p>
        </w:tc>
        <w:tc>
          <w:tcPr>
            <w:tcW w:w="560" w:type="dxa"/>
            <w:vAlign w:val="bottom"/>
            <w:tcBorders>
              <w:top w:val="single" w:sz="8" w:color="0070FF"/>
              <w:bottom w:val="single" w:sz="8" w:color="0070FF"/>
            </w:tcBorders>
          </w:tcPr>
          <w:p>
            <w:pPr>
              <w:spacing w:after="0"/>
              <w:rPr>
                <w:sz w:val="12"/>
                <w:szCs w:val="12"/>
                <w:color w:val="auto"/>
              </w:rPr>
            </w:pPr>
          </w:p>
        </w:tc>
        <w:tc>
          <w:tcPr>
            <w:tcW w:w="220" w:type="dxa"/>
            <w:vAlign w:val="bottom"/>
            <w:tcBorders>
              <w:top w:val="single" w:sz="8" w:color="0070FF"/>
              <w:bottom w:val="single" w:sz="8" w:color="0070FF"/>
            </w:tcBorders>
          </w:tcPr>
          <w:p>
            <w:pPr>
              <w:spacing w:after="0"/>
              <w:rPr>
                <w:sz w:val="12"/>
                <w:szCs w:val="12"/>
                <w:color w:val="auto"/>
              </w:rPr>
            </w:pPr>
          </w:p>
        </w:tc>
        <w:tc>
          <w:tcPr>
            <w:tcW w:w="560" w:type="dxa"/>
            <w:vAlign w:val="bottom"/>
            <w:tcBorders>
              <w:top w:val="single" w:sz="8" w:color="0070FF"/>
              <w:bottom w:val="single" w:sz="8" w:color="0070FF"/>
            </w:tcBorders>
          </w:tcPr>
          <w:p>
            <w:pPr>
              <w:jc w:val="right"/>
              <w:ind w:right="189"/>
              <w:spacing w:after="0" w:line="142" w:lineRule="exact"/>
              <w:rPr>
                <w:sz w:val="20"/>
                <w:szCs w:val="20"/>
                <w:color w:val="auto"/>
              </w:rPr>
            </w:pPr>
            <w:r>
              <w:rPr>
                <w:rFonts w:ascii="Arial" w:cs="Arial" w:eastAsia="Arial" w:hAnsi="Arial"/>
                <w:sz w:val="14"/>
                <w:szCs w:val="14"/>
                <w:b w:val="1"/>
                <w:bCs w:val="1"/>
                <w:color w:val="auto"/>
                <w:w w:val="89"/>
              </w:rPr>
              <w:t>2003</w:t>
            </w:r>
          </w:p>
        </w:tc>
        <w:tc>
          <w:tcPr>
            <w:tcW w:w="280" w:type="dxa"/>
            <w:vAlign w:val="bottom"/>
            <w:tcBorders>
              <w:top w:val="single" w:sz="8" w:color="0070FF"/>
              <w:bottom w:val="single" w:sz="8" w:color="0070FF"/>
            </w:tcBorders>
          </w:tcPr>
          <w:p>
            <w:pPr>
              <w:spacing w:after="0"/>
              <w:rPr>
                <w:sz w:val="12"/>
                <w:szCs w:val="12"/>
                <w:color w:val="auto"/>
              </w:rPr>
            </w:pPr>
          </w:p>
        </w:tc>
        <w:tc>
          <w:tcPr>
            <w:tcW w:w="580" w:type="dxa"/>
            <w:vAlign w:val="bottom"/>
            <w:tcBorders>
              <w:top w:val="single" w:sz="8" w:color="0070FF"/>
              <w:bottom w:val="single" w:sz="8" w:color="0070FF"/>
            </w:tcBorders>
          </w:tcPr>
          <w:p>
            <w:pPr>
              <w:spacing w:after="0"/>
              <w:rPr>
                <w:sz w:val="12"/>
                <w:szCs w:val="12"/>
                <w:color w:val="auto"/>
              </w:rPr>
            </w:pPr>
          </w:p>
        </w:tc>
        <w:tc>
          <w:tcPr>
            <w:tcW w:w="280" w:type="dxa"/>
            <w:vAlign w:val="bottom"/>
            <w:tcBorders>
              <w:top w:val="single" w:sz="8" w:color="0070FF"/>
              <w:bottom w:val="single" w:sz="8" w:color="0070FF"/>
            </w:tcBorders>
          </w:tcPr>
          <w:p>
            <w:pPr>
              <w:spacing w:after="0"/>
              <w:rPr>
                <w:sz w:val="12"/>
                <w:szCs w:val="12"/>
                <w:color w:val="auto"/>
              </w:rPr>
            </w:pPr>
          </w:p>
        </w:tc>
        <w:tc>
          <w:tcPr>
            <w:tcW w:w="600" w:type="dxa"/>
            <w:vAlign w:val="bottom"/>
            <w:tcBorders>
              <w:top w:val="single" w:sz="8" w:color="0070FF"/>
              <w:bottom w:val="single" w:sz="8" w:color="0070FF"/>
            </w:tcBorders>
          </w:tcPr>
          <w:p>
            <w:pPr>
              <w:jc w:val="right"/>
              <w:ind w:right="189"/>
              <w:spacing w:after="0" w:line="142" w:lineRule="exact"/>
              <w:rPr>
                <w:sz w:val="20"/>
                <w:szCs w:val="20"/>
                <w:color w:val="auto"/>
              </w:rPr>
            </w:pPr>
            <w:r>
              <w:rPr>
                <w:rFonts w:ascii="Arial" w:cs="Arial" w:eastAsia="Arial" w:hAnsi="Arial"/>
                <w:sz w:val="14"/>
                <w:szCs w:val="14"/>
                <w:color w:val="auto"/>
              </w:rPr>
              <w:t>2002</w:t>
            </w:r>
          </w:p>
        </w:tc>
        <w:tc>
          <w:tcPr>
            <w:tcW w:w="260" w:type="dxa"/>
            <w:vAlign w:val="bottom"/>
            <w:tcBorders>
              <w:top w:val="single" w:sz="8" w:color="0070FF"/>
              <w:bottom w:val="single" w:sz="8" w:color="0070FF"/>
            </w:tcBorders>
          </w:tcPr>
          <w:p>
            <w:pPr>
              <w:spacing w:after="0"/>
              <w:rPr>
                <w:sz w:val="12"/>
                <w:szCs w:val="12"/>
                <w:color w:val="auto"/>
              </w:rPr>
            </w:pPr>
          </w:p>
        </w:tc>
        <w:tc>
          <w:tcPr>
            <w:tcW w:w="600" w:type="dxa"/>
            <w:vAlign w:val="bottom"/>
            <w:tcBorders>
              <w:top w:val="single" w:sz="8" w:color="0070FF"/>
              <w:bottom w:val="single" w:sz="8" w:color="0070FF"/>
            </w:tcBorders>
          </w:tcPr>
          <w:p>
            <w:pPr>
              <w:spacing w:after="0"/>
              <w:rPr>
                <w:sz w:val="12"/>
                <w:szCs w:val="12"/>
                <w:color w:val="auto"/>
              </w:rPr>
            </w:pPr>
          </w:p>
        </w:tc>
        <w:tc>
          <w:tcPr>
            <w:tcW w:w="260" w:type="dxa"/>
            <w:vAlign w:val="bottom"/>
            <w:tcBorders>
              <w:top w:val="single" w:sz="8" w:color="0070FF"/>
              <w:bottom w:val="single" w:sz="8" w:color="0070FF"/>
            </w:tcBorders>
          </w:tcPr>
          <w:p>
            <w:pPr>
              <w:spacing w:after="0"/>
              <w:rPr>
                <w:sz w:val="12"/>
                <w:szCs w:val="12"/>
                <w:color w:val="auto"/>
              </w:rPr>
            </w:pPr>
          </w:p>
        </w:tc>
        <w:tc>
          <w:tcPr>
            <w:tcW w:w="340" w:type="dxa"/>
            <w:vAlign w:val="bottom"/>
            <w:tcBorders>
              <w:top w:val="single" w:sz="8" w:color="0070FF"/>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2001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520" w:type="dxa"/>
            <w:vAlign w:val="bottom"/>
            <w:tcBorders>
              <w:bottom w:val="single" w:sz="8" w:color="0070FF"/>
            </w:tcBorders>
          </w:tcPr>
          <w:p>
            <w:pPr>
              <w:spacing w:after="0"/>
              <w:rPr>
                <w:sz w:val="12"/>
                <w:szCs w:val="12"/>
                <w:color w:val="auto"/>
              </w:rPr>
            </w:pPr>
          </w:p>
        </w:tc>
        <w:tc>
          <w:tcPr>
            <w:tcW w:w="180" w:type="dxa"/>
            <w:vAlign w:val="bottom"/>
            <w:tcBorders>
              <w:bottom w:val="single" w:sz="8" w:color="0070FF"/>
            </w:tcBorders>
          </w:tcPr>
          <w:p>
            <w:pPr>
              <w:spacing w:after="0"/>
              <w:rPr>
                <w:sz w:val="12"/>
                <w:szCs w:val="12"/>
                <w:color w:val="auto"/>
              </w:rPr>
            </w:pPr>
          </w:p>
        </w:tc>
        <w:tc>
          <w:tcPr>
            <w:tcW w:w="1080" w:type="dxa"/>
            <w:vAlign w:val="bottom"/>
            <w:tcBorders>
              <w:bottom w:val="single" w:sz="8" w:color="0070FF"/>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0070FF"/>
            </w:tcBorders>
          </w:tcPr>
          <w:p>
            <w:pPr>
              <w:spacing w:after="0"/>
              <w:rPr>
                <w:sz w:val="12"/>
                <w:szCs w:val="12"/>
                <w:color w:val="auto"/>
              </w:rPr>
            </w:pPr>
          </w:p>
        </w:tc>
        <w:tc>
          <w:tcPr>
            <w:tcW w:w="1120" w:type="dxa"/>
            <w:vAlign w:val="bottom"/>
            <w:tcBorders>
              <w:bottom w:val="single" w:sz="8" w:color="0070FF"/>
            </w:tcBorders>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560" w:type="dxa"/>
            <w:vAlign w:val="bottom"/>
            <w:tcBorders>
              <w:bottom w:val="single" w:sz="8" w:color="0070FF"/>
            </w:tcBorders>
          </w:tcPr>
          <w:p>
            <w:pPr>
              <w:jc w:val="right"/>
              <w:ind w:right="188"/>
              <w:spacing w:after="0" w:line="142" w:lineRule="exact"/>
              <w:rPr>
                <w:sz w:val="20"/>
                <w:szCs w:val="20"/>
                <w:color w:val="auto"/>
              </w:rPr>
            </w:pPr>
            <w:r>
              <w:rPr>
                <w:rFonts w:ascii="Arial" w:cs="Arial" w:eastAsia="Arial" w:hAnsi="Arial"/>
                <w:sz w:val="14"/>
                <w:szCs w:val="14"/>
                <w:color w:val="auto"/>
              </w:rPr>
              <w:t>U.S.</w:t>
            </w:r>
          </w:p>
        </w:tc>
        <w:tc>
          <w:tcPr>
            <w:tcW w:w="220" w:type="dxa"/>
            <w:vAlign w:val="bottom"/>
            <w:tcBorders>
              <w:bottom w:val="single" w:sz="8" w:color="0070FF"/>
            </w:tcBorders>
          </w:tcPr>
          <w:p>
            <w:pPr>
              <w:spacing w:after="0"/>
              <w:rPr>
                <w:sz w:val="12"/>
                <w:szCs w:val="12"/>
                <w:color w:val="auto"/>
              </w:rPr>
            </w:pPr>
          </w:p>
        </w:tc>
        <w:tc>
          <w:tcPr>
            <w:tcW w:w="560" w:type="dxa"/>
            <w:vAlign w:val="bottom"/>
            <w:tcBorders>
              <w:bottom w:val="single" w:sz="8" w:color="0070FF"/>
            </w:tcBorders>
          </w:tcPr>
          <w:p>
            <w:pPr>
              <w:jc w:val="right"/>
              <w:ind w:right="189"/>
              <w:spacing w:after="0" w:line="142" w:lineRule="exact"/>
              <w:rPr>
                <w:sz w:val="20"/>
                <w:szCs w:val="20"/>
                <w:color w:val="auto"/>
              </w:rPr>
            </w:pPr>
            <w:r>
              <w:rPr>
                <w:rFonts w:ascii="Arial" w:cs="Arial" w:eastAsia="Arial" w:hAnsi="Arial"/>
                <w:sz w:val="14"/>
                <w:szCs w:val="14"/>
                <w:color w:val="auto"/>
              </w:rPr>
              <w:t>Int'l.</w:t>
            </w:r>
          </w:p>
        </w:tc>
        <w:tc>
          <w:tcPr>
            <w:tcW w:w="280" w:type="dxa"/>
            <w:vAlign w:val="bottom"/>
            <w:tcBorders>
              <w:bottom w:val="single" w:sz="8" w:color="0070FF"/>
            </w:tcBorders>
          </w:tcPr>
          <w:p>
            <w:pPr>
              <w:spacing w:after="0"/>
              <w:rPr>
                <w:sz w:val="12"/>
                <w:szCs w:val="12"/>
                <w:color w:val="auto"/>
              </w:rPr>
            </w:pPr>
          </w:p>
        </w:tc>
        <w:tc>
          <w:tcPr>
            <w:tcW w:w="580" w:type="dxa"/>
            <w:vAlign w:val="bottom"/>
            <w:tcBorders>
              <w:bottom w:val="single" w:sz="8" w:color="0070FF"/>
            </w:tcBorders>
          </w:tcPr>
          <w:p>
            <w:pPr>
              <w:jc w:val="right"/>
              <w:ind w:right="168"/>
              <w:spacing w:after="0" w:line="142" w:lineRule="exact"/>
              <w:rPr>
                <w:sz w:val="20"/>
                <w:szCs w:val="20"/>
                <w:color w:val="auto"/>
              </w:rPr>
            </w:pPr>
            <w:r>
              <w:rPr>
                <w:rFonts w:ascii="Arial" w:cs="Arial" w:eastAsia="Arial" w:hAnsi="Arial"/>
                <w:sz w:val="14"/>
                <w:szCs w:val="14"/>
                <w:color w:val="auto"/>
              </w:rPr>
              <w:t>U.S.</w:t>
            </w:r>
          </w:p>
        </w:tc>
        <w:tc>
          <w:tcPr>
            <w:tcW w:w="28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189"/>
              <w:spacing w:after="0" w:line="142" w:lineRule="exact"/>
              <w:rPr>
                <w:sz w:val="20"/>
                <w:szCs w:val="20"/>
                <w:color w:val="auto"/>
              </w:rPr>
            </w:pPr>
            <w:r>
              <w:rPr>
                <w:rFonts w:ascii="Arial" w:cs="Arial" w:eastAsia="Arial" w:hAnsi="Arial"/>
                <w:sz w:val="14"/>
                <w:szCs w:val="14"/>
                <w:color w:val="auto"/>
              </w:rPr>
              <w:t>Int'l.</w:t>
            </w:r>
          </w:p>
        </w:tc>
        <w:tc>
          <w:tcPr>
            <w:tcW w:w="260" w:type="dxa"/>
            <w:vAlign w:val="bottom"/>
            <w:tcBorders>
              <w:bottom w:val="single" w:sz="8" w:color="0070FF"/>
            </w:tcBorders>
          </w:tcPr>
          <w:p>
            <w:pPr>
              <w:spacing w:after="0"/>
              <w:rPr>
                <w:sz w:val="12"/>
                <w:szCs w:val="12"/>
                <w:color w:val="auto"/>
              </w:rPr>
            </w:pPr>
          </w:p>
        </w:tc>
        <w:tc>
          <w:tcPr>
            <w:tcW w:w="600" w:type="dxa"/>
            <w:vAlign w:val="bottom"/>
            <w:tcBorders>
              <w:bottom w:val="single" w:sz="8" w:color="0070FF"/>
            </w:tcBorders>
          </w:tcPr>
          <w:p>
            <w:pPr>
              <w:jc w:val="right"/>
              <w:ind w:right="189"/>
              <w:spacing w:after="0" w:line="142" w:lineRule="exact"/>
              <w:rPr>
                <w:sz w:val="20"/>
                <w:szCs w:val="20"/>
                <w:color w:val="auto"/>
              </w:rPr>
            </w:pPr>
            <w:r>
              <w:rPr>
                <w:rFonts w:ascii="Arial" w:cs="Arial" w:eastAsia="Arial" w:hAnsi="Arial"/>
                <w:sz w:val="14"/>
                <w:szCs w:val="14"/>
                <w:color w:val="auto"/>
              </w:rPr>
              <w:t>U.S.</w:t>
            </w:r>
          </w:p>
        </w:tc>
        <w:tc>
          <w:tcPr>
            <w:tcW w:w="260" w:type="dxa"/>
            <w:vAlign w:val="bottom"/>
            <w:tcBorders>
              <w:bottom w:val="single" w:sz="8" w:color="0070FF"/>
            </w:tcBorders>
          </w:tcPr>
          <w:p>
            <w:pPr>
              <w:spacing w:after="0"/>
              <w:rPr>
                <w:sz w:val="12"/>
                <w:szCs w:val="12"/>
                <w:color w:val="auto"/>
              </w:rPr>
            </w:pPr>
          </w:p>
        </w:tc>
        <w:tc>
          <w:tcPr>
            <w:tcW w:w="340" w:type="dxa"/>
            <w:vAlign w:val="bottom"/>
            <w:tcBorders>
              <w:bottom w:val="single" w:sz="8" w:color="0070FF"/>
            </w:tcBorders>
          </w:tcPr>
          <w:p>
            <w:pPr>
              <w:jc w:val="right"/>
              <w:spacing w:after="0" w:line="142" w:lineRule="exact"/>
              <w:rPr>
                <w:sz w:val="20"/>
                <w:szCs w:val="20"/>
                <w:color w:val="auto"/>
              </w:rPr>
            </w:pPr>
            <w:r>
              <w:rPr>
                <w:rFonts w:ascii="Arial" w:cs="Arial" w:eastAsia="Arial" w:hAnsi="Arial"/>
                <w:sz w:val="14"/>
                <w:szCs w:val="14"/>
                <w:color w:val="auto"/>
              </w:rPr>
              <w:t>Int'l.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0070FF"/>
            </w:tcBorders>
          </w:tcPr>
          <w:p>
            <w:pPr>
              <w:spacing w:after="0"/>
              <w:rPr>
                <w:sz w:val="12"/>
                <w:szCs w:val="12"/>
                <w:color w:val="auto"/>
              </w:rPr>
            </w:pPr>
          </w:p>
        </w:tc>
        <w:tc>
          <w:tcPr>
            <w:tcW w:w="520" w:type="dxa"/>
            <w:vAlign w:val="bottom"/>
            <w:tcBorders>
              <w:bottom w:val="single" w:sz="8" w:color="0070FF"/>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83"/>
              </w:rPr>
              <w:t>2003</w:t>
            </w:r>
          </w:p>
        </w:tc>
        <w:tc>
          <w:tcPr>
            <w:tcW w:w="180" w:type="dxa"/>
            <w:vAlign w:val="bottom"/>
            <w:tcBorders>
              <w:bottom w:val="single" w:sz="8" w:color="0070FF"/>
            </w:tcBorders>
          </w:tcPr>
          <w:p>
            <w:pPr>
              <w:spacing w:after="0"/>
              <w:rPr>
                <w:sz w:val="12"/>
                <w:szCs w:val="12"/>
                <w:color w:val="auto"/>
              </w:rPr>
            </w:pPr>
          </w:p>
        </w:tc>
        <w:tc>
          <w:tcPr>
            <w:tcW w:w="500" w:type="dxa"/>
            <w:vAlign w:val="bottom"/>
            <w:tcBorders>
              <w:bottom w:val="single" w:sz="8" w:color="0070FF"/>
            </w:tcBorders>
          </w:tcPr>
          <w:p>
            <w:pPr>
              <w:jc w:val="right"/>
              <w:ind w:right="149"/>
              <w:spacing w:after="0" w:line="142" w:lineRule="exact"/>
              <w:rPr>
                <w:sz w:val="20"/>
                <w:szCs w:val="20"/>
                <w:color w:val="auto"/>
              </w:rPr>
            </w:pPr>
            <w:r>
              <w:rPr>
                <w:rFonts w:ascii="Arial" w:cs="Arial" w:eastAsia="Arial" w:hAnsi="Arial"/>
                <w:sz w:val="14"/>
                <w:szCs w:val="14"/>
                <w:color w:val="auto"/>
                <w:w w:val="83"/>
              </w:rPr>
              <w:t>2002</w:t>
            </w:r>
          </w:p>
        </w:tc>
        <w:tc>
          <w:tcPr>
            <w:tcW w:w="180" w:type="dxa"/>
            <w:vAlign w:val="bottom"/>
            <w:tcBorders>
              <w:bottom w:val="single" w:sz="8" w:color="0070FF"/>
            </w:tcBorders>
          </w:tcPr>
          <w:p>
            <w:pPr>
              <w:spacing w:after="0"/>
              <w:rPr>
                <w:sz w:val="12"/>
                <w:szCs w:val="12"/>
                <w:color w:val="auto"/>
              </w:rPr>
            </w:pPr>
          </w:p>
        </w:tc>
        <w:tc>
          <w:tcPr>
            <w:tcW w:w="400" w:type="dxa"/>
            <w:vAlign w:val="bottom"/>
            <w:tcBorders>
              <w:bottom w:val="single" w:sz="8" w:color="0070FF"/>
            </w:tcBorders>
          </w:tcPr>
          <w:p>
            <w:pPr>
              <w:jc w:val="right"/>
              <w:ind w:right="48"/>
              <w:spacing w:after="0" w:line="142" w:lineRule="exact"/>
              <w:rPr>
                <w:sz w:val="20"/>
                <w:szCs w:val="20"/>
                <w:color w:val="auto"/>
              </w:rPr>
            </w:pPr>
            <w:r>
              <w:rPr>
                <w:rFonts w:ascii="Arial" w:cs="Arial" w:eastAsia="Arial" w:hAnsi="Arial"/>
                <w:sz w:val="14"/>
                <w:szCs w:val="14"/>
                <w:color w:val="auto"/>
                <w:w w:val="83"/>
              </w:rPr>
              <w:t>2001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spacing w:after="0" w:line="133" w:lineRule="exact"/>
              <w:rPr>
                <w:sz w:val="20"/>
                <w:szCs w:val="20"/>
                <w:color w:val="auto"/>
              </w:rPr>
            </w:pPr>
            <w:r>
              <w:rPr>
                <w:rFonts w:ascii="Arial" w:cs="Arial" w:eastAsia="Arial" w:hAnsi="Arial"/>
                <w:sz w:val="14"/>
                <w:szCs w:val="14"/>
                <w:color w:val="auto"/>
              </w:rPr>
              <w:t>Service cost</w:t>
            </w:r>
          </w:p>
        </w:tc>
        <w:tc>
          <w:tcPr>
            <w:tcW w:w="1200" w:type="dxa"/>
            <w:vAlign w:val="bottom"/>
            <w:gridSpan w:val="2"/>
          </w:tcPr>
          <w:p>
            <w:pPr>
              <w:jc w:val="right"/>
              <w:ind w:right="20"/>
              <w:spacing w:after="0" w:line="133"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144</w:t>
            </w:r>
          </w:p>
        </w:tc>
        <w:tc>
          <w:tcPr>
            <w:tcW w:w="2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89"/>
              <w:spacing w:after="0" w:line="133" w:lineRule="exact"/>
              <w:rPr>
                <w:sz w:val="20"/>
                <w:szCs w:val="20"/>
                <w:color w:val="auto"/>
              </w:rPr>
            </w:pPr>
            <w:r>
              <w:rPr>
                <w:rFonts w:ascii="Arial" w:cs="Arial" w:eastAsia="Arial" w:hAnsi="Arial"/>
                <w:sz w:val="14"/>
                <w:szCs w:val="14"/>
                <w:b w:val="1"/>
                <w:bCs w:val="1"/>
                <w:color w:val="auto"/>
              </w:rPr>
              <w:t>54</w:t>
            </w:r>
          </w:p>
        </w:tc>
        <w:tc>
          <w:tcPr>
            <w:tcW w:w="2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68"/>
              <w:spacing w:after="0" w:line="133" w:lineRule="exact"/>
              <w:rPr>
                <w:sz w:val="20"/>
                <w:szCs w:val="20"/>
                <w:color w:val="auto"/>
              </w:rPr>
            </w:pPr>
            <w:r>
              <w:rPr>
                <w:rFonts w:ascii="Arial" w:cs="Arial" w:eastAsia="Arial" w:hAnsi="Arial"/>
                <w:sz w:val="14"/>
                <w:szCs w:val="14"/>
                <w:color w:val="auto"/>
              </w:rPr>
              <w:t>112</w:t>
            </w:r>
          </w:p>
        </w:tc>
        <w:tc>
          <w:tcPr>
            <w:tcW w:w="2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89"/>
              <w:spacing w:after="0" w:line="133" w:lineRule="exact"/>
              <w:rPr>
                <w:sz w:val="20"/>
                <w:szCs w:val="20"/>
                <w:color w:val="auto"/>
              </w:rPr>
            </w:pPr>
            <w:r>
              <w:rPr>
                <w:rFonts w:ascii="Arial" w:cs="Arial" w:eastAsia="Arial" w:hAnsi="Arial"/>
                <w:sz w:val="14"/>
                <w:szCs w:val="14"/>
                <w:color w:val="auto"/>
              </w:rPr>
              <w:t>47</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89"/>
              <w:spacing w:after="0" w:line="133" w:lineRule="exact"/>
              <w:rPr>
                <w:sz w:val="20"/>
                <w:szCs w:val="20"/>
                <w:color w:val="auto"/>
              </w:rPr>
            </w:pPr>
            <w:r>
              <w:rPr>
                <w:rFonts w:ascii="Arial" w:cs="Arial" w:eastAsia="Arial" w:hAnsi="Arial"/>
                <w:sz w:val="14"/>
                <w:szCs w:val="14"/>
                <w:color w:val="auto"/>
              </w:rPr>
              <w:t>111</w:t>
            </w:r>
          </w:p>
        </w:tc>
        <w:tc>
          <w:tcPr>
            <w:tcW w:w="26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33"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168"/>
              <w:spacing w:after="0" w:line="133" w:lineRule="exact"/>
              <w:rPr>
                <w:sz w:val="20"/>
                <w:szCs w:val="20"/>
                <w:color w:val="auto"/>
              </w:rPr>
            </w:pPr>
            <w:r>
              <w:rPr>
                <w:rFonts w:ascii="Arial" w:cs="Arial" w:eastAsia="Arial" w:hAnsi="Arial"/>
                <w:sz w:val="14"/>
                <w:szCs w:val="14"/>
                <w:b w:val="1"/>
                <w:bCs w:val="1"/>
                <w:color w:val="auto"/>
              </w:rPr>
              <w:t>28</w:t>
            </w:r>
          </w:p>
        </w:tc>
        <w:tc>
          <w:tcPr>
            <w:tcW w:w="1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49"/>
              <w:spacing w:after="0" w:line="133" w:lineRule="exact"/>
              <w:rPr>
                <w:sz w:val="20"/>
                <w:szCs w:val="20"/>
                <w:color w:val="auto"/>
              </w:rPr>
            </w:pPr>
            <w:r>
              <w:rPr>
                <w:rFonts w:ascii="Arial" w:cs="Arial" w:eastAsia="Arial" w:hAnsi="Arial"/>
                <w:sz w:val="14"/>
                <w:szCs w:val="14"/>
                <w:color w:val="auto"/>
              </w:rPr>
              <w:t>25</w:t>
            </w:r>
          </w:p>
        </w:tc>
        <w:tc>
          <w:tcPr>
            <w:tcW w:w="1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line="133"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Interest cost</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334</w:t>
            </w:r>
          </w:p>
        </w:tc>
        <w:tc>
          <w:tcPr>
            <w:tcW w:w="220" w:type="dxa"/>
            <w:vAlign w:val="bottom"/>
          </w:tcPr>
          <w:p>
            <w:pPr>
              <w:spacing w:after="0"/>
              <w:rPr>
                <w:sz w:val="12"/>
                <w:szCs w:val="12"/>
                <w:color w:val="auto"/>
              </w:rPr>
            </w:pPr>
          </w:p>
        </w:tc>
        <w:tc>
          <w:tcPr>
            <w:tcW w:w="560" w:type="dxa"/>
            <w:vAlign w:val="bottom"/>
          </w:tcPr>
          <w:p>
            <w:pPr>
              <w:jc w:val="right"/>
              <w:ind w:right="189"/>
              <w:spacing w:after="0" w:line="149" w:lineRule="exact"/>
              <w:rPr>
                <w:sz w:val="20"/>
                <w:szCs w:val="20"/>
                <w:color w:val="auto"/>
              </w:rPr>
            </w:pPr>
            <w:r>
              <w:rPr>
                <w:rFonts w:ascii="Arial" w:cs="Arial" w:eastAsia="Arial" w:hAnsi="Arial"/>
                <w:sz w:val="14"/>
                <w:szCs w:val="14"/>
                <w:b w:val="1"/>
                <w:bCs w:val="1"/>
                <w:color w:val="auto"/>
              </w:rPr>
              <w:t>151</w:t>
            </w:r>
          </w:p>
        </w:tc>
        <w:tc>
          <w:tcPr>
            <w:tcW w:w="280" w:type="dxa"/>
            <w:vAlign w:val="bottom"/>
          </w:tcPr>
          <w:p>
            <w:pPr>
              <w:spacing w:after="0"/>
              <w:rPr>
                <w:sz w:val="12"/>
                <w:szCs w:val="12"/>
                <w:color w:val="auto"/>
              </w:rPr>
            </w:pPr>
          </w:p>
        </w:tc>
        <w:tc>
          <w:tcPr>
            <w:tcW w:w="5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334</w:t>
            </w:r>
          </w:p>
        </w:tc>
        <w:tc>
          <w:tcPr>
            <w:tcW w:w="28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143</w:t>
            </w:r>
          </w:p>
        </w:tc>
        <w:tc>
          <w:tcPr>
            <w:tcW w:w="26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355</w:t>
            </w:r>
          </w:p>
        </w:tc>
        <w:tc>
          <w:tcPr>
            <w:tcW w:w="2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191</w:t>
            </w:r>
          </w:p>
        </w:tc>
        <w:tc>
          <w:tcPr>
            <w:tcW w:w="180" w:type="dxa"/>
            <w:vAlign w:val="bottom"/>
          </w:tcPr>
          <w:p>
            <w:pPr>
              <w:spacing w:after="0"/>
              <w:rPr>
                <w:sz w:val="12"/>
                <w:szCs w:val="12"/>
                <w:color w:val="auto"/>
              </w:rPr>
            </w:pPr>
          </w:p>
        </w:tc>
        <w:tc>
          <w:tcPr>
            <w:tcW w:w="5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178</w:t>
            </w:r>
          </w:p>
        </w:tc>
        <w:tc>
          <w:tcPr>
            <w:tcW w:w="1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7"/>
              </w:rPr>
              <w:t>(224)</w:t>
            </w:r>
          </w:p>
        </w:tc>
        <w:tc>
          <w:tcPr>
            <w:tcW w:w="220" w:type="dxa"/>
            <w:vAlign w:val="bottom"/>
          </w:tcPr>
          <w:p>
            <w:pPr>
              <w:spacing w:after="0"/>
              <w:rPr>
                <w:sz w:val="12"/>
                <w:szCs w:val="12"/>
                <w:color w:val="auto"/>
              </w:rPr>
            </w:pPr>
          </w:p>
        </w:tc>
        <w:tc>
          <w:tcPr>
            <w:tcW w:w="56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w w:val="97"/>
              </w:rPr>
              <w:t>(132)</w:t>
            </w:r>
          </w:p>
        </w:tc>
        <w:tc>
          <w:tcPr>
            <w:tcW w:w="280" w:type="dxa"/>
            <w:vAlign w:val="bottom"/>
          </w:tcPr>
          <w:p>
            <w:pPr>
              <w:spacing w:after="0"/>
              <w:rPr>
                <w:sz w:val="12"/>
                <w:szCs w:val="12"/>
                <w:color w:val="auto"/>
              </w:rPr>
            </w:pPr>
          </w:p>
        </w:tc>
        <w:tc>
          <w:tcPr>
            <w:tcW w:w="5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(288)</w:t>
            </w:r>
          </w:p>
        </w:tc>
        <w:tc>
          <w:tcPr>
            <w:tcW w:w="28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(138)</w:t>
            </w:r>
          </w:p>
        </w:tc>
        <w:tc>
          <w:tcPr>
            <w:tcW w:w="26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(443)</w:t>
            </w:r>
          </w:p>
        </w:tc>
        <w:tc>
          <w:tcPr>
            <w:tcW w:w="2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transitional assets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2"/>
                <w:szCs w:val="12"/>
                <w:color w:val="auto"/>
              </w:rPr>
            </w:pPr>
          </w:p>
        </w:tc>
        <w:tc>
          <w:tcPr>
            <w:tcW w:w="5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6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prior-service costs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12"/>
                <w:szCs w:val="12"/>
                <w:color w:val="auto"/>
              </w:rPr>
            </w:pPr>
          </w:p>
        </w:tc>
        <w:tc>
          <w:tcPr>
            <w:tcW w:w="560" w:type="dxa"/>
            <w:vAlign w:val="bottom"/>
          </w:tcPr>
          <w:p>
            <w:pPr>
              <w:jc w:val="right"/>
              <w:ind w:right="189"/>
              <w:spacing w:after="0" w:line="149" w:lineRule="exact"/>
              <w:rPr>
                <w:sz w:val="20"/>
                <w:szCs w:val="20"/>
                <w:color w:val="auto"/>
              </w:rPr>
            </w:pPr>
            <w:r>
              <w:rPr>
                <w:rFonts w:ascii="Arial" w:cs="Arial" w:eastAsia="Arial" w:hAnsi="Arial"/>
                <w:sz w:val="14"/>
                <w:szCs w:val="14"/>
                <w:b w:val="1"/>
                <w:bCs w:val="1"/>
                <w:color w:val="auto"/>
              </w:rPr>
              <w:t>14</w:t>
            </w:r>
          </w:p>
        </w:tc>
        <w:tc>
          <w:tcPr>
            <w:tcW w:w="280" w:type="dxa"/>
            <w:vAlign w:val="bottom"/>
          </w:tcPr>
          <w:p>
            <w:pPr>
              <w:spacing w:after="0"/>
              <w:rPr>
                <w:sz w:val="12"/>
                <w:szCs w:val="12"/>
                <w:color w:val="auto"/>
              </w:rPr>
            </w:pPr>
          </w:p>
        </w:tc>
        <w:tc>
          <w:tcPr>
            <w:tcW w:w="5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32</w:t>
            </w:r>
          </w:p>
        </w:tc>
        <w:tc>
          <w:tcPr>
            <w:tcW w:w="28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25</w:t>
            </w:r>
          </w:p>
        </w:tc>
        <w:tc>
          <w:tcPr>
            <w:tcW w:w="2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2"/>
                <w:szCs w:val="12"/>
                <w:color w:val="auto"/>
              </w:rPr>
            </w:pPr>
          </w:p>
        </w:tc>
        <w:tc>
          <w:tcPr>
            <w:tcW w:w="5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Recognized actuarial losses (gains)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133</w:t>
            </w:r>
          </w:p>
        </w:tc>
        <w:tc>
          <w:tcPr>
            <w:tcW w:w="220" w:type="dxa"/>
            <w:vAlign w:val="bottom"/>
          </w:tcPr>
          <w:p>
            <w:pPr>
              <w:spacing w:after="0"/>
              <w:rPr>
                <w:sz w:val="12"/>
                <w:szCs w:val="12"/>
                <w:color w:val="auto"/>
              </w:rPr>
            </w:pPr>
          </w:p>
        </w:tc>
        <w:tc>
          <w:tcPr>
            <w:tcW w:w="560" w:type="dxa"/>
            <w:vAlign w:val="bottom"/>
          </w:tcPr>
          <w:p>
            <w:pPr>
              <w:jc w:val="right"/>
              <w:ind w:right="189"/>
              <w:spacing w:after="0" w:line="149" w:lineRule="exact"/>
              <w:rPr>
                <w:sz w:val="20"/>
                <w:szCs w:val="20"/>
                <w:color w:val="auto"/>
              </w:rPr>
            </w:pPr>
            <w:r>
              <w:rPr>
                <w:rFonts w:ascii="Arial" w:cs="Arial" w:eastAsia="Arial" w:hAnsi="Arial"/>
                <w:sz w:val="14"/>
                <w:szCs w:val="14"/>
                <w:b w:val="1"/>
                <w:bCs w:val="1"/>
                <w:color w:val="auto"/>
              </w:rPr>
              <w:t>42</w:t>
            </w:r>
          </w:p>
        </w:tc>
        <w:tc>
          <w:tcPr>
            <w:tcW w:w="280" w:type="dxa"/>
            <w:vAlign w:val="bottom"/>
          </w:tcPr>
          <w:p>
            <w:pPr>
              <w:spacing w:after="0"/>
              <w:rPr>
                <w:sz w:val="12"/>
                <w:szCs w:val="12"/>
                <w:color w:val="auto"/>
              </w:rPr>
            </w:pPr>
          </w:p>
        </w:tc>
        <w:tc>
          <w:tcPr>
            <w:tcW w:w="5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32</w:t>
            </w:r>
          </w:p>
        </w:tc>
        <w:tc>
          <w:tcPr>
            <w:tcW w:w="28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27</w:t>
            </w:r>
          </w:p>
        </w:tc>
        <w:tc>
          <w:tcPr>
            <w:tcW w:w="26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12</w:t>
            </w:r>
          </w:p>
        </w:tc>
        <w:tc>
          <w:tcPr>
            <w:tcW w:w="180" w:type="dxa"/>
            <w:vAlign w:val="bottom"/>
          </w:tcPr>
          <w:p>
            <w:pPr>
              <w:spacing w:after="0"/>
              <w:rPr>
                <w:sz w:val="12"/>
                <w:szCs w:val="12"/>
                <w:color w:val="auto"/>
              </w:rPr>
            </w:pPr>
          </w:p>
        </w:tc>
        <w:tc>
          <w:tcPr>
            <w:tcW w:w="5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Settlement losses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132</w:t>
            </w:r>
          </w:p>
        </w:tc>
        <w:tc>
          <w:tcPr>
            <w:tcW w:w="220" w:type="dxa"/>
            <w:vAlign w:val="bottom"/>
          </w:tcPr>
          <w:p>
            <w:pPr>
              <w:spacing w:after="0"/>
              <w:rPr>
                <w:sz w:val="12"/>
                <w:szCs w:val="12"/>
                <w:color w:val="auto"/>
              </w:rPr>
            </w:pPr>
          </w:p>
        </w:tc>
        <w:tc>
          <w:tcPr>
            <w:tcW w:w="560" w:type="dxa"/>
            <w:vAlign w:val="bottom"/>
          </w:tcPr>
          <w:p>
            <w:pPr>
              <w:jc w:val="right"/>
              <w:ind w:right="189"/>
              <w:spacing w:after="0" w:line="149" w:lineRule="exact"/>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2"/>
                <w:szCs w:val="12"/>
                <w:color w:val="auto"/>
              </w:rPr>
            </w:pPr>
          </w:p>
        </w:tc>
        <w:tc>
          <w:tcPr>
            <w:tcW w:w="5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146</w:t>
            </w:r>
          </w:p>
        </w:tc>
        <w:tc>
          <w:tcPr>
            <w:tcW w:w="28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60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420" w:type="dxa"/>
            <w:vAlign w:val="bottom"/>
            <w:gridSpan w:val="2"/>
          </w:tcPr>
          <w:p>
            <w:pPr>
              <w:spacing w:after="0" w:line="153" w:lineRule="exact"/>
              <w:rPr>
                <w:sz w:val="20"/>
                <w:szCs w:val="20"/>
                <w:color w:val="auto"/>
              </w:rPr>
            </w:pPr>
            <w:r>
              <w:rPr>
                <w:rFonts w:ascii="Arial" w:cs="Arial" w:eastAsia="Arial" w:hAnsi="Arial"/>
                <w:sz w:val="14"/>
                <w:szCs w:val="14"/>
                <w:color w:val="auto"/>
              </w:rPr>
              <w:t>Curtailment losses</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560" w:type="dxa"/>
            <w:vAlign w:val="bottom"/>
          </w:tcPr>
          <w:p>
            <w:pPr>
              <w:jc w:val="right"/>
              <w:ind w:right="189"/>
              <w:spacing w:after="0" w:line="153" w:lineRule="exact"/>
              <w:rPr>
                <w:sz w:val="20"/>
                <w:szCs w:val="20"/>
                <w:color w:val="auto"/>
              </w:rPr>
            </w:pPr>
            <w:r>
              <w:rPr>
                <w:rFonts w:ascii="Arial" w:cs="Arial" w:eastAsia="Arial" w:hAnsi="Arial"/>
                <w:sz w:val="14"/>
                <w:szCs w:val="14"/>
                <w:b w:val="1"/>
                <w:bCs w:val="1"/>
                <w:color w:val="auto"/>
              </w:rPr>
              <w:t>6</w:t>
            </w:r>
          </w:p>
        </w:tc>
        <w:tc>
          <w:tcPr>
            <w:tcW w:w="280" w:type="dxa"/>
            <w:vAlign w:val="bottom"/>
          </w:tcPr>
          <w:p>
            <w:pPr>
              <w:spacing w:after="0"/>
              <w:rPr>
                <w:sz w:val="13"/>
                <w:szCs w:val="13"/>
                <w:color w:val="auto"/>
              </w:rPr>
            </w:pPr>
          </w:p>
        </w:tc>
        <w:tc>
          <w:tcPr>
            <w:tcW w:w="58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0" w:type="dxa"/>
            <w:vAlign w:val="bottom"/>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0" w:type="dxa"/>
            <w:vAlign w:val="bottom"/>
          </w:tcPr>
          <w:p>
            <w:pPr>
              <w:jc w:val="right"/>
              <w:ind w:right="189"/>
              <w:spacing w:after="0" w:line="153" w:lineRule="exact"/>
              <w:rPr>
                <w:sz w:val="20"/>
                <w:szCs w:val="20"/>
                <w:color w:val="auto"/>
              </w:rPr>
            </w:pPr>
            <w:r>
              <w:rPr>
                <w:rFonts w:ascii="Arial" w:cs="Arial" w:eastAsia="Arial" w:hAnsi="Arial"/>
                <w:sz w:val="14"/>
                <w:szCs w:val="14"/>
                <w:color w:val="auto"/>
              </w:rPr>
              <w:t>26</w:t>
            </w:r>
          </w:p>
        </w:tc>
        <w:tc>
          <w:tcPr>
            <w:tcW w:w="260" w:type="dxa"/>
            <w:vAlign w:val="bottom"/>
          </w:tcPr>
          <w:p>
            <w:pPr>
              <w:spacing w:after="0"/>
              <w:rPr>
                <w:sz w:val="13"/>
                <w:szCs w:val="13"/>
                <w:color w:val="auto"/>
              </w:rPr>
            </w:pPr>
          </w:p>
        </w:tc>
        <w:tc>
          <w:tcPr>
            <w:tcW w:w="60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0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tcPr>
          <w:p>
            <w:pPr>
              <w:jc w:val="right"/>
              <w:ind w:right="48"/>
              <w:spacing w:after="0" w:line="153"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Special termination benefit</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6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recognition</w:t>
            </w:r>
          </w:p>
        </w:tc>
        <w:tc>
          <w:tcPr>
            <w:tcW w:w="1120" w:type="dxa"/>
            <w:vAlign w:val="bottom"/>
            <w:tcBorders>
              <w:bottom w:val="single" w:sz="8" w:color="0070FF"/>
            </w:tcBorders>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vMerge w:val="continue"/>
          </w:tcPr>
          <w:p>
            <w:pPr>
              <w:spacing w:after="0"/>
              <w:rPr>
                <w:sz w:val="14"/>
                <w:szCs w:val="14"/>
                <w:color w:val="auto"/>
              </w:rPr>
            </w:pPr>
          </w:p>
        </w:tc>
        <w:tc>
          <w:tcPr>
            <w:tcW w:w="22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vMerge w:val="continue"/>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vMerge w:val="continue"/>
          </w:tcPr>
          <w:p>
            <w:pPr>
              <w:spacing w:after="0"/>
              <w:rPr>
                <w:sz w:val="14"/>
                <w:szCs w:val="14"/>
                <w:color w:val="auto"/>
              </w:rPr>
            </w:pPr>
          </w:p>
        </w:tc>
        <w:tc>
          <w:tcPr>
            <w:tcW w:w="18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340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Net periodic benefit cost</w:t>
            </w:r>
          </w:p>
        </w:tc>
        <w:tc>
          <w:tcPr>
            <w:tcW w:w="1200" w:type="dxa"/>
            <w:vAlign w:val="bottom"/>
            <w:tcBorders>
              <w:bottom w:val="single" w:sz="8" w:color="0070FF"/>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564</w:t>
            </w: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b w:val="1"/>
                <w:bCs w:val="1"/>
                <w:color w:val="auto"/>
              </w:rPr>
              <w:t>133</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168"/>
              <w:spacing w:after="0" w:line="155" w:lineRule="exact"/>
              <w:rPr>
                <w:sz w:val="20"/>
                <w:szCs w:val="20"/>
                <w:color w:val="auto"/>
              </w:rPr>
            </w:pPr>
            <w:r>
              <w:rPr>
                <w:rFonts w:ascii="Arial" w:cs="Arial" w:eastAsia="Arial" w:hAnsi="Arial"/>
                <w:sz w:val="14"/>
                <w:szCs w:val="14"/>
                <w:color w:val="auto"/>
              </w:rPr>
              <w:t>368</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color w:val="auto"/>
              </w:rPr>
              <w:t>89</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color w:val="auto"/>
              </w:rPr>
              <w:t>144</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0070FF"/>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0070FF"/>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228</w:t>
            </w:r>
          </w:p>
        </w:tc>
        <w:tc>
          <w:tcPr>
            <w:tcW w:w="1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199</w:t>
            </w:r>
          </w:p>
        </w:tc>
        <w:tc>
          <w:tcPr>
            <w:tcW w:w="1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37"/>
        </w:trPr>
        <w:tc>
          <w:tcPr>
            <w:tcW w:w="3420" w:type="dxa"/>
            <w:vAlign w:val="bottom"/>
            <w:gridSpan w:val="2"/>
          </w:tcPr>
          <w:p>
            <w:pPr>
              <w:spacing w:after="0" w:line="137" w:lineRule="exact"/>
              <w:rPr>
                <w:sz w:val="20"/>
                <w:szCs w:val="20"/>
                <w:color w:val="auto"/>
              </w:rPr>
            </w:pPr>
            <w:r>
              <w:rPr>
                <w:rFonts w:ascii="Arial" w:cs="Arial" w:eastAsia="Arial" w:hAnsi="Arial"/>
                <w:sz w:val="14"/>
                <w:szCs w:val="14"/>
                <w:color w:val="auto"/>
              </w:rPr>
              <w:t>Weighted-average assumptions used to</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determine net cost as of December 31</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6.3%</w:t>
            </w:r>
          </w:p>
        </w:tc>
        <w:tc>
          <w:tcPr>
            <w:tcW w:w="22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7.1%</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6.8%</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0" w:type="dxa"/>
            <w:vAlign w:val="bottom"/>
          </w:tcPr>
          <w:p>
            <w:pPr>
              <w:ind w:left="260"/>
              <w:spacing w:after="0" w:line="145" w:lineRule="exact"/>
              <w:rPr>
                <w:sz w:val="20"/>
                <w:szCs w:val="20"/>
                <w:color w:val="auto"/>
              </w:rPr>
            </w:pPr>
            <w:r>
              <w:rPr>
                <w:rFonts w:ascii="Arial" w:cs="Arial" w:eastAsia="Arial" w:hAnsi="Arial"/>
                <w:sz w:val="14"/>
                <w:szCs w:val="14"/>
                <w:color w:val="auto"/>
              </w:rPr>
              <w:t>Discount rate*</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7.4%</w:t>
            </w:r>
          </w:p>
        </w:tc>
        <w:tc>
          <w:tcPr>
            <w:tcW w:w="280" w:type="dxa"/>
            <w:vAlign w:val="bottom"/>
          </w:tcPr>
          <w:p>
            <w:pPr>
              <w:spacing w:after="0"/>
              <w:rPr>
                <w:sz w:val="12"/>
                <w:szCs w:val="12"/>
                <w:color w:val="auto"/>
              </w:rPr>
            </w:pPr>
          </w:p>
        </w:tc>
        <w:tc>
          <w:tcPr>
            <w:tcW w:w="600" w:type="dxa"/>
            <w:vAlign w:val="bottom"/>
          </w:tcPr>
          <w:p>
            <w:pPr>
              <w:jc w:val="right"/>
              <w:ind w:right="69"/>
              <w:spacing w:after="0" w:line="145" w:lineRule="exact"/>
              <w:rPr>
                <w:sz w:val="20"/>
                <w:szCs w:val="20"/>
                <w:color w:val="auto"/>
              </w:rPr>
            </w:pPr>
            <w:r>
              <w:rPr>
                <w:rFonts w:ascii="Arial" w:cs="Arial" w:eastAsia="Arial" w:hAnsi="Arial"/>
                <w:sz w:val="14"/>
                <w:szCs w:val="14"/>
                <w:color w:val="auto"/>
              </w:rPr>
              <w:t>7.7%</w:t>
            </w:r>
          </w:p>
        </w:tc>
        <w:tc>
          <w:tcPr>
            <w:tcW w:w="260" w:type="dxa"/>
            <w:vAlign w:val="bottom"/>
          </w:tcPr>
          <w:p>
            <w:pPr>
              <w:spacing w:after="0"/>
              <w:rPr>
                <w:sz w:val="12"/>
                <w:szCs w:val="12"/>
                <w:color w:val="auto"/>
              </w:rPr>
            </w:pPr>
          </w:p>
        </w:tc>
        <w:tc>
          <w:tcPr>
            <w:tcW w:w="600" w:type="dxa"/>
            <w:vAlign w:val="bottom"/>
          </w:tcPr>
          <w:p>
            <w:pPr>
              <w:jc w:val="right"/>
              <w:ind w:right="69"/>
              <w:spacing w:after="0" w:line="145" w:lineRule="exact"/>
              <w:rPr>
                <w:sz w:val="20"/>
                <w:szCs w:val="20"/>
                <w:color w:val="auto"/>
              </w:rPr>
            </w:pPr>
            <w:r>
              <w:rPr>
                <w:rFonts w:ascii="Arial" w:cs="Arial" w:eastAsia="Arial" w:hAnsi="Arial"/>
                <w:sz w:val="14"/>
                <w:szCs w:val="14"/>
                <w:color w:val="auto"/>
              </w:rPr>
              <w:t>7.5%</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29"/>
              <w:spacing w:after="0" w:line="145"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60"/>
              <w:spacing w:after="0" w:line="149" w:lineRule="exact"/>
              <w:rPr>
                <w:sz w:val="20"/>
                <w:szCs w:val="20"/>
                <w:color w:val="auto"/>
              </w:rPr>
            </w:pPr>
            <w:r>
              <w:rPr>
                <w:rFonts w:ascii="Arial" w:cs="Arial" w:eastAsia="Arial" w:hAnsi="Arial"/>
                <w:sz w:val="14"/>
                <w:szCs w:val="14"/>
                <w:color w:val="auto"/>
              </w:rPr>
              <w:t>Expected return on plan assets*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7.8%</w:t>
            </w:r>
          </w:p>
        </w:tc>
        <w:tc>
          <w:tcPr>
            <w:tcW w:w="220" w:type="dxa"/>
            <w:vAlign w:val="bottom"/>
          </w:tcPr>
          <w:p>
            <w:pPr>
              <w:spacing w:after="0"/>
              <w:rPr>
                <w:sz w:val="12"/>
                <w:szCs w:val="12"/>
                <w:color w:val="auto"/>
              </w:rPr>
            </w:pPr>
          </w:p>
        </w:tc>
        <w:tc>
          <w:tcPr>
            <w:tcW w:w="56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8.3%</w:t>
            </w:r>
          </w:p>
        </w:tc>
        <w:tc>
          <w:tcPr>
            <w:tcW w:w="2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8.3%</w:t>
            </w:r>
          </w:p>
        </w:tc>
        <w:tc>
          <w:tcPr>
            <w:tcW w:w="280" w:type="dxa"/>
            <w:vAlign w:val="bottom"/>
          </w:tcPr>
          <w:p>
            <w:pPr>
              <w:spacing w:after="0"/>
              <w:rPr>
                <w:sz w:val="12"/>
                <w:szCs w:val="12"/>
                <w:color w:val="auto"/>
              </w:rPr>
            </w:pPr>
          </w:p>
        </w:tc>
        <w:tc>
          <w:tcPr>
            <w:tcW w:w="6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8.9%</w:t>
            </w:r>
          </w:p>
        </w:tc>
        <w:tc>
          <w:tcPr>
            <w:tcW w:w="260" w:type="dxa"/>
            <w:vAlign w:val="bottom"/>
          </w:tcPr>
          <w:p>
            <w:pPr>
              <w:spacing w:after="0"/>
              <w:rPr>
                <w:sz w:val="12"/>
                <w:szCs w:val="12"/>
                <w:color w:val="auto"/>
              </w:rPr>
            </w:pPr>
          </w:p>
        </w:tc>
        <w:tc>
          <w:tcPr>
            <w:tcW w:w="6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9.6%</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N/A</w:t>
            </w:r>
          </w:p>
        </w:tc>
        <w:tc>
          <w:tcPr>
            <w:tcW w:w="180" w:type="dxa"/>
            <w:vAlign w:val="bottom"/>
          </w:tcPr>
          <w:p>
            <w:pPr>
              <w:spacing w:after="0"/>
              <w:rPr>
                <w:sz w:val="12"/>
                <w:szCs w:val="12"/>
                <w:color w:val="auto"/>
              </w:rPr>
            </w:pPr>
          </w:p>
        </w:tc>
        <w:tc>
          <w:tcPr>
            <w:tcW w:w="5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Rate of compensation increase</w:t>
            </w:r>
          </w:p>
        </w:tc>
        <w:tc>
          <w:tcPr>
            <w:tcW w:w="1120" w:type="dxa"/>
            <w:vAlign w:val="bottom"/>
            <w:tcBorders>
              <w:bottom w:val="single" w:sz="8" w:color="0070FF"/>
            </w:tcBorders>
          </w:tcPr>
          <w:p>
            <w:pPr>
              <w:spacing w:after="0"/>
              <w:rPr>
                <w:sz w:val="16"/>
                <w:szCs w:val="16"/>
                <w:color w:val="auto"/>
              </w:rPr>
            </w:pPr>
          </w:p>
        </w:tc>
        <w:tc>
          <w:tcPr>
            <w:tcW w:w="80" w:type="dxa"/>
            <w:vAlign w:val="bottom"/>
            <w:tcBorders>
              <w:bottom w:val="single" w:sz="8" w:color="0070FF"/>
            </w:tcBorders>
          </w:tcPr>
          <w:p>
            <w:pPr>
              <w:spacing w:after="0"/>
              <w:rPr>
                <w:sz w:val="16"/>
                <w:szCs w:val="16"/>
                <w:color w:val="auto"/>
              </w:rPr>
            </w:pPr>
          </w:p>
        </w:tc>
        <w:tc>
          <w:tcPr>
            <w:tcW w:w="5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4.0%</w:t>
            </w:r>
          </w:p>
        </w:tc>
        <w:tc>
          <w:tcPr>
            <w:tcW w:w="220" w:type="dxa"/>
            <w:vAlign w:val="bottom"/>
            <w:tcBorders>
              <w:bottom w:val="single" w:sz="8" w:color="0070FF"/>
            </w:tcBorders>
          </w:tcPr>
          <w:p>
            <w:pPr>
              <w:spacing w:after="0"/>
              <w:rPr>
                <w:sz w:val="16"/>
                <w:szCs w:val="16"/>
                <w:color w:val="auto"/>
              </w:rPr>
            </w:pPr>
          </w:p>
        </w:tc>
        <w:tc>
          <w:tcPr>
            <w:tcW w:w="56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5.1%</w:t>
            </w:r>
          </w:p>
        </w:tc>
        <w:tc>
          <w:tcPr>
            <w:tcW w:w="280" w:type="dxa"/>
            <w:vAlign w:val="bottom"/>
            <w:tcBorders>
              <w:bottom w:val="single" w:sz="8" w:color="0070FF"/>
            </w:tcBorders>
          </w:tcPr>
          <w:p>
            <w:pPr>
              <w:spacing w:after="0"/>
              <w:rPr>
                <w:sz w:val="16"/>
                <w:szCs w:val="16"/>
                <w:color w:val="auto"/>
              </w:rPr>
            </w:pPr>
          </w:p>
        </w:tc>
        <w:tc>
          <w:tcPr>
            <w:tcW w:w="58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0070FF"/>
            </w:tcBorders>
          </w:tcPr>
          <w:p>
            <w:pPr>
              <w:spacing w:after="0"/>
              <w:rPr>
                <w:sz w:val="16"/>
                <w:szCs w:val="16"/>
                <w:color w:val="auto"/>
              </w:rPr>
            </w:pPr>
          </w:p>
        </w:tc>
        <w:tc>
          <w:tcPr>
            <w:tcW w:w="6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0070FF"/>
            </w:tcBorders>
          </w:tcPr>
          <w:p>
            <w:pPr>
              <w:spacing w:after="0"/>
              <w:rPr>
                <w:sz w:val="16"/>
                <w:szCs w:val="16"/>
                <w:color w:val="auto"/>
              </w:rPr>
            </w:pPr>
          </w:p>
        </w:tc>
        <w:tc>
          <w:tcPr>
            <w:tcW w:w="60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0070FF"/>
            </w:tcBorders>
          </w:tcPr>
          <w:p>
            <w:pPr>
              <w:spacing w:after="0"/>
              <w:rPr>
                <w:sz w:val="16"/>
                <w:szCs w:val="16"/>
                <w:color w:val="auto"/>
              </w:rPr>
            </w:pPr>
          </w:p>
        </w:tc>
        <w:tc>
          <w:tcPr>
            <w:tcW w:w="600" w:type="dxa"/>
            <w:vAlign w:val="bottom"/>
            <w:tcBorders>
              <w:bottom w:val="single" w:sz="8" w:color="0070FF"/>
            </w:tcBorders>
            <w:gridSpan w:val="2"/>
          </w:tcPr>
          <w:p>
            <w:pPr>
              <w:jc w:val="right"/>
              <w:ind w:right="140"/>
              <w:spacing w:after="0"/>
              <w:rPr>
                <w:sz w:val="20"/>
                <w:szCs w:val="20"/>
                <w:color w:val="auto"/>
              </w:rPr>
            </w:pPr>
            <w:r>
              <w:rPr>
                <w:rFonts w:ascii="Arial" w:cs="Arial" w:eastAsia="Arial" w:hAnsi="Arial"/>
                <w:sz w:val="14"/>
                <w:szCs w:val="14"/>
                <w:color w:val="auto"/>
              </w:rPr>
              <w:t>5.0%</w:t>
            </w:r>
          </w:p>
        </w:tc>
        <w:tc>
          <w:tcPr>
            <w:tcW w:w="140" w:type="dxa"/>
            <w:vAlign w:val="bottom"/>
            <w:tcBorders>
              <w:bottom w:val="single" w:sz="8" w:color="0070FF"/>
            </w:tcBorders>
          </w:tcPr>
          <w:p>
            <w:pPr>
              <w:spacing w:after="0"/>
              <w:rPr>
                <w:sz w:val="16"/>
                <w:szCs w:val="16"/>
                <w:color w:val="auto"/>
              </w:rPr>
            </w:pPr>
          </w:p>
        </w:tc>
        <w:tc>
          <w:tcPr>
            <w:tcW w:w="80" w:type="dxa"/>
            <w:vAlign w:val="bottom"/>
            <w:tcBorders>
              <w:bottom w:val="single" w:sz="8" w:color="0070FF"/>
            </w:tcBorders>
          </w:tcPr>
          <w:p>
            <w:pPr>
              <w:spacing w:after="0"/>
              <w:rPr>
                <w:sz w:val="16"/>
                <w:szCs w:val="16"/>
                <w:color w:val="auto"/>
              </w:rPr>
            </w:pPr>
          </w:p>
        </w:tc>
        <w:tc>
          <w:tcPr>
            <w:tcW w:w="5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4.1%</w:t>
            </w:r>
          </w:p>
        </w:tc>
        <w:tc>
          <w:tcPr>
            <w:tcW w:w="180" w:type="dxa"/>
            <w:vAlign w:val="bottom"/>
            <w:tcBorders>
              <w:bottom w:val="single" w:sz="8" w:color="0070FF"/>
            </w:tcBorders>
          </w:tcPr>
          <w:p>
            <w:pPr>
              <w:spacing w:after="0"/>
              <w:rPr>
                <w:sz w:val="16"/>
                <w:szCs w:val="16"/>
                <w:color w:val="auto"/>
              </w:rPr>
            </w:pPr>
          </w:p>
        </w:tc>
        <w:tc>
          <w:tcPr>
            <w:tcW w:w="50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4.1%</w:t>
            </w:r>
          </w:p>
        </w:tc>
        <w:tc>
          <w:tcPr>
            <w:tcW w:w="180" w:type="dxa"/>
            <w:vAlign w:val="bottom"/>
            <w:tcBorders>
              <w:bottom w:val="single" w:sz="8" w:color="0070FF"/>
            </w:tcBorders>
          </w:tcPr>
          <w:p>
            <w:pPr>
              <w:spacing w:after="0"/>
              <w:rPr>
                <w:sz w:val="16"/>
                <w:szCs w:val="16"/>
                <w:color w:val="auto"/>
              </w:rPr>
            </w:pPr>
          </w:p>
        </w:tc>
        <w:tc>
          <w:tcPr>
            <w:tcW w:w="4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ind w:left="240" w:hanging="232"/>
        <w:spacing w:after="0" w:line="185" w:lineRule="auto"/>
        <w:tabs>
          <w:tab w:leader="none" w:pos="240" w:val="left"/>
        </w:tabs>
        <w:numPr>
          <w:ilvl w:val="0"/>
          <w:numId w:val="56"/>
        </w:numPr>
        <w:rPr>
          <w:rFonts w:ascii="Arial" w:cs="Arial" w:eastAsia="Arial" w:hAnsi="Arial"/>
          <w:sz w:val="19"/>
          <w:szCs w:val="19"/>
          <w:color w:val="auto"/>
          <w:vertAlign w:val="subscript"/>
        </w:rPr>
      </w:pPr>
      <w:r>
        <w:rPr>
          <w:rFonts w:ascii="Arial" w:cs="Arial" w:eastAsia="Arial" w:hAnsi="Arial"/>
          <w:sz w:val="9"/>
          <w:szCs w:val="9"/>
          <w:color w:val="auto"/>
        </w:rPr>
        <w:t>Discount rate and expected rate of return on plan assets were updated quarterly for the main U.S. pension plan.</w:t>
      </w:r>
    </w:p>
    <w:p>
      <w:pPr>
        <w:sectPr>
          <w:pgSz w:w="11900" w:h="16838" w:orient="portrait"/>
          <w:cols w:equalWidth="0" w:num="1">
            <w:col w:w="11420"/>
          </w:cols>
          <w:pgMar w:left="240" w:top="419" w:right="239" w:bottom="1440" w:gutter="0" w:footer="0" w:header="0"/>
          <w:type w:val="continuous"/>
        </w:sectPr>
      </w:pPr>
    </w:p>
    <w:p>
      <w:pPr>
        <w:spacing w:after="0" w:line="308" w:lineRule="exact"/>
        <w:rPr>
          <w:sz w:val="20"/>
          <w:szCs w:val="20"/>
          <w:color w:val="auto"/>
        </w:rPr>
      </w:pPr>
    </w:p>
    <w:p>
      <w:pPr>
        <w:ind w:firstLine="200"/>
        <w:spacing w:after="0" w:line="302" w:lineRule="auto"/>
        <w:rPr>
          <w:sz w:val="20"/>
          <w:szCs w:val="20"/>
          <w:color w:val="auto"/>
        </w:rPr>
      </w:pPr>
      <w:r>
        <w:rPr>
          <w:rFonts w:ascii="Arial" w:cs="Arial" w:eastAsia="Arial" w:hAnsi="Arial"/>
          <w:sz w:val="14"/>
          <w:szCs w:val="14"/>
          <w:color w:val="auto"/>
        </w:rPr>
        <w:t>The company employs a rigorous process to determine the estimates of long-term rate of return on pension assets. These estimates are primarily driven by actual historical asset-class returns and advice from external actuarial firms while incorporating specific asset-class risk factors. Asset allocations are regularly updated using pension plan asset/liability studies, and the determination of the company’s estimates of long-term rates of return are consistent with these studies.</w:t>
      </w:r>
    </w:p>
    <w:p>
      <w:pPr>
        <w:spacing w:after="0" w:line="4" w:lineRule="exact"/>
        <w:rPr>
          <w:sz w:val="20"/>
          <w:szCs w:val="20"/>
          <w:color w:val="auto"/>
        </w:rPr>
      </w:pPr>
    </w:p>
    <w:p>
      <w:pPr>
        <w:ind w:right="20" w:firstLine="194"/>
        <w:spacing w:after="0" w:line="301" w:lineRule="auto"/>
        <w:rPr>
          <w:sz w:val="20"/>
          <w:szCs w:val="20"/>
          <w:color w:val="auto"/>
        </w:rPr>
      </w:pPr>
      <w:r>
        <w:rPr>
          <w:rFonts w:ascii="Arial" w:cs="Arial" w:eastAsia="Arial" w:hAnsi="Arial"/>
          <w:sz w:val="14"/>
          <w:szCs w:val="14"/>
          <w:color w:val="auto"/>
        </w:rPr>
        <w:t>At December 31, 2003, the estimated long-term rate of return on U.S. pension plan assets, which account for about 70 percent of the company’s pension plan assets, was 7.8 percent, compared with rates of 7.8 and 9.0 percent at the end of 2002 and 2001, respectively. The year-end market-related value of U.S. pension plan assets used in the determination of pension expense was based on the market values in the preceding three months, as opposed to the maximum allowable period of five years under U.S. accounting rules. Management considers the three-month time period long enough to minimize the effects of distortions from day-to-day market volatility and yet still be contemporaneous to the end of the year.</w:t>
      </w:r>
    </w:p>
    <w:p>
      <w:pPr>
        <w:spacing w:after="0" w:line="6" w:lineRule="exact"/>
        <w:rPr>
          <w:sz w:val="20"/>
          <w:szCs w:val="20"/>
          <w:color w:val="auto"/>
        </w:rPr>
      </w:pPr>
    </w:p>
    <w:p>
      <w:pPr>
        <w:ind w:right="80" w:firstLine="200"/>
        <w:spacing w:after="0" w:line="288" w:lineRule="auto"/>
        <w:rPr>
          <w:sz w:val="20"/>
          <w:szCs w:val="20"/>
          <w:color w:val="auto"/>
        </w:rPr>
      </w:pPr>
      <w:r>
        <w:rPr>
          <w:rFonts w:ascii="Arial" w:cs="Arial" w:eastAsia="Arial" w:hAnsi="Arial"/>
          <w:sz w:val="16"/>
          <w:szCs w:val="16"/>
          <w:color w:val="auto"/>
        </w:rPr>
        <w:t>The asset allocation for the company’s primary U.S. pension plans at the end of 2003 and 2002 and the target allocation, by asset category,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color w:val="auto"/>
              </w:rPr>
              <w:t>Board-</w:t>
            </w:r>
          </w:p>
        </w:tc>
        <w:tc>
          <w:tcPr>
            <w:tcW w:w="1040" w:type="dxa"/>
            <w:vAlign w:val="bottom"/>
          </w:tcPr>
          <w:p>
            <w:pPr>
              <w:jc w:val="right"/>
              <w:ind w:right="230"/>
              <w:spacing w:after="0"/>
              <w:rPr>
                <w:sz w:val="20"/>
                <w:szCs w:val="20"/>
                <w:color w:val="auto"/>
              </w:rPr>
            </w:pPr>
            <w:r>
              <w:rPr>
                <w:rFonts w:ascii="Arial" w:cs="Arial" w:eastAsia="Arial" w:hAnsi="Arial"/>
                <w:sz w:val="14"/>
                <w:szCs w:val="14"/>
                <w:color w:val="auto"/>
              </w:rPr>
              <w:t>Policy</w:t>
            </w:r>
          </w:p>
        </w:tc>
        <w:tc>
          <w:tcPr>
            <w:tcW w:w="660" w:type="dxa"/>
            <w:vAlign w:val="bottom"/>
          </w:tcPr>
          <w:p>
            <w:pPr>
              <w:spacing w:after="0"/>
              <w:rPr>
                <w:sz w:val="14"/>
                <w:szCs w:val="14"/>
                <w:color w:val="auto"/>
              </w:rPr>
            </w:pP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w w:val="90"/>
              </w:rPr>
              <w:t>Approved</w:t>
            </w:r>
          </w:p>
        </w:tc>
        <w:tc>
          <w:tcPr>
            <w:tcW w:w="1040" w:type="dxa"/>
            <w:vAlign w:val="bottom"/>
          </w:tcPr>
          <w:p>
            <w:pPr>
              <w:jc w:val="right"/>
              <w:ind w:right="230"/>
              <w:spacing w:after="0" w:line="149" w:lineRule="exact"/>
              <w:rPr>
                <w:sz w:val="20"/>
                <w:szCs w:val="20"/>
                <w:color w:val="auto"/>
              </w:rPr>
            </w:pPr>
            <w:r>
              <w:rPr>
                <w:rFonts w:ascii="Arial" w:cs="Arial" w:eastAsia="Arial" w:hAnsi="Arial"/>
                <w:sz w:val="14"/>
                <w:szCs w:val="14"/>
                <w:color w:val="auto"/>
              </w:rPr>
              <w:t>Benchmark</w:t>
            </w:r>
          </w:p>
        </w:tc>
        <w:tc>
          <w:tcPr>
            <w:tcW w:w="660" w:type="dxa"/>
            <w:vAlign w:val="bottom"/>
          </w:tcPr>
          <w:p>
            <w:pPr>
              <w:spacing w:after="0"/>
              <w:rPr>
                <w:sz w:val="12"/>
                <w:szCs w:val="12"/>
                <w:color w:val="auto"/>
              </w:rPr>
            </w:pPr>
          </w:p>
        </w:tc>
        <w:tc>
          <w:tcPr>
            <w:tcW w:w="840" w:type="dxa"/>
            <w:vAlign w:val="bottom"/>
          </w:tcPr>
          <w:p>
            <w:pPr>
              <w:jc w:val="right"/>
              <w:ind w:right="70"/>
              <w:spacing w:after="0" w:line="149" w:lineRule="exact"/>
              <w:rPr>
                <w:sz w:val="20"/>
                <w:szCs w:val="20"/>
                <w:color w:val="auto"/>
              </w:rPr>
            </w:pPr>
            <w:r>
              <w:rPr>
                <w:rFonts w:ascii="Arial" w:cs="Arial" w:eastAsia="Arial" w:hAnsi="Arial"/>
                <w:sz w:val="14"/>
                <w:szCs w:val="14"/>
                <w:color w:val="auto"/>
                <w:w w:val="9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Asset</w:t>
            </w:r>
          </w:p>
        </w:tc>
        <w:tc>
          <w:tcPr>
            <w:tcW w:w="1040" w:type="dxa"/>
            <w:vAlign w:val="bottom"/>
          </w:tcPr>
          <w:p>
            <w:pPr>
              <w:jc w:val="right"/>
              <w:ind w:right="230"/>
              <w:spacing w:after="0" w:line="149" w:lineRule="exact"/>
              <w:rPr>
                <w:sz w:val="20"/>
                <w:szCs w:val="20"/>
                <w:color w:val="auto"/>
              </w:rPr>
            </w:pPr>
            <w:r>
              <w:rPr>
                <w:rFonts w:ascii="Arial" w:cs="Arial" w:eastAsia="Arial" w:hAnsi="Arial"/>
                <w:sz w:val="14"/>
                <w:szCs w:val="14"/>
                <w:color w:val="auto"/>
              </w:rPr>
              <w:t>Asset</w:t>
            </w:r>
          </w:p>
        </w:tc>
        <w:tc>
          <w:tcPr>
            <w:tcW w:w="1500" w:type="dxa"/>
            <w:vAlign w:val="bottom"/>
            <w:gridSpan w:val="2"/>
          </w:tcPr>
          <w:p>
            <w:pPr>
              <w:jc w:val="right"/>
              <w:ind w:right="70"/>
              <w:spacing w:after="0" w:line="149" w:lineRule="exact"/>
              <w:rPr>
                <w:sz w:val="20"/>
                <w:szCs w:val="20"/>
                <w:color w:val="auto"/>
              </w:rPr>
            </w:pPr>
            <w:r>
              <w:rPr>
                <w:rFonts w:ascii="Arial" w:cs="Arial" w:eastAsia="Arial" w:hAnsi="Arial"/>
                <w:sz w:val="14"/>
                <w:szCs w:val="14"/>
                <w:color w:val="auto"/>
              </w:rPr>
              <w:t>of Plan Assets</w:t>
            </w:r>
          </w:p>
        </w:tc>
        <w:tc>
          <w:tcPr>
            <w:tcW w:w="0" w:type="dxa"/>
            <w:vAlign w:val="bottom"/>
          </w:tcPr>
          <w:p>
            <w:pPr>
              <w:spacing w:after="0"/>
              <w:rPr>
                <w:sz w:val="1"/>
                <w:szCs w:val="1"/>
                <w:color w:val="auto"/>
              </w:rPr>
            </w:pPr>
          </w:p>
        </w:tc>
      </w:tr>
      <w:tr>
        <w:trPr>
          <w:trHeight w:val="159"/>
        </w:trPr>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Asset Category</w:t>
            </w:r>
          </w:p>
        </w:tc>
        <w:tc>
          <w:tcPr>
            <w:tcW w:w="1460" w:type="dxa"/>
            <w:vAlign w:val="bottom"/>
            <w:gridSpan w:val="2"/>
          </w:tcPr>
          <w:p>
            <w:pPr>
              <w:jc w:val="right"/>
              <w:ind w:right="171"/>
              <w:spacing w:after="0" w:line="159" w:lineRule="exact"/>
              <w:rPr>
                <w:sz w:val="20"/>
                <w:szCs w:val="20"/>
                <w:color w:val="auto"/>
              </w:rPr>
            </w:pPr>
            <w:r>
              <w:rPr>
                <w:rFonts w:ascii="Arial" w:cs="Arial" w:eastAsia="Arial" w:hAnsi="Arial"/>
                <w:sz w:val="14"/>
                <w:szCs w:val="14"/>
                <w:color w:val="auto"/>
              </w:rPr>
              <w:t>Allocation</w:t>
            </w:r>
          </w:p>
        </w:tc>
        <w:tc>
          <w:tcPr>
            <w:tcW w:w="1040" w:type="dxa"/>
            <w:vAlign w:val="bottom"/>
          </w:tcPr>
          <w:p>
            <w:pPr>
              <w:jc w:val="right"/>
              <w:ind w:right="230"/>
              <w:spacing w:after="0" w:line="159" w:lineRule="exact"/>
              <w:rPr>
                <w:sz w:val="20"/>
                <w:szCs w:val="20"/>
                <w:color w:val="auto"/>
              </w:rPr>
            </w:pPr>
            <w:r>
              <w:rPr>
                <w:rFonts w:ascii="Arial" w:cs="Arial" w:eastAsia="Arial" w:hAnsi="Arial"/>
                <w:sz w:val="14"/>
                <w:szCs w:val="14"/>
                <w:color w:val="auto"/>
              </w:rPr>
              <w:t>Allocation</w:t>
            </w:r>
          </w:p>
        </w:tc>
        <w:tc>
          <w:tcPr>
            <w:tcW w:w="660" w:type="dxa"/>
            <w:vAlign w:val="bottom"/>
          </w:tcPr>
          <w:p>
            <w:pPr>
              <w:spacing w:after="0"/>
              <w:rPr>
                <w:sz w:val="13"/>
                <w:szCs w:val="13"/>
                <w:color w:val="auto"/>
              </w:rPr>
            </w:pPr>
          </w:p>
        </w:tc>
        <w:tc>
          <w:tcPr>
            <w:tcW w:w="840" w:type="dxa"/>
            <w:vAlign w:val="bottom"/>
          </w:tcPr>
          <w:p>
            <w:pPr>
              <w:jc w:val="right"/>
              <w:ind w:right="70"/>
              <w:spacing w:after="0" w:line="159" w:lineRule="exact"/>
              <w:rPr>
                <w:sz w:val="20"/>
                <w:szCs w:val="20"/>
                <w:color w:val="auto"/>
              </w:rPr>
            </w:pPr>
            <w:r>
              <w:rPr>
                <w:rFonts w:ascii="Arial" w:cs="Arial" w:eastAsia="Arial" w:hAnsi="Arial"/>
                <w:sz w:val="14"/>
                <w:szCs w:val="14"/>
                <w:color w:val="auto"/>
                <w:w w:val="90"/>
              </w:rPr>
              <w:t>at Year-End</w:t>
            </w: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Borders>
              <w:top w:val="single" w:sz="8" w:color="0070FF"/>
            </w:tcBorders>
          </w:tcPr>
          <w:p>
            <w:pPr>
              <w:spacing w:after="0"/>
              <w:rPr>
                <w:sz w:val="12"/>
                <w:szCs w:val="12"/>
                <w:color w:val="auto"/>
              </w:rPr>
            </w:pPr>
          </w:p>
        </w:tc>
        <w:tc>
          <w:tcPr>
            <w:tcW w:w="1040" w:type="dxa"/>
            <w:vAlign w:val="bottom"/>
            <w:tcBorders>
              <w:top w:val="single" w:sz="8" w:color="0070FF"/>
            </w:tcBorders>
          </w:tcPr>
          <w:p>
            <w:pPr>
              <w:spacing w:after="0"/>
              <w:rPr>
                <w:sz w:val="12"/>
                <w:szCs w:val="12"/>
                <w:color w:val="auto"/>
              </w:rPr>
            </w:pPr>
          </w:p>
        </w:tc>
        <w:tc>
          <w:tcPr>
            <w:tcW w:w="660" w:type="dxa"/>
            <w:vAlign w:val="bottom"/>
            <w:tcBorders>
              <w:top w:val="single" w:sz="8" w:color="0070FF"/>
            </w:tcBorders>
          </w:tcPr>
          <w:p>
            <w:pPr>
              <w:jc w:val="right"/>
              <w:ind w:right="129"/>
              <w:spacing w:after="0" w:line="142" w:lineRule="exact"/>
              <w:rPr>
                <w:sz w:val="20"/>
                <w:szCs w:val="20"/>
                <w:color w:val="auto"/>
              </w:rPr>
            </w:pPr>
            <w:r>
              <w:rPr>
                <w:rFonts w:ascii="Arial" w:cs="Arial" w:eastAsia="Arial" w:hAnsi="Arial"/>
                <w:sz w:val="14"/>
                <w:szCs w:val="14"/>
                <w:b w:val="1"/>
                <w:bCs w:val="1"/>
                <w:color w:val="auto"/>
              </w:rPr>
              <w:t>2003</w:t>
            </w:r>
          </w:p>
        </w:tc>
        <w:tc>
          <w:tcPr>
            <w:tcW w:w="840" w:type="dxa"/>
            <w:vAlign w:val="bottom"/>
            <w:tcBorders>
              <w:top w:val="single" w:sz="8" w:color="0070FF"/>
            </w:tcBorders>
          </w:tcPr>
          <w:p>
            <w:pPr>
              <w:jc w:val="right"/>
              <w:ind w:right="70"/>
              <w:spacing w:after="0" w:line="142" w:lineRule="exact"/>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60" w:type="dxa"/>
            <w:vAlign w:val="bottom"/>
            <w:tcBorders>
              <w:top w:val="single" w:sz="8" w:color="0070FF"/>
            </w:tcBorders>
          </w:tcPr>
          <w:p>
            <w:pPr>
              <w:spacing w:after="0" w:line="133" w:lineRule="exact"/>
              <w:rPr>
                <w:sz w:val="20"/>
                <w:szCs w:val="20"/>
                <w:color w:val="auto"/>
              </w:rPr>
            </w:pPr>
            <w:r>
              <w:rPr>
                <w:rFonts w:ascii="Arial" w:cs="Arial" w:eastAsia="Arial" w:hAnsi="Arial"/>
                <w:sz w:val="14"/>
                <w:szCs w:val="14"/>
                <w:color w:val="auto"/>
              </w:rPr>
              <w:t>Equities</w:t>
            </w:r>
          </w:p>
        </w:tc>
        <w:tc>
          <w:tcPr>
            <w:tcW w:w="1460" w:type="dxa"/>
            <w:vAlign w:val="bottom"/>
            <w:tcBorders>
              <w:top w:val="single" w:sz="8" w:color="0070FF"/>
            </w:tcBorders>
            <w:gridSpan w:val="2"/>
          </w:tcPr>
          <w:p>
            <w:pPr>
              <w:jc w:val="right"/>
              <w:ind w:right="51"/>
              <w:spacing w:after="0" w:line="133" w:lineRule="exact"/>
              <w:rPr>
                <w:sz w:val="20"/>
                <w:szCs w:val="20"/>
                <w:color w:val="auto"/>
              </w:rPr>
            </w:pPr>
            <w:r>
              <w:rPr>
                <w:rFonts w:ascii="Arial" w:cs="Arial" w:eastAsia="Arial" w:hAnsi="Arial"/>
                <w:sz w:val="14"/>
                <w:szCs w:val="14"/>
                <w:color w:val="auto"/>
              </w:rPr>
              <w:t>40-70%</w:t>
            </w:r>
          </w:p>
        </w:tc>
        <w:tc>
          <w:tcPr>
            <w:tcW w:w="1040" w:type="dxa"/>
            <w:vAlign w:val="bottom"/>
            <w:tcBorders>
              <w:top w:val="single" w:sz="8" w:color="0070FF"/>
            </w:tcBorders>
          </w:tcPr>
          <w:p>
            <w:pPr>
              <w:jc w:val="right"/>
              <w:ind w:right="110"/>
              <w:spacing w:after="0" w:line="133" w:lineRule="exact"/>
              <w:rPr>
                <w:sz w:val="20"/>
                <w:szCs w:val="20"/>
                <w:color w:val="auto"/>
              </w:rPr>
            </w:pPr>
            <w:r>
              <w:rPr>
                <w:rFonts w:ascii="Arial" w:cs="Arial" w:eastAsia="Arial" w:hAnsi="Arial"/>
                <w:sz w:val="14"/>
                <w:szCs w:val="14"/>
                <w:color w:val="auto"/>
              </w:rPr>
              <w:t>60%</w:t>
            </w:r>
          </w:p>
        </w:tc>
        <w:tc>
          <w:tcPr>
            <w:tcW w:w="66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b w:val="1"/>
                <w:bCs w:val="1"/>
                <w:color w:val="auto"/>
              </w:rPr>
              <w:t>70%</w:t>
            </w:r>
          </w:p>
        </w:tc>
        <w:tc>
          <w:tcPr>
            <w:tcW w:w="840" w:type="dxa"/>
            <w:vAlign w:val="bottom"/>
            <w:tcBorders>
              <w:top w:val="single" w:sz="8" w:color="0070FF"/>
            </w:tcBorders>
          </w:tcPr>
          <w:p>
            <w:pPr>
              <w:jc w:val="right"/>
              <w:spacing w:after="0" w:line="133"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Fixed Income</w:t>
            </w:r>
          </w:p>
        </w:tc>
        <w:tc>
          <w:tcPr>
            <w:tcW w:w="1460" w:type="dxa"/>
            <w:vAlign w:val="bottom"/>
            <w:gridSpan w:val="2"/>
          </w:tcPr>
          <w:p>
            <w:pPr>
              <w:jc w:val="right"/>
              <w:ind w:right="51"/>
              <w:spacing w:after="0" w:line="149" w:lineRule="exact"/>
              <w:rPr>
                <w:sz w:val="20"/>
                <w:szCs w:val="20"/>
                <w:color w:val="auto"/>
              </w:rPr>
            </w:pPr>
            <w:r>
              <w:rPr>
                <w:rFonts w:ascii="Arial" w:cs="Arial" w:eastAsia="Arial" w:hAnsi="Arial"/>
                <w:sz w:val="14"/>
                <w:szCs w:val="14"/>
                <w:color w:val="auto"/>
              </w:rPr>
              <w:t>20-60%</w:t>
            </w:r>
          </w:p>
        </w:tc>
        <w:tc>
          <w:tcPr>
            <w:tcW w:w="104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30%</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Real Estate</w:t>
            </w:r>
          </w:p>
        </w:tc>
        <w:tc>
          <w:tcPr>
            <w:tcW w:w="1460" w:type="dxa"/>
            <w:vAlign w:val="bottom"/>
            <w:gridSpan w:val="2"/>
          </w:tcPr>
          <w:p>
            <w:pPr>
              <w:jc w:val="right"/>
              <w:ind w:right="51"/>
              <w:spacing w:after="0" w:line="149" w:lineRule="exact"/>
              <w:rPr>
                <w:sz w:val="20"/>
                <w:szCs w:val="20"/>
                <w:color w:val="auto"/>
              </w:rPr>
            </w:pPr>
            <w:r>
              <w:rPr>
                <w:rFonts w:ascii="Arial" w:cs="Arial" w:eastAsia="Arial" w:hAnsi="Arial"/>
                <w:sz w:val="14"/>
                <w:szCs w:val="14"/>
                <w:color w:val="auto"/>
              </w:rPr>
              <w:t>0-15%</w:t>
            </w:r>
          </w:p>
        </w:tc>
        <w:tc>
          <w:tcPr>
            <w:tcW w:w="104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10%</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1480" w:type="dxa"/>
            <w:vAlign w:val="bottom"/>
            <w:gridSpan w:val="2"/>
          </w:tcPr>
          <w:p>
            <w:pPr>
              <w:spacing w:after="0"/>
              <w:rPr>
                <w:sz w:val="20"/>
                <w:szCs w:val="20"/>
                <w:color w:val="auto"/>
              </w:rPr>
            </w:pPr>
            <w:r>
              <w:rPr>
                <w:rFonts w:ascii="Arial" w:cs="Arial" w:eastAsia="Arial" w:hAnsi="Arial"/>
                <w:sz w:val="14"/>
                <w:szCs w:val="14"/>
                <w:color w:val="auto"/>
              </w:rPr>
              <w:t>Other</w:t>
            </w:r>
          </w:p>
        </w:tc>
        <w:tc>
          <w:tcPr>
            <w:tcW w:w="1460" w:type="dxa"/>
            <w:vAlign w:val="bottom"/>
            <w:gridSpan w:val="2"/>
          </w:tcPr>
          <w:p>
            <w:pPr>
              <w:jc w:val="right"/>
              <w:ind w:right="51"/>
              <w:spacing w:after="0"/>
              <w:rPr>
                <w:sz w:val="20"/>
                <w:szCs w:val="20"/>
                <w:color w:val="auto"/>
              </w:rPr>
            </w:pPr>
            <w:r>
              <w:rPr>
                <w:rFonts w:ascii="Arial" w:cs="Arial" w:eastAsia="Arial" w:hAnsi="Arial"/>
                <w:sz w:val="14"/>
                <w:szCs w:val="14"/>
                <w:color w:val="auto"/>
              </w:rPr>
              <w:t>0- 5%</w:t>
            </w:r>
          </w:p>
        </w:tc>
        <w:tc>
          <w:tcPr>
            <w:tcW w:w="1040" w:type="dxa"/>
            <w:vAlign w:val="bottom"/>
          </w:tcPr>
          <w:p>
            <w:pPr>
              <w:jc w:val="right"/>
              <w:ind w:right="23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0070FF"/>
              <w:bottom w:val="single" w:sz="8" w:color="0070FF"/>
            </w:tcBorders>
          </w:tcPr>
          <w:p>
            <w:pPr>
              <w:ind w:left="120"/>
              <w:spacing w:after="0" w:line="155" w:lineRule="exact"/>
              <w:rPr>
                <w:sz w:val="20"/>
                <w:szCs w:val="20"/>
                <w:color w:val="auto"/>
              </w:rPr>
            </w:pPr>
            <w:r>
              <w:rPr>
                <w:rFonts w:ascii="Arial" w:cs="Arial" w:eastAsia="Arial" w:hAnsi="Arial"/>
                <w:sz w:val="14"/>
                <w:szCs w:val="14"/>
                <w:color w:val="auto"/>
              </w:rPr>
              <w:t>Total</w:t>
            </w:r>
          </w:p>
        </w:tc>
        <w:tc>
          <w:tcPr>
            <w:tcW w:w="660" w:type="dxa"/>
            <w:vAlign w:val="bottom"/>
            <w:tcBorders>
              <w:top w:val="single" w:sz="8" w:color="0070FF"/>
              <w:bottom w:val="single" w:sz="8" w:color="0070FF"/>
            </w:tcBorders>
          </w:tcPr>
          <w:p>
            <w:pPr>
              <w:spacing w:after="0"/>
              <w:rPr>
                <w:sz w:val="15"/>
                <w:szCs w:val="15"/>
                <w:color w:val="auto"/>
              </w:rPr>
            </w:pPr>
          </w:p>
        </w:tc>
        <w:tc>
          <w:tcPr>
            <w:tcW w:w="800" w:type="dxa"/>
            <w:vAlign w:val="bottom"/>
            <w:tcBorders>
              <w:top w:val="single" w:sz="8" w:color="0070FF"/>
              <w:bottom w:val="single" w:sz="8" w:color="0070FF"/>
            </w:tcBorders>
          </w:tcPr>
          <w:p>
            <w:pPr>
              <w:jc w:val="right"/>
              <w:ind w:right="171"/>
              <w:spacing w:after="0" w:line="155" w:lineRule="exact"/>
              <w:rPr>
                <w:sz w:val="20"/>
                <w:szCs w:val="20"/>
                <w:color w:val="auto"/>
              </w:rPr>
            </w:pPr>
            <w:r>
              <w:rPr>
                <w:rFonts w:ascii="Arial" w:cs="Arial" w:eastAsia="Arial" w:hAnsi="Arial"/>
                <w:sz w:val="14"/>
                <w:szCs w:val="14"/>
                <w:color w:val="auto"/>
              </w:rPr>
              <w:t>N/A</w:t>
            </w:r>
          </w:p>
        </w:tc>
        <w:tc>
          <w:tcPr>
            <w:tcW w:w="1040" w:type="dxa"/>
            <w:vAlign w:val="bottom"/>
            <w:tcBorders>
              <w:top w:val="single" w:sz="8" w:color="0070FF"/>
              <w:bottom w:val="single" w:sz="8" w:color="0070FF"/>
            </w:tcBorders>
          </w:tcPr>
          <w:p>
            <w:pPr>
              <w:jc w:val="right"/>
              <w:ind w:right="110"/>
              <w:spacing w:after="0" w:line="155" w:lineRule="exact"/>
              <w:rPr>
                <w:sz w:val="20"/>
                <w:szCs w:val="20"/>
                <w:color w:val="auto"/>
              </w:rPr>
            </w:pPr>
            <w:r>
              <w:rPr>
                <w:rFonts w:ascii="Arial" w:cs="Arial" w:eastAsia="Arial" w:hAnsi="Arial"/>
                <w:sz w:val="14"/>
                <w:szCs w:val="14"/>
                <w:color w:val="auto"/>
              </w:rPr>
              <w:t>100%</w:t>
            </w:r>
          </w:p>
        </w:tc>
        <w:tc>
          <w:tcPr>
            <w:tcW w:w="66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840" w:type="dxa"/>
            <w:vAlign w:val="bottom"/>
            <w:tcBorders>
              <w:top w:val="single" w:sz="8" w:color="0070FF"/>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-1148715</wp:posOffset>
            </wp:positionV>
            <wp:extent cx="8890" cy="3207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3207385"/>
                    </a:xfrm>
                    <a:prstGeom prst="rect">
                      <a:avLst/>
                    </a:prstGeom>
                    <a:noFill/>
                  </pic:spPr>
                </pic:pic>
              </a:graphicData>
            </a:graphic>
          </wp:anchor>
        </w:drawing>
      </w:r>
    </w:p>
    <w:p>
      <w:pPr>
        <w:spacing w:after="0" w:line="146" w:lineRule="exact"/>
        <w:rPr>
          <w:sz w:val="20"/>
          <w:szCs w:val="20"/>
          <w:color w:val="auto"/>
        </w:rPr>
      </w:pPr>
    </w:p>
    <w:p>
      <w:pPr>
        <w:ind w:right="140" w:firstLine="200"/>
        <w:spacing w:after="0" w:line="287" w:lineRule="auto"/>
        <w:rPr>
          <w:sz w:val="20"/>
          <w:szCs w:val="20"/>
          <w:color w:val="auto"/>
        </w:rPr>
      </w:pPr>
      <w:r>
        <w:rPr>
          <w:rFonts w:ascii="Arial" w:cs="Arial" w:eastAsia="Arial" w:hAnsi="Arial"/>
          <w:sz w:val="15"/>
          <w:szCs w:val="15"/>
          <w:color w:val="auto"/>
        </w:rPr>
        <w:t>The U.S. pension plans invest primarily in asset categories with sufficient size, liquidity and cost efficiency to permit investments of reasonable size. The U.S. pension plans invest in asset categories that provide diversification benefits and are easily measured. Maximum and minimum holding ranges for each of these asset categories are set by the ChevronTexaco Board of Directors for the primary U.S. pension plan. Actual asset allocation within these approved ranges is based on a variety of economic and market conditions and consideration of specific asset category risk. To assess the plan’s investment performance, a long-term asset allocation policy benchmark has been established.</w:t>
      </w:r>
    </w:p>
    <w:p>
      <w:pPr>
        <w:spacing w:after="0" w:line="129" w:lineRule="exact"/>
        <w:rPr>
          <w:sz w:val="20"/>
          <w:szCs w:val="20"/>
          <w:color w:val="auto"/>
        </w:rPr>
      </w:pPr>
    </w:p>
    <w:p>
      <w:pPr>
        <w:ind w:right="100" w:firstLine="203"/>
        <w:spacing w:after="0" w:line="283" w:lineRule="auto"/>
        <w:rPr>
          <w:sz w:val="20"/>
          <w:szCs w:val="20"/>
          <w:color w:val="auto"/>
        </w:rPr>
      </w:pPr>
      <w:r>
        <w:rPr>
          <w:rFonts w:ascii="Arial" w:cs="Arial" w:eastAsia="Arial" w:hAnsi="Arial"/>
          <w:sz w:val="15"/>
          <w:szCs w:val="15"/>
          <w:color w:val="auto"/>
        </w:rPr>
        <w:t>Equities include investments in the company’s common stock in the amount of $6 and $4 at December 31, 2003 and 2002, respectively. The “Other” asset category includes minimal investments in private equity limited partnerships.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early 2004, the company contributed about $535 to the U.S. plans.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 anticipates contributing</w:t>
      </w:r>
    </w:p>
    <w:p>
      <w:pPr>
        <w:spacing w:after="0" w:line="200" w:lineRule="exact"/>
        <w:rPr>
          <w:sz w:val="20"/>
          <w:szCs w:val="20"/>
          <w:color w:val="auto"/>
        </w:rPr>
      </w:pPr>
    </w:p>
    <w:p>
      <w:pPr>
        <w:sectPr>
          <w:pgSz w:w="11900" w:h="16838" w:orient="portrait"/>
          <w:cols w:equalWidth="0" w:num="2">
            <w:col w:w="5440" w:space="440"/>
            <w:col w:w="5540"/>
          </w:cols>
          <w:pgMar w:left="240" w:top="419" w:right="239" w:bottom="1440" w:gutter="0" w:footer="0" w:header="0"/>
          <w:type w:val="continuous"/>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0070FF"/>
        </w:rPr>
        <w:t>NOTE 21. EMPLOYEE BENEFIT PLANS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4" w:lineRule="exact"/>
        <w:rPr>
          <w:sz w:val="20"/>
          <w:szCs w:val="20"/>
          <w:color w:val="auto"/>
        </w:rPr>
      </w:pPr>
    </w:p>
    <w:p>
      <w:pPr>
        <w:ind w:right="80"/>
        <w:spacing w:after="0" w:line="313" w:lineRule="auto"/>
        <w:rPr>
          <w:sz w:val="20"/>
          <w:szCs w:val="20"/>
          <w:color w:val="auto"/>
        </w:rPr>
      </w:pPr>
      <w:r>
        <w:rPr>
          <w:rFonts w:ascii="Arial" w:cs="Arial" w:eastAsia="Arial" w:hAnsi="Arial"/>
          <w:sz w:val="14"/>
          <w:szCs w:val="14"/>
          <w:color w:val="auto"/>
        </w:rPr>
        <w:t>about $50 to the U.S. plans during the remainder of the year. In 2003, contributions to the U.S. plans totaled $1,203. In years subsequent to 2004, the company expects contributions to be approximately $250 per year, about equal to the cost of benefits earned in that year. Contributions in 2004 to the international pension plans are estimated at $200, while 2003 contributions were $214. The actual contribution amounts are dependent upon investment returns, changes in pension obligations, regulatory environments and other economic factors.</w:t>
      </w:r>
    </w:p>
    <w:p>
      <w:pPr>
        <w:spacing w:after="0" w:line="110" w:lineRule="exact"/>
        <w:rPr>
          <w:sz w:val="20"/>
          <w:szCs w:val="20"/>
          <w:color w:val="auto"/>
        </w:rPr>
      </w:pPr>
    </w:p>
    <w:p>
      <w:pPr>
        <w:ind w:right="340" w:firstLine="200"/>
        <w:spacing w:after="0" w:line="266" w:lineRule="auto"/>
        <w:rPr>
          <w:sz w:val="20"/>
          <w:szCs w:val="20"/>
          <w:color w:val="auto"/>
        </w:rPr>
      </w:pPr>
      <w:r>
        <w:rPr>
          <w:rFonts w:ascii="Arial" w:cs="Arial" w:eastAsia="Arial" w:hAnsi="Arial"/>
          <w:sz w:val="16"/>
          <w:szCs w:val="16"/>
          <w:color w:val="auto"/>
        </w:rPr>
        <w:t>The company anticipates funding U.S. other postretirement benefits $210 in 2004, compared with $197 in 2003.</w:t>
      </w:r>
    </w:p>
    <w:p>
      <w:pPr>
        <w:spacing w:after="0" w:line="1" w:lineRule="exact"/>
        <w:rPr>
          <w:sz w:val="20"/>
          <w:szCs w:val="20"/>
          <w:color w:val="auto"/>
        </w:rPr>
      </w:pPr>
    </w:p>
    <w:p>
      <w:pPr>
        <w:jc w:val="both"/>
        <w:ind w:right="20" w:firstLine="203"/>
        <w:spacing w:after="0" w:line="276" w:lineRule="auto"/>
        <w:rPr>
          <w:sz w:val="20"/>
          <w:szCs w:val="20"/>
          <w:color w:val="auto"/>
        </w:rPr>
      </w:pPr>
      <w:r>
        <w:rPr>
          <w:rFonts w:ascii="Arial" w:cs="Arial" w:eastAsia="Arial" w:hAnsi="Arial"/>
          <w:sz w:val="16"/>
          <w:szCs w:val="16"/>
          <w:color w:val="auto"/>
        </w:rPr>
        <w:t>For postretirement benefit measurement purposes in 2003, health care costs were assumed to increase approximately 8.4 percent over the previous year, and the trend rates gradually drop to 4.5 percent for 2007 and beyond.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4"/>
                <w:szCs w:val="14"/>
                <w:color w:val="auto"/>
              </w:rPr>
              <w:t>Assumed health care</w:t>
            </w: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15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87"/>
              </w:rPr>
              <w:t>trend rates at December 31</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0070FF"/>
            </w:tcBorders>
          </w:tcPr>
          <w:p>
            <w:pPr>
              <w:spacing w:after="0"/>
              <w:rPr>
                <w:sz w:val="12"/>
                <w:szCs w:val="12"/>
                <w:color w:val="auto"/>
              </w:rPr>
            </w:pPr>
          </w:p>
        </w:tc>
        <w:tc>
          <w:tcPr>
            <w:tcW w:w="880" w:type="dxa"/>
            <w:vAlign w:val="bottom"/>
            <w:tcBorders>
              <w:top w:val="single" w:sz="8" w:color="0070FF"/>
              <w:bottom w:val="single" w:sz="8" w:color="0070FF"/>
            </w:tcBorders>
          </w:tcPr>
          <w:p>
            <w:pPr>
              <w:jc w:val="right"/>
              <w:ind w:right="310"/>
              <w:spacing w:after="0" w:line="142" w:lineRule="exact"/>
              <w:rPr>
                <w:sz w:val="20"/>
                <w:szCs w:val="20"/>
                <w:color w:val="auto"/>
              </w:rPr>
            </w:pPr>
            <w:r>
              <w:rPr>
                <w:rFonts w:ascii="Arial" w:cs="Arial" w:eastAsia="Arial" w:hAnsi="Arial"/>
                <w:sz w:val="14"/>
                <w:szCs w:val="14"/>
                <w:b w:val="1"/>
                <w:bCs w:val="1"/>
                <w:color w:val="auto"/>
              </w:rPr>
              <w:t>2003</w:t>
            </w:r>
          </w:p>
        </w:tc>
        <w:tc>
          <w:tcPr>
            <w:tcW w:w="640" w:type="dxa"/>
            <w:vAlign w:val="bottom"/>
            <w:tcBorders>
              <w:top w:val="single" w:sz="8" w:color="0070FF"/>
              <w:bottom w:val="single" w:sz="8" w:color="0070FF"/>
            </w:tcBorders>
          </w:tcPr>
          <w:p>
            <w:pPr>
              <w:jc w:val="right"/>
              <w:ind w:right="49"/>
              <w:spacing w:after="0" w:line="142" w:lineRule="exact"/>
              <w:rPr>
                <w:sz w:val="20"/>
                <w:szCs w:val="20"/>
                <w:color w:val="auto"/>
              </w:rPr>
            </w:pPr>
            <w:r>
              <w:rPr>
                <w:rFonts w:ascii="Arial" w:cs="Arial" w:eastAsia="Arial" w:hAnsi="Arial"/>
                <w:sz w:val="14"/>
                <w:szCs w:val="14"/>
                <w:color w:val="auto"/>
              </w:rPr>
              <w:t>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960" w:type="dxa"/>
            <w:vAlign w:val="bottom"/>
          </w:tcPr>
          <w:p>
            <w:pPr>
              <w:ind w:left="20"/>
              <w:spacing w:after="0" w:line="137" w:lineRule="exact"/>
              <w:rPr>
                <w:sz w:val="20"/>
                <w:szCs w:val="20"/>
                <w:color w:val="auto"/>
              </w:rPr>
            </w:pPr>
            <w:r>
              <w:rPr>
                <w:rFonts w:ascii="Arial" w:cs="Arial" w:eastAsia="Arial" w:hAnsi="Arial"/>
                <w:sz w:val="14"/>
                <w:szCs w:val="14"/>
                <w:color w:val="auto"/>
              </w:rPr>
              <w:t>U.S. health care cost-trend rate</w:t>
            </w:r>
          </w:p>
        </w:tc>
        <w:tc>
          <w:tcPr>
            <w:tcW w:w="880" w:type="dxa"/>
            <w:vAlign w:val="bottom"/>
          </w:tcPr>
          <w:p>
            <w:pPr>
              <w:jc w:val="right"/>
              <w:ind w:right="170"/>
              <w:spacing w:after="0" w:line="137" w:lineRule="exact"/>
              <w:rPr>
                <w:sz w:val="20"/>
                <w:szCs w:val="20"/>
                <w:color w:val="auto"/>
              </w:rPr>
            </w:pPr>
            <w:r>
              <w:rPr>
                <w:rFonts w:ascii="Arial" w:cs="Arial" w:eastAsia="Arial" w:hAnsi="Arial"/>
                <w:sz w:val="14"/>
                <w:szCs w:val="14"/>
                <w:b w:val="1"/>
                <w:bCs w:val="1"/>
                <w:color w:val="auto"/>
              </w:rPr>
              <w:t>8.4%</w:t>
            </w:r>
          </w:p>
        </w:tc>
        <w:tc>
          <w:tcPr>
            <w:tcW w:w="640" w:type="dxa"/>
            <w:vAlign w:val="bottom"/>
          </w:tcPr>
          <w:p>
            <w:pPr>
              <w:jc w:val="right"/>
              <w:spacing w:after="0" w:line="137" w:lineRule="exact"/>
              <w:rPr>
                <w:sz w:val="20"/>
                <w:szCs w:val="20"/>
                <w:color w:val="auto"/>
              </w:rPr>
            </w:pPr>
            <w:r>
              <w:rPr>
                <w:rFonts w:ascii="Arial" w:cs="Arial" w:eastAsia="Arial" w:hAnsi="Arial"/>
                <w:sz w:val="14"/>
                <w:szCs w:val="14"/>
                <w:color w:val="auto"/>
              </w:rPr>
              <w:t>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tcPr>
          <w:p>
            <w:pPr>
              <w:ind w:left="20"/>
              <w:spacing w:after="0" w:line="149" w:lineRule="exact"/>
              <w:rPr>
                <w:sz w:val="20"/>
                <w:szCs w:val="20"/>
                <w:color w:val="auto"/>
              </w:rPr>
            </w:pPr>
            <w:r>
              <w:rPr>
                <w:rFonts w:ascii="Arial" w:cs="Arial" w:eastAsia="Arial" w:hAnsi="Arial"/>
                <w:sz w:val="14"/>
                <w:szCs w:val="14"/>
                <w:color w:val="auto"/>
              </w:rPr>
              <w:t>Rate to which the cost trend is assumed</w:t>
            </w:r>
          </w:p>
        </w:tc>
        <w:tc>
          <w:tcPr>
            <w:tcW w:w="88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4.5%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tcPr>
          <w:p>
            <w:pPr>
              <w:ind w:left="140"/>
              <w:spacing w:after="0" w:line="145" w:lineRule="exact"/>
              <w:rPr>
                <w:sz w:val="20"/>
                <w:szCs w:val="20"/>
                <w:color w:val="auto"/>
              </w:rPr>
            </w:pPr>
            <w:r>
              <w:rPr>
                <w:rFonts w:ascii="Arial" w:cs="Arial" w:eastAsia="Arial" w:hAnsi="Arial"/>
                <w:sz w:val="14"/>
                <w:szCs w:val="14"/>
                <w:color w:val="auto"/>
              </w:rPr>
              <w:t>to decline (the ultimate trend rate)</w:t>
            </w:r>
          </w:p>
        </w:tc>
        <w:tc>
          <w:tcPr>
            <w:tcW w:w="880" w:type="dxa"/>
            <w:vAlign w:val="bottom"/>
            <w:vMerge w:val="continue"/>
          </w:tcPr>
          <w:p>
            <w:pPr>
              <w:spacing w:after="0"/>
              <w:rPr>
                <w:sz w:val="12"/>
                <w:szCs w:val="12"/>
                <w:color w:val="auto"/>
              </w:rPr>
            </w:pPr>
          </w:p>
        </w:tc>
        <w:tc>
          <w:tcPr>
            <w:tcW w:w="66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Year that the rate reaches the ultimate rate</w:t>
            </w:r>
          </w:p>
        </w:tc>
        <w:tc>
          <w:tcPr>
            <w:tcW w:w="880" w:type="dxa"/>
            <w:vAlign w:val="bottom"/>
            <w:tcBorders>
              <w:bottom w:val="single" w:sz="8" w:color="0070FF"/>
            </w:tcBorders>
          </w:tcPr>
          <w:p>
            <w:pPr>
              <w:jc w:val="right"/>
              <w:ind w:right="31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 w:firstLine="194"/>
        <w:spacing w:after="0" w:line="305" w:lineRule="auto"/>
        <w:rPr>
          <w:sz w:val="20"/>
          <w:szCs w:val="20"/>
          <w:color w:val="auto"/>
        </w:rPr>
      </w:pPr>
      <w:r>
        <w:rPr>
          <w:rFonts w:ascii="Arial" w:cs="Arial" w:eastAsia="Arial" w:hAnsi="Arial"/>
          <w:sz w:val="15"/>
          <w:szCs w:val="15"/>
          <w:color w:val="auto"/>
        </w:rPr>
        <w:t>Assumed health care cost-trend rates have a significant effect on the amounts reported for retiree health care costs. A one-percentage-point change in the assumed health care cost-trend rates would have the following effects: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 Percent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w w:val="96"/>
              </w:rPr>
              <w:t>1 Percent</w:t>
            </w:r>
          </w:p>
        </w:tc>
      </w:tr>
      <w:tr>
        <w:trPr>
          <w:trHeight w:val="159"/>
        </w:trPr>
        <w:tc>
          <w:tcPr>
            <w:tcW w:w="3340" w:type="dxa"/>
            <w:vAlign w:val="bottom"/>
            <w:tcBorders>
              <w:bottom w:val="single" w:sz="8" w:color="0070FF"/>
            </w:tcBorders>
          </w:tcPr>
          <w:p>
            <w:pPr>
              <w:spacing w:after="0"/>
              <w:rPr>
                <w:sz w:val="13"/>
                <w:szCs w:val="13"/>
                <w:color w:val="auto"/>
              </w:rPr>
            </w:pPr>
          </w:p>
        </w:tc>
        <w:tc>
          <w:tcPr>
            <w:tcW w:w="1500" w:type="dxa"/>
            <w:vAlign w:val="bottom"/>
            <w:tcBorders>
              <w:bottom w:val="single" w:sz="8" w:color="0070FF"/>
            </w:tcBorders>
            <w:gridSpan w:val="2"/>
          </w:tcPr>
          <w:p>
            <w:pPr>
              <w:jc w:val="right"/>
              <w:ind w:right="48"/>
              <w:spacing w:after="0" w:line="159" w:lineRule="exact"/>
              <w:rPr>
                <w:sz w:val="20"/>
                <w:szCs w:val="20"/>
                <w:color w:val="auto"/>
              </w:rPr>
            </w:pPr>
            <w:r>
              <w:rPr>
                <w:rFonts w:ascii="Arial" w:cs="Arial" w:eastAsia="Arial" w:hAnsi="Arial"/>
                <w:sz w:val="14"/>
                <w:szCs w:val="14"/>
                <w:color w:val="auto"/>
              </w:rPr>
              <w:t>Increase</w:t>
            </w:r>
          </w:p>
        </w:tc>
        <w:tc>
          <w:tcPr>
            <w:tcW w:w="640" w:type="dxa"/>
            <w:vAlign w:val="bottom"/>
            <w:tcBorders>
              <w:bottom w:val="single" w:sz="8" w:color="0070FF"/>
            </w:tcBorders>
            <w:gridSpan w:val="2"/>
          </w:tcPr>
          <w:p>
            <w:pPr>
              <w:jc w:val="right"/>
              <w:spacing w:after="0" w:line="159" w:lineRule="exact"/>
              <w:rPr>
                <w:sz w:val="20"/>
                <w:szCs w:val="20"/>
                <w:color w:val="auto"/>
              </w:rPr>
            </w:pPr>
            <w:r>
              <w:rPr>
                <w:rFonts w:ascii="Arial" w:cs="Arial" w:eastAsia="Arial" w:hAnsi="Arial"/>
                <w:sz w:val="14"/>
                <w:szCs w:val="14"/>
                <w:color w:val="auto"/>
                <w:w w:val="93"/>
              </w:rPr>
              <w:t>Decrease</w:t>
            </w:r>
          </w:p>
        </w:tc>
      </w:tr>
      <w:tr>
        <w:trPr>
          <w:trHeight w:val="137"/>
        </w:trPr>
        <w:tc>
          <w:tcPr>
            <w:tcW w:w="3340" w:type="dxa"/>
            <w:vAlign w:val="bottom"/>
          </w:tcPr>
          <w:p>
            <w:pPr>
              <w:ind w:left="20"/>
              <w:spacing w:after="0" w:line="137" w:lineRule="exact"/>
              <w:rPr>
                <w:sz w:val="20"/>
                <w:szCs w:val="20"/>
                <w:color w:val="auto"/>
              </w:rPr>
            </w:pPr>
            <w:r>
              <w:rPr>
                <w:rFonts w:ascii="Arial" w:cs="Arial" w:eastAsia="Arial" w:hAnsi="Arial"/>
                <w:sz w:val="14"/>
                <w:szCs w:val="14"/>
                <w:color w:val="auto"/>
              </w:rPr>
              <w:t>Effect on total service and</w:t>
            </w: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interest cost components</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r>
      <w:tr>
        <w:trPr>
          <w:trHeight w:val="188"/>
        </w:trPr>
        <w:tc>
          <w:tcPr>
            <w:tcW w:w="3340" w:type="dxa"/>
            <w:vAlign w:val="bottom"/>
            <w:tcBorders>
              <w:bottom w:val="single" w:sz="8" w:color="0070FF"/>
            </w:tcBorders>
          </w:tcPr>
          <w:p>
            <w:pPr>
              <w:ind w:left="20"/>
              <w:spacing w:after="0"/>
              <w:rPr>
                <w:sz w:val="20"/>
                <w:szCs w:val="20"/>
                <w:color w:val="auto"/>
              </w:rPr>
            </w:pPr>
            <w:r>
              <w:rPr>
                <w:rFonts w:ascii="Arial" w:cs="Arial" w:eastAsia="Arial" w:hAnsi="Arial"/>
                <w:sz w:val="14"/>
                <w:szCs w:val="14"/>
                <w:color w:val="auto"/>
              </w:rPr>
              <w:t>Effect on postretirement benefit obligation</w:t>
            </w:r>
          </w:p>
        </w:tc>
        <w:tc>
          <w:tcPr>
            <w:tcW w:w="11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321</w:t>
            </w:r>
          </w:p>
        </w:tc>
        <w:tc>
          <w:tcPr>
            <w:tcW w:w="2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(266)</w:t>
            </w:r>
          </w:p>
        </w:tc>
      </w:tr>
    </w:tbl>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6"/>
          <w:szCs w:val="16"/>
          <w:color w:val="F20000"/>
        </w:rPr>
        <w:t xml:space="preserve">Employee Savings Investment Plan </w:t>
      </w:r>
      <w:r>
        <w:rPr>
          <w:rFonts w:ascii="Arial" w:cs="Arial" w:eastAsia="Arial" w:hAnsi="Arial"/>
          <w:sz w:val="16"/>
          <w:szCs w:val="16"/>
          <w:color w:val="000000"/>
        </w:rPr>
        <w:t>Eligible employees of ChevronTexaco and</w:t>
      </w:r>
      <w:r>
        <w:rPr>
          <w:rFonts w:ascii="Arial" w:cs="Arial" w:eastAsia="Arial" w:hAnsi="Arial"/>
          <w:sz w:val="16"/>
          <w:szCs w:val="16"/>
          <w:color w:val="F20000"/>
        </w:rPr>
        <w:t xml:space="preserve"> </w:t>
      </w:r>
      <w:r>
        <w:rPr>
          <w:rFonts w:ascii="Arial" w:cs="Arial" w:eastAsia="Arial" w:hAnsi="Arial"/>
          <w:sz w:val="16"/>
          <w:szCs w:val="16"/>
          <w:color w:val="000000"/>
        </w:rPr>
        <w:t>certain of its subsidiaries participate in the ChevronTexaco Employee Savings Investment Plan (ESIP). In 2002, the Employees Thrift Plan of Texaco Inc., Employees Savings Plan of ChevronTexaco Global Energy Inc. (formerly Caltex Corporation), Stock Plan of ChevronTexaco Global Energy Inc. and Employees Thrift Plan of Fuel and Marine Marketing LLC were merged into the ChevronTexaco ESIP. Charges to expense for these plans were $160, $161 and $157 in 2003, 2002 and 2001, respectively.</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5"/>
          <w:szCs w:val="15"/>
          <w:color w:val="F20000"/>
        </w:rPr>
        <w:t xml:space="preserve">Employee Stock Ownership Plans (ESOP) </w:t>
      </w:r>
      <w:r>
        <w:rPr>
          <w:rFonts w:ascii="Arial" w:cs="Arial" w:eastAsia="Arial" w:hAnsi="Arial"/>
          <w:sz w:val="15"/>
          <w:szCs w:val="15"/>
          <w:color w:val="000000"/>
        </w:rPr>
        <w:t>Within the Chevron-Texaco</w:t>
      </w:r>
      <w:r>
        <w:rPr>
          <w:rFonts w:ascii="Arial" w:cs="Arial" w:eastAsia="Arial" w:hAnsi="Arial"/>
          <w:sz w:val="15"/>
          <w:szCs w:val="15"/>
          <w:color w:val="F20000"/>
        </w:rPr>
        <w:t xml:space="preserve"> </w:t>
      </w:r>
      <w:r>
        <w:rPr>
          <w:rFonts w:ascii="Arial" w:cs="Arial" w:eastAsia="Arial" w:hAnsi="Arial"/>
          <w:sz w:val="15"/>
          <w:szCs w:val="15"/>
          <w:color w:val="000000"/>
        </w:rPr>
        <w:t>Employee Savings Investment Plan, the company has established an employee stock ownership plan. In 1989, Chevron established a leveraged employee stock ownership plan (LESOP) as a constituent part of the ESOP. The LESOP provides partial prefunding of the company’s future commitments to the ESIP, which will result in annual income tax savings for the company.</w:t>
      </w:r>
    </w:p>
    <w:p>
      <w:pPr>
        <w:spacing w:after="0" w:line="123" w:lineRule="exact"/>
        <w:rPr>
          <w:sz w:val="20"/>
          <w:szCs w:val="20"/>
          <w:color w:val="auto"/>
        </w:rPr>
      </w:pPr>
    </w:p>
    <w:p>
      <w:pPr>
        <w:ind w:right="60" w:firstLine="203"/>
        <w:spacing w:after="0" w:line="303" w:lineRule="auto"/>
        <w:rPr>
          <w:sz w:val="20"/>
          <w:szCs w:val="20"/>
          <w:color w:val="auto"/>
        </w:rPr>
      </w:pPr>
      <w:r>
        <w:rPr>
          <w:rFonts w:ascii="Arial" w:cs="Arial" w:eastAsia="Arial" w:hAnsi="Arial"/>
          <w:sz w:val="14"/>
          <w:szCs w:val="14"/>
          <w:color w:val="auto"/>
        </w:rPr>
        <w:t>In 1988, Texaco established a leveraged employee stock ownership plan as a component of the Employees Thrift Plan of Texaco Inc. During 2002, the Employees Thrift Plan of Texaco Inc. was subsumed into the ChevronTexaco ESIP.</w:t>
      </w:r>
    </w:p>
    <w:p>
      <w:pPr>
        <w:spacing w:after="0" w:line="2" w:lineRule="exact"/>
        <w:rPr>
          <w:sz w:val="20"/>
          <w:szCs w:val="20"/>
          <w:color w:val="auto"/>
        </w:rPr>
      </w:pPr>
    </w:p>
    <w:p>
      <w:pPr>
        <w:ind w:right="260" w:firstLine="194"/>
        <w:spacing w:after="0" w:line="295" w:lineRule="auto"/>
        <w:rPr>
          <w:sz w:val="20"/>
          <w:szCs w:val="20"/>
          <w:color w:val="auto"/>
        </w:rPr>
      </w:pPr>
      <w:r>
        <w:rPr>
          <w:rFonts w:ascii="Arial" w:cs="Arial" w:eastAsia="Arial" w:hAnsi="Arial"/>
          <w:sz w:val="15"/>
          <w:szCs w:val="15"/>
          <w:color w:val="auto"/>
        </w:rPr>
        <w:t>As permitted by American Institute of Certified Public Accountants (AICPA) Statement of Position 93-6, “Employers’ Accounting for Employee Stock Ownership Plans,” the company has elected to continue its practices, which are based on Statement of Position 76-3, “Accounting Practices for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Employee Stock Ownership Plans,” and subsequent consensus of the Emerging Issues Task Force of the Financial Accounting Standards Board. The debt of the LESOPs is recorded as debt, and shares pledged as collateral are reported as “Deferred compensation and benefit plan trust” in the Consolidated Balance Sheet and the Consolidated Statement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-679450</wp:posOffset>
            </wp:positionV>
            <wp:extent cx="8890" cy="68179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6817995"/>
                    </a:xfrm>
                    <a:prstGeom prst="rect">
                      <a:avLst/>
                    </a:prstGeom>
                    <a:noFill/>
                  </pic:spPr>
                </pic:pic>
              </a:graphicData>
            </a:graphic>
          </wp:anchor>
        </w:drawing>
      </w:r>
    </w:p>
    <w:p>
      <w:pPr>
        <w:ind w:right="20" w:firstLine="200"/>
        <w:spacing w:after="0" w:line="281" w:lineRule="auto"/>
        <w:rPr>
          <w:sz w:val="20"/>
          <w:szCs w:val="20"/>
          <w:color w:val="auto"/>
        </w:rPr>
      </w:pPr>
      <w:r>
        <w:rPr>
          <w:rFonts w:ascii="Arial" w:cs="Arial" w:eastAsia="Arial" w:hAnsi="Arial"/>
          <w:sz w:val="15"/>
          <w:szCs w:val="15"/>
          <w:color w:val="auto"/>
        </w:rPr>
        <w:t>The company reports compensation expense equal to LESOP debt principal repayments less dividends received by the LESOPs. Interest incurred on the LESOP debt is recorded as interest expense. Dividends paid on LESOP shares are reflected as a reduction of retained earnings. All LESOP shares are considered outstanding for earnings-per-share computations.</w:t>
      </w:r>
    </w:p>
    <w:p>
      <w:pPr>
        <w:spacing w:after="0" w:line="3" w:lineRule="exact"/>
        <w:rPr>
          <w:sz w:val="20"/>
          <w:szCs w:val="20"/>
          <w:color w:val="auto"/>
        </w:rPr>
      </w:pPr>
    </w:p>
    <w:p>
      <w:pPr>
        <w:ind w:firstLine="203"/>
        <w:spacing w:after="0" w:line="264" w:lineRule="auto"/>
        <w:rPr>
          <w:sz w:val="20"/>
          <w:szCs w:val="20"/>
          <w:color w:val="auto"/>
        </w:rPr>
      </w:pPr>
      <w:r>
        <w:rPr>
          <w:rFonts w:ascii="Arial" w:cs="Arial" w:eastAsia="Arial" w:hAnsi="Arial"/>
          <w:sz w:val="16"/>
          <w:szCs w:val="16"/>
          <w:color w:val="auto"/>
        </w:rPr>
        <w:t>Expense recorded for the LESOPs was $24, $98 and $75 in 2003, 2002 and 2001, respectively, including $28, $32 and $43 of interest expense related to LESOP debt. All dividends paid on the LESOP shares held are used to service the LESOP debt. The dividends used were $61, $49 and $86 in 2003, 2002 and 2001, respectively.</w:t>
      </w:r>
    </w:p>
    <w:p>
      <w:pPr>
        <w:spacing w:after="0" w:line="1" w:lineRule="exact"/>
        <w:rPr>
          <w:sz w:val="20"/>
          <w:szCs w:val="20"/>
          <w:color w:val="auto"/>
        </w:rPr>
      </w:pPr>
    </w:p>
    <w:p>
      <w:pPr>
        <w:ind w:right="20" w:firstLine="200"/>
        <w:spacing w:after="0" w:line="287" w:lineRule="auto"/>
        <w:rPr>
          <w:sz w:val="20"/>
          <w:szCs w:val="20"/>
          <w:color w:val="auto"/>
        </w:rPr>
      </w:pPr>
      <w:r>
        <w:rPr>
          <w:rFonts w:ascii="Arial" w:cs="Arial" w:eastAsia="Arial" w:hAnsi="Arial"/>
          <w:sz w:val="15"/>
          <w:szCs w:val="15"/>
          <w:color w:val="auto"/>
        </w:rPr>
        <w:t>The company made LESOP contributions of $26, $102 and $75 in 2003, 2002 and 2001, respectively, to satisfy LESOP debt service in excess of dividends received by the LESOP. The LESOP shares were pledged as collateral for the debt. Shares are released from a suspense account and allocated to the accounts of plan participants, based on the debt service deemed to be paid in the year in proportion to the total of current-year and remaining debt service. The (credit) charge to compensation expense was $(4), $66 and $32 in 2003, 2002 and 2001, respectively. LESOP shares as of December 31, 2003 and 2002,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Thousands</w:t>
            </w:r>
          </w:p>
        </w:tc>
        <w:tc>
          <w:tcPr>
            <w:tcW w:w="21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2003</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2002</w:t>
            </w:r>
          </w:p>
        </w:tc>
      </w:tr>
      <w:tr>
        <w:trPr>
          <w:trHeight w:val="133"/>
        </w:trPr>
        <w:tc>
          <w:tcPr>
            <w:tcW w:w="2760" w:type="dxa"/>
            <w:vAlign w:val="bottom"/>
          </w:tcPr>
          <w:p>
            <w:pPr>
              <w:spacing w:after="0" w:line="133" w:lineRule="exact"/>
              <w:rPr>
                <w:sz w:val="20"/>
                <w:szCs w:val="20"/>
                <w:color w:val="auto"/>
              </w:rPr>
            </w:pPr>
            <w:r>
              <w:rPr>
                <w:rFonts w:ascii="Arial" w:cs="Arial" w:eastAsia="Arial" w:hAnsi="Arial"/>
                <w:sz w:val="14"/>
                <w:szCs w:val="14"/>
                <w:color w:val="auto"/>
              </w:rPr>
              <w:t>Allocated shares</w:t>
            </w:r>
          </w:p>
        </w:tc>
        <w:tc>
          <w:tcPr>
            <w:tcW w:w="2120" w:type="dxa"/>
            <w:vAlign w:val="bottom"/>
          </w:tcPr>
          <w:p>
            <w:pPr>
              <w:jc w:val="right"/>
              <w:ind w:right="69"/>
              <w:spacing w:after="0" w:line="133" w:lineRule="exact"/>
              <w:rPr>
                <w:sz w:val="20"/>
                <w:szCs w:val="20"/>
                <w:color w:val="auto"/>
              </w:rPr>
            </w:pPr>
            <w:r>
              <w:rPr>
                <w:rFonts w:ascii="Arial" w:cs="Arial" w:eastAsia="Arial" w:hAnsi="Arial"/>
                <w:sz w:val="14"/>
                <w:szCs w:val="14"/>
                <w:b w:val="1"/>
                <w:bCs w:val="1"/>
                <w:color w:val="auto"/>
              </w:rPr>
              <w:t>12,099</w:t>
            </w:r>
          </w:p>
        </w:tc>
        <w:tc>
          <w:tcPr>
            <w:tcW w:w="600" w:type="dxa"/>
            <w:vAlign w:val="bottom"/>
          </w:tcPr>
          <w:p>
            <w:pPr>
              <w:jc w:val="right"/>
              <w:spacing w:after="0" w:line="133" w:lineRule="exact"/>
              <w:rPr>
                <w:sz w:val="20"/>
                <w:szCs w:val="20"/>
                <w:color w:val="auto"/>
              </w:rPr>
            </w:pPr>
            <w:r>
              <w:rPr>
                <w:rFonts w:ascii="Arial" w:cs="Arial" w:eastAsia="Arial" w:hAnsi="Arial"/>
                <w:sz w:val="14"/>
                <w:szCs w:val="14"/>
                <w:color w:val="auto"/>
              </w:rPr>
              <w:t>12,513</w:t>
            </w:r>
          </w:p>
        </w:tc>
      </w:tr>
      <w:tr>
        <w:trPr>
          <w:trHeight w:val="171"/>
        </w:trPr>
        <w:tc>
          <w:tcPr>
            <w:tcW w:w="2760" w:type="dxa"/>
            <w:vAlign w:val="bottom"/>
            <w:tcBorders>
              <w:bottom w:val="single" w:sz="8" w:color="0070FF"/>
            </w:tcBorders>
          </w:tcPr>
          <w:p>
            <w:pPr>
              <w:spacing w:after="0"/>
              <w:rPr>
                <w:sz w:val="20"/>
                <w:szCs w:val="20"/>
                <w:color w:val="auto"/>
              </w:rPr>
            </w:pPr>
            <w:r>
              <w:rPr>
                <w:rFonts w:ascii="Arial" w:cs="Arial" w:eastAsia="Arial" w:hAnsi="Arial"/>
                <w:sz w:val="14"/>
                <w:szCs w:val="14"/>
                <w:color w:val="auto"/>
              </w:rPr>
              <w:t>Unallocated shares*</w:t>
            </w:r>
          </w:p>
        </w:tc>
        <w:tc>
          <w:tcPr>
            <w:tcW w:w="21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b w:val="1"/>
                <w:bCs w:val="1"/>
                <w:color w:val="auto"/>
              </w:rPr>
              <w:t>6,817</w:t>
            </w:r>
          </w:p>
        </w:tc>
        <w:tc>
          <w:tcPr>
            <w:tcW w:w="6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7,614</w:t>
            </w:r>
          </w:p>
        </w:tc>
      </w:tr>
      <w:tr>
        <w:trPr>
          <w:trHeight w:val="176"/>
        </w:trPr>
        <w:tc>
          <w:tcPr>
            <w:tcW w:w="276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 LESOP shares</w:t>
            </w:r>
          </w:p>
        </w:tc>
        <w:tc>
          <w:tcPr>
            <w:tcW w:w="2120" w:type="dxa"/>
            <w:vAlign w:val="bottom"/>
            <w:tcBorders>
              <w:bottom w:val="single" w:sz="8" w:color="0070FF"/>
            </w:tcBorders>
          </w:tcPr>
          <w:p>
            <w:pPr>
              <w:jc w:val="right"/>
              <w:ind w:right="69"/>
              <w:spacing w:after="0" w:line="155" w:lineRule="exact"/>
              <w:rPr>
                <w:sz w:val="20"/>
                <w:szCs w:val="20"/>
                <w:color w:val="auto"/>
              </w:rPr>
            </w:pPr>
            <w:r>
              <w:rPr>
                <w:rFonts w:ascii="Arial" w:cs="Arial" w:eastAsia="Arial" w:hAnsi="Arial"/>
                <w:sz w:val="14"/>
                <w:szCs w:val="14"/>
                <w:b w:val="1"/>
                <w:bCs w:val="1"/>
                <w:color w:val="auto"/>
              </w:rPr>
              <w:t>18,916</w:t>
            </w:r>
          </w:p>
        </w:tc>
        <w:tc>
          <w:tcPr>
            <w:tcW w:w="6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20,127</w:t>
            </w:r>
          </w:p>
        </w:tc>
      </w:tr>
    </w:tbl>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 2002 restated to conform to 2003 presentation.</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F20000"/>
        </w:rPr>
        <w:t xml:space="preserve">Benefit Plan Trust </w:t>
      </w:r>
      <w:r>
        <w:rPr>
          <w:rFonts w:ascii="Arial" w:cs="Arial" w:eastAsia="Arial" w:hAnsi="Arial"/>
          <w:sz w:val="15"/>
          <w:szCs w:val="15"/>
          <w:color w:val="000000"/>
        </w:rPr>
        <w:t>Texaco established a benefit plan trust for funding obligations</w:t>
      </w:r>
      <w:r>
        <w:rPr>
          <w:rFonts w:ascii="Arial" w:cs="Arial" w:eastAsia="Arial" w:hAnsi="Arial"/>
          <w:sz w:val="15"/>
          <w:szCs w:val="15"/>
          <w:color w:val="F20000"/>
        </w:rPr>
        <w:t xml:space="preserve"> </w:t>
      </w:r>
      <w:r>
        <w:rPr>
          <w:rFonts w:ascii="Arial" w:cs="Arial" w:eastAsia="Arial" w:hAnsi="Arial"/>
          <w:sz w:val="15"/>
          <w:szCs w:val="15"/>
          <w:color w:val="000000"/>
        </w:rPr>
        <w:t>under some of its benefit plans. At year-end 2003, the trust contained 7.1 million shares of ChevronTexaco treasury stock. The company intends to continue to pay its obligations under the benefit plans. The trust will sell the shares or use the dividends from the shares to pay benefits only to the extent that the company does not pay such benefits. The trustee will vote the shares held in the trust as instructed by the trust’s beneficiaries. The shares held in the trust are not considered outstanding for earnings-per-share purposes until distributed or sold by the trust in payment of benefit obligations.</w:t>
      </w:r>
    </w:p>
    <w:p>
      <w:pPr>
        <w:spacing w:after="0" w:line="129" w:lineRule="exact"/>
        <w:rPr>
          <w:sz w:val="20"/>
          <w:szCs w:val="20"/>
          <w:color w:val="auto"/>
        </w:rPr>
      </w:pPr>
    </w:p>
    <w:p>
      <w:pPr>
        <w:spacing w:after="0" w:line="285" w:lineRule="auto"/>
        <w:rPr>
          <w:sz w:val="20"/>
          <w:szCs w:val="20"/>
          <w:color w:val="auto"/>
        </w:rPr>
      </w:pPr>
      <w:r>
        <w:rPr>
          <w:rFonts w:ascii="Arial" w:cs="Arial" w:eastAsia="Arial" w:hAnsi="Arial"/>
          <w:sz w:val="15"/>
          <w:szCs w:val="15"/>
          <w:color w:val="F20000"/>
        </w:rPr>
        <w:t xml:space="preserve">Management Incentive Plans </w:t>
      </w:r>
      <w:r>
        <w:rPr>
          <w:rFonts w:ascii="Arial" w:cs="Arial" w:eastAsia="Arial" w:hAnsi="Arial"/>
          <w:sz w:val="15"/>
          <w:szCs w:val="15"/>
          <w:color w:val="000000"/>
        </w:rPr>
        <w:t>ChevronTexaco has two incentive plans, the</w:t>
      </w:r>
      <w:r>
        <w:rPr>
          <w:rFonts w:ascii="Arial" w:cs="Arial" w:eastAsia="Arial" w:hAnsi="Arial"/>
          <w:sz w:val="15"/>
          <w:szCs w:val="15"/>
          <w:color w:val="F20000"/>
        </w:rPr>
        <w:t xml:space="preserve"> </w:t>
      </w:r>
      <w:r>
        <w:rPr>
          <w:rFonts w:ascii="Arial" w:cs="Arial" w:eastAsia="Arial" w:hAnsi="Arial"/>
          <w:sz w:val="15"/>
          <w:szCs w:val="15"/>
          <w:color w:val="000000"/>
        </w:rPr>
        <w:t>Management Incentive Plan (MIP) and the Long-Term Incentive Plan (LTIP) for officers and other regular salaried employees of the company and its subsidiaries who hold positions of significant responsibility. The plans were expanded in 2002 to include former employees of Texaco and Caltex. The MIP is an annual cash incentive plan that links awards to performance results of the prior year. The cash awards may be deferred by conversion to stock units or other investment fund alternatives. Awards under the LTIP may take the form of, but are not limited to, stock options, restricted stock, stock units and nonstock grants. Texaco also had a cash incentive program and a Stock Incentive Plan (SIP) that included stock options, restricted stock and other incentive awards for executives, directors and key employees. Awards under the Caltex LTIP were in the form of performance units and stock appreciation rights. Charges to</w:t>
      </w:r>
    </w:p>
    <w:p>
      <w:pPr>
        <w:spacing w:after="0" w:line="549" w:lineRule="exact"/>
        <w:rPr>
          <w:sz w:val="20"/>
          <w:szCs w:val="20"/>
          <w:color w:val="auto"/>
        </w:rPr>
      </w:pPr>
    </w:p>
    <w:p>
      <w:pPr>
        <w:sectPr>
          <w:pgSz w:w="11900" w:h="16838" w:orient="portrait"/>
          <w:cols w:equalWidth="0" w:num="2">
            <w:col w:w="5480" w:space="400"/>
            <w:col w:w="5480"/>
          </w:cols>
          <w:pgMar w:left="240" w:top="419" w:right="299" w:bottom="1440" w:gutter="0" w:footer="0" w:header="0"/>
        </w:sectPr>
      </w:pP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0070FF"/>
        </w:rPr>
        <w:t>NOTE 21. EMPLOYEE BENEFIT PLANS — Continued</w:t>
      </w:r>
    </w:p>
    <w:p>
      <w:pPr>
        <w:spacing w:after="0" w:line="155" w:lineRule="exact"/>
        <w:rPr>
          <w:sz w:val="20"/>
          <w:szCs w:val="20"/>
          <w:color w:val="auto"/>
        </w:rPr>
      </w:pPr>
    </w:p>
    <w:p>
      <w:pPr>
        <w:ind w:right="20"/>
        <w:spacing w:after="0" w:line="335" w:lineRule="auto"/>
        <w:rPr>
          <w:sz w:val="20"/>
          <w:szCs w:val="20"/>
          <w:color w:val="auto"/>
        </w:rPr>
      </w:pPr>
      <w:r>
        <w:rPr>
          <w:rFonts w:ascii="Arial" w:cs="Arial" w:eastAsia="Arial" w:hAnsi="Arial"/>
          <w:sz w:val="14"/>
          <w:szCs w:val="14"/>
          <w:color w:val="auto"/>
        </w:rPr>
        <w:t>expense for the combined management incentive plans, excluding expense related to LTIP and SIP stock options and restricted stock awards that are discussed in Note 22, below, were $148, $48 and $101 in 2003, 2002 and 2001, respectively.</w:t>
      </w:r>
    </w:p>
    <w:p>
      <w:pPr>
        <w:spacing w:after="0" w:line="9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F20000"/>
        </w:rPr>
        <w:t xml:space="preserve">Other Incentive Plans </w:t>
      </w:r>
      <w:r>
        <w:rPr>
          <w:rFonts w:ascii="Arial" w:cs="Arial" w:eastAsia="Arial" w:hAnsi="Arial"/>
          <w:sz w:val="16"/>
          <w:szCs w:val="16"/>
          <w:color w:val="000000"/>
        </w:rPr>
        <w:t>The company has a program that provides eligible</w:t>
      </w:r>
      <w:r>
        <w:rPr>
          <w:rFonts w:ascii="Arial" w:cs="Arial" w:eastAsia="Arial" w:hAnsi="Arial"/>
          <w:sz w:val="16"/>
          <w:szCs w:val="16"/>
          <w:color w:val="F20000"/>
        </w:rPr>
        <w:t xml:space="preserve"> </w:t>
      </w:r>
      <w:r>
        <w:rPr>
          <w:rFonts w:ascii="Arial" w:cs="Arial" w:eastAsia="Arial" w:hAnsi="Arial"/>
          <w:sz w:val="16"/>
          <w:szCs w:val="16"/>
          <w:color w:val="000000"/>
        </w:rPr>
        <w:t>employees with an annual cash bonus if the company achieves certain financial and safety goals. Charges for the program were $151, $158 and $154 in 2003, 2002 and 2001,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STOCK OPTIONS</w:t>
      </w:r>
    </w:p>
    <w:p>
      <w:pPr>
        <w:spacing w:after="0" w:line="155"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company applies APB Opinion No. 25 and related interpretations in accounting for its stock-based compensation programs, which are described below. Stock-based compensation expense (credit) recognized in connection with these programs was $2, $(2) and $111 in 2003, 2002 and 2001, respectively.</w:t>
      </w:r>
    </w:p>
    <w:p>
      <w:pPr>
        <w:spacing w:after="0" w:line="1" w:lineRule="exact"/>
        <w:rPr>
          <w:sz w:val="20"/>
          <w:szCs w:val="20"/>
          <w:color w:val="auto"/>
        </w:rPr>
      </w:pPr>
    </w:p>
    <w:p>
      <w:pPr>
        <w:ind w:right="40" w:firstLine="203"/>
        <w:spacing w:after="0" w:line="276" w:lineRule="auto"/>
        <w:rPr>
          <w:sz w:val="20"/>
          <w:szCs w:val="20"/>
          <w:color w:val="auto"/>
        </w:rPr>
      </w:pPr>
      <w:r>
        <w:rPr>
          <w:rFonts w:ascii="Arial" w:cs="Arial" w:eastAsia="Arial" w:hAnsi="Arial"/>
          <w:sz w:val="16"/>
          <w:szCs w:val="16"/>
          <w:color w:val="auto"/>
        </w:rPr>
        <w:t>Refer to Note 1 on page FS-30 for the pro forma effect on net income and earnings per share had the company applied the fair-value-recognition provisions of FAS No. 123.</w:t>
      </w:r>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F20000"/>
        </w:rPr>
        <w:t xml:space="preserve">Broad-Based Employee Stock Options </w:t>
      </w:r>
      <w:r>
        <w:rPr>
          <w:rFonts w:ascii="Arial" w:cs="Arial" w:eastAsia="Arial" w:hAnsi="Arial"/>
          <w:sz w:val="15"/>
          <w:szCs w:val="15"/>
          <w:color w:val="000000"/>
        </w:rPr>
        <w:t>In 1998, Chevron granted to all its</w:t>
      </w:r>
      <w:r>
        <w:rPr>
          <w:rFonts w:ascii="Arial" w:cs="Arial" w:eastAsia="Arial" w:hAnsi="Arial"/>
          <w:sz w:val="15"/>
          <w:szCs w:val="15"/>
          <w:color w:val="F20000"/>
        </w:rPr>
        <w:t xml:space="preserve"> </w:t>
      </w:r>
      <w:r>
        <w:rPr>
          <w:rFonts w:ascii="Arial" w:cs="Arial" w:eastAsia="Arial" w:hAnsi="Arial"/>
          <w:sz w:val="15"/>
          <w:szCs w:val="15"/>
          <w:color w:val="000000"/>
        </w:rPr>
        <w:t>eligible employees an option that varied from 100 to 300 shares of stock or equivalents, dependent on the employee’s salary or job grade. These options vested after two years in February 2000. Options for 4,820,800 shares were awarded at an exercise price of $76.3125 per share. Outstanding option shares were 2,366,311 at the end of 2001. In 2002, exercises of 295,985 and forfeitures of 61,151 reduced the outstanding option shares to 2,009,175 at the end of the year. In 2003, exercises of 11,630 and forfeitures of 61,050 reduced the outstanding option shares to 1,936,495 at the end of the year. The options expire in February 2008. The company recorded expense (credit) of $2, $(2) and $1 for these options in 2003, 2002 and 2001, respectively.</w:t>
      </w:r>
    </w:p>
    <w:p>
      <w:pPr>
        <w:spacing w:after="0" w:line="129" w:lineRule="exact"/>
        <w:rPr>
          <w:sz w:val="20"/>
          <w:szCs w:val="20"/>
          <w:color w:val="auto"/>
        </w:rPr>
      </w:pPr>
    </w:p>
    <w:p>
      <w:pPr>
        <w:ind w:right="80" w:firstLine="200"/>
        <w:spacing w:after="0" w:line="318" w:lineRule="auto"/>
        <w:rPr>
          <w:sz w:val="20"/>
          <w:szCs w:val="20"/>
          <w:color w:val="auto"/>
        </w:rPr>
      </w:pPr>
      <w:r>
        <w:rPr>
          <w:rFonts w:ascii="Arial" w:cs="Arial" w:eastAsia="Arial" w:hAnsi="Arial"/>
          <w:sz w:val="14"/>
          <w:szCs w:val="14"/>
          <w:color w:val="auto"/>
        </w:rPr>
        <w:t>The fair value of each option share on the date of grant under FAS No. 123 was estimated at $19.08 using the average results of Black-Scholes models for the preceding 10 years. The 10-year averages of each assumption used by the Black-Scholes models were: a risk-free interest rate of 7.0 percent, a dividend yield of 4.2 percent, an expected life of seven years and a volatility of 24.7 percent.</w:t>
      </w:r>
    </w:p>
    <w:p>
      <w:pPr>
        <w:spacing w:after="0" w:line="108"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F20000"/>
        </w:rPr>
        <w:t xml:space="preserve">Long-Term Incentive Plan </w:t>
      </w:r>
      <w:r>
        <w:rPr>
          <w:rFonts w:ascii="Arial" w:cs="Arial" w:eastAsia="Arial" w:hAnsi="Arial"/>
          <w:sz w:val="15"/>
          <w:szCs w:val="15"/>
          <w:color w:val="000000"/>
        </w:rPr>
        <w:t>Stock options granted under the LTIP extend for</w:t>
      </w:r>
      <w:r>
        <w:rPr>
          <w:rFonts w:ascii="Arial" w:cs="Arial" w:eastAsia="Arial" w:hAnsi="Arial"/>
          <w:sz w:val="15"/>
          <w:szCs w:val="15"/>
          <w:color w:val="F20000"/>
        </w:rPr>
        <w:t xml:space="preserve"> </w:t>
      </w:r>
      <w:r>
        <w:rPr>
          <w:rFonts w:ascii="Arial" w:cs="Arial" w:eastAsia="Arial" w:hAnsi="Arial"/>
          <w:sz w:val="15"/>
          <w:szCs w:val="15"/>
          <w:color w:val="000000"/>
        </w:rPr>
        <w:t>10 years from the date of grant. Effective with options granted in June 2002, one third of the options vest on each of the first, second and third anniversaries of the date of grant. Prior to this change, options granted by Chevron vested one year after the date of grant, whereas options granted by Texaco under its SIP vested over a two-year period at a rate of 50 percent each year. The maximum number of shares that may be granted each year is 1 percent of the total outstanding shares of common stock as of January 1 of such year.</w:t>
      </w:r>
    </w:p>
    <w:p>
      <w:pPr>
        <w:spacing w:after="0" w:line="127" w:lineRule="exact"/>
        <w:rPr>
          <w:sz w:val="20"/>
          <w:szCs w:val="20"/>
          <w:color w:val="auto"/>
        </w:rPr>
      </w:pPr>
    </w:p>
    <w:p>
      <w:pPr>
        <w:ind w:right="20" w:firstLine="203"/>
        <w:spacing w:after="0" w:line="270" w:lineRule="auto"/>
        <w:rPr>
          <w:sz w:val="20"/>
          <w:szCs w:val="20"/>
          <w:color w:val="auto"/>
        </w:rPr>
      </w:pPr>
      <w:r>
        <w:rPr>
          <w:rFonts w:ascii="Arial" w:cs="Arial" w:eastAsia="Arial" w:hAnsi="Arial"/>
          <w:sz w:val="16"/>
          <w:szCs w:val="16"/>
          <w:color w:val="auto"/>
        </w:rPr>
        <w:t>On the closing of the merger in October 2001, outstanding options granted under the Texaco SIP were converted to ChevronTexaco options at the merger exchange rate of 0.77. These options retained a provision for restored options. This feature enables a participant who exercises a stock option by exchanging previously acquired common stock or who has shares withheld to satisfy tax withholding obligations to receive new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both"/>
        <w:ind w:right="120"/>
        <w:spacing w:after="0" w:line="303" w:lineRule="auto"/>
        <w:rPr>
          <w:sz w:val="20"/>
          <w:szCs w:val="20"/>
          <w:color w:val="auto"/>
        </w:rPr>
      </w:pPr>
      <w:r>
        <w:rPr>
          <w:rFonts w:ascii="Arial" w:cs="Arial" w:eastAsia="Arial" w:hAnsi="Arial"/>
          <w:sz w:val="14"/>
          <w:szCs w:val="14"/>
          <w:color w:val="auto"/>
        </w:rPr>
        <w:t>options equal to the number of shares exchanged or withheld. The restored options are fully exercisable six months after the date of grant, and the exercise price is the fair market value of the common stock on the day the restored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-422910</wp:posOffset>
            </wp:positionV>
            <wp:extent cx="8890" cy="6586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6586220"/>
                    </a:xfrm>
                    <a:prstGeom prst="rect">
                      <a:avLst/>
                    </a:prstGeom>
                    <a:noFill/>
                  </pic:spPr>
                </pic:pic>
              </a:graphicData>
            </a:graphic>
          </wp:anchor>
        </w:drawing>
      </w:r>
    </w:p>
    <w:p>
      <w:pPr>
        <w:ind w:right="20"/>
        <w:spacing w:after="0" w:line="301" w:lineRule="auto"/>
        <w:rPr>
          <w:sz w:val="20"/>
          <w:szCs w:val="20"/>
          <w:color w:val="auto"/>
        </w:rPr>
      </w:pPr>
      <w:r>
        <w:rPr>
          <w:rFonts w:ascii="Arial" w:cs="Arial" w:eastAsia="Arial" w:hAnsi="Arial"/>
          <w:sz w:val="14"/>
          <w:szCs w:val="14"/>
          <w:color w:val="auto"/>
        </w:rPr>
        <w:t>Restricted shares granted under the former Texaco plan contained a performance element that had to be satisfied in order for all or a specified portion of the shares to vest. Upon the merger, all restricted shares became vested and converted to ChevronTexaco shares at the merger exchange ratio of 0.77. Apart from the restored options, no further awards may be granted under the former Texaco plans. No amount for these plans was charged to compensation expense in 2003 or 2002; $110 of expense was recorded in 2001. Restricted performance shares granted under SIP in 2001 totaled 392,000 at an average fair value of $91.05 per share.</w:t>
      </w:r>
    </w:p>
    <w:p>
      <w:pPr>
        <w:spacing w:after="0" w:line="5" w:lineRule="exact"/>
        <w:rPr>
          <w:sz w:val="20"/>
          <w:szCs w:val="20"/>
          <w:color w:val="auto"/>
        </w:rPr>
      </w:pPr>
    </w:p>
    <w:p>
      <w:pPr>
        <w:jc w:val="both"/>
        <w:ind w:right="260" w:firstLine="200"/>
        <w:spacing w:after="0" w:line="276" w:lineRule="auto"/>
        <w:rPr>
          <w:sz w:val="20"/>
          <w:szCs w:val="20"/>
          <w:color w:val="auto"/>
        </w:rPr>
      </w:pPr>
      <w:r>
        <w:rPr>
          <w:rFonts w:ascii="Arial" w:cs="Arial" w:eastAsia="Arial" w:hAnsi="Arial"/>
          <w:sz w:val="16"/>
          <w:szCs w:val="16"/>
          <w:color w:val="auto"/>
        </w:rPr>
        <w:t>The fair market value of each stock option granted is estimated on the date of grant under FAS No. 123 using the Black-Scholes option-pricing model with the following weighted-average assumptions: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Borders>
              <w:bottom w:val="single" w:sz="8" w:color="0070FF"/>
            </w:tcBorders>
          </w:tcPr>
          <w:p>
            <w:pPr>
              <w:spacing w:after="0"/>
              <w:rPr>
                <w:sz w:val="14"/>
                <w:szCs w:val="14"/>
                <w:color w:val="auto"/>
              </w:rPr>
            </w:pPr>
          </w:p>
        </w:tc>
        <w:tc>
          <w:tcPr>
            <w:tcW w:w="176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b w:val="1"/>
                <w:bCs w:val="1"/>
                <w:color w:val="auto"/>
              </w:rPr>
              <w:t>2003</w:t>
            </w:r>
          </w:p>
        </w:tc>
        <w:tc>
          <w:tcPr>
            <w:tcW w:w="6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2002</w:t>
            </w:r>
          </w:p>
        </w:tc>
        <w:tc>
          <w:tcPr>
            <w:tcW w:w="52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80" w:type="dxa"/>
            <w:vAlign w:val="bottom"/>
          </w:tcPr>
          <w:p>
            <w:pPr>
              <w:spacing w:after="0" w:line="137" w:lineRule="exact"/>
              <w:rPr>
                <w:sz w:val="20"/>
                <w:szCs w:val="20"/>
                <w:color w:val="auto"/>
              </w:rPr>
            </w:pPr>
            <w:r>
              <w:rPr>
                <w:rFonts w:ascii="Arial" w:cs="Arial" w:eastAsia="Arial" w:hAnsi="Arial"/>
                <w:sz w:val="14"/>
                <w:szCs w:val="14"/>
                <w:color w:val="auto"/>
              </w:rPr>
              <w:t>ChevronTexaco plans:</w:t>
            </w:r>
          </w:p>
        </w:tc>
        <w:tc>
          <w:tcPr>
            <w:tcW w:w="176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7</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80" w:type="dxa"/>
            <w:vAlign w:val="bottom"/>
          </w:tcPr>
          <w:p>
            <w:pPr>
              <w:ind w:left="120"/>
              <w:spacing w:after="0" w:line="145" w:lineRule="exact"/>
              <w:rPr>
                <w:sz w:val="20"/>
                <w:szCs w:val="20"/>
                <w:color w:val="auto"/>
              </w:rPr>
            </w:pPr>
            <w:r>
              <w:rPr>
                <w:rFonts w:ascii="Arial" w:cs="Arial" w:eastAsia="Arial" w:hAnsi="Arial"/>
                <w:sz w:val="14"/>
                <w:szCs w:val="14"/>
                <w:color w:val="auto"/>
              </w:rPr>
              <w:t>Expected life in years</w:t>
            </w:r>
          </w:p>
        </w:tc>
        <w:tc>
          <w:tcPr>
            <w:tcW w:w="1760" w:type="dxa"/>
            <w:vAlign w:val="bottom"/>
            <w:vMerge w:val="continue"/>
          </w:tcPr>
          <w:p>
            <w:pPr>
              <w:spacing w:after="0"/>
              <w:rPr>
                <w:sz w:val="12"/>
                <w:szCs w:val="12"/>
                <w:color w:val="auto"/>
              </w:rPr>
            </w:pPr>
          </w:p>
        </w:tc>
        <w:tc>
          <w:tcPr>
            <w:tcW w:w="60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7</w:t>
            </w:r>
          </w:p>
        </w:tc>
        <w:tc>
          <w:tcPr>
            <w:tcW w:w="520" w:type="dxa"/>
            <w:vAlign w:val="bottom"/>
          </w:tcPr>
          <w:p>
            <w:pPr>
              <w:jc w:val="right"/>
              <w:ind w:right="69"/>
              <w:spacing w:after="0" w:line="14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120"/>
              <w:spacing w:after="0" w:line="149" w:lineRule="exact"/>
              <w:rPr>
                <w:sz w:val="20"/>
                <w:szCs w:val="20"/>
                <w:color w:val="auto"/>
              </w:rPr>
            </w:pPr>
            <w:r>
              <w:rPr>
                <w:rFonts w:ascii="Arial" w:cs="Arial" w:eastAsia="Arial" w:hAnsi="Arial"/>
                <w:sz w:val="14"/>
                <w:szCs w:val="14"/>
                <w:color w:val="auto"/>
              </w:rPr>
              <w:t>Risk-free interest rate</w:t>
            </w:r>
          </w:p>
        </w:tc>
        <w:tc>
          <w:tcPr>
            <w:tcW w:w="176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3.1%</w:t>
            </w: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4.6%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120"/>
              <w:spacing w:after="0" w:line="149" w:lineRule="exact"/>
              <w:rPr>
                <w:sz w:val="20"/>
                <w:szCs w:val="20"/>
                <w:color w:val="auto"/>
              </w:rPr>
            </w:pPr>
            <w:r>
              <w:rPr>
                <w:rFonts w:ascii="Arial" w:cs="Arial" w:eastAsia="Arial" w:hAnsi="Arial"/>
                <w:sz w:val="14"/>
                <w:szCs w:val="14"/>
                <w:color w:val="auto"/>
              </w:rPr>
              <w:t>Volatility</w:t>
            </w:r>
          </w:p>
        </w:tc>
        <w:tc>
          <w:tcPr>
            <w:tcW w:w="176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19.3%</w:t>
            </w: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21.6%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80" w:type="dxa"/>
            <w:vAlign w:val="bottom"/>
          </w:tcPr>
          <w:p>
            <w:pPr>
              <w:ind w:left="120"/>
              <w:spacing w:after="0" w:line="153" w:lineRule="exact"/>
              <w:rPr>
                <w:sz w:val="20"/>
                <w:szCs w:val="20"/>
                <w:color w:val="auto"/>
              </w:rPr>
            </w:pPr>
            <w:r>
              <w:rPr>
                <w:rFonts w:ascii="Arial" w:cs="Arial" w:eastAsia="Arial" w:hAnsi="Arial"/>
                <w:sz w:val="14"/>
                <w:szCs w:val="14"/>
                <w:color w:val="auto"/>
              </w:rPr>
              <w:t>Dividend yield</w:t>
            </w:r>
          </w:p>
        </w:tc>
        <w:tc>
          <w:tcPr>
            <w:tcW w:w="1760" w:type="dxa"/>
            <w:vAlign w:val="bottom"/>
          </w:tcPr>
          <w:p>
            <w:pPr>
              <w:jc w:val="right"/>
              <w:ind w:right="49"/>
              <w:spacing w:after="0" w:line="153" w:lineRule="exact"/>
              <w:rPr>
                <w:sz w:val="20"/>
                <w:szCs w:val="20"/>
                <w:color w:val="auto"/>
              </w:rPr>
            </w:pPr>
            <w:r>
              <w:rPr>
                <w:rFonts w:ascii="Arial" w:cs="Arial" w:eastAsia="Arial" w:hAnsi="Arial"/>
                <w:sz w:val="14"/>
                <w:szCs w:val="14"/>
                <w:b w:val="1"/>
                <w:bCs w:val="1"/>
                <w:color w:val="auto"/>
              </w:rPr>
              <w:t>3.5%</w:t>
            </w:r>
          </w:p>
        </w:tc>
        <w:tc>
          <w:tcPr>
            <w:tcW w:w="600" w:type="dxa"/>
            <w:vAlign w:val="bottom"/>
          </w:tcPr>
          <w:p>
            <w:pPr>
              <w:jc w:val="right"/>
              <w:ind w:right="29"/>
              <w:spacing w:after="0" w:line="153" w:lineRule="exact"/>
              <w:rPr>
                <w:sz w:val="20"/>
                <w:szCs w:val="20"/>
                <w:color w:val="auto"/>
              </w:rPr>
            </w:pPr>
            <w:r>
              <w:rPr>
                <w:rFonts w:ascii="Arial" w:cs="Arial" w:eastAsia="Arial" w:hAnsi="Arial"/>
                <w:sz w:val="14"/>
                <w:szCs w:val="14"/>
                <w:color w:val="auto"/>
              </w:rPr>
              <w:t>3.0%</w:t>
            </w:r>
          </w:p>
        </w:tc>
        <w:tc>
          <w:tcPr>
            <w:tcW w:w="520" w:type="dxa"/>
            <w:vAlign w:val="bottom"/>
          </w:tcPr>
          <w:p>
            <w:pPr>
              <w:jc w:val="right"/>
              <w:spacing w:after="0" w:line="153"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Texaco plans:</w:t>
            </w:r>
          </w:p>
        </w:tc>
        <w:tc>
          <w:tcPr>
            <w:tcW w:w="176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80" w:type="dxa"/>
            <w:vAlign w:val="bottom"/>
          </w:tcPr>
          <w:p>
            <w:pPr>
              <w:ind w:left="120"/>
              <w:spacing w:after="0" w:line="145" w:lineRule="exact"/>
              <w:rPr>
                <w:sz w:val="20"/>
                <w:szCs w:val="20"/>
                <w:color w:val="auto"/>
              </w:rPr>
            </w:pPr>
            <w:r>
              <w:rPr>
                <w:rFonts w:ascii="Arial" w:cs="Arial" w:eastAsia="Arial" w:hAnsi="Arial"/>
                <w:sz w:val="14"/>
                <w:szCs w:val="14"/>
                <w:color w:val="auto"/>
              </w:rPr>
              <w:t>Expected life in years</w:t>
            </w:r>
          </w:p>
        </w:tc>
        <w:tc>
          <w:tcPr>
            <w:tcW w:w="1760" w:type="dxa"/>
            <w:vAlign w:val="bottom"/>
            <w:vMerge w:val="continue"/>
          </w:tcPr>
          <w:p>
            <w:pPr>
              <w:spacing w:after="0"/>
              <w:rPr>
                <w:sz w:val="12"/>
                <w:szCs w:val="12"/>
                <w:color w:val="auto"/>
              </w:rPr>
            </w:pPr>
          </w:p>
        </w:tc>
        <w:tc>
          <w:tcPr>
            <w:tcW w:w="60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2</w:t>
            </w:r>
          </w:p>
        </w:tc>
        <w:tc>
          <w:tcPr>
            <w:tcW w:w="520" w:type="dxa"/>
            <w:vAlign w:val="bottom"/>
          </w:tcPr>
          <w:p>
            <w:pPr>
              <w:jc w:val="right"/>
              <w:ind w:right="69"/>
              <w:spacing w:after="0" w:line="14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120"/>
              <w:spacing w:after="0" w:line="149" w:lineRule="exact"/>
              <w:rPr>
                <w:sz w:val="20"/>
                <w:szCs w:val="20"/>
                <w:color w:val="auto"/>
              </w:rPr>
            </w:pPr>
            <w:r>
              <w:rPr>
                <w:rFonts w:ascii="Arial" w:cs="Arial" w:eastAsia="Arial" w:hAnsi="Arial"/>
                <w:sz w:val="14"/>
                <w:szCs w:val="14"/>
                <w:color w:val="auto"/>
              </w:rPr>
              <w:t>Risk-free interest rate</w:t>
            </w:r>
          </w:p>
        </w:tc>
        <w:tc>
          <w:tcPr>
            <w:tcW w:w="176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1.7%</w:t>
            </w: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120"/>
              <w:spacing w:after="0" w:line="149" w:lineRule="exact"/>
              <w:rPr>
                <w:sz w:val="20"/>
                <w:szCs w:val="20"/>
                <w:color w:val="auto"/>
              </w:rPr>
            </w:pPr>
            <w:r>
              <w:rPr>
                <w:rFonts w:ascii="Arial" w:cs="Arial" w:eastAsia="Arial" w:hAnsi="Arial"/>
                <w:sz w:val="14"/>
                <w:szCs w:val="14"/>
                <w:color w:val="auto"/>
              </w:rPr>
              <w:t>Volatility</w:t>
            </w:r>
          </w:p>
        </w:tc>
        <w:tc>
          <w:tcPr>
            <w:tcW w:w="176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22.0%</w:t>
            </w: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24.1%</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Dividend yield</w:t>
            </w:r>
          </w:p>
        </w:tc>
        <w:tc>
          <w:tcPr>
            <w:tcW w:w="176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3.9%</w:t>
            </w:r>
          </w:p>
        </w:tc>
        <w:tc>
          <w:tcPr>
            <w:tcW w:w="600" w:type="dxa"/>
            <w:vAlign w:val="bottom"/>
            <w:tcBorders>
              <w:bottom w:val="single" w:sz="8" w:color="0070FF"/>
            </w:tcBorders>
          </w:tcPr>
          <w:p>
            <w:pPr>
              <w:jc w:val="right"/>
              <w:ind w:right="29"/>
              <w:spacing w:after="0"/>
              <w:rPr>
                <w:sz w:val="20"/>
                <w:szCs w:val="20"/>
                <w:color w:val="auto"/>
              </w:rPr>
            </w:pPr>
            <w:r>
              <w:rPr>
                <w:rFonts w:ascii="Arial" w:cs="Arial" w:eastAsia="Arial" w:hAnsi="Arial"/>
                <w:sz w:val="14"/>
                <w:szCs w:val="14"/>
                <w:color w:val="auto"/>
              </w:rPr>
              <w:t>3.1%</w:t>
            </w: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 w:firstLine="200"/>
        <w:spacing w:after="0" w:line="271" w:lineRule="auto"/>
        <w:rPr>
          <w:sz w:val="20"/>
          <w:szCs w:val="20"/>
          <w:color w:val="auto"/>
        </w:rPr>
      </w:pPr>
      <w:r>
        <w:rPr>
          <w:rFonts w:ascii="Arial" w:cs="Arial" w:eastAsia="Arial" w:hAnsi="Arial"/>
          <w:sz w:val="16"/>
          <w:szCs w:val="16"/>
          <w:color w:val="auto"/>
        </w:rPr>
        <w:t>The Black-Scholes weighted-average fair value of the ChevronTexaco options granted during 2003, 2002 and 2001 was $11.02, $18.59 and $20.45 per share, respectively, and the weighted-average fair value of the SIP restored options granted during 2003 and 2002 and the Texaco options granted during 2001 was $8.06, $10.29 and $12.90 per share.</w:t>
      </w:r>
    </w:p>
    <w:p>
      <w:pPr>
        <w:spacing w:after="0" w:line="136" w:lineRule="exact"/>
        <w:rPr>
          <w:sz w:val="20"/>
          <w:szCs w:val="20"/>
          <w:color w:val="auto"/>
        </w:rPr>
      </w:pPr>
    </w:p>
    <w:p>
      <w:pPr>
        <w:ind w:right="80" w:firstLine="194"/>
        <w:spacing w:after="0" w:line="293" w:lineRule="auto"/>
        <w:rPr>
          <w:sz w:val="20"/>
          <w:szCs w:val="20"/>
          <w:color w:val="auto"/>
        </w:rPr>
      </w:pPr>
      <w:r>
        <w:rPr>
          <w:rFonts w:ascii="Arial" w:cs="Arial" w:eastAsia="Arial" w:hAnsi="Arial"/>
          <w:sz w:val="16"/>
          <w:szCs w:val="16"/>
          <w:color w:val="auto"/>
        </w:rPr>
        <w:t>A summary of the status of stock options awarded under the company’s LTIP, as well as the former Texaco plans, for 2003, 2002 and 2001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Options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w w:val="91"/>
              </w:rPr>
              <w:t>Weighted-Average</w:t>
            </w:r>
          </w:p>
        </w:tc>
      </w:tr>
      <w:tr>
        <w:trPr>
          <w:trHeight w:val="159"/>
        </w:trPr>
        <w:tc>
          <w:tcPr>
            <w:tcW w:w="20" w:type="dxa"/>
            <w:vAlign w:val="bottom"/>
          </w:tcPr>
          <w:p>
            <w:pPr>
              <w:spacing w:after="0"/>
              <w:rPr>
                <w:sz w:val="13"/>
                <w:szCs w:val="13"/>
                <w:color w:val="auto"/>
              </w:rPr>
            </w:pPr>
          </w:p>
        </w:tc>
        <w:tc>
          <w:tcPr>
            <w:tcW w:w="2780" w:type="dxa"/>
            <w:vAlign w:val="bottom"/>
            <w:tcBorders>
              <w:bottom w:val="single" w:sz="8" w:color="0070FF"/>
            </w:tcBorders>
          </w:tcPr>
          <w:p>
            <w:pPr>
              <w:spacing w:after="0"/>
              <w:rPr>
                <w:sz w:val="13"/>
                <w:szCs w:val="13"/>
                <w:color w:val="auto"/>
              </w:rPr>
            </w:pPr>
          </w:p>
        </w:tc>
        <w:tc>
          <w:tcPr>
            <w:tcW w:w="1540" w:type="dxa"/>
            <w:vAlign w:val="bottom"/>
            <w:tcBorders>
              <w:bottom w:val="single" w:sz="8" w:color="0070FF"/>
            </w:tcBorders>
          </w:tcPr>
          <w:p>
            <w:pPr>
              <w:jc w:val="right"/>
              <w:ind w:right="28"/>
              <w:spacing w:after="0" w:line="159" w:lineRule="exact"/>
              <w:rPr>
                <w:sz w:val="20"/>
                <w:szCs w:val="20"/>
                <w:color w:val="auto"/>
              </w:rPr>
            </w:pPr>
            <w:r>
              <w:rPr>
                <w:rFonts w:ascii="Arial" w:cs="Arial" w:eastAsia="Arial" w:hAnsi="Arial"/>
                <w:sz w:val="14"/>
                <w:szCs w:val="14"/>
                <w:color w:val="auto"/>
              </w:rPr>
              <w:t>(thousands)</w:t>
            </w:r>
          </w:p>
        </w:tc>
        <w:tc>
          <w:tcPr>
            <w:tcW w:w="1140" w:type="dxa"/>
            <w:vAlign w:val="bottom"/>
            <w:tcBorders>
              <w:bottom w:val="single" w:sz="8" w:color="0070FF"/>
            </w:tcBorders>
            <w:gridSpan w:val="2"/>
          </w:tcPr>
          <w:p>
            <w:pPr>
              <w:jc w:val="right"/>
              <w:spacing w:after="0" w:line="159" w:lineRule="exact"/>
              <w:rPr>
                <w:sz w:val="20"/>
                <w:szCs w:val="20"/>
                <w:color w:val="auto"/>
              </w:rPr>
            </w:pPr>
            <w:r>
              <w:rPr>
                <w:rFonts w:ascii="Arial" w:cs="Arial" w:eastAsia="Arial" w:hAnsi="Arial"/>
                <w:sz w:val="14"/>
                <w:szCs w:val="14"/>
                <w:color w:val="auto"/>
              </w:rPr>
              <w:t>Exercise Price</w:t>
            </w:r>
          </w:p>
        </w:tc>
      </w:tr>
      <w:tr>
        <w:trPr>
          <w:trHeight w:val="176"/>
        </w:trPr>
        <w:tc>
          <w:tcPr>
            <w:tcW w:w="20" w:type="dxa"/>
            <w:vAlign w:val="bottom"/>
            <w:tcBorders>
              <w:bottom w:val="single" w:sz="8" w:color="0070FF"/>
            </w:tcBorders>
          </w:tcPr>
          <w:p>
            <w:pPr>
              <w:spacing w:after="0"/>
              <w:rPr>
                <w:sz w:val="15"/>
                <w:szCs w:val="15"/>
                <w:color w:val="auto"/>
              </w:rPr>
            </w:pPr>
          </w:p>
        </w:tc>
        <w:tc>
          <w:tcPr>
            <w:tcW w:w="278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Outstanding at December 31, 2000</w:t>
            </w:r>
          </w:p>
        </w:tc>
        <w:tc>
          <w:tcPr>
            <w:tcW w:w="15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20,870</w:t>
            </w:r>
          </w:p>
        </w:tc>
        <w:tc>
          <w:tcPr>
            <w:tcW w:w="66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75.67</w:t>
            </w: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Granted</w:t>
            </w:r>
          </w:p>
        </w:tc>
        <w:tc>
          <w:tcPr>
            <w:tcW w:w="15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3,777</w:t>
            </w:r>
          </w:p>
        </w:tc>
        <w:tc>
          <w:tcPr>
            <w:tcW w:w="66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89.84</w:t>
            </w: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Exercised</w:t>
            </w: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(8,209)</w:t>
            </w:r>
          </w:p>
        </w:tc>
        <w:tc>
          <w:tcPr>
            <w:tcW w:w="6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78.16</w:t>
            </w: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Restored</w:t>
            </w:r>
          </w:p>
        </w:tc>
        <w:tc>
          <w:tcPr>
            <w:tcW w:w="1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6,766</w:t>
            </w:r>
          </w:p>
        </w:tc>
        <w:tc>
          <w:tcPr>
            <w:tcW w:w="6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89.77</w:t>
            </w:r>
          </w:p>
        </w:tc>
      </w:tr>
      <w:tr>
        <w:trPr>
          <w:trHeight w:val="167"/>
        </w:trPr>
        <w:tc>
          <w:tcPr>
            <w:tcW w:w="280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Forfeited</w:t>
            </w:r>
          </w:p>
        </w:tc>
        <w:tc>
          <w:tcPr>
            <w:tcW w:w="15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(584)</w:t>
            </w:r>
          </w:p>
        </w:tc>
        <w:tc>
          <w:tcPr>
            <w:tcW w:w="66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85.76</w:t>
            </w:r>
          </w:p>
        </w:tc>
      </w:tr>
      <w:tr>
        <w:trPr>
          <w:trHeight w:val="176"/>
        </w:trPr>
        <w:tc>
          <w:tcPr>
            <w:tcW w:w="280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Outstanding at December 31, 2001</w:t>
            </w:r>
          </w:p>
        </w:tc>
        <w:tc>
          <w:tcPr>
            <w:tcW w:w="15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22,620</w:t>
            </w:r>
          </w:p>
        </w:tc>
        <w:tc>
          <w:tcPr>
            <w:tcW w:w="66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81.13</w:t>
            </w: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Granted</w:t>
            </w:r>
          </w:p>
        </w:tc>
        <w:tc>
          <w:tcPr>
            <w:tcW w:w="15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3,291</w:t>
            </w:r>
          </w:p>
        </w:tc>
        <w:tc>
          <w:tcPr>
            <w:tcW w:w="66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86.15</w:t>
            </w: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Exercised</w:t>
            </w: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(1,818)</w:t>
            </w:r>
          </w:p>
        </w:tc>
        <w:tc>
          <w:tcPr>
            <w:tcW w:w="6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73.01</w:t>
            </w: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Restored</w:t>
            </w:r>
          </w:p>
        </w:tc>
        <w:tc>
          <w:tcPr>
            <w:tcW w:w="1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1,274</w:t>
            </w:r>
          </w:p>
        </w:tc>
        <w:tc>
          <w:tcPr>
            <w:tcW w:w="6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89.38</w:t>
            </w:r>
          </w:p>
        </w:tc>
      </w:tr>
      <w:tr>
        <w:trPr>
          <w:trHeight w:val="167"/>
        </w:trPr>
        <w:tc>
          <w:tcPr>
            <w:tcW w:w="280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Forfeited</w:t>
            </w:r>
          </w:p>
        </w:tc>
        <w:tc>
          <w:tcPr>
            <w:tcW w:w="15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(745)</w:t>
            </w:r>
          </w:p>
        </w:tc>
        <w:tc>
          <w:tcPr>
            <w:tcW w:w="66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88.10</w:t>
            </w:r>
          </w:p>
        </w:tc>
      </w:tr>
      <w:tr>
        <w:trPr>
          <w:trHeight w:val="176"/>
        </w:trPr>
        <w:tc>
          <w:tcPr>
            <w:tcW w:w="280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Outstanding at December 31, 2002</w:t>
            </w:r>
          </w:p>
        </w:tc>
        <w:tc>
          <w:tcPr>
            <w:tcW w:w="15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24,622</w:t>
            </w:r>
          </w:p>
        </w:tc>
        <w:tc>
          <w:tcPr>
            <w:tcW w:w="66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82.66</w:t>
            </w: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Granted</w:t>
            </w:r>
          </w:p>
        </w:tc>
        <w:tc>
          <w:tcPr>
            <w:tcW w:w="15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4,660</w:t>
            </w:r>
          </w:p>
        </w:tc>
        <w:tc>
          <w:tcPr>
            <w:tcW w:w="66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73.39</w:t>
            </w: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Exercised</w:t>
            </w: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6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50.15</w:t>
            </w: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Restored</w:t>
            </w:r>
          </w:p>
        </w:tc>
        <w:tc>
          <w:tcPr>
            <w:tcW w:w="1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60</w:t>
            </w:r>
          </w:p>
        </w:tc>
        <w:tc>
          <w:tcPr>
            <w:tcW w:w="6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82.69</w:t>
            </w:r>
          </w:p>
        </w:tc>
      </w:tr>
      <w:tr>
        <w:trPr>
          <w:trHeight w:val="167"/>
        </w:trPr>
        <w:tc>
          <w:tcPr>
            <w:tcW w:w="280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Forfeited</w:t>
            </w:r>
          </w:p>
        </w:tc>
        <w:tc>
          <w:tcPr>
            <w:tcW w:w="15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(983)</w:t>
            </w:r>
          </w:p>
        </w:tc>
        <w:tc>
          <w:tcPr>
            <w:tcW w:w="66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85.41</w:t>
            </w:r>
          </w:p>
        </w:tc>
      </w:tr>
      <w:tr>
        <w:trPr>
          <w:trHeight w:val="176"/>
        </w:trPr>
        <w:tc>
          <w:tcPr>
            <w:tcW w:w="280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Outstanding at December 31, 2003</w:t>
            </w:r>
          </w:p>
        </w:tc>
        <w:tc>
          <w:tcPr>
            <w:tcW w:w="1540" w:type="dxa"/>
            <w:vAlign w:val="bottom"/>
            <w:tcBorders>
              <w:bottom w:val="single" w:sz="8" w:color="0070FF"/>
            </w:tcBorders>
          </w:tcPr>
          <w:p>
            <w:pPr>
              <w:jc w:val="right"/>
              <w:ind w:right="48"/>
              <w:spacing w:after="0" w:line="155" w:lineRule="exact"/>
              <w:rPr>
                <w:sz w:val="20"/>
                <w:szCs w:val="20"/>
                <w:color w:val="auto"/>
              </w:rPr>
            </w:pPr>
            <w:r>
              <w:rPr>
                <w:rFonts w:ascii="Arial" w:cs="Arial" w:eastAsia="Arial" w:hAnsi="Arial"/>
                <w:sz w:val="14"/>
                <w:szCs w:val="14"/>
                <w:color w:val="auto"/>
              </w:rPr>
              <w:t>27,630</w:t>
            </w:r>
          </w:p>
        </w:tc>
        <w:tc>
          <w:tcPr>
            <w:tcW w:w="660" w:type="dxa"/>
            <w:vAlign w:val="bottom"/>
            <w:tcBorders>
              <w:bottom w:val="single" w:sz="8" w:color="0070FF"/>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81.85</w:t>
            </w: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Exercisable at December 31</w:t>
            </w: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2001</w:t>
            </w:r>
          </w:p>
        </w:tc>
        <w:tc>
          <w:tcPr>
            <w:tcW w:w="1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19,028</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79.64</w:t>
            </w: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2002</w:t>
            </w:r>
          </w:p>
        </w:tc>
        <w:tc>
          <w:tcPr>
            <w:tcW w:w="1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21,445</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82.14</w:t>
            </w:r>
          </w:p>
        </w:tc>
      </w:tr>
      <w:tr>
        <w:trPr>
          <w:trHeight w:val="188"/>
        </w:trPr>
        <w:tc>
          <w:tcPr>
            <w:tcW w:w="280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2003</w:t>
            </w:r>
          </w:p>
        </w:tc>
        <w:tc>
          <w:tcPr>
            <w:tcW w:w="15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21,277</w:t>
            </w:r>
          </w:p>
        </w:tc>
        <w:tc>
          <w:tcPr>
            <w:tcW w:w="660" w:type="dxa"/>
            <w:vAlign w:val="bottom"/>
            <w:tcBorders>
              <w:bottom w:val="single" w:sz="8" w:color="0070FF"/>
            </w:tcBorders>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83.23</w:t>
            </w:r>
          </w:p>
        </w:tc>
      </w:tr>
    </w:tbl>
    <w:p>
      <w:pPr>
        <w:spacing w:after="0" w:line="1351" w:lineRule="exact"/>
        <w:rPr>
          <w:sz w:val="20"/>
          <w:szCs w:val="20"/>
          <w:color w:val="auto"/>
        </w:rPr>
      </w:pPr>
    </w:p>
    <w:p>
      <w:pPr>
        <w:sectPr>
          <w:pgSz w:w="11900" w:h="16838" w:orient="portrait"/>
          <w:cols w:equalWidth="0" w:num="2">
            <w:col w:w="5480" w:space="400"/>
            <w:col w:w="5480"/>
          </w:cols>
          <w:pgMar w:left="240" w:top="419" w:right="29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0070FF"/>
        </w:rPr>
        <w:t>NOTE 22. STOCK OPTIONS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4" w:lineRule="exact"/>
        <w:rPr>
          <w:sz w:val="20"/>
          <w:szCs w:val="20"/>
          <w:color w:val="auto"/>
        </w:rPr>
      </w:pPr>
    </w:p>
    <w:p>
      <w:pPr>
        <w:ind w:firstLine="200"/>
        <w:spacing w:after="0" w:line="329" w:lineRule="auto"/>
        <w:rPr>
          <w:sz w:val="20"/>
          <w:szCs w:val="20"/>
          <w:color w:val="auto"/>
        </w:rPr>
      </w:pPr>
      <w:r>
        <w:rPr>
          <w:rFonts w:ascii="Arial" w:cs="Arial" w:eastAsia="Arial" w:hAnsi="Arial"/>
          <w:sz w:val="15"/>
          <w:szCs w:val="15"/>
          <w:color w:val="auto"/>
        </w:rPr>
        <w:t>The following table summarizes information about stock options outstanding, including those from former Texaco plans, at December 31,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firstLine="203"/>
        <w:spacing w:after="0" w:line="315" w:lineRule="auto"/>
        <w:rPr>
          <w:sz w:val="20"/>
          <w:szCs w:val="20"/>
          <w:color w:val="auto"/>
        </w:rPr>
      </w:pPr>
      <w:r>
        <w:rPr>
          <w:rFonts w:ascii="Arial" w:cs="Arial" w:eastAsia="Arial" w:hAnsi="Arial"/>
          <w:sz w:val="14"/>
          <w:szCs w:val="14"/>
          <w:color w:val="auto"/>
        </w:rPr>
        <w:t>Guarantees of $256 have been provided to third parties, including approximately $110 of construction loans to host governments in the company’s international upstream operations. The other $146 was provided principally as conditions of sale of the company’s interest in certain operations, to provide a source of liquidity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-572770</wp:posOffset>
            </wp:positionV>
            <wp:extent cx="8890" cy="6517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651764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5240" w:space="640"/>
            <w:col w:w="5440"/>
          </w:cols>
          <w:pgMar w:left="240" w:top="419" w:right="339" w:bottom="1440" w:gutter="0" w:footer="0" w:header="0"/>
        </w:sectPr>
      </w:pPr>
    </w:p>
    <w:p>
      <w:pPr>
        <w:spacing w:after="0" w:line="2" w:lineRule="exact"/>
        <w:rPr>
          <w:sz w:val="20"/>
          <w:szCs w:val="20"/>
          <w:color w:val="auto"/>
        </w:rPr>
      </w:pPr>
    </w:p>
    <w:p>
      <w:pPr>
        <w:ind w:left="2420"/>
        <w:spacing w:after="0"/>
        <w:rPr>
          <w:sz w:val="20"/>
          <w:szCs w:val="20"/>
          <w:color w:val="auto"/>
        </w:rPr>
      </w:pPr>
      <w:r>
        <w:rPr>
          <w:rFonts w:ascii="Arial" w:cs="Arial" w:eastAsia="Arial" w:hAnsi="Arial"/>
          <w:sz w:val="12"/>
          <w:szCs w:val="12"/>
          <w:color w:val="auto"/>
        </w:rPr>
        <w:t>Options Outstanding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20" w:type="dxa"/>
            <w:vAlign w:val="bottom"/>
            <w:tcBorders>
              <w:top w:val="single" w:sz="8" w:color="0070FF"/>
            </w:tcBorders>
          </w:tcPr>
          <w:p>
            <w:pPr>
              <w:spacing w:after="0"/>
              <w:rPr>
                <w:sz w:val="11"/>
                <w:szCs w:val="11"/>
                <w:color w:val="auto"/>
              </w:rPr>
            </w:pPr>
          </w:p>
        </w:tc>
        <w:tc>
          <w:tcPr>
            <w:tcW w:w="480" w:type="dxa"/>
            <w:vAlign w:val="bottom"/>
            <w:tcBorders>
              <w:top w:val="single" w:sz="8" w:color="0070FF"/>
            </w:tcBorders>
          </w:tcPr>
          <w:p>
            <w:pPr>
              <w:spacing w:after="0"/>
              <w:rPr>
                <w:sz w:val="11"/>
                <w:szCs w:val="11"/>
                <w:color w:val="auto"/>
              </w:rPr>
            </w:pPr>
          </w:p>
        </w:tc>
        <w:tc>
          <w:tcPr>
            <w:tcW w:w="360" w:type="dxa"/>
            <w:vAlign w:val="bottom"/>
            <w:tcBorders>
              <w:top w:val="single" w:sz="8" w:color="0070FF"/>
            </w:tcBorders>
          </w:tcPr>
          <w:p>
            <w:pPr>
              <w:spacing w:after="0"/>
              <w:rPr>
                <w:sz w:val="11"/>
                <w:szCs w:val="11"/>
                <w:color w:val="auto"/>
              </w:rPr>
            </w:pPr>
          </w:p>
        </w:tc>
        <w:tc>
          <w:tcPr>
            <w:tcW w:w="900" w:type="dxa"/>
            <w:vAlign w:val="bottom"/>
            <w:tcBorders>
              <w:top w:val="single" w:sz="8" w:color="0070FF"/>
            </w:tcBorders>
          </w:tcPr>
          <w:p>
            <w:pPr>
              <w:spacing w:after="0"/>
              <w:rPr>
                <w:sz w:val="11"/>
                <w:szCs w:val="11"/>
                <w:color w:val="auto"/>
              </w:rPr>
            </w:pPr>
          </w:p>
        </w:tc>
        <w:tc>
          <w:tcPr>
            <w:tcW w:w="960" w:type="dxa"/>
            <w:vAlign w:val="bottom"/>
            <w:tcBorders>
              <w:top w:val="single" w:sz="8" w:color="0070FF"/>
            </w:tcBorders>
          </w:tcPr>
          <w:p>
            <w:pPr>
              <w:jc w:val="right"/>
              <w:ind w:right="110"/>
              <w:spacing w:after="0" w:line="131" w:lineRule="exact"/>
              <w:rPr>
                <w:sz w:val="20"/>
                <w:szCs w:val="20"/>
                <w:color w:val="auto"/>
              </w:rPr>
            </w:pPr>
            <w:r>
              <w:rPr>
                <w:rFonts w:ascii="Arial" w:cs="Arial" w:eastAsia="Arial" w:hAnsi="Arial"/>
                <w:sz w:val="14"/>
                <w:szCs w:val="14"/>
                <w:color w:val="auto"/>
              </w:rPr>
              <w:t>Weighted-</w:t>
            </w:r>
          </w:p>
        </w:tc>
        <w:tc>
          <w:tcPr>
            <w:tcW w:w="240" w:type="dxa"/>
            <w:vAlign w:val="bottom"/>
            <w:tcBorders>
              <w:top w:val="single" w:sz="8" w:color="0070FF"/>
            </w:tcBorders>
          </w:tcPr>
          <w:p>
            <w:pPr>
              <w:spacing w:after="0"/>
              <w:rPr>
                <w:sz w:val="11"/>
                <w:szCs w:val="11"/>
                <w:color w:val="auto"/>
              </w:rPr>
            </w:pPr>
          </w:p>
        </w:tc>
        <w:tc>
          <w:tcPr>
            <w:tcW w:w="560" w:type="dxa"/>
            <w:vAlign w:val="bottom"/>
            <w:tcBorders>
              <w:top w:val="single" w:sz="8" w:color="0070FF"/>
            </w:tcBorders>
          </w:tcPr>
          <w:p>
            <w:pPr>
              <w:spacing w:after="0"/>
              <w:rPr>
                <w:sz w:val="11"/>
                <w:szCs w:val="11"/>
                <w:color w:val="auto"/>
              </w:rPr>
            </w:pPr>
          </w:p>
        </w:tc>
      </w:tr>
      <w:tr>
        <w:trPr>
          <w:trHeight w:val="149"/>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Average</w:t>
            </w:r>
          </w:p>
        </w:tc>
        <w:tc>
          <w:tcPr>
            <w:tcW w:w="8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Weighted-</w:t>
            </w:r>
          </w:p>
        </w:tc>
      </w:tr>
      <w:tr>
        <w:trPr>
          <w:trHeight w:val="149"/>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Number</w:t>
            </w: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Remaining</w:t>
            </w:r>
          </w:p>
        </w:tc>
        <w:tc>
          <w:tcPr>
            <w:tcW w:w="24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w w:val="88"/>
              </w:rPr>
              <w:t>Average</w:t>
            </w:r>
          </w:p>
        </w:tc>
      </w:tr>
      <w:tr>
        <w:trPr>
          <w:trHeight w:val="149"/>
        </w:trPr>
        <w:tc>
          <w:tcPr>
            <w:tcW w:w="120" w:type="dxa"/>
            <w:vAlign w:val="bottom"/>
          </w:tcPr>
          <w:p>
            <w:pPr>
              <w:spacing w:after="0"/>
              <w:rPr>
                <w:sz w:val="12"/>
                <w:szCs w:val="12"/>
                <w:color w:val="auto"/>
              </w:rPr>
            </w:pP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Range of</w:t>
            </w:r>
          </w:p>
        </w:tc>
        <w:tc>
          <w:tcPr>
            <w:tcW w:w="900" w:type="dxa"/>
            <w:vAlign w:val="bottom"/>
          </w:tcPr>
          <w:p>
            <w:pPr>
              <w:jc w:val="right"/>
              <w:ind w:right="69"/>
              <w:spacing w:after="0" w:line="149" w:lineRule="exact"/>
              <w:rPr>
                <w:sz w:val="20"/>
                <w:szCs w:val="20"/>
                <w:color w:val="auto"/>
              </w:rPr>
            </w:pPr>
            <w:r>
              <w:rPr>
                <w:rFonts w:ascii="Arial" w:cs="Arial" w:eastAsia="Arial" w:hAnsi="Arial"/>
                <w:sz w:val="14"/>
                <w:szCs w:val="14"/>
                <w:color w:val="auto"/>
                <w:w w:val="97"/>
              </w:rPr>
              <w:t>Outstanding</w:t>
            </w:r>
          </w:p>
        </w:tc>
        <w:tc>
          <w:tcPr>
            <w:tcW w:w="960" w:type="dxa"/>
            <w:vAlign w:val="bottom"/>
          </w:tcPr>
          <w:p>
            <w:pPr>
              <w:jc w:val="right"/>
              <w:ind w:right="90"/>
              <w:spacing w:after="0" w:line="149" w:lineRule="exact"/>
              <w:rPr>
                <w:sz w:val="20"/>
                <w:szCs w:val="20"/>
                <w:color w:val="auto"/>
              </w:rPr>
            </w:pPr>
            <w:r>
              <w:rPr>
                <w:rFonts w:ascii="Arial" w:cs="Arial" w:eastAsia="Arial" w:hAnsi="Arial"/>
                <w:sz w:val="14"/>
                <w:szCs w:val="14"/>
                <w:color w:val="auto"/>
              </w:rPr>
              <w:t>Contractual</w:t>
            </w:r>
          </w:p>
        </w:tc>
        <w:tc>
          <w:tcPr>
            <w:tcW w:w="24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w w:val="85"/>
              </w:rPr>
              <w:t>Exercise</w:t>
            </w:r>
          </w:p>
        </w:tc>
      </w:tr>
      <w:tr>
        <w:trPr>
          <w:trHeight w:val="159"/>
        </w:trPr>
        <w:tc>
          <w:tcPr>
            <w:tcW w:w="960" w:type="dxa"/>
            <w:vAlign w:val="bottom"/>
            <w:tcBorders>
              <w:bottom w:val="single" w:sz="8" w:color="0070FF"/>
            </w:tcBorders>
            <w:gridSpan w:val="3"/>
          </w:tcPr>
          <w:p>
            <w:pPr>
              <w:ind w:left="20"/>
              <w:spacing w:after="0" w:line="159" w:lineRule="exact"/>
              <w:rPr>
                <w:sz w:val="20"/>
                <w:szCs w:val="20"/>
                <w:color w:val="auto"/>
              </w:rPr>
            </w:pPr>
            <w:r>
              <w:rPr>
                <w:rFonts w:ascii="Arial" w:cs="Arial" w:eastAsia="Arial" w:hAnsi="Arial"/>
                <w:sz w:val="14"/>
                <w:szCs w:val="14"/>
                <w:color w:val="auto"/>
                <w:w w:val="95"/>
              </w:rPr>
              <w:t>Exercise Prices</w:t>
            </w:r>
          </w:p>
        </w:tc>
        <w:tc>
          <w:tcPr>
            <w:tcW w:w="900" w:type="dxa"/>
            <w:vAlign w:val="bottom"/>
            <w:tcBorders>
              <w:bottom w:val="single" w:sz="8" w:color="0070FF"/>
            </w:tcBorders>
          </w:tcPr>
          <w:p>
            <w:pPr>
              <w:jc w:val="right"/>
              <w:ind w:right="89"/>
              <w:spacing w:after="0" w:line="159" w:lineRule="exact"/>
              <w:rPr>
                <w:sz w:val="20"/>
                <w:szCs w:val="20"/>
                <w:color w:val="auto"/>
              </w:rPr>
            </w:pPr>
            <w:r>
              <w:rPr>
                <w:rFonts w:ascii="Arial" w:cs="Arial" w:eastAsia="Arial" w:hAnsi="Arial"/>
                <w:sz w:val="14"/>
                <w:szCs w:val="14"/>
                <w:color w:val="auto"/>
                <w:w w:val="97"/>
              </w:rPr>
              <w:t>(thousands)</w:t>
            </w:r>
          </w:p>
        </w:tc>
        <w:tc>
          <w:tcPr>
            <w:tcW w:w="960" w:type="dxa"/>
            <w:vAlign w:val="bottom"/>
            <w:tcBorders>
              <w:bottom w:val="single" w:sz="8" w:color="0070FF"/>
            </w:tcBorders>
          </w:tcPr>
          <w:p>
            <w:pPr>
              <w:jc w:val="right"/>
              <w:ind w:right="90"/>
              <w:spacing w:after="0" w:line="159" w:lineRule="exact"/>
              <w:rPr>
                <w:sz w:val="20"/>
                <w:szCs w:val="20"/>
                <w:color w:val="auto"/>
              </w:rPr>
            </w:pPr>
            <w:r>
              <w:rPr>
                <w:rFonts w:ascii="Arial" w:cs="Arial" w:eastAsia="Arial" w:hAnsi="Arial"/>
                <w:sz w:val="14"/>
                <w:szCs w:val="14"/>
                <w:color w:val="auto"/>
              </w:rPr>
              <w:t>Life (years)</w:t>
            </w:r>
          </w:p>
        </w:tc>
        <w:tc>
          <w:tcPr>
            <w:tcW w:w="240" w:type="dxa"/>
            <w:vAlign w:val="bottom"/>
            <w:tcBorders>
              <w:bottom w:val="single" w:sz="8" w:color="0070FF"/>
            </w:tcBorders>
          </w:tcPr>
          <w:p>
            <w:pPr>
              <w:spacing w:after="0"/>
              <w:rPr>
                <w:sz w:val="13"/>
                <w:szCs w:val="13"/>
                <w:color w:val="auto"/>
              </w:rPr>
            </w:pPr>
          </w:p>
        </w:tc>
        <w:tc>
          <w:tcPr>
            <w:tcW w:w="560" w:type="dxa"/>
            <w:vAlign w:val="bottom"/>
            <w:tcBorders>
              <w:bottom w:val="single" w:sz="8" w:color="0070FF"/>
            </w:tcBorders>
          </w:tcPr>
          <w:p>
            <w:pPr>
              <w:jc w:val="right"/>
              <w:ind w:right="9"/>
              <w:spacing w:after="0" w:line="159" w:lineRule="exact"/>
              <w:rPr>
                <w:sz w:val="20"/>
                <w:szCs w:val="20"/>
                <w:color w:val="auto"/>
              </w:rPr>
            </w:pPr>
            <w:r>
              <w:rPr>
                <w:rFonts w:ascii="Arial" w:cs="Arial" w:eastAsia="Arial" w:hAnsi="Arial"/>
                <w:sz w:val="14"/>
                <w:szCs w:val="14"/>
                <w:color w:val="auto"/>
              </w:rPr>
              <w:t>Price</w:t>
            </w:r>
          </w:p>
        </w:tc>
      </w:tr>
      <w:tr>
        <w:trPr>
          <w:trHeight w:val="137"/>
        </w:trPr>
        <w:tc>
          <w:tcPr>
            <w:tcW w:w="120" w:type="dxa"/>
            <w:vAlign w:val="bottom"/>
          </w:tcPr>
          <w:p>
            <w:pPr>
              <w:ind w:left="20"/>
              <w:spacing w:after="0" w:line="137" w:lineRule="exact"/>
              <w:rPr>
                <w:sz w:val="20"/>
                <w:szCs w:val="20"/>
                <w:color w:val="auto"/>
              </w:rPr>
            </w:pPr>
            <w:r>
              <w:rPr>
                <w:rFonts w:ascii="Arial" w:cs="Arial" w:eastAsia="Arial" w:hAnsi="Arial"/>
                <w:sz w:val="14"/>
                <w:szCs w:val="14"/>
                <w:color w:val="auto"/>
              </w:rPr>
              <w:t>$</w:t>
            </w:r>
          </w:p>
        </w:tc>
        <w:tc>
          <w:tcPr>
            <w:tcW w:w="480" w:type="dxa"/>
            <w:vAlign w:val="bottom"/>
          </w:tcPr>
          <w:p>
            <w:pPr>
              <w:ind w:left="40"/>
              <w:spacing w:after="0" w:line="137" w:lineRule="exact"/>
              <w:rPr>
                <w:sz w:val="20"/>
                <w:szCs w:val="20"/>
                <w:color w:val="auto"/>
              </w:rPr>
            </w:pPr>
            <w:r>
              <w:rPr>
                <w:rFonts w:ascii="Arial" w:cs="Arial" w:eastAsia="Arial" w:hAnsi="Arial"/>
                <w:sz w:val="14"/>
                <w:szCs w:val="14"/>
                <w:color w:val="auto"/>
                <w:w w:val="97"/>
              </w:rPr>
              <w:t>41 to $</w:t>
            </w:r>
          </w:p>
        </w:tc>
        <w:tc>
          <w:tcPr>
            <w:tcW w:w="360" w:type="dxa"/>
            <w:vAlign w:val="bottom"/>
          </w:tcPr>
          <w:p>
            <w:pPr>
              <w:jc w:val="right"/>
              <w:ind w:right="48"/>
              <w:spacing w:after="0" w:line="137" w:lineRule="exact"/>
              <w:rPr>
                <w:sz w:val="20"/>
                <w:szCs w:val="20"/>
                <w:color w:val="auto"/>
              </w:rPr>
            </w:pPr>
            <w:r>
              <w:rPr>
                <w:rFonts w:ascii="Arial" w:cs="Arial" w:eastAsia="Arial" w:hAnsi="Arial"/>
                <w:sz w:val="14"/>
                <w:szCs w:val="14"/>
                <w:color w:val="auto"/>
              </w:rPr>
              <w:t>51</w:t>
            </w:r>
          </w:p>
        </w:tc>
        <w:tc>
          <w:tcPr>
            <w:tcW w:w="900" w:type="dxa"/>
            <w:vAlign w:val="bottom"/>
          </w:tcPr>
          <w:p>
            <w:pPr>
              <w:jc w:val="right"/>
              <w:ind w:right="89"/>
              <w:spacing w:after="0" w:line="137" w:lineRule="exact"/>
              <w:rPr>
                <w:sz w:val="20"/>
                <w:szCs w:val="20"/>
                <w:color w:val="auto"/>
              </w:rPr>
            </w:pPr>
            <w:r>
              <w:rPr>
                <w:rFonts w:ascii="Arial" w:cs="Arial" w:eastAsia="Arial" w:hAnsi="Arial"/>
                <w:sz w:val="14"/>
                <w:szCs w:val="14"/>
                <w:color w:val="auto"/>
              </w:rPr>
              <w:t>1,217</w:t>
            </w:r>
          </w:p>
        </w:tc>
        <w:tc>
          <w:tcPr>
            <w:tcW w:w="960" w:type="dxa"/>
            <w:vAlign w:val="bottom"/>
          </w:tcPr>
          <w:p>
            <w:pPr>
              <w:jc w:val="right"/>
              <w:ind w:right="110"/>
              <w:spacing w:after="0" w:line="137" w:lineRule="exact"/>
              <w:rPr>
                <w:sz w:val="20"/>
                <w:szCs w:val="20"/>
                <w:color w:val="auto"/>
              </w:rPr>
            </w:pPr>
            <w:r>
              <w:rPr>
                <w:rFonts w:ascii="Arial" w:cs="Arial" w:eastAsia="Arial" w:hAnsi="Arial"/>
                <w:sz w:val="14"/>
                <w:szCs w:val="14"/>
                <w:color w:val="auto"/>
              </w:rPr>
              <w:t>1.1</w:t>
            </w:r>
          </w:p>
        </w:tc>
        <w:tc>
          <w:tcPr>
            <w:tcW w:w="24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line="137" w:lineRule="exact"/>
              <w:rPr>
                <w:sz w:val="20"/>
                <w:szCs w:val="20"/>
                <w:color w:val="auto"/>
              </w:rPr>
            </w:pPr>
            <w:r>
              <w:rPr>
                <w:rFonts w:ascii="Arial" w:cs="Arial" w:eastAsia="Arial" w:hAnsi="Arial"/>
                <w:sz w:val="14"/>
                <w:szCs w:val="14"/>
                <w:color w:val="auto"/>
              </w:rPr>
              <w:t>46.02</w:t>
            </w:r>
          </w:p>
        </w:tc>
      </w:tr>
      <w:tr>
        <w:trPr>
          <w:trHeight w:val="149"/>
        </w:trPr>
        <w:tc>
          <w:tcPr>
            <w:tcW w:w="12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51 to</w:t>
            </w:r>
          </w:p>
        </w:tc>
        <w:tc>
          <w:tcPr>
            <w:tcW w:w="3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w:t>
            </w:r>
          </w:p>
        </w:tc>
        <w:tc>
          <w:tcPr>
            <w:tcW w:w="9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23</w:t>
            </w: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56.24</w:t>
            </w:r>
          </w:p>
        </w:tc>
      </w:tr>
      <w:tr>
        <w:trPr>
          <w:trHeight w:val="149"/>
        </w:trPr>
        <w:tc>
          <w:tcPr>
            <w:tcW w:w="12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61 to</w:t>
            </w:r>
          </w:p>
        </w:tc>
        <w:tc>
          <w:tcPr>
            <w:tcW w:w="3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w:t>
            </w:r>
          </w:p>
        </w:tc>
        <w:tc>
          <w:tcPr>
            <w:tcW w:w="9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683</w:t>
            </w: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66.26</w:t>
            </w:r>
          </w:p>
        </w:tc>
      </w:tr>
      <w:tr>
        <w:trPr>
          <w:trHeight w:val="149"/>
        </w:trPr>
        <w:tc>
          <w:tcPr>
            <w:tcW w:w="12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71 to</w:t>
            </w:r>
          </w:p>
        </w:tc>
        <w:tc>
          <w:tcPr>
            <w:tcW w:w="3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9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8,554</w:t>
            </w: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7.1</w:t>
            </w:r>
          </w:p>
        </w:tc>
        <w:tc>
          <w:tcPr>
            <w:tcW w:w="24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76.15</w:t>
            </w:r>
          </w:p>
        </w:tc>
      </w:tr>
      <w:tr>
        <w:trPr>
          <w:trHeight w:val="149"/>
        </w:trPr>
        <w:tc>
          <w:tcPr>
            <w:tcW w:w="12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81 to</w:t>
            </w:r>
          </w:p>
        </w:tc>
        <w:tc>
          <w:tcPr>
            <w:tcW w:w="3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91</w:t>
            </w:r>
          </w:p>
        </w:tc>
        <w:tc>
          <w:tcPr>
            <w:tcW w:w="9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13,305</w:t>
            </w: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6.1</w:t>
            </w:r>
          </w:p>
        </w:tc>
        <w:tc>
          <w:tcPr>
            <w:tcW w:w="24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86.82</w:t>
            </w:r>
          </w:p>
        </w:tc>
      </w:tr>
      <w:tr>
        <w:trPr>
          <w:trHeight w:val="167"/>
        </w:trPr>
        <w:tc>
          <w:tcPr>
            <w:tcW w:w="12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ind w:left="40"/>
              <w:spacing w:after="0"/>
              <w:rPr>
                <w:sz w:val="20"/>
                <w:szCs w:val="20"/>
                <w:color w:val="auto"/>
              </w:rPr>
            </w:pPr>
            <w:r>
              <w:rPr>
                <w:rFonts w:ascii="Arial" w:cs="Arial" w:eastAsia="Arial" w:hAnsi="Arial"/>
                <w:sz w:val="14"/>
                <w:szCs w:val="14"/>
                <w:color w:val="auto"/>
              </w:rPr>
              <w:t>91 to</w:t>
            </w:r>
          </w:p>
        </w:tc>
        <w:tc>
          <w:tcPr>
            <w:tcW w:w="36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w w:val="94"/>
              </w:rPr>
              <w:t>101</w:t>
            </w:r>
          </w:p>
        </w:tc>
        <w:tc>
          <w:tcPr>
            <w:tcW w:w="90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3,848</w:t>
            </w:r>
          </w:p>
        </w:tc>
        <w:tc>
          <w:tcPr>
            <w:tcW w:w="960" w:type="dxa"/>
            <w:vAlign w:val="bottom"/>
            <w:tcBorders>
              <w:bottom w:val="single" w:sz="8" w:color="0070FF"/>
            </w:tcBorders>
          </w:tcPr>
          <w:p>
            <w:pPr>
              <w:jc w:val="right"/>
              <w:ind w:right="110"/>
              <w:spacing w:after="0"/>
              <w:rPr>
                <w:sz w:val="20"/>
                <w:szCs w:val="20"/>
                <w:color w:val="auto"/>
              </w:rPr>
            </w:pPr>
            <w:r>
              <w:rPr>
                <w:rFonts w:ascii="Arial" w:cs="Arial" w:eastAsia="Arial" w:hAnsi="Arial"/>
                <w:sz w:val="14"/>
                <w:szCs w:val="14"/>
                <w:color w:val="auto"/>
              </w:rPr>
              <w:t>5.8</w:t>
            </w:r>
          </w:p>
        </w:tc>
        <w:tc>
          <w:tcPr>
            <w:tcW w:w="240" w:type="dxa"/>
            <w:vAlign w:val="bottom"/>
            <w:tcBorders>
              <w:bottom w:val="single" w:sz="8" w:color="0070FF"/>
            </w:tcBorders>
          </w:tcPr>
          <w:p>
            <w:pPr>
              <w:spacing w:after="0"/>
              <w:rPr>
                <w:sz w:val="14"/>
                <w:szCs w:val="14"/>
                <w:color w:val="auto"/>
              </w:rPr>
            </w:pPr>
          </w:p>
        </w:tc>
        <w:tc>
          <w:tcPr>
            <w:tcW w:w="560" w:type="dxa"/>
            <w:vAlign w:val="bottom"/>
            <w:tcBorders>
              <w:bottom w:val="single" w:sz="8" w:color="0070FF"/>
            </w:tcBorders>
          </w:tcPr>
          <w:p>
            <w:pPr>
              <w:jc w:val="right"/>
              <w:ind w:right="9"/>
              <w:spacing w:after="0"/>
              <w:rPr>
                <w:sz w:val="20"/>
                <w:szCs w:val="20"/>
                <w:color w:val="auto"/>
              </w:rPr>
            </w:pPr>
            <w:r>
              <w:rPr>
                <w:rFonts w:ascii="Arial" w:cs="Arial" w:eastAsia="Arial" w:hAnsi="Arial"/>
                <w:sz w:val="14"/>
                <w:szCs w:val="14"/>
                <w:color w:val="auto"/>
              </w:rPr>
              <w:t>91.61</w:t>
            </w:r>
          </w:p>
        </w:tc>
      </w:tr>
      <w:tr>
        <w:trPr>
          <w:trHeight w:val="176"/>
        </w:trPr>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ind w:left="40"/>
              <w:spacing w:after="0"/>
              <w:rPr>
                <w:sz w:val="20"/>
                <w:szCs w:val="20"/>
                <w:color w:val="auto"/>
              </w:rPr>
            </w:pPr>
            <w:r>
              <w:rPr>
                <w:rFonts w:ascii="Arial" w:cs="Arial" w:eastAsia="Arial" w:hAnsi="Arial"/>
                <w:sz w:val="14"/>
                <w:szCs w:val="14"/>
                <w:color w:val="auto"/>
                <w:w w:val="97"/>
              </w:rPr>
              <w:t>41 to $</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101</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27,630</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6.1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81.85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4734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734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4"/>
          <w:szCs w:val="14"/>
          <w:color w:val="auto"/>
        </w:rPr>
        <w:t>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0204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Weighted-</w:t>
      </w:r>
    </w:p>
    <w:p>
      <w:pPr>
        <w:spacing w:after="0" w:line="23" w:lineRule="exact"/>
        <w:rPr>
          <w:sz w:val="20"/>
          <w:szCs w:val="20"/>
          <w:color w:val="auto"/>
        </w:rPr>
      </w:pPr>
    </w:p>
    <w:p>
      <w:pPr>
        <w:ind w:left="180"/>
        <w:spacing w:after="0"/>
        <w:tabs>
          <w:tab w:leader="none" w:pos="1040" w:val="left"/>
        </w:tabs>
        <w:rPr>
          <w:sz w:val="20"/>
          <w:szCs w:val="20"/>
          <w:color w:val="auto"/>
        </w:rPr>
      </w:pPr>
      <w:r>
        <w:rPr>
          <w:rFonts w:ascii="Arial" w:cs="Arial" w:eastAsia="Arial" w:hAnsi="Arial"/>
          <w:sz w:val="12"/>
          <w:szCs w:val="12"/>
          <w:color w:val="auto"/>
        </w:rPr>
        <w:t>Number</w:t>
      </w:r>
      <w:r>
        <w:rPr>
          <w:sz w:val="20"/>
          <w:szCs w:val="20"/>
          <w:color w:val="auto"/>
        </w:rPr>
        <w:tab/>
      </w:r>
      <w:r>
        <w:rPr>
          <w:rFonts w:ascii="Arial" w:cs="Arial" w:eastAsia="Arial" w:hAnsi="Arial"/>
          <w:sz w:val="12"/>
          <w:szCs w:val="12"/>
          <w:color w:val="auto"/>
        </w:rPr>
        <w:t>Average</w:t>
      </w:r>
    </w:p>
    <w:p>
      <w:pPr>
        <w:spacing w:after="0" w:line="11" w:lineRule="exact"/>
        <w:rPr>
          <w:sz w:val="20"/>
          <w:szCs w:val="20"/>
          <w:color w:val="auto"/>
        </w:rPr>
      </w:pPr>
    </w:p>
    <w:p>
      <w:pPr>
        <w:spacing w:after="0"/>
        <w:tabs>
          <w:tab w:leader="none" w:pos="1020" w:val="left"/>
        </w:tabs>
        <w:rPr>
          <w:sz w:val="20"/>
          <w:szCs w:val="20"/>
          <w:color w:val="auto"/>
        </w:rPr>
      </w:pPr>
      <w:r>
        <w:rPr>
          <w:rFonts w:ascii="Arial" w:cs="Arial" w:eastAsia="Arial" w:hAnsi="Arial"/>
          <w:sz w:val="12"/>
          <w:szCs w:val="12"/>
          <w:color w:val="auto"/>
        </w:rPr>
        <w:t>Exercisable</w:t>
      </w:r>
      <w:r>
        <w:rPr>
          <w:sz w:val="20"/>
          <w:szCs w:val="20"/>
          <w:color w:val="auto"/>
        </w:rPr>
        <w:tab/>
      </w:r>
      <w:r>
        <w:rPr>
          <w:rFonts w:ascii="Arial" w:cs="Arial" w:eastAsia="Arial" w:hAnsi="Arial"/>
          <w:sz w:val="12"/>
          <w:szCs w:val="12"/>
          <w:color w:val="auto"/>
        </w:rPr>
        <w:t>Exercise</w:t>
      </w:r>
    </w:p>
    <w:p>
      <w:pPr>
        <w:spacing w:after="0" w:line="11" w:lineRule="exact"/>
        <w:rPr>
          <w:sz w:val="20"/>
          <w:szCs w:val="20"/>
          <w:color w:val="auto"/>
        </w:rPr>
      </w:pPr>
    </w:p>
    <w:p>
      <w:pPr>
        <w:spacing w:after="0"/>
        <w:tabs>
          <w:tab w:leader="none" w:pos="1200" w:val="left"/>
        </w:tabs>
        <w:rPr>
          <w:sz w:val="20"/>
          <w:szCs w:val="20"/>
          <w:color w:val="auto"/>
        </w:rPr>
      </w:pPr>
      <w:r>
        <w:rPr>
          <w:rFonts w:ascii="Arial" w:cs="Arial" w:eastAsia="Arial" w:hAnsi="Arial"/>
          <w:sz w:val="12"/>
          <w:szCs w:val="12"/>
          <w:color w:val="auto"/>
        </w:rPr>
        <w:t>(thousands)</w:t>
      </w:r>
      <w:r>
        <w:rPr>
          <w:sz w:val="20"/>
          <w:szCs w:val="20"/>
          <w:color w:val="auto"/>
        </w:rPr>
        <w:tab/>
      </w:r>
      <w:r>
        <w:rPr>
          <w:rFonts w:ascii="Arial" w:cs="Arial" w:eastAsia="Arial" w:hAnsi="Arial"/>
          <w:sz w:val="12"/>
          <w:szCs w:val="12"/>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0204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300"/>
        <w:spacing w:after="0"/>
        <w:tabs>
          <w:tab w:leader="none" w:pos="940" w:val="left"/>
          <w:tab w:leader="none" w:pos="1160" w:val="left"/>
        </w:tabs>
        <w:rPr>
          <w:sz w:val="20"/>
          <w:szCs w:val="20"/>
          <w:color w:val="auto"/>
        </w:rPr>
      </w:pPr>
      <w:r>
        <w:rPr>
          <w:rFonts w:ascii="Arial" w:cs="Arial" w:eastAsia="Arial" w:hAnsi="Arial"/>
          <w:sz w:val="14"/>
          <w:szCs w:val="14"/>
          <w:color w:val="auto"/>
        </w:rPr>
        <w:t>1,217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46.02</w:t>
      </w:r>
    </w:p>
    <w:p>
      <w:pPr>
        <w:ind w:left="1180" w:hanging="708"/>
        <w:spacing w:after="0"/>
        <w:tabs>
          <w:tab w:leader="none" w:pos="11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56.24</w:t>
      </w:r>
    </w:p>
    <w:p>
      <w:pPr>
        <w:ind w:left="1180" w:hanging="780"/>
        <w:spacing w:after="0"/>
        <w:tabs>
          <w:tab w:leader="none" w:pos="11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66.26</w:t>
      </w:r>
    </w:p>
    <w:p>
      <w:pPr>
        <w:ind w:left="300"/>
        <w:spacing w:after="0"/>
        <w:tabs>
          <w:tab w:leader="none" w:pos="1160" w:val="left"/>
        </w:tabs>
        <w:rPr>
          <w:sz w:val="20"/>
          <w:szCs w:val="20"/>
          <w:color w:val="auto"/>
        </w:rPr>
      </w:pPr>
      <w:r>
        <w:rPr>
          <w:rFonts w:ascii="Arial" w:cs="Arial" w:eastAsia="Arial" w:hAnsi="Arial"/>
          <w:sz w:val="13"/>
          <w:szCs w:val="13"/>
          <w:color w:val="auto"/>
        </w:rPr>
        <w:t>4,114</w:t>
      </w:r>
      <w:r>
        <w:rPr>
          <w:sz w:val="20"/>
          <w:szCs w:val="20"/>
          <w:color w:val="auto"/>
        </w:rPr>
        <w:tab/>
      </w:r>
      <w:r>
        <w:rPr>
          <w:rFonts w:ascii="Arial" w:cs="Arial" w:eastAsia="Arial" w:hAnsi="Arial"/>
          <w:sz w:val="13"/>
          <w:szCs w:val="13"/>
          <w:color w:val="auto"/>
        </w:rPr>
        <w:t>79.11</w:t>
      </w:r>
    </w:p>
    <w:p>
      <w:pPr>
        <w:ind w:left="220"/>
        <w:spacing w:after="0"/>
        <w:tabs>
          <w:tab w:leader="none" w:pos="1160" w:val="left"/>
        </w:tabs>
        <w:rPr>
          <w:sz w:val="20"/>
          <w:szCs w:val="20"/>
          <w:color w:val="auto"/>
        </w:rPr>
      </w:pPr>
      <w:r>
        <w:rPr>
          <w:rFonts w:ascii="Arial" w:cs="Arial" w:eastAsia="Arial" w:hAnsi="Arial"/>
          <w:sz w:val="13"/>
          <w:szCs w:val="13"/>
          <w:color w:val="auto"/>
        </w:rPr>
        <w:t>11,392</w:t>
      </w:r>
      <w:r>
        <w:rPr>
          <w:sz w:val="20"/>
          <w:szCs w:val="20"/>
          <w:color w:val="auto"/>
        </w:rPr>
        <w:tab/>
      </w:r>
      <w:r>
        <w:rPr>
          <w:rFonts w:ascii="Arial" w:cs="Arial" w:eastAsia="Arial" w:hAnsi="Arial"/>
          <w:sz w:val="13"/>
          <w:szCs w:val="13"/>
          <w:color w:val="auto"/>
        </w:rPr>
        <w:t>86.93</w:t>
      </w:r>
    </w:p>
    <w:p>
      <w:pPr>
        <w:ind w:left="300"/>
        <w:spacing w:after="0"/>
        <w:tabs>
          <w:tab w:leader="none" w:pos="1160" w:val="left"/>
        </w:tabs>
        <w:rPr>
          <w:sz w:val="20"/>
          <w:szCs w:val="20"/>
          <w:color w:val="auto"/>
        </w:rPr>
      </w:pPr>
      <w:r>
        <w:rPr>
          <w:rFonts w:ascii="Arial" w:cs="Arial" w:eastAsia="Arial" w:hAnsi="Arial"/>
          <w:sz w:val="13"/>
          <w:szCs w:val="13"/>
          <w:color w:val="auto"/>
        </w:rPr>
        <w:t>3,848</w:t>
      </w:r>
      <w:r>
        <w:rPr>
          <w:sz w:val="20"/>
          <w:szCs w:val="20"/>
          <w:color w:val="auto"/>
        </w:rPr>
        <w:tab/>
      </w:r>
      <w:r>
        <w:rPr>
          <w:rFonts w:ascii="Arial" w:cs="Arial" w:eastAsia="Arial" w:hAnsi="Arial"/>
          <w:sz w:val="13"/>
          <w:szCs w:val="13"/>
          <w:color w:val="auto"/>
        </w:rPr>
        <w:t>91.61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0204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 w:lineRule="exact"/>
        <w:rPr>
          <w:sz w:val="20"/>
          <w:szCs w:val="20"/>
          <w:color w:val="auto"/>
        </w:rPr>
      </w:pPr>
    </w:p>
    <w:p>
      <w:pPr>
        <w:ind w:left="220"/>
        <w:spacing w:after="0"/>
        <w:tabs>
          <w:tab w:leader="none" w:pos="940" w:val="left"/>
          <w:tab w:leader="none" w:pos="1160" w:val="left"/>
        </w:tabs>
        <w:rPr>
          <w:sz w:val="20"/>
          <w:szCs w:val="20"/>
          <w:color w:val="auto"/>
        </w:rPr>
      </w:pPr>
      <w:r>
        <w:rPr>
          <w:rFonts w:ascii="Arial" w:cs="Arial" w:eastAsia="Arial" w:hAnsi="Arial"/>
          <w:sz w:val="14"/>
          <w:szCs w:val="14"/>
          <w:color w:val="auto"/>
        </w:rPr>
        <w:t>21,277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83.23</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5"/>
          <w:szCs w:val="15"/>
          <w:color w:val="auto"/>
        </w:rPr>
        <w:t>the guaranteed parties and in connection with company marketing programs. No amounts of the company’s obligations under these guarantees are recorded as liabilities. About 75 percent of the total amounts guaranteed will expire in 2004, with the remainder expiring after 2004. The company would be required to perform under the terms of the guarantees should an entity be in default of its loan or contract terms, generally for the full amounts disclosed. Approximately $100 of the guarantees have recourse provisions, which enable the company to recover any payments made under the terms of the guarantees from securities held over the guaranteed parties’ assets.</w:t>
      </w:r>
    </w:p>
    <w:p>
      <w:pPr>
        <w:spacing w:after="0" w:line="4" w:lineRule="exact"/>
        <w:rPr>
          <w:sz w:val="20"/>
          <w:szCs w:val="20"/>
          <w:color w:val="auto"/>
        </w:rPr>
      </w:pPr>
    </w:p>
    <w:p>
      <w:pPr>
        <w:ind w:right="420" w:firstLine="194"/>
        <w:spacing w:after="0" w:line="313" w:lineRule="auto"/>
        <w:rPr>
          <w:sz w:val="20"/>
          <w:szCs w:val="20"/>
          <w:color w:val="auto"/>
        </w:rPr>
      </w:pPr>
      <w:r>
        <w:rPr>
          <w:rFonts w:ascii="Arial" w:cs="Arial" w:eastAsia="Arial" w:hAnsi="Arial"/>
          <w:sz w:val="14"/>
          <w:szCs w:val="14"/>
          <w:color w:val="auto"/>
        </w:rPr>
        <w:t>At December 31, 2003, ChevronTexaco had outstanding guarantees for approximately $238 of Equilon debt and leases. Following the February 2002</w:t>
      </w:r>
    </w:p>
    <w:p>
      <w:pPr>
        <w:spacing w:after="0" w:line="1" w:lineRule="exact"/>
        <w:rPr>
          <w:sz w:val="20"/>
          <w:szCs w:val="20"/>
          <w:color w:val="auto"/>
        </w:rPr>
      </w:pPr>
    </w:p>
    <w:p>
      <w:pPr>
        <w:sectPr>
          <w:pgSz w:w="11900" w:h="16838" w:orient="portrait"/>
          <w:cols w:equalWidth="0" w:num="3">
            <w:col w:w="3620" w:space="260"/>
            <w:col w:w="1520" w:space="480"/>
            <w:col w:w="5440"/>
          </w:cols>
          <w:pgMar w:left="240" w:top="419"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0070FF"/>
        </w:rPr>
        <w:t>NOTE 23.</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OTHER CONTINGENCIES AND COMMITMENTS</w:t>
      </w:r>
    </w:p>
    <w:p>
      <w:pPr>
        <w:spacing w:after="0" w:line="155" w:lineRule="exact"/>
        <w:rPr>
          <w:sz w:val="20"/>
          <w:szCs w:val="20"/>
          <w:color w:val="auto"/>
        </w:rPr>
      </w:pPr>
    </w:p>
    <w:p>
      <w:pPr>
        <w:spacing w:after="0" w:line="308" w:lineRule="auto"/>
        <w:rPr>
          <w:sz w:val="20"/>
          <w:szCs w:val="20"/>
          <w:color w:val="auto"/>
        </w:rPr>
      </w:pPr>
      <w:r>
        <w:rPr>
          <w:rFonts w:ascii="Arial" w:cs="Arial" w:eastAsia="Arial" w:hAnsi="Arial"/>
          <w:sz w:val="14"/>
          <w:szCs w:val="14"/>
          <w:color w:val="F20000"/>
        </w:rPr>
        <w:t xml:space="preserve">Income Taxes </w:t>
      </w:r>
      <w:r>
        <w:rPr>
          <w:rFonts w:ascii="Arial" w:cs="Arial" w:eastAsia="Arial" w:hAnsi="Arial"/>
          <w:sz w:val="14"/>
          <w:szCs w:val="14"/>
          <w:color w:val="000000"/>
        </w:rPr>
        <w:t>The company estimates its income tax expense and liabilities</w:t>
      </w:r>
      <w:r>
        <w:rPr>
          <w:rFonts w:ascii="Arial" w:cs="Arial" w:eastAsia="Arial" w:hAnsi="Arial"/>
          <w:sz w:val="14"/>
          <w:szCs w:val="14"/>
          <w:color w:val="F20000"/>
        </w:rPr>
        <w:t xml:space="preserve"> </w:t>
      </w:r>
      <w:r>
        <w:rPr>
          <w:rFonts w:ascii="Arial" w:cs="Arial" w:eastAsia="Arial" w:hAnsi="Arial"/>
          <w:sz w:val="14"/>
          <w:szCs w:val="14"/>
          <w:color w:val="000000"/>
        </w:rPr>
        <w:t>annually. These liabilities generally are not finalized with the individual taxing authorities until several years after the end of the annual period for which income taxes have been estimated. The U.S. federal income tax liabilities have been settled through 1996 for ChevronTexaco (formerly Chevron), 1993 for ChevronTexaco Global Energy Inc. (formerly Caltex), and 1991 for Texaco. California franchise tax liabilities have been settled through 1991 for Chevron and 1987 for Texaco. Settlement of open tax years, as well as tax issues in other countries where the company conducts its businesses, is not expected to have a material effect on the consolidated financial position or liquidity of the company, and in the opinion of management, adequate provision has been made for income and franchise taxes for all years under examination or subject to future examination.</w:t>
      </w:r>
    </w:p>
    <w:p>
      <w:pPr>
        <w:spacing w:after="0" w:line="154" w:lineRule="exact"/>
        <w:rPr>
          <w:sz w:val="20"/>
          <w:szCs w:val="20"/>
          <w:color w:val="auto"/>
        </w:rPr>
      </w:pPr>
    </w:p>
    <w:p>
      <w:pPr>
        <w:ind w:right="60" w:firstLine="203"/>
        <w:spacing w:after="0" w:line="302" w:lineRule="auto"/>
        <w:rPr>
          <w:sz w:val="20"/>
          <w:szCs w:val="20"/>
          <w:color w:val="auto"/>
        </w:rPr>
      </w:pPr>
      <w:r>
        <w:rPr>
          <w:rFonts w:ascii="Arial" w:cs="Arial" w:eastAsia="Arial" w:hAnsi="Arial"/>
          <w:sz w:val="14"/>
          <w:szCs w:val="14"/>
          <w:color w:val="F20000"/>
        </w:rPr>
        <w:t xml:space="preserve">Guarantees </w:t>
      </w:r>
      <w:r>
        <w:rPr>
          <w:rFonts w:ascii="Arial" w:cs="Arial" w:eastAsia="Arial" w:hAnsi="Arial"/>
          <w:sz w:val="14"/>
          <w:szCs w:val="14"/>
          <w:color w:val="000000"/>
        </w:rPr>
        <w:t>At December 31, 2003, the company and its subsidiaries provided</w:t>
      </w:r>
      <w:r>
        <w:rPr>
          <w:rFonts w:ascii="Arial" w:cs="Arial" w:eastAsia="Arial" w:hAnsi="Arial"/>
          <w:sz w:val="14"/>
          <w:szCs w:val="14"/>
          <w:color w:val="F20000"/>
        </w:rPr>
        <w:t xml:space="preserve"> </w:t>
      </w:r>
      <w:r>
        <w:rPr>
          <w:rFonts w:ascii="Arial" w:cs="Arial" w:eastAsia="Arial" w:hAnsi="Arial"/>
          <w:sz w:val="14"/>
          <w:szCs w:val="14"/>
          <w:color w:val="000000"/>
        </w:rPr>
        <w:t>guarantees, either directly or indirectly, of $917 for notes and other contractual obligations of affiliated companies and $256 for third parties, as discussed, by major category, below. There are no amounts being carried as liabilities for the company’s obligations under these guarantees. Of the $917 guarantees provided to affiliates, $716 related to borrowings for capital projects or general corporate purposes. These guarantees were undertaken to achieve lower interest rates and generally cover the construction period of the capital projects. Approximately</w:t>
      </w:r>
    </w:p>
    <w:p>
      <w:pPr>
        <w:spacing w:after="0" w:line="4"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75 percent of the amounts guaranteed will expire in 2004, with the remaining guarantees expiring by the end of 2015. Under the terms of the guarantees, the company would be required to fulfill the guarantee should an affiliate be in default of its loan terms, generally for the full amounts disclosed. There are no recourse provisions, and no assets are held as collateral for these guarantees.</w:t>
      </w:r>
    </w:p>
    <w:p>
      <w:pPr>
        <w:spacing w:after="0" w:line="3" w:lineRule="exact"/>
        <w:rPr>
          <w:sz w:val="20"/>
          <w:szCs w:val="20"/>
          <w:color w:val="auto"/>
        </w:rPr>
      </w:pPr>
    </w:p>
    <w:p>
      <w:pPr>
        <w:ind w:firstLine="194"/>
        <w:spacing w:after="0" w:line="290" w:lineRule="auto"/>
        <w:rPr>
          <w:sz w:val="20"/>
          <w:szCs w:val="20"/>
          <w:color w:val="auto"/>
        </w:rPr>
      </w:pPr>
      <w:r>
        <w:rPr>
          <w:rFonts w:ascii="Arial" w:cs="Arial" w:eastAsia="Arial" w:hAnsi="Arial"/>
          <w:sz w:val="15"/>
          <w:szCs w:val="15"/>
          <w:color w:val="auto"/>
        </w:rPr>
        <w:t>Another $201 of the affiliate guarantees related to obligations in connection with pricing of power purchase agreements for certain of the company’s cogeneration affiliates. Under the terms of these guarantees, the company may be required to make payments under certain conditions if the affiliates do not perform under the agreements. There are no provisions for recourse to third parties, and no assets are held as collateral for these pricing guarantees.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5"/>
          <w:szCs w:val="15"/>
          <w:color w:val="auto"/>
        </w:rPr>
        <w:t>disposition of its interest in Equilon, the company received an indemnification from Shell Oil Company for any claims arising from the guarantees. The company has not recorded a liability for these guarantees. Approximately 50 percent of the amounts guaranteed will expire within the 2004-2008 period, with the guarantees of the remaining amounts expiring by 2019.</w:t>
      </w:r>
    </w:p>
    <w:p>
      <w:pPr>
        <w:spacing w:after="0" w:line="167" w:lineRule="exact"/>
        <w:rPr>
          <w:sz w:val="20"/>
          <w:szCs w:val="20"/>
          <w:color w:val="auto"/>
        </w:rPr>
      </w:pPr>
    </w:p>
    <w:p>
      <w:pPr>
        <w:ind w:firstLine="203"/>
        <w:spacing w:after="0" w:line="306" w:lineRule="auto"/>
        <w:rPr>
          <w:sz w:val="20"/>
          <w:szCs w:val="20"/>
          <w:color w:val="auto"/>
        </w:rPr>
      </w:pPr>
      <w:r>
        <w:rPr>
          <w:rFonts w:ascii="Arial" w:cs="Arial" w:eastAsia="Arial" w:hAnsi="Arial"/>
          <w:sz w:val="14"/>
          <w:szCs w:val="14"/>
          <w:color w:val="F20000"/>
        </w:rPr>
        <w:t xml:space="preserve">Indemnities </w:t>
      </w:r>
      <w:r>
        <w:rPr>
          <w:rFonts w:ascii="Arial" w:cs="Arial" w:eastAsia="Arial" w:hAnsi="Arial"/>
          <w:sz w:val="14"/>
          <w:szCs w:val="14"/>
          <w:color w:val="000000"/>
        </w:rPr>
        <w:t>The company also provided certain indemnities of contingent</w:t>
      </w:r>
      <w:r>
        <w:rPr>
          <w:rFonts w:ascii="Arial" w:cs="Arial" w:eastAsia="Arial" w:hAnsi="Arial"/>
          <w:sz w:val="14"/>
          <w:szCs w:val="14"/>
          <w:color w:val="F20000"/>
        </w:rPr>
        <w:t xml:space="preserve"> </w:t>
      </w:r>
      <w:r>
        <w:rPr>
          <w:rFonts w:ascii="Arial" w:cs="Arial" w:eastAsia="Arial" w:hAnsi="Arial"/>
          <w:sz w:val="14"/>
          <w:szCs w:val="14"/>
          <w:color w:val="000000"/>
        </w:rPr>
        <w:t xml:space="preserve">liabilities of Equilon and Motiva to Shell Oil Company (Shell) and Saudi Refining Inc. in connection with the February 2002 sale of the company’s interests in those investments. The indemnities cover general contingent liabilities, including those associated with the Unocal patent litigation. The company would be required to perform should the indemnified liabilities become actual losses and could be required to make maximum future payments of $300. The company has paid approximately $28 under these contingencies and has disputed approximately $34 in claims submitted by Shell under these indemnities. Shell requested arbitration of this dispute, and it is expected to occur in mid-2004. There are no recourse provisions enabling recovery of any amounts from third parties nor are any assets held as collateral. Within five years of the February 2002 sale, at the buyer’s option, the company also may be required to purchase certain assets from Shell for their net book value, as determined at the time of the company’s purchase. Those assets consist of 12 separate lubricant facilities, two of which were tendered to and purchased by the company in late 2003 for a </w:t>
      </w:r>
      <w:r>
        <w:rPr>
          <w:rFonts w:ascii="Arial" w:cs="Arial" w:eastAsia="Arial" w:hAnsi="Arial"/>
          <w:sz w:val="14"/>
          <w:szCs w:val="14"/>
          <w:i w:val="1"/>
          <w:iCs w:val="1"/>
          <w:color w:val="000000"/>
        </w:rPr>
        <w:t>de minimis</w:t>
      </w:r>
      <w:r>
        <w:rPr>
          <w:rFonts w:ascii="Arial" w:cs="Arial" w:eastAsia="Arial" w:hAnsi="Arial"/>
          <w:sz w:val="14"/>
          <w:szCs w:val="14"/>
          <w:color w:val="000000"/>
        </w:rPr>
        <w:t xml:space="preserve"> price.</w:t>
      </w:r>
    </w:p>
    <w:p>
      <w:pPr>
        <w:spacing w:after="0" w:line="166" w:lineRule="exact"/>
        <w:rPr>
          <w:sz w:val="20"/>
          <w:szCs w:val="20"/>
          <w:color w:val="auto"/>
        </w:rPr>
      </w:pPr>
    </w:p>
    <w:p>
      <w:pPr>
        <w:ind w:firstLine="200"/>
        <w:spacing w:after="0" w:line="307" w:lineRule="auto"/>
        <w:rPr>
          <w:sz w:val="20"/>
          <w:szCs w:val="20"/>
          <w:color w:val="auto"/>
        </w:rPr>
      </w:pPr>
      <w:r>
        <w:rPr>
          <w:rFonts w:ascii="Arial" w:cs="Arial" w:eastAsia="Arial" w:hAnsi="Arial"/>
          <w:sz w:val="14"/>
          <w:szCs w:val="14"/>
          <w:color w:val="auto"/>
        </w:rPr>
        <w:t>The company has also provided certain indemnities pertaining to the contingent environmental liabilities related to assets originally contributed by Texaco to the Equilon and Motiva joint ventures and environmental conditions that existed prior to the formation of Equilon and Motiva or that occurred during the periods of ChevronTexaco’s ownership interests in the joint ventures. In general, the environmental conditions and events that are subject to these indemnities must have arisen prior to December 2001. Claims relating to Equilon must be asserted no later than February 2009, and claims relating to Motiva must be asserted no later than February 2012. Under the terms of the indemnities, there is no maximum limit on the amount of potential future payments. The company has not recorded any liabilities for possible claims under these indemnities. The company holds no assets as collateral and has made no payments under the indemnities.</w:t>
      </w:r>
    </w:p>
    <w:p>
      <w:pPr>
        <w:spacing w:after="0" w:line="356" w:lineRule="exact"/>
        <w:rPr>
          <w:sz w:val="20"/>
          <w:szCs w:val="20"/>
          <w:color w:val="auto"/>
        </w:rPr>
      </w:pPr>
    </w:p>
    <w:p>
      <w:pPr>
        <w:sectPr>
          <w:pgSz w:w="11900" w:h="16838" w:orient="portrait"/>
          <w:cols w:equalWidth="0" w:num="2">
            <w:col w:w="5440" w:space="440"/>
            <w:col w:w="5440"/>
          </w:cols>
          <w:pgMar w:left="240" w:top="419" w:right="339" w:bottom="1440" w:gutter="0" w:footer="0" w:header="0"/>
          <w:type w:val="continuous"/>
        </w:sect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FS-47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70FF"/>
        </w:rPr>
        <w:t>NOTE 23. OTHER CONTINGENCIES AND COMMITMENTS — Continued</w:t>
      </w:r>
    </w:p>
    <w:p>
      <w:pPr>
        <w:spacing w:after="0" w:line="181" w:lineRule="exact"/>
        <w:rPr>
          <w:sz w:val="20"/>
          <w:szCs w:val="20"/>
          <w:color w:val="auto"/>
        </w:rPr>
      </w:pPr>
    </w:p>
    <w:p>
      <w:pPr>
        <w:ind w:right="40" w:firstLine="200"/>
        <w:spacing w:after="0" w:line="335" w:lineRule="auto"/>
        <w:rPr>
          <w:sz w:val="20"/>
          <w:szCs w:val="20"/>
          <w:color w:val="auto"/>
        </w:rPr>
      </w:pPr>
      <w:r>
        <w:rPr>
          <w:rFonts w:ascii="Arial" w:cs="Arial" w:eastAsia="Arial" w:hAnsi="Arial"/>
          <w:sz w:val="14"/>
          <w:szCs w:val="14"/>
          <w:color w:val="auto"/>
        </w:rPr>
        <w:t>The amounts payable for the indemnities described above are to be net of amounts recovered from insurance carriers and others and net of liabilities recorded by Equilon or Motiva prior to September 30, 2001, for any specific incident.</w:t>
      </w:r>
    </w:p>
    <w:p>
      <w:pPr>
        <w:spacing w:after="0" w:line="136" w:lineRule="exact"/>
        <w:rPr>
          <w:sz w:val="20"/>
          <w:szCs w:val="20"/>
          <w:color w:val="auto"/>
        </w:rPr>
      </w:pPr>
    </w:p>
    <w:p>
      <w:pPr>
        <w:ind w:right="40" w:firstLine="203"/>
        <w:spacing w:after="0" w:line="309" w:lineRule="auto"/>
        <w:rPr>
          <w:sz w:val="20"/>
          <w:szCs w:val="20"/>
          <w:color w:val="auto"/>
        </w:rPr>
      </w:pPr>
      <w:r>
        <w:rPr>
          <w:rFonts w:ascii="Arial" w:cs="Arial" w:eastAsia="Arial" w:hAnsi="Arial"/>
          <w:sz w:val="14"/>
          <w:szCs w:val="14"/>
          <w:color w:val="F20000"/>
        </w:rPr>
        <w:t xml:space="preserve">Securitization </w:t>
      </w:r>
      <w:r>
        <w:rPr>
          <w:rFonts w:ascii="Arial" w:cs="Arial" w:eastAsia="Arial" w:hAnsi="Arial"/>
          <w:sz w:val="14"/>
          <w:szCs w:val="14"/>
          <w:color w:val="000000"/>
        </w:rPr>
        <w:t>The company securitizes certain retail and trade accounts</w:t>
      </w:r>
      <w:r>
        <w:rPr>
          <w:rFonts w:ascii="Arial" w:cs="Arial" w:eastAsia="Arial" w:hAnsi="Arial"/>
          <w:sz w:val="14"/>
          <w:szCs w:val="14"/>
          <w:color w:val="F20000"/>
        </w:rPr>
        <w:t xml:space="preserve"> </w:t>
      </w:r>
      <w:r>
        <w:rPr>
          <w:rFonts w:ascii="Arial" w:cs="Arial" w:eastAsia="Arial" w:hAnsi="Arial"/>
          <w:sz w:val="14"/>
          <w:szCs w:val="14"/>
          <w:color w:val="000000"/>
        </w:rPr>
        <w:t>receivable in its downstream business through the use of qualifying special purpose entities (SPEs). At December 31, 2003, approximately $1,000, representing about 11 percent of ChevronTexaco’s total current accounts receivables balance, were securitized. ChevronTexaco’s total estimated financial exposure under these arrangements at December 31, 2003, was approximately $75. These arrangements have the effect of accelerating ChevronTexaco’s collection of the securitized amounts. In the event of the SPEs experiencing major defaults in the collection of receivables, ChevronTexaco believes that it would have no loss exposure connected with third-party investments in these securitization arrangements.</w:t>
      </w:r>
    </w:p>
    <w:p>
      <w:pPr>
        <w:spacing w:after="0" w:line="167" w:lineRule="exact"/>
        <w:rPr>
          <w:sz w:val="20"/>
          <w:szCs w:val="20"/>
          <w:color w:val="auto"/>
        </w:rPr>
      </w:pPr>
    </w:p>
    <w:p>
      <w:pPr>
        <w:ind w:right="20" w:firstLine="203"/>
        <w:spacing w:after="0" w:line="283" w:lineRule="auto"/>
        <w:rPr>
          <w:sz w:val="20"/>
          <w:szCs w:val="20"/>
          <w:color w:val="auto"/>
        </w:rPr>
      </w:pPr>
      <w:r>
        <w:rPr>
          <w:rFonts w:ascii="Arial" w:cs="Arial" w:eastAsia="Arial" w:hAnsi="Arial"/>
          <w:sz w:val="15"/>
          <w:szCs w:val="15"/>
          <w:color w:val="F20000"/>
        </w:rPr>
        <w:t xml:space="preserve">Long-Term Unconditional Purchase Obligations and Commitments, Throughput Agreements, and Take-or-Pay Agreements </w:t>
      </w:r>
      <w:r>
        <w:rPr>
          <w:rFonts w:ascii="Arial" w:cs="Arial" w:eastAsia="Arial" w:hAnsi="Arial"/>
          <w:sz w:val="15"/>
          <w:szCs w:val="15"/>
          <w:color w:val="000000"/>
        </w:rPr>
        <w:t>The company and its</w:t>
      </w:r>
      <w:r>
        <w:rPr>
          <w:rFonts w:ascii="Arial" w:cs="Arial" w:eastAsia="Arial" w:hAnsi="Arial"/>
          <w:sz w:val="15"/>
          <w:szCs w:val="15"/>
          <w:color w:val="F20000"/>
        </w:rPr>
        <w:t xml:space="preserve"> </w:t>
      </w:r>
      <w:r>
        <w:rPr>
          <w:rFonts w:ascii="Arial" w:cs="Arial" w:eastAsia="Arial" w:hAnsi="Arial"/>
          <w:sz w:val="15"/>
          <w:szCs w:val="15"/>
          <w:color w:val="000000"/>
        </w:rPr>
        <w:t>subsidiaries have certain other contingent liabilities relating to long-term unconditional purchase obligations and commitments, throughput agreements, and take-or-pay agreements, some of which relate to suppliers’ financing arrangements. The agreements typically provide goods and services, such as pipeline and storage capacity, utilities, and petroleum products, to be used or sold in the ordinary course of the company’s business. The aggregate amounts of required payments under these various commitments are 2004 — $1,200; 2005 — $1,100; 2006 — $1,000; 2007 — $1,000; 2008 — $1,000; 2009 and after — $1,900. Total payments under the agreements were $1,400 in 2003, $1,200 in 2002 and $1,500 in 2001. The most significant take-or-pay agreement calls for the company to purchase approximately 55,000 barrels per day of refined products from an equity affiliate refiner in Thailand. This purchase agreement is in conjunction with the financing of a refinery owned by the affiliate and expires in 2009. The future estimated commitments under this contract are: 2004 — $700; 2005 — $800; 2006 — $800; 2007 — $800; 2008 — $800 and 2009 — $800.</w:t>
      </w:r>
    </w:p>
    <w:p>
      <w:pPr>
        <w:spacing w:after="0" w:line="177" w:lineRule="exact"/>
        <w:rPr>
          <w:sz w:val="20"/>
          <w:szCs w:val="20"/>
          <w:color w:val="auto"/>
        </w:rPr>
      </w:pPr>
    </w:p>
    <w:p>
      <w:pPr>
        <w:ind w:right="20" w:firstLine="203"/>
        <w:spacing w:after="0" w:line="311" w:lineRule="auto"/>
        <w:rPr>
          <w:sz w:val="20"/>
          <w:szCs w:val="20"/>
          <w:color w:val="auto"/>
        </w:rPr>
      </w:pPr>
      <w:r>
        <w:rPr>
          <w:rFonts w:ascii="Arial" w:cs="Arial" w:eastAsia="Arial" w:hAnsi="Arial"/>
          <w:sz w:val="14"/>
          <w:szCs w:val="14"/>
          <w:color w:val="F20000"/>
        </w:rPr>
        <w:t xml:space="preserve">Minority Interests </w:t>
      </w:r>
      <w:r>
        <w:rPr>
          <w:rFonts w:ascii="Arial" w:cs="Arial" w:eastAsia="Arial" w:hAnsi="Arial"/>
          <w:sz w:val="14"/>
          <w:szCs w:val="14"/>
          <w:color w:val="000000"/>
        </w:rPr>
        <w:t>The company has commitments related to preferred shares of</w:t>
      </w:r>
      <w:r>
        <w:rPr>
          <w:rFonts w:ascii="Arial" w:cs="Arial" w:eastAsia="Arial" w:hAnsi="Arial"/>
          <w:sz w:val="14"/>
          <w:szCs w:val="14"/>
          <w:color w:val="F20000"/>
        </w:rPr>
        <w:t xml:space="preserve"> </w:t>
      </w:r>
      <w:r>
        <w:rPr>
          <w:rFonts w:ascii="Arial" w:cs="Arial" w:eastAsia="Arial" w:hAnsi="Arial"/>
          <w:sz w:val="14"/>
          <w:szCs w:val="14"/>
          <w:color w:val="000000"/>
        </w:rPr>
        <w:t>subsidiary companies, which are accounted for as minority interest. Texaco Capital LLC, a wholly owned finance subsidiary, has issued $65 of Deferred Preferred Shares, Series C. Dividends amounting to $60 on Series C, at a rate of 7.17 percent compounded annually, will be paid at the redemption date in February 2005, unless earlier redemption occurs. Early redemption may result upon the occurrence of certain specific events. MVP Production Inc., a subsidiary, redeemed variable rate cumulative preferred shares of $75 owned by one minority holder during 2003.</w:t>
      </w:r>
    </w:p>
    <w:p>
      <w:pPr>
        <w:spacing w:after="0" w:line="154" w:lineRule="exact"/>
        <w:rPr>
          <w:sz w:val="20"/>
          <w:szCs w:val="20"/>
          <w:color w:val="auto"/>
        </w:rPr>
      </w:pPr>
    </w:p>
    <w:p>
      <w:pPr>
        <w:ind w:firstLine="203"/>
        <w:spacing w:after="0" w:line="297" w:lineRule="auto"/>
        <w:rPr>
          <w:sz w:val="20"/>
          <w:szCs w:val="20"/>
          <w:color w:val="auto"/>
        </w:rPr>
      </w:pPr>
      <w:r>
        <w:rPr>
          <w:rFonts w:ascii="Arial" w:cs="Arial" w:eastAsia="Arial" w:hAnsi="Arial"/>
          <w:sz w:val="15"/>
          <w:szCs w:val="15"/>
          <w:color w:val="F20000"/>
        </w:rPr>
        <w:t xml:space="preserve">Environmental </w:t>
      </w:r>
      <w:r>
        <w:rPr>
          <w:rFonts w:ascii="Arial" w:cs="Arial" w:eastAsia="Arial" w:hAnsi="Arial"/>
          <w:sz w:val="15"/>
          <w:szCs w:val="15"/>
          <w:color w:val="000000"/>
        </w:rPr>
        <w:t>The company is subject to loss contingencies pursuant to</w:t>
      </w:r>
      <w:r>
        <w:rPr>
          <w:rFonts w:ascii="Arial" w:cs="Arial" w:eastAsia="Arial" w:hAnsi="Arial"/>
          <w:sz w:val="15"/>
          <w:szCs w:val="15"/>
          <w:color w:val="F20000"/>
        </w:rPr>
        <w:t xml:space="preserve"> </w:t>
      </w:r>
      <w:r>
        <w:rPr>
          <w:rFonts w:ascii="Arial" w:cs="Arial" w:eastAsia="Arial" w:hAnsi="Arial"/>
          <w:sz w:val="15"/>
          <w:szCs w:val="15"/>
          <w:color w:val="000000"/>
        </w:rPr>
        <w:t>environmental laws and regulations that in the future may require the company to take action to correct or ameliorate the effects on the environment of prior release of chemical or petroleum substances, including MTBE,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company or other parties. Such contingencies may exist for various sites, including but not limited to: Superfund sites and refineries, oil fields, service stations, terminals, and land development areas, whether operating, closed or sold. The amount of such future cost is indeterminable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 While the company has provided for known environmental obligations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 Also, the company does not believe its obligations to make such expenditures have had, or will have, any significant impact on the company’s competitive position relative to other U.S. or international petroleum or chemicals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-1986915</wp:posOffset>
            </wp:positionV>
            <wp:extent cx="8890" cy="6646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6646545"/>
                    </a:xfrm>
                    <a:prstGeom prst="rect">
                      <a:avLst/>
                    </a:prstGeom>
                    <a:noFill/>
                  </pic:spPr>
                </pic:pic>
              </a:graphicData>
            </a:graphic>
          </wp:anchor>
        </w:drawing>
      </w:r>
    </w:p>
    <w:p>
      <w:pPr>
        <w:spacing w:after="0" w:line="149"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F20000"/>
        </w:rPr>
        <w:t xml:space="preserve">Global Operations </w:t>
      </w:r>
      <w:r>
        <w:rPr>
          <w:rFonts w:ascii="Arial" w:cs="Arial" w:eastAsia="Arial" w:hAnsi="Arial"/>
          <w:sz w:val="14"/>
          <w:szCs w:val="14"/>
          <w:color w:val="000000"/>
        </w:rPr>
        <w:t>ChevronTexaco and its affiliates have operations in more than</w:t>
      </w:r>
      <w:r>
        <w:rPr>
          <w:rFonts w:ascii="Arial" w:cs="Arial" w:eastAsia="Arial" w:hAnsi="Arial"/>
          <w:sz w:val="14"/>
          <w:szCs w:val="14"/>
          <w:color w:val="F20000"/>
        </w:rPr>
        <w:t xml:space="preserve"> </w:t>
      </w:r>
      <w:r>
        <w:rPr>
          <w:rFonts w:ascii="Arial" w:cs="Arial" w:eastAsia="Arial" w:hAnsi="Arial"/>
          <w:sz w:val="14"/>
          <w:szCs w:val="14"/>
          <w:color w:val="000000"/>
        </w:rPr>
        <w:t>180 countries. Areas in which the company and its affiliates have major operations include the United States, Canada, Australia, the United Kingdom, Norway, Denmark, France, Partitioned Neutral Zone between Kuwait and Saudi Arabia, Republic of Congo, Angola, Nigeria, Chad, Equatorial Guinea, Democratic Republic of Congo, South Africa, Indonesia, the Philippines, Singapore, China, Thailand, Venezuela, Argentina, Brazil, Colombia, Trinidad and Tobago, and South Korea. The company’s Caspian Pipeline Consortium (CPC) affiliate operates in Russia and Kazakhstan. The company’s Tengizchevroil affiliate operates in Kazakhstan. The company’s Chevron Phillips Chemical Company LLC affiliate manufactures and markets a wide range of petrochemicals on a worldwide basis, with manufacturing facilities in the United States, Puerto Rico, Singapore, China, South Korea, Saudi Arabia, Qatar, Mexico and Belgium.</w:t>
      </w:r>
    </w:p>
    <w:p>
      <w:pPr>
        <w:spacing w:after="0" w:line="4" w:lineRule="exact"/>
        <w:rPr>
          <w:sz w:val="20"/>
          <w:szCs w:val="20"/>
          <w:color w:val="auto"/>
        </w:rPr>
      </w:pPr>
    </w:p>
    <w:p>
      <w:pPr>
        <w:ind w:firstLine="200"/>
        <w:spacing w:after="0" w:line="264" w:lineRule="auto"/>
        <w:rPr>
          <w:sz w:val="20"/>
          <w:szCs w:val="20"/>
          <w:color w:val="auto"/>
        </w:rPr>
      </w:pPr>
      <w:r>
        <w:rPr>
          <w:rFonts w:ascii="Arial" w:cs="Arial" w:eastAsia="Arial" w:hAnsi="Arial"/>
          <w:sz w:val="16"/>
          <w:szCs w:val="16"/>
          <w:color w:val="auto"/>
        </w:rPr>
        <w:t>The company’s operations, particularly exploration and production, can be affected by changing economic, regulatory and political environments in the various countries in which it operates, including the United States. As has occurred in the past, actions could be taken by host governments to increase public ownership of the company’s partially or wholly owned businesses and/or to impose additional taxes or royalties on the company’s operations.</w:t>
      </w:r>
    </w:p>
    <w:p>
      <w:pPr>
        <w:spacing w:after="0" w:line="1" w:lineRule="exact"/>
        <w:rPr>
          <w:sz w:val="20"/>
          <w:szCs w:val="20"/>
          <w:color w:val="auto"/>
        </w:rPr>
      </w:pPr>
    </w:p>
    <w:p>
      <w:pPr>
        <w:ind w:firstLine="203"/>
        <w:spacing w:after="0" w:line="287" w:lineRule="auto"/>
        <w:rPr>
          <w:sz w:val="20"/>
          <w:szCs w:val="20"/>
          <w:color w:val="auto"/>
        </w:rPr>
      </w:pPr>
      <w:r>
        <w:rPr>
          <w:rFonts w:ascii="Arial" w:cs="Arial" w:eastAsia="Arial" w:hAnsi="Arial"/>
          <w:sz w:val="15"/>
          <w:szCs w:val="15"/>
          <w:color w:val="auto"/>
        </w:rPr>
        <w:t>In certain locations, host governments have imposed restrictions, controls and taxes, and in others, political conditions have existed that may threaten the safety of employees and the company’s continued presence in those countries. Internal unrest or strained relations between a host government and the company or other governments may affect the company’s operations. Those developments have, at times, significantly affected the company’s related operations and results and are carefully considered by management when evaluating the level of current and future activity in such countries.</w:t>
      </w:r>
    </w:p>
    <w:p>
      <w:pPr>
        <w:spacing w:after="0" w:line="169" w:lineRule="exact"/>
        <w:rPr>
          <w:sz w:val="20"/>
          <w:szCs w:val="20"/>
          <w:color w:val="auto"/>
        </w:rPr>
      </w:pPr>
    </w:p>
    <w:p>
      <w:pPr>
        <w:ind w:firstLine="203"/>
        <w:spacing w:after="0" w:line="270" w:lineRule="auto"/>
        <w:rPr>
          <w:sz w:val="20"/>
          <w:szCs w:val="20"/>
          <w:color w:val="auto"/>
        </w:rPr>
      </w:pPr>
      <w:r>
        <w:rPr>
          <w:rFonts w:ascii="Arial" w:cs="Arial" w:eastAsia="Arial" w:hAnsi="Arial"/>
          <w:sz w:val="16"/>
          <w:szCs w:val="16"/>
          <w:color w:val="F20000"/>
        </w:rPr>
        <w:t xml:space="preserve">Equity Redetermination </w:t>
      </w:r>
      <w:r>
        <w:rPr>
          <w:rFonts w:ascii="Arial" w:cs="Arial" w:eastAsia="Arial" w:hAnsi="Arial"/>
          <w:sz w:val="16"/>
          <w:szCs w:val="16"/>
          <w:color w:val="000000"/>
        </w:rPr>
        <w:t>For oil and gas producing operations, ownership</w:t>
      </w:r>
      <w:r>
        <w:rPr>
          <w:rFonts w:ascii="Arial" w:cs="Arial" w:eastAsia="Arial" w:hAnsi="Arial"/>
          <w:sz w:val="16"/>
          <w:szCs w:val="16"/>
          <w:color w:val="F20000"/>
        </w:rPr>
        <w:t xml:space="preserve"> </w:t>
      </w:r>
      <w:r>
        <w:rPr>
          <w:rFonts w:ascii="Arial" w:cs="Arial" w:eastAsia="Arial" w:hAnsi="Arial"/>
          <w:sz w:val="16"/>
          <w:szCs w:val="16"/>
          <w:color w:val="000000"/>
        </w:rPr>
        <w:t>agreements may provide for periodic reassessments of equity interests in estimated oil and gas reserves. These activities, individually or together, may result in gains or losses that could be material to earnings in any given period. One such equity redetermination process has been under way since 1996 for ChevronTexaco’s interests in four producing zones at the</w:t>
      </w:r>
    </w:p>
    <w:p>
      <w:pPr>
        <w:spacing w:after="0" w:line="271" w:lineRule="exact"/>
        <w:rPr>
          <w:sz w:val="20"/>
          <w:szCs w:val="20"/>
          <w:color w:val="auto"/>
        </w:rPr>
      </w:pPr>
    </w:p>
    <w:p>
      <w:pPr>
        <w:sectPr>
          <w:pgSz w:w="11900" w:h="16838" w:orient="portrait"/>
          <w:cols w:equalWidth="0" w:num="2">
            <w:col w:w="5480" w:space="400"/>
            <w:col w:w="5460"/>
          </w:cols>
          <w:pgMar w:left="240" w:top="419" w:right="319" w:bottom="1440" w:gutter="0" w:footer="0" w:header="0"/>
        </w:sect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85" w:name="page86"/>
    <w:bookmarkEnd w:id="8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0070FF"/>
        </w:rPr>
        <w:t>NOTE 23. OTHER CONTINGENCIES AND COMMITMENTS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Naval Petroleum Reserve at Elk Hills, California, for the time when the remaining interests in these zones were owned by the U.S. Department of Energy. A wide range remains for a possible net settlement amount for the four zones. ChevronTexaco currently estimates its maximum possible net before-tax liability at approximately $200. At the same time, a possible maximum net amount that could be owed to ChevronTexaco is estimated at about $50. The timing of the settlement and the exact amount within this range of estimates is uncertain.</w:t>
      </w:r>
    </w:p>
    <w:p>
      <w:pPr>
        <w:spacing w:after="0" w:line="16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F20000"/>
        </w:rPr>
        <w:t xml:space="preserve">Other Contingencies </w:t>
      </w:r>
      <w:r>
        <w:rPr>
          <w:rFonts w:ascii="Arial" w:cs="Arial" w:eastAsia="Arial" w:hAnsi="Arial"/>
          <w:sz w:val="16"/>
          <w:szCs w:val="16"/>
          <w:color w:val="000000"/>
        </w:rPr>
        <w:t>ChevronTexaco receives claims from and submits claims to</w:t>
      </w:r>
      <w:r>
        <w:rPr>
          <w:rFonts w:ascii="Arial" w:cs="Arial" w:eastAsia="Arial" w:hAnsi="Arial"/>
          <w:sz w:val="16"/>
          <w:szCs w:val="16"/>
          <w:color w:val="F20000"/>
        </w:rPr>
        <w:t xml:space="preserve"> </w:t>
      </w:r>
      <w:r>
        <w:rPr>
          <w:rFonts w:ascii="Arial" w:cs="Arial" w:eastAsia="Arial" w:hAnsi="Arial"/>
          <w:sz w:val="16"/>
          <w:szCs w:val="16"/>
          <w:color w:val="000000"/>
        </w:rPr>
        <w:t>customers, trading partners, U.S. federal, state and local regulatory bodies, host governments, contractors, insurers, and suppliers. The amounts of these claims, individually and in the aggregate, may be significant and take lengthy periods to resolve.</w:t>
      </w:r>
    </w:p>
    <w:p>
      <w:pPr>
        <w:spacing w:after="0" w:line="1" w:lineRule="exact"/>
        <w:rPr>
          <w:sz w:val="20"/>
          <w:szCs w:val="20"/>
          <w:color w:val="auto"/>
        </w:rPr>
      </w:pPr>
    </w:p>
    <w:p>
      <w:pPr>
        <w:ind w:right="80" w:firstLine="200"/>
        <w:spacing w:after="0" w:line="276" w:lineRule="auto"/>
        <w:rPr>
          <w:sz w:val="20"/>
          <w:szCs w:val="20"/>
          <w:color w:val="auto"/>
        </w:rPr>
      </w:pPr>
      <w:r>
        <w:rPr>
          <w:rFonts w:ascii="Arial" w:cs="Arial" w:eastAsia="Arial" w:hAnsi="Arial"/>
          <w:sz w:val="16"/>
          <w:szCs w:val="16"/>
          <w:color w:val="auto"/>
        </w:rPr>
        <w:t>The company and its affiliates also continue to review and analyze their operations and may close, abandon, sell, exchange, acquire or restructure assets to achieve operational or strategic</w:t>
      </w:r>
    </w:p>
    <w:p>
      <w:pPr>
        <w:spacing w:after="0" w:line="200" w:lineRule="exact"/>
        <w:rPr>
          <w:sz w:val="20"/>
          <w:szCs w:val="20"/>
          <w:color w:val="auto"/>
        </w:rPr>
      </w:pP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right="720"/>
        <w:spacing w:after="0" w:line="369" w:lineRule="auto"/>
        <w:rPr>
          <w:sz w:val="20"/>
          <w:szCs w:val="20"/>
          <w:color w:val="auto"/>
        </w:rPr>
      </w:pPr>
      <w:r>
        <w:rPr>
          <w:rFonts w:ascii="Arial" w:cs="Arial" w:eastAsia="Arial" w:hAnsi="Arial"/>
          <w:sz w:val="14"/>
          <w:szCs w:val="14"/>
          <w:color w:val="auto"/>
        </w:rPr>
        <w:t>benefits and to improve competitiveness and profitability. These activities, individually or together, may result in gains or losses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-478790</wp:posOffset>
            </wp:positionV>
            <wp:extent cx="8890" cy="2332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23323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24.</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EARNINGS PER SHARE</w:t>
      </w:r>
    </w:p>
    <w:p>
      <w:pPr>
        <w:spacing w:after="0" w:line="155"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Basic earnings per share (EPS) is based upon net income less preferred stock dividend requirements and includes the effects of deferrals of salary and other compensation awards that are invested in ChevronTexaco stock units by certain officers and employees of the company and the company’s share of stock transactions of affiliates, which, under the applicable accounting rules may be recorded directly to the company’s retained earnings instead of net income. Diluted EPS includes the effects of these items as well as the dilutive effects of outstanding stock options awarded under the company’s stock option programs (see Note 22, “Stock Options” on pages FS-46 and FS-47). The following table sets forth the computation of basic and diluted EPS: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2020"/>
        <w:spacing w:after="0"/>
        <w:tabs>
          <w:tab w:leader="none" w:pos="5140" w:val="left"/>
        </w:tabs>
        <w:rPr>
          <w:sz w:val="20"/>
          <w:szCs w:val="20"/>
          <w:color w:val="auto"/>
        </w:rPr>
      </w:pPr>
      <w:r>
        <w:rPr>
          <w:rFonts w:ascii="Arial" w:cs="Arial" w:eastAsia="Arial" w:hAnsi="Arial"/>
          <w:sz w:val="14"/>
          <w:szCs w:val="14"/>
          <w:color w:val="auto"/>
        </w:rPr>
        <w:t>2002</w:t>
      </w:r>
      <w:r>
        <w:rPr>
          <w:sz w:val="20"/>
          <w:szCs w:val="20"/>
          <w:color w:val="auto"/>
        </w:rPr>
        <w:tab/>
      </w:r>
      <w:r>
        <w:rPr>
          <w:rFonts w:ascii="Arial" w:cs="Arial" w:eastAsia="Arial" w:hAnsi="Arial"/>
          <w:sz w:val="14"/>
          <w:szCs w:val="14"/>
          <w:color w:val="auto"/>
        </w:rPr>
        <w:t>2001</w:t>
      </w:r>
    </w:p>
    <w:p>
      <w:pPr>
        <w:spacing w:after="0" w:line="1" w:lineRule="exact"/>
        <w:rPr>
          <w:sz w:val="20"/>
          <w:szCs w:val="20"/>
          <w:color w:val="auto"/>
        </w:rPr>
      </w:pPr>
    </w:p>
    <w:p>
      <w:pPr>
        <w:sectPr>
          <w:pgSz w:w="11900" w:h="16838" w:orient="portrait"/>
          <w:cols w:equalWidth="0" w:num="2">
            <w:col w:w="5420" w:space="460"/>
            <w:col w:w="55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360" w:type="dxa"/>
            <w:vAlign w:val="bottom"/>
            <w:tcBorders>
              <w:top w:val="single" w:sz="8" w:color="0070FF"/>
            </w:tcBorders>
          </w:tcPr>
          <w:p>
            <w:pPr>
              <w:spacing w:after="0"/>
              <w:rPr>
                <w:sz w:val="11"/>
                <w:szCs w:val="11"/>
                <w:color w:val="auto"/>
              </w:rPr>
            </w:pPr>
          </w:p>
        </w:tc>
        <w:tc>
          <w:tcPr>
            <w:tcW w:w="340" w:type="dxa"/>
            <w:vAlign w:val="bottom"/>
            <w:tcBorders>
              <w:top w:val="single" w:sz="8" w:color="0070FF"/>
            </w:tcBorders>
          </w:tcPr>
          <w:p>
            <w:pPr>
              <w:spacing w:after="0"/>
              <w:rPr>
                <w:sz w:val="11"/>
                <w:szCs w:val="11"/>
                <w:color w:val="auto"/>
              </w:rPr>
            </w:pPr>
          </w:p>
        </w:tc>
        <w:tc>
          <w:tcPr>
            <w:tcW w:w="700" w:type="dxa"/>
            <w:vAlign w:val="bottom"/>
            <w:tcBorders>
              <w:top w:val="single" w:sz="8" w:color="0070FF"/>
            </w:tcBorders>
          </w:tcPr>
          <w:p>
            <w:pPr>
              <w:jc w:val="right"/>
              <w:ind w:right="189"/>
              <w:spacing w:after="0" w:line="131" w:lineRule="exact"/>
              <w:rPr>
                <w:sz w:val="20"/>
                <w:szCs w:val="20"/>
                <w:color w:val="auto"/>
              </w:rPr>
            </w:pPr>
            <w:r>
              <w:rPr>
                <w:rFonts w:ascii="Arial" w:cs="Arial" w:eastAsia="Arial" w:hAnsi="Arial"/>
                <w:sz w:val="14"/>
                <w:szCs w:val="14"/>
                <w:color w:val="auto"/>
              </w:rPr>
              <w:t>Net</w:t>
            </w:r>
          </w:p>
        </w:tc>
        <w:tc>
          <w:tcPr>
            <w:tcW w:w="920" w:type="dxa"/>
            <w:vAlign w:val="bottom"/>
            <w:tcBorders>
              <w:top w:val="single" w:sz="8" w:color="0070FF"/>
            </w:tcBorders>
          </w:tcPr>
          <w:p>
            <w:pPr>
              <w:jc w:val="right"/>
              <w:ind w:right="89"/>
              <w:spacing w:after="0" w:line="131" w:lineRule="exact"/>
              <w:rPr>
                <w:sz w:val="20"/>
                <w:szCs w:val="20"/>
                <w:color w:val="auto"/>
              </w:rPr>
            </w:pPr>
            <w:r>
              <w:rPr>
                <w:rFonts w:ascii="Arial" w:cs="Arial" w:eastAsia="Arial" w:hAnsi="Arial"/>
                <w:sz w:val="14"/>
                <w:szCs w:val="14"/>
                <w:color w:val="auto"/>
              </w:rPr>
              <w:t>Shares</w:t>
            </w:r>
          </w:p>
        </w:tc>
        <w:tc>
          <w:tcPr>
            <w:tcW w:w="1100" w:type="dxa"/>
            <w:vAlign w:val="bottom"/>
            <w:tcBorders>
              <w:top w:val="single" w:sz="8" w:color="0070FF"/>
            </w:tcBorders>
            <w:gridSpan w:val="2"/>
          </w:tcPr>
          <w:p>
            <w:pPr>
              <w:jc w:val="right"/>
              <w:ind w:right="289"/>
              <w:spacing w:after="0" w:line="131" w:lineRule="exact"/>
              <w:rPr>
                <w:sz w:val="20"/>
                <w:szCs w:val="20"/>
                <w:color w:val="auto"/>
              </w:rPr>
            </w:pPr>
            <w:r>
              <w:rPr>
                <w:rFonts w:ascii="Arial" w:cs="Arial" w:eastAsia="Arial" w:hAnsi="Arial"/>
                <w:sz w:val="14"/>
                <w:szCs w:val="14"/>
                <w:color w:val="auto"/>
              </w:rPr>
              <w:t>Per-Share</w:t>
            </w:r>
          </w:p>
        </w:tc>
        <w:tc>
          <w:tcPr>
            <w:tcW w:w="420" w:type="dxa"/>
            <w:vAlign w:val="bottom"/>
            <w:tcBorders>
              <w:top w:val="single" w:sz="8" w:color="0070FF"/>
            </w:tcBorders>
          </w:tcPr>
          <w:p>
            <w:pPr>
              <w:spacing w:after="0"/>
              <w:rPr>
                <w:sz w:val="11"/>
                <w:szCs w:val="11"/>
                <w:color w:val="auto"/>
              </w:rPr>
            </w:pPr>
          </w:p>
        </w:tc>
        <w:tc>
          <w:tcPr>
            <w:tcW w:w="680" w:type="dxa"/>
            <w:vAlign w:val="bottom"/>
            <w:tcBorders>
              <w:top w:val="single" w:sz="8" w:color="0070FF"/>
            </w:tcBorders>
          </w:tcPr>
          <w:p>
            <w:pPr>
              <w:jc w:val="right"/>
              <w:ind w:right="189"/>
              <w:spacing w:after="0" w:line="131" w:lineRule="exact"/>
              <w:rPr>
                <w:sz w:val="20"/>
                <w:szCs w:val="20"/>
                <w:color w:val="auto"/>
              </w:rPr>
            </w:pPr>
            <w:r>
              <w:rPr>
                <w:rFonts w:ascii="Arial" w:cs="Arial" w:eastAsia="Arial" w:hAnsi="Arial"/>
                <w:sz w:val="14"/>
                <w:szCs w:val="14"/>
                <w:color w:val="auto"/>
              </w:rPr>
              <w:t>Net</w:t>
            </w:r>
          </w:p>
        </w:tc>
        <w:tc>
          <w:tcPr>
            <w:tcW w:w="940" w:type="dxa"/>
            <w:vAlign w:val="bottom"/>
            <w:tcBorders>
              <w:top w:val="single" w:sz="8" w:color="0070FF"/>
            </w:tcBorders>
          </w:tcPr>
          <w:p>
            <w:pPr>
              <w:jc w:val="right"/>
              <w:ind w:right="89"/>
              <w:spacing w:after="0" w:line="131" w:lineRule="exact"/>
              <w:rPr>
                <w:sz w:val="20"/>
                <w:szCs w:val="20"/>
                <w:color w:val="auto"/>
              </w:rPr>
            </w:pPr>
            <w:r>
              <w:rPr>
                <w:rFonts w:ascii="Arial" w:cs="Arial" w:eastAsia="Arial" w:hAnsi="Arial"/>
                <w:sz w:val="14"/>
                <w:szCs w:val="14"/>
                <w:color w:val="auto"/>
              </w:rPr>
              <w:t>Shares</w:t>
            </w:r>
          </w:p>
        </w:tc>
        <w:tc>
          <w:tcPr>
            <w:tcW w:w="1020" w:type="dxa"/>
            <w:vAlign w:val="bottom"/>
            <w:tcBorders>
              <w:top w:val="single" w:sz="8" w:color="0070FF"/>
            </w:tcBorders>
            <w:gridSpan w:val="2"/>
          </w:tcPr>
          <w:p>
            <w:pPr>
              <w:ind w:left="160"/>
              <w:spacing w:after="0" w:line="131" w:lineRule="exact"/>
              <w:rPr>
                <w:sz w:val="20"/>
                <w:szCs w:val="20"/>
                <w:color w:val="auto"/>
              </w:rPr>
            </w:pPr>
            <w:r>
              <w:rPr>
                <w:rFonts w:ascii="Arial" w:cs="Arial" w:eastAsia="Arial" w:hAnsi="Arial"/>
                <w:sz w:val="14"/>
                <w:szCs w:val="14"/>
                <w:color w:val="auto"/>
              </w:rPr>
              <w:t>Per-Share</w:t>
            </w:r>
          </w:p>
        </w:tc>
        <w:tc>
          <w:tcPr>
            <w:tcW w:w="440" w:type="dxa"/>
            <w:vAlign w:val="bottom"/>
            <w:tcBorders>
              <w:top w:val="single" w:sz="8" w:color="0070FF"/>
            </w:tcBorders>
          </w:tcPr>
          <w:p>
            <w:pPr>
              <w:spacing w:after="0"/>
              <w:rPr>
                <w:sz w:val="11"/>
                <w:szCs w:val="11"/>
                <w:color w:val="auto"/>
              </w:rPr>
            </w:pPr>
          </w:p>
        </w:tc>
        <w:tc>
          <w:tcPr>
            <w:tcW w:w="720" w:type="dxa"/>
            <w:vAlign w:val="bottom"/>
            <w:tcBorders>
              <w:top w:val="single" w:sz="8" w:color="0070FF"/>
            </w:tcBorders>
          </w:tcPr>
          <w:p>
            <w:pPr>
              <w:jc w:val="right"/>
              <w:ind w:right="209"/>
              <w:spacing w:after="0" w:line="131" w:lineRule="exact"/>
              <w:rPr>
                <w:sz w:val="20"/>
                <w:szCs w:val="20"/>
                <w:color w:val="auto"/>
              </w:rPr>
            </w:pPr>
            <w:r>
              <w:rPr>
                <w:rFonts w:ascii="Arial" w:cs="Arial" w:eastAsia="Arial" w:hAnsi="Arial"/>
                <w:sz w:val="14"/>
                <w:szCs w:val="14"/>
                <w:color w:val="auto"/>
              </w:rPr>
              <w:t>Net</w:t>
            </w:r>
          </w:p>
        </w:tc>
        <w:tc>
          <w:tcPr>
            <w:tcW w:w="900" w:type="dxa"/>
            <w:vAlign w:val="bottom"/>
            <w:tcBorders>
              <w:top w:val="single" w:sz="8" w:color="0070FF"/>
            </w:tcBorders>
          </w:tcPr>
          <w:p>
            <w:pPr>
              <w:jc w:val="right"/>
              <w:ind w:right="89"/>
              <w:spacing w:after="0" w:line="131" w:lineRule="exact"/>
              <w:rPr>
                <w:sz w:val="20"/>
                <w:szCs w:val="20"/>
                <w:color w:val="auto"/>
              </w:rPr>
            </w:pPr>
            <w:r>
              <w:rPr>
                <w:rFonts w:ascii="Arial" w:cs="Arial" w:eastAsia="Arial" w:hAnsi="Arial"/>
                <w:sz w:val="14"/>
                <w:szCs w:val="14"/>
                <w:color w:val="auto"/>
              </w:rPr>
              <w:t>Shares</w:t>
            </w:r>
          </w:p>
        </w:tc>
        <w:tc>
          <w:tcPr>
            <w:tcW w:w="860" w:type="dxa"/>
            <w:vAlign w:val="bottom"/>
            <w:tcBorders>
              <w:top w:val="single" w:sz="8" w:color="0070FF"/>
            </w:tcBorders>
            <w:gridSpan w:val="2"/>
          </w:tcPr>
          <w:p>
            <w:pPr>
              <w:jc w:val="right"/>
              <w:ind w:right="29"/>
              <w:spacing w:after="0" w:line="131" w:lineRule="exact"/>
              <w:rPr>
                <w:sz w:val="20"/>
                <w:szCs w:val="20"/>
                <w:color w:val="auto"/>
              </w:rPr>
            </w:pPr>
            <w:r>
              <w:rPr>
                <w:rFonts w:ascii="Arial" w:cs="Arial" w:eastAsia="Arial" w:hAnsi="Arial"/>
                <w:sz w:val="14"/>
                <w:szCs w:val="14"/>
                <w:color w:val="auto"/>
              </w:rPr>
              <w:t>Per-Share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700" w:type="dxa"/>
            <w:vAlign w:val="bottom"/>
            <w:tcBorders>
              <w:bottom w:val="single" w:sz="8" w:color="0070FF"/>
            </w:tcBorders>
          </w:tcPr>
          <w:p>
            <w:pPr>
              <w:jc w:val="right"/>
              <w:ind w:right="189"/>
              <w:spacing w:after="0" w:line="159" w:lineRule="exact"/>
              <w:rPr>
                <w:sz w:val="20"/>
                <w:szCs w:val="20"/>
                <w:color w:val="auto"/>
              </w:rPr>
            </w:pPr>
            <w:r>
              <w:rPr>
                <w:rFonts w:ascii="Arial" w:cs="Arial" w:eastAsia="Arial" w:hAnsi="Arial"/>
                <w:sz w:val="14"/>
                <w:szCs w:val="14"/>
                <w:color w:val="auto"/>
                <w:w w:val="91"/>
              </w:rPr>
              <w:t>Income</w:t>
            </w:r>
          </w:p>
        </w:tc>
        <w:tc>
          <w:tcPr>
            <w:tcW w:w="920" w:type="dxa"/>
            <w:vAlign w:val="bottom"/>
            <w:tcBorders>
              <w:bottom w:val="single" w:sz="8" w:color="0070FF"/>
            </w:tcBorders>
          </w:tcPr>
          <w:p>
            <w:pPr>
              <w:jc w:val="right"/>
              <w:ind w:right="89"/>
              <w:spacing w:after="0" w:line="159" w:lineRule="exact"/>
              <w:rPr>
                <w:sz w:val="20"/>
                <w:szCs w:val="20"/>
                <w:color w:val="auto"/>
              </w:rPr>
            </w:pPr>
            <w:r>
              <w:rPr>
                <w:rFonts w:ascii="Arial" w:cs="Arial" w:eastAsia="Arial" w:hAnsi="Arial"/>
                <w:sz w:val="14"/>
                <w:szCs w:val="14"/>
                <w:color w:val="auto"/>
              </w:rPr>
              <w:t>(millions)</w:t>
            </w:r>
          </w:p>
        </w:tc>
        <w:tc>
          <w:tcPr>
            <w:tcW w:w="280" w:type="dxa"/>
            <w:vAlign w:val="bottom"/>
            <w:tcBorders>
              <w:bottom w:val="single" w:sz="8" w:color="0070FF"/>
            </w:tcBorders>
          </w:tcPr>
          <w:p>
            <w:pPr>
              <w:spacing w:after="0"/>
              <w:rPr>
                <w:sz w:val="13"/>
                <w:szCs w:val="13"/>
                <w:color w:val="auto"/>
              </w:rPr>
            </w:pPr>
          </w:p>
        </w:tc>
        <w:tc>
          <w:tcPr>
            <w:tcW w:w="820" w:type="dxa"/>
            <w:vAlign w:val="bottom"/>
            <w:tcBorders>
              <w:bottom w:val="single" w:sz="8" w:color="0070FF"/>
            </w:tcBorders>
          </w:tcPr>
          <w:p>
            <w:pPr>
              <w:jc w:val="right"/>
              <w:ind w:right="289"/>
              <w:spacing w:after="0" w:line="159" w:lineRule="exact"/>
              <w:rPr>
                <w:sz w:val="20"/>
                <w:szCs w:val="20"/>
                <w:color w:val="auto"/>
              </w:rPr>
            </w:pPr>
            <w:r>
              <w:rPr>
                <w:rFonts w:ascii="Arial" w:cs="Arial" w:eastAsia="Arial" w:hAnsi="Arial"/>
                <w:sz w:val="14"/>
                <w:szCs w:val="14"/>
                <w:color w:val="auto"/>
                <w:w w:val="91"/>
              </w:rPr>
              <w:t>Amount</w:t>
            </w:r>
          </w:p>
        </w:tc>
        <w:tc>
          <w:tcPr>
            <w:tcW w:w="42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89"/>
              <w:spacing w:after="0" w:line="159" w:lineRule="exact"/>
              <w:rPr>
                <w:sz w:val="20"/>
                <w:szCs w:val="20"/>
                <w:color w:val="auto"/>
              </w:rPr>
            </w:pPr>
            <w:r>
              <w:rPr>
                <w:rFonts w:ascii="Arial" w:cs="Arial" w:eastAsia="Arial" w:hAnsi="Arial"/>
                <w:sz w:val="14"/>
                <w:szCs w:val="14"/>
                <w:color w:val="auto"/>
                <w:w w:val="87"/>
              </w:rPr>
              <w:t>Income</w:t>
            </w:r>
          </w:p>
        </w:tc>
        <w:tc>
          <w:tcPr>
            <w:tcW w:w="940" w:type="dxa"/>
            <w:vAlign w:val="bottom"/>
            <w:tcBorders>
              <w:bottom w:val="single" w:sz="8" w:color="0070FF"/>
            </w:tcBorders>
          </w:tcPr>
          <w:p>
            <w:pPr>
              <w:jc w:val="right"/>
              <w:ind w:right="89"/>
              <w:spacing w:after="0" w:line="159" w:lineRule="exact"/>
              <w:rPr>
                <w:sz w:val="20"/>
                <w:szCs w:val="20"/>
                <w:color w:val="auto"/>
              </w:rPr>
            </w:pPr>
            <w:r>
              <w:rPr>
                <w:rFonts w:ascii="Arial" w:cs="Arial" w:eastAsia="Arial" w:hAnsi="Arial"/>
                <w:sz w:val="14"/>
                <w:szCs w:val="14"/>
                <w:color w:val="auto"/>
              </w:rPr>
              <w:t>(millions)</w:t>
            </w:r>
          </w:p>
        </w:tc>
        <w:tc>
          <w:tcPr>
            <w:tcW w:w="24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tcPr>
          <w:p>
            <w:pPr>
              <w:jc w:val="right"/>
              <w:ind w:right="249"/>
              <w:spacing w:after="0" w:line="159" w:lineRule="exact"/>
              <w:rPr>
                <w:sz w:val="20"/>
                <w:szCs w:val="20"/>
                <w:color w:val="auto"/>
              </w:rPr>
            </w:pPr>
            <w:r>
              <w:rPr>
                <w:rFonts w:ascii="Arial" w:cs="Arial" w:eastAsia="Arial" w:hAnsi="Arial"/>
                <w:sz w:val="14"/>
                <w:szCs w:val="14"/>
                <w:color w:val="auto"/>
                <w:w w:val="91"/>
              </w:rPr>
              <w:t>Amount</w:t>
            </w:r>
          </w:p>
        </w:tc>
        <w:tc>
          <w:tcPr>
            <w:tcW w:w="4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209"/>
              <w:spacing w:after="0" w:line="159" w:lineRule="exact"/>
              <w:rPr>
                <w:sz w:val="20"/>
                <w:szCs w:val="20"/>
                <w:color w:val="auto"/>
              </w:rPr>
            </w:pPr>
            <w:r>
              <w:rPr>
                <w:rFonts w:ascii="Arial" w:cs="Arial" w:eastAsia="Arial" w:hAnsi="Arial"/>
                <w:sz w:val="14"/>
                <w:szCs w:val="14"/>
                <w:color w:val="auto"/>
                <w:w w:val="91"/>
              </w:rPr>
              <w:t>Income</w:t>
            </w:r>
          </w:p>
        </w:tc>
        <w:tc>
          <w:tcPr>
            <w:tcW w:w="900" w:type="dxa"/>
            <w:vAlign w:val="bottom"/>
            <w:tcBorders>
              <w:bottom w:val="single" w:sz="8" w:color="0070FF"/>
            </w:tcBorders>
          </w:tcPr>
          <w:p>
            <w:pPr>
              <w:jc w:val="right"/>
              <w:ind w:right="89"/>
              <w:spacing w:after="0" w:line="159" w:lineRule="exact"/>
              <w:rPr>
                <w:sz w:val="20"/>
                <w:szCs w:val="20"/>
                <w:color w:val="auto"/>
              </w:rPr>
            </w:pPr>
            <w:r>
              <w:rPr>
                <w:rFonts w:ascii="Arial" w:cs="Arial" w:eastAsia="Arial" w:hAnsi="Arial"/>
                <w:sz w:val="14"/>
                <w:szCs w:val="14"/>
                <w:color w:val="auto"/>
              </w:rPr>
              <w:t>(millions)</w:t>
            </w:r>
          </w:p>
        </w:tc>
        <w:tc>
          <w:tcPr>
            <w:tcW w:w="28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29"/>
              <w:spacing w:after="0" w:line="159" w:lineRule="exact"/>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line="133" w:lineRule="exact"/>
              <w:rPr>
                <w:sz w:val="20"/>
                <w:szCs w:val="20"/>
                <w:color w:val="auto"/>
              </w:rPr>
            </w:pPr>
            <w:r>
              <w:rPr>
                <w:rFonts w:ascii="Arial" w:cs="Arial" w:eastAsia="Arial" w:hAnsi="Arial"/>
                <w:sz w:val="14"/>
                <w:szCs w:val="14"/>
                <w:b w:val="1"/>
                <w:bCs w:val="1"/>
                <w:color w:val="auto"/>
              </w:rPr>
              <w:t>Basic EPS Calculation</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Before Extraordinary</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Items and Cumulative Effect of</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Changes in Accounting</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7,426</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Principles</w:t>
            </w:r>
          </w:p>
        </w:tc>
        <w:tc>
          <w:tcPr>
            <w:tcW w:w="3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89"/>
              <w:spacing w:after="0" w:line="153" w:lineRule="exact"/>
              <w:rPr>
                <w:sz w:val="20"/>
                <w:szCs w:val="20"/>
                <w:color w:val="auto"/>
              </w:rPr>
            </w:pPr>
            <w:r>
              <w:rPr>
                <w:rFonts w:ascii="Arial" w:cs="Arial" w:eastAsia="Arial" w:hAnsi="Arial"/>
                <w:sz w:val="14"/>
                <w:szCs w:val="14"/>
                <w:color w:val="auto"/>
              </w:rPr>
              <w:t>1,132</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3,931</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60"/>
              <w:spacing w:after="0" w:line="149" w:lineRule="exact"/>
              <w:rPr>
                <w:sz w:val="20"/>
                <w:szCs w:val="20"/>
                <w:color w:val="auto"/>
              </w:rPr>
            </w:pPr>
            <w:r>
              <w:rPr>
                <w:rFonts w:ascii="Arial" w:cs="Arial" w:eastAsia="Arial" w:hAnsi="Arial"/>
                <w:sz w:val="14"/>
                <w:szCs w:val="14"/>
                <w:color w:val="auto"/>
              </w:rPr>
              <w:t>Weighted-average common</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1,061.6</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00"/>
              <w:spacing w:after="0" w:line="149" w:lineRule="exact"/>
              <w:rPr>
                <w:sz w:val="20"/>
                <w:szCs w:val="20"/>
                <w:color w:val="auto"/>
              </w:rPr>
            </w:pPr>
            <w:r>
              <w:rPr>
                <w:rFonts w:ascii="Arial" w:cs="Arial" w:eastAsia="Arial" w:hAnsi="Arial"/>
                <w:sz w:val="14"/>
                <w:szCs w:val="14"/>
                <w:color w:val="auto"/>
              </w:rPr>
              <w:t>shares outstanding</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1,060.7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1,059.3</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60"/>
              <w:spacing w:after="0" w:line="149" w:lineRule="exact"/>
              <w:rPr>
                <w:sz w:val="20"/>
                <w:szCs w:val="20"/>
                <w:color w:val="auto"/>
              </w:rPr>
            </w:pPr>
            <w:r>
              <w:rPr>
                <w:rFonts w:ascii="Arial" w:cs="Arial" w:eastAsia="Arial" w:hAnsi="Arial"/>
                <w:sz w:val="14"/>
                <w:szCs w:val="14"/>
                <w:color w:val="auto"/>
              </w:rPr>
              <w:t>Dividend equivalents paid on</w:t>
            </w:r>
          </w:p>
        </w:tc>
        <w:tc>
          <w:tcPr>
            <w:tcW w:w="340" w:type="dxa"/>
            <w:vAlign w:val="bottom"/>
          </w:tcPr>
          <w:p>
            <w:pPr>
              <w:spacing w:after="0"/>
              <w:rPr>
                <w:sz w:val="12"/>
                <w:szCs w:val="12"/>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00"/>
              <w:spacing w:after="0" w:line="149" w:lineRule="exact"/>
              <w:rPr>
                <w:sz w:val="20"/>
                <w:szCs w:val="20"/>
                <w:color w:val="auto"/>
              </w:rPr>
            </w:pPr>
            <w:r>
              <w:rPr>
                <w:rFonts w:ascii="Arial" w:cs="Arial" w:eastAsia="Arial" w:hAnsi="Arial"/>
                <w:sz w:val="14"/>
                <w:szCs w:val="14"/>
                <w:color w:val="auto"/>
              </w:rPr>
              <w:t>ChevronTexaco stock units</w:t>
            </w:r>
          </w:p>
        </w:tc>
        <w:tc>
          <w:tcPr>
            <w:tcW w:w="3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3</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2</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60"/>
              <w:spacing w:after="0" w:line="149" w:lineRule="exact"/>
              <w:rPr>
                <w:sz w:val="20"/>
                <w:szCs w:val="20"/>
                <w:color w:val="auto"/>
              </w:rPr>
            </w:pPr>
            <w:r>
              <w:rPr>
                <w:rFonts w:ascii="Arial" w:cs="Arial" w:eastAsia="Arial" w:hAnsi="Arial"/>
                <w:sz w:val="14"/>
                <w:szCs w:val="14"/>
                <w:color w:val="auto"/>
              </w:rPr>
              <w:t>Deferred awards held as</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0.9</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00"/>
              <w:spacing w:after="0" w:line="149" w:lineRule="exact"/>
              <w:rPr>
                <w:sz w:val="20"/>
                <w:szCs w:val="20"/>
                <w:color w:val="auto"/>
              </w:rPr>
            </w:pPr>
            <w:r>
              <w:rPr>
                <w:rFonts w:ascii="Arial" w:cs="Arial" w:eastAsia="Arial" w:hAnsi="Arial"/>
                <w:sz w:val="14"/>
                <w:szCs w:val="14"/>
                <w:color w:val="auto"/>
              </w:rPr>
              <w:t>ChevronTexaco stock units</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0.8</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0.8</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ind w:left="260"/>
              <w:spacing w:after="0" w:line="159" w:lineRule="exact"/>
              <w:rPr>
                <w:sz w:val="20"/>
                <w:szCs w:val="20"/>
                <w:color w:val="auto"/>
              </w:rPr>
            </w:pPr>
            <w:r>
              <w:rPr>
                <w:rFonts w:ascii="Arial" w:cs="Arial" w:eastAsia="Arial" w:hAnsi="Arial"/>
                <w:sz w:val="14"/>
                <w:szCs w:val="14"/>
                <w:color w:val="auto"/>
              </w:rPr>
              <w:t>Affiliate stock transactions</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tcPr>
          <w:p>
            <w:pPr>
              <w:ind w:left="400"/>
              <w:spacing w:after="0" w:line="175" w:lineRule="exact"/>
              <w:rPr>
                <w:sz w:val="20"/>
                <w:szCs w:val="20"/>
                <w:color w:val="auto"/>
              </w:rPr>
            </w:pPr>
            <w:r>
              <w:rPr>
                <w:rFonts w:ascii="Arial" w:cs="Arial" w:eastAsia="Arial" w:hAnsi="Arial"/>
                <w:sz w:val="13"/>
                <w:szCs w:val="13"/>
                <w:color w:val="auto"/>
              </w:rPr>
              <w:t>recorded to retained earnings</w:t>
            </w:r>
            <w:r>
              <w:rPr>
                <w:rFonts w:ascii="Arial" w:cs="Arial" w:eastAsia="Arial" w:hAnsi="Arial"/>
                <w:sz w:val="20"/>
                <w:szCs w:val="20"/>
                <w:color w:val="auto"/>
                <w:vertAlign w:val="superscript"/>
              </w:rPr>
              <w:t>1</w:t>
            </w:r>
          </w:p>
        </w:tc>
        <w:tc>
          <w:tcPr>
            <w:tcW w:w="34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b w:val="1"/>
                <w:bCs w:val="1"/>
                <w:color w:val="auto"/>
              </w:rPr>
              <w:t>170</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Preferred stock dividends</w:t>
            </w:r>
          </w:p>
        </w:tc>
        <w:tc>
          <w:tcPr>
            <w:tcW w:w="3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0FF"/>
            </w:tcBorders>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82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0FF"/>
            </w:tcBorders>
          </w:tcPr>
          <w:p>
            <w:pPr>
              <w:spacing w:after="0"/>
              <w:rPr>
                <w:sz w:val="14"/>
                <w:szCs w:val="14"/>
                <w:color w:val="auto"/>
              </w:rPr>
            </w:pPr>
          </w:p>
        </w:tc>
        <w:tc>
          <w:tcPr>
            <w:tcW w:w="24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(6)</w:t>
            </w:r>
          </w:p>
        </w:tc>
        <w:tc>
          <w:tcPr>
            <w:tcW w:w="900" w:type="dxa"/>
            <w:vAlign w:val="bottom"/>
            <w:tcBorders>
              <w:bottom w:val="single" w:sz="8" w:color="0070FF"/>
            </w:tcBorders>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line="133" w:lineRule="exact"/>
              <w:rPr>
                <w:sz w:val="20"/>
                <w:szCs w:val="20"/>
                <w:color w:val="auto"/>
              </w:rPr>
            </w:pPr>
            <w:r>
              <w:rPr>
                <w:rFonts w:ascii="Arial" w:cs="Arial" w:eastAsia="Arial" w:hAnsi="Arial"/>
                <w:sz w:val="14"/>
                <w:szCs w:val="14"/>
                <w:b w:val="1"/>
                <w:bCs w:val="1"/>
                <w:color w:val="auto"/>
              </w:rPr>
              <w:t>Net Income Before Extraordinary</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Items and Cumulative Effect of</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Changes in Accounting</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7,598</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1,062.5</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7.15</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b w:val="1"/>
                <w:bCs w:val="1"/>
                <w:color w:val="auto"/>
              </w:rPr>
              <w:t>Principles – Basic</w:t>
            </w:r>
          </w:p>
        </w:tc>
        <w:tc>
          <w:tcPr>
            <w:tcW w:w="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9"/>
              <w:spacing w:after="0"/>
              <w:rPr>
                <w:sz w:val="20"/>
                <w:szCs w:val="20"/>
                <w:color w:val="auto"/>
              </w:rPr>
            </w:pPr>
            <w:r>
              <w:rPr>
                <w:rFonts w:ascii="Arial" w:cs="Arial" w:eastAsia="Arial" w:hAnsi="Arial"/>
                <w:sz w:val="14"/>
                <w:szCs w:val="14"/>
                <w:color w:val="auto"/>
              </w:rPr>
              <w:t>1,135</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1,061.5</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49"/>
              <w:spacing w:after="0"/>
              <w:rPr>
                <w:sz w:val="20"/>
                <w:szCs w:val="20"/>
                <w:color w:val="auto"/>
              </w:rPr>
            </w:pPr>
            <w:r>
              <w:rPr>
                <w:rFonts w:ascii="Arial" w:cs="Arial" w:eastAsia="Arial" w:hAnsi="Arial"/>
                <w:sz w:val="14"/>
                <w:szCs w:val="14"/>
                <w:color w:val="auto"/>
              </w:rPr>
              <w:t>1.07</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3,927</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1,060.1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60" w:type="dxa"/>
            <w:vAlign w:val="bottom"/>
          </w:tcPr>
          <w:p>
            <w:pPr>
              <w:ind w:left="260"/>
              <w:spacing w:after="0" w:line="179" w:lineRule="exact"/>
              <w:rPr>
                <w:sz w:val="20"/>
                <w:szCs w:val="20"/>
                <w:color w:val="auto"/>
              </w:rPr>
            </w:pPr>
            <w:r>
              <w:rPr>
                <w:rFonts w:ascii="Arial" w:cs="Arial" w:eastAsia="Arial" w:hAnsi="Arial"/>
                <w:sz w:val="13"/>
                <w:szCs w:val="13"/>
                <w:color w:val="auto"/>
              </w:rPr>
              <w:t>Extraordinary item</w:t>
            </w:r>
            <w:r>
              <w:rPr>
                <w:rFonts w:ascii="Arial" w:cs="Arial" w:eastAsia="Arial" w:hAnsi="Arial"/>
                <w:sz w:val="20"/>
                <w:szCs w:val="20"/>
                <w:color w:val="auto"/>
                <w:vertAlign w:val="superscript"/>
              </w:rPr>
              <w:t>2</w:t>
            </w:r>
          </w:p>
        </w:tc>
        <w:tc>
          <w:tcPr>
            <w:tcW w:w="34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(643)</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ind w:left="260"/>
              <w:spacing w:after="0" w:line="159" w:lineRule="exact"/>
              <w:rPr>
                <w:sz w:val="20"/>
                <w:szCs w:val="20"/>
                <w:color w:val="auto"/>
              </w:rPr>
            </w:pPr>
            <w:r>
              <w:rPr>
                <w:rFonts w:ascii="Arial" w:cs="Arial" w:eastAsia="Arial" w:hAnsi="Arial"/>
                <w:sz w:val="14"/>
                <w:szCs w:val="14"/>
                <w:color w:val="auto"/>
              </w:rPr>
              <w:t>Cumulative effect of changes in</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Borders>
              <w:bottom w:val="single" w:sz="8" w:color="0070FF"/>
            </w:tcBorders>
          </w:tcPr>
          <w:p>
            <w:pPr>
              <w:ind w:left="400"/>
              <w:spacing w:after="0" w:line="198" w:lineRule="exact"/>
              <w:rPr>
                <w:sz w:val="20"/>
                <w:szCs w:val="20"/>
                <w:color w:val="auto"/>
              </w:rPr>
            </w:pPr>
            <w:r>
              <w:rPr>
                <w:rFonts w:ascii="Arial" w:cs="Arial" w:eastAsia="Arial" w:hAnsi="Arial"/>
                <w:sz w:val="14"/>
                <w:szCs w:val="14"/>
                <w:color w:val="auto"/>
              </w:rPr>
              <w:t>accounting principles</w:t>
            </w:r>
            <w:r>
              <w:rPr>
                <w:rFonts w:ascii="Arial" w:cs="Arial" w:eastAsia="Arial" w:hAnsi="Arial"/>
                <w:sz w:val="22"/>
                <w:szCs w:val="22"/>
                <w:color w:val="auto"/>
                <w:vertAlign w:val="superscript"/>
              </w:rPr>
              <w:t>3</w:t>
            </w:r>
          </w:p>
        </w:tc>
        <w:tc>
          <w:tcPr>
            <w:tcW w:w="340" w:type="dxa"/>
            <w:vAlign w:val="bottom"/>
            <w:tcBorders>
              <w:bottom w:val="single" w:sz="8" w:color="0070FF"/>
            </w:tcBorders>
          </w:tcPr>
          <w:p>
            <w:pPr>
              <w:spacing w:after="0"/>
              <w:rPr>
                <w:sz w:val="17"/>
                <w:szCs w:val="17"/>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(196)</w:t>
            </w:r>
          </w:p>
        </w:tc>
        <w:tc>
          <w:tcPr>
            <w:tcW w:w="920" w:type="dxa"/>
            <w:vAlign w:val="bottom"/>
            <w:tcBorders>
              <w:bottom w:val="single" w:sz="8" w:color="0070FF"/>
            </w:tcBorders>
          </w:tcPr>
          <w:p>
            <w:pPr>
              <w:spacing w:after="0"/>
              <w:rPr>
                <w:sz w:val="17"/>
                <w:szCs w:val="17"/>
                <w:color w:val="auto"/>
              </w:rPr>
            </w:pPr>
          </w:p>
        </w:tc>
        <w:tc>
          <w:tcPr>
            <w:tcW w:w="280" w:type="dxa"/>
            <w:vAlign w:val="bottom"/>
            <w:tcBorders>
              <w:bottom w:val="single" w:sz="8" w:color="0070FF"/>
            </w:tcBorders>
          </w:tcPr>
          <w:p>
            <w:pPr>
              <w:spacing w:after="0"/>
              <w:rPr>
                <w:sz w:val="17"/>
                <w:szCs w:val="17"/>
                <w:color w:val="auto"/>
              </w:rPr>
            </w:pPr>
          </w:p>
        </w:tc>
        <w:tc>
          <w:tcPr>
            <w:tcW w:w="820" w:type="dxa"/>
            <w:vAlign w:val="bottom"/>
            <w:tcBorders>
              <w:bottom w:val="single" w:sz="8" w:color="0070FF"/>
            </w:tcBorders>
          </w:tcPr>
          <w:p>
            <w:pPr>
              <w:jc w:val="right"/>
              <w:ind w:right="229"/>
              <w:spacing w:after="0"/>
              <w:rPr>
                <w:sz w:val="20"/>
                <w:szCs w:val="20"/>
                <w:color w:val="auto"/>
              </w:rPr>
            </w:pPr>
            <w:r>
              <w:rPr>
                <w:rFonts w:ascii="Arial" w:cs="Arial" w:eastAsia="Arial" w:hAnsi="Arial"/>
                <w:sz w:val="14"/>
                <w:szCs w:val="14"/>
                <w:b w:val="1"/>
                <w:bCs w:val="1"/>
                <w:color w:val="auto"/>
              </w:rPr>
              <w:t>(0.18)</w:t>
            </w:r>
          </w:p>
        </w:tc>
        <w:tc>
          <w:tcPr>
            <w:tcW w:w="420" w:type="dxa"/>
            <w:vAlign w:val="bottom"/>
            <w:tcBorders>
              <w:bottom w:val="single" w:sz="8" w:color="0070FF"/>
            </w:tcBorders>
          </w:tcPr>
          <w:p>
            <w:pPr>
              <w:spacing w:after="0"/>
              <w:rPr>
                <w:sz w:val="17"/>
                <w:szCs w:val="17"/>
                <w:color w:val="auto"/>
              </w:rPr>
            </w:pPr>
          </w:p>
        </w:tc>
        <w:tc>
          <w:tcPr>
            <w:tcW w:w="68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0FF"/>
            </w:tcBorders>
          </w:tcPr>
          <w:p>
            <w:pPr>
              <w:spacing w:after="0"/>
              <w:rPr>
                <w:sz w:val="17"/>
                <w:szCs w:val="17"/>
                <w:color w:val="auto"/>
              </w:rPr>
            </w:pPr>
          </w:p>
        </w:tc>
        <w:tc>
          <w:tcPr>
            <w:tcW w:w="240" w:type="dxa"/>
            <w:vAlign w:val="bottom"/>
            <w:tcBorders>
              <w:bottom w:val="single" w:sz="8" w:color="0070FF"/>
            </w:tcBorders>
          </w:tcPr>
          <w:p>
            <w:pPr>
              <w:spacing w:after="0"/>
              <w:rPr>
                <w:sz w:val="17"/>
                <w:szCs w:val="17"/>
                <w:color w:val="auto"/>
              </w:rPr>
            </w:pPr>
          </w:p>
        </w:tc>
        <w:tc>
          <w:tcPr>
            <w:tcW w:w="780" w:type="dxa"/>
            <w:vAlign w:val="bottom"/>
            <w:tcBorders>
              <w:bottom w:val="single" w:sz="8" w:color="0070FF"/>
            </w:tcBorders>
          </w:tcPr>
          <w:p>
            <w:pPr>
              <w:spacing w:after="0"/>
              <w:rPr>
                <w:sz w:val="17"/>
                <w:szCs w:val="17"/>
                <w:color w:val="auto"/>
              </w:rPr>
            </w:pPr>
          </w:p>
        </w:tc>
        <w:tc>
          <w:tcPr>
            <w:tcW w:w="440" w:type="dxa"/>
            <w:vAlign w:val="bottom"/>
            <w:tcBorders>
              <w:bottom w:val="single" w:sz="8" w:color="0070FF"/>
            </w:tcBorders>
          </w:tcPr>
          <w:p>
            <w:pPr>
              <w:spacing w:after="0"/>
              <w:rPr>
                <w:sz w:val="17"/>
                <w:szCs w:val="17"/>
                <w:color w:val="auto"/>
              </w:rPr>
            </w:pPr>
          </w:p>
        </w:tc>
        <w:tc>
          <w:tcPr>
            <w:tcW w:w="720" w:type="dxa"/>
            <w:vAlign w:val="bottom"/>
            <w:tcBorders>
              <w:bottom w:val="single" w:sz="8" w:color="0070FF"/>
            </w:tcBorders>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0FF"/>
            </w:tcBorders>
          </w:tcPr>
          <w:p>
            <w:pPr>
              <w:spacing w:after="0"/>
              <w:rPr>
                <w:sz w:val="17"/>
                <w:szCs w:val="17"/>
                <w:color w:val="auto"/>
              </w:rPr>
            </w:pPr>
          </w:p>
        </w:tc>
        <w:tc>
          <w:tcPr>
            <w:tcW w:w="280" w:type="dxa"/>
            <w:vAlign w:val="bottom"/>
            <w:tcBorders>
              <w:bottom w:val="single" w:sz="8" w:color="0070FF"/>
            </w:tcBorders>
          </w:tcPr>
          <w:p>
            <w:pPr>
              <w:spacing w:after="0"/>
              <w:rPr>
                <w:sz w:val="17"/>
                <w:szCs w:val="17"/>
                <w:color w:val="auto"/>
              </w:rPr>
            </w:pPr>
          </w:p>
        </w:tc>
        <w:tc>
          <w:tcPr>
            <w:tcW w:w="580" w:type="dxa"/>
            <w:vAlign w:val="bottom"/>
            <w:tcBorders>
              <w:bottom w:val="single" w:sz="8" w:color="0070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236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auto"/>
              </w:rPr>
              <w:t>Net Income – Basic</w:t>
            </w:r>
          </w:p>
        </w:tc>
        <w:tc>
          <w:tcPr>
            <w:tcW w:w="3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b w:val="1"/>
                <w:bCs w:val="1"/>
                <w:color w:val="auto"/>
              </w:rPr>
              <w:t>7,402</w:t>
            </w:r>
          </w:p>
        </w:tc>
        <w:tc>
          <w:tcPr>
            <w:tcW w:w="92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b w:val="1"/>
                <w:bCs w:val="1"/>
                <w:color w:val="auto"/>
              </w:rPr>
              <w:t>1,062.5</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70FF"/>
            </w:tcBorders>
          </w:tcPr>
          <w:p>
            <w:pPr>
              <w:jc w:val="right"/>
              <w:ind w:right="289"/>
              <w:spacing w:after="0" w:line="155" w:lineRule="exact"/>
              <w:rPr>
                <w:sz w:val="20"/>
                <w:szCs w:val="20"/>
                <w:color w:val="auto"/>
              </w:rPr>
            </w:pPr>
            <w:r>
              <w:rPr>
                <w:rFonts w:ascii="Arial" w:cs="Arial" w:eastAsia="Arial" w:hAnsi="Arial"/>
                <w:sz w:val="14"/>
                <w:szCs w:val="14"/>
                <w:b w:val="1"/>
                <w:bCs w:val="1"/>
                <w:color w:val="auto"/>
              </w:rPr>
              <w:t>6.97</w:t>
            </w:r>
          </w:p>
        </w:tc>
        <w:tc>
          <w:tcPr>
            <w:tcW w:w="4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color w:val="auto"/>
              </w:rPr>
              <w:t>1,135</w:t>
            </w:r>
          </w:p>
        </w:tc>
        <w:tc>
          <w:tcPr>
            <w:tcW w:w="9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1,061.5</w:t>
            </w:r>
          </w:p>
        </w:tc>
        <w:tc>
          <w:tcPr>
            <w:tcW w:w="240" w:type="dxa"/>
            <w:vAlign w:val="bottom"/>
            <w:tcBorders>
              <w:bottom w:val="single" w:sz="8" w:color="0070FF"/>
            </w:tcBorders>
          </w:tcPr>
          <w:p>
            <w:pPr>
              <w:ind w:left="16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0070FF"/>
            </w:tcBorders>
          </w:tcPr>
          <w:p>
            <w:pPr>
              <w:jc w:val="right"/>
              <w:ind w:right="249"/>
              <w:spacing w:after="0" w:line="155" w:lineRule="exact"/>
              <w:rPr>
                <w:sz w:val="20"/>
                <w:szCs w:val="20"/>
                <w:color w:val="auto"/>
              </w:rPr>
            </w:pPr>
            <w:r>
              <w:rPr>
                <w:rFonts w:ascii="Arial" w:cs="Arial" w:eastAsia="Arial" w:hAnsi="Arial"/>
                <w:sz w:val="14"/>
                <w:szCs w:val="14"/>
                <w:color w:val="auto"/>
              </w:rPr>
              <w:t>1.07</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209"/>
              <w:spacing w:after="0" w:line="155" w:lineRule="exact"/>
              <w:rPr>
                <w:sz w:val="20"/>
                <w:szCs w:val="20"/>
                <w:color w:val="auto"/>
              </w:rPr>
            </w:pPr>
            <w:r>
              <w:rPr>
                <w:rFonts w:ascii="Arial" w:cs="Arial" w:eastAsia="Arial" w:hAnsi="Arial"/>
                <w:sz w:val="14"/>
                <w:szCs w:val="14"/>
                <w:color w:val="auto"/>
              </w:rPr>
              <w:t>3,284</w:t>
            </w:r>
          </w:p>
        </w:tc>
        <w:tc>
          <w:tcPr>
            <w:tcW w:w="90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1,060.1</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39"/>
        </w:trPr>
        <w:tc>
          <w:tcPr>
            <w:tcW w:w="238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Diluted EPS Calculation</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Before Extraordinary</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Items and Cumulative Effect of</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Changes in Accounting</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7,598</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1,062.5</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Principles – Basic</w:t>
            </w:r>
          </w:p>
        </w:tc>
        <w:tc>
          <w:tcPr>
            <w:tcW w:w="3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89"/>
              <w:spacing w:after="0" w:line="153" w:lineRule="exact"/>
              <w:rPr>
                <w:sz w:val="20"/>
                <w:szCs w:val="20"/>
                <w:color w:val="auto"/>
              </w:rPr>
            </w:pPr>
            <w:r>
              <w:rPr>
                <w:rFonts w:ascii="Arial" w:cs="Arial" w:eastAsia="Arial" w:hAnsi="Arial"/>
                <w:sz w:val="14"/>
                <w:szCs w:val="14"/>
                <w:color w:val="auto"/>
              </w:rPr>
              <w:t>1,135</w:t>
            </w:r>
          </w:p>
        </w:tc>
        <w:tc>
          <w:tcPr>
            <w:tcW w:w="94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1,061.5</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09"/>
              <w:spacing w:after="0" w:line="153" w:lineRule="exact"/>
              <w:rPr>
                <w:sz w:val="20"/>
                <w:szCs w:val="20"/>
                <w:color w:val="auto"/>
              </w:rPr>
            </w:pPr>
            <w:r>
              <w:rPr>
                <w:rFonts w:ascii="Arial" w:cs="Arial" w:eastAsia="Arial" w:hAnsi="Arial"/>
                <w:sz w:val="14"/>
                <w:szCs w:val="14"/>
                <w:color w:val="auto"/>
              </w:rPr>
              <w:t>3,927</w:t>
            </w:r>
          </w:p>
        </w:tc>
        <w:tc>
          <w:tcPr>
            <w:tcW w:w="90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1,060.1</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60"/>
              <w:spacing w:after="0" w:line="149" w:lineRule="exact"/>
              <w:rPr>
                <w:sz w:val="20"/>
                <w:szCs w:val="20"/>
                <w:color w:val="auto"/>
              </w:rPr>
            </w:pPr>
            <w:r>
              <w:rPr>
                <w:rFonts w:ascii="Arial" w:cs="Arial" w:eastAsia="Arial" w:hAnsi="Arial"/>
                <w:sz w:val="14"/>
                <w:szCs w:val="14"/>
                <w:color w:val="auto"/>
              </w:rPr>
              <w:t>Dilutive effects of stock options,</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400"/>
              <w:spacing w:after="0" w:line="149" w:lineRule="exact"/>
              <w:rPr>
                <w:sz w:val="20"/>
                <w:szCs w:val="20"/>
                <w:color w:val="auto"/>
              </w:rPr>
            </w:pPr>
            <w:r>
              <w:rPr>
                <w:rFonts w:ascii="Arial" w:cs="Arial" w:eastAsia="Arial" w:hAnsi="Arial"/>
                <w:sz w:val="14"/>
                <w:szCs w:val="14"/>
                <w:color w:val="auto"/>
              </w:rPr>
              <w:t>restricted stock and</w:t>
            </w:r>
          </w:p>
        </w:tc>
        <w:tc>
          <w:tcPr>
            <w:tcW w:w="340" w:type="dxa"/>
            <w:vAlign w:val="bottom"/>
          </w:tcPr>
          <w:p>
            <w:pPr>
              <w:spacing w:after="0"/>
              <w:rPr>
                <w:sz w:val="12"/>
                <w:szCs w:val="12"/>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Borders>
              <w:bottom w:val="single" w:sz="8" w:color="0070FF"/>
            </w:tcBorders>
          </w:tcPr>
          <w:p>
            <w:pPr>
              <w:ind w:left="400"/>
              <w:spacing w:after="0"/>
              <w:rPr>
                <w:sz w:val="20"/>
                <w:szCs w:val="20"/>
                <w:color w:val="auto"/>
              </w:rPr>
            </w:pPr>
            <w:r>
              <w:rPr>
                <w:rFonts w:ascii="Arial" w:cs="Arial" w:eastAsia="Arial" w:hAnsi="Arial"/>
                <w:sz w:val="14"/>
                <w:szCs w:val="14"/>
                <w:color w:val="auto"/>
              </w:rPr>
              <w:t>convertible debentures</w:t>
            </w:r>
          </w:p>
        </w:tc>
        <w:tc>
          <w:tcPr>
            <w:tcW w:w="3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vMerge w:val="continue"/>
          </w:tcPr>
          <w:p>
            <w:pPr>
              <w:spacing w:after="0"/>
              <w:rPr>
                <w:sz w:val="14"/>
                <w:szCs w:val="14"/>
                <w:color w:val="auto"/>
              </w:rPr>
            </w:pPr>
          </w:p>
        </w:tc>
        <w:tc>
          <w:tcPr>
            <w:tcW w:w="920" w:type="dxa"/>
            <w:vAlign w:val="bottom"/>
            <w:tcBorders>
              <w:bottom w:val="single" w:sz="8" w:color="0070FF"/>
            </w:tcBorders>
            <w:vMerge w:val="continue"/>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82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tcPr>
          <w:p>
            <w:pPr>
              <w:spacing w:after="0"/>
              <w:rPr>
                <w:sz w:val="14"/>
                <w:szCs w:val="14"/>
                <w:color w:val="auto"/>
              </w:rPr>
            </w:pPr>
          </w:p>
        </w:tc>
        <w:tc>
          <w:tcPr>
            <w:tcW w:w="4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209"/>
              <w:spacing w:after="0"/>
              <w:rPr>
                <w:sz w:val="20"/>
                <w:szCs w:val="20"/>
                <w:color w:val="auto"/>
              </w:rPr>
            </w:pPr>
            <w:r>
              <w:rPr>
                <w:rFonts w:ascii="Arial" w:cs="Arial" w:eastAsia="Arial" w:hAnsi="Arial"/>
                <w:sz w:val="14"/>
                <w:szCs w:val="14"/>
                <w:color w:val="auto"/>
              </w:rPr>
              <w:t>4</w:t>
            </w:r>
          </w:p>
        </w:tc>
        <w:tc>
          <w:tcPr>
            <w:tcW w:w="90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line="133" w:lineRule="exact"/>
              <w:rPr>
                <w:sz w:val="20"/>
                <w:szCs w:val="20"/>
                <w:color w:val="auto"/>
              </w:rPr>
            </w:pPr>
            <w:r>
              <w:rPr>
                <w:rFonts w:ascii="Arial" w:cs="Arial" w:eastAsia="Arial" w:hAnsi="Arial"/>
                <w:sz w:val="14"/>
                <w:szCs w:val="14"/>
                <w:b w:val="1"/>
                <w:bCs w:val="1"/>
                <w:color w:val="auto"/>
              </w:rPr>
              <w:t>Net Income Before Extraordinary</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Items and Cumulative Effect of</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Changes in Accounting</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7,600</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1,064.0</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7.14</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b w:val="1"/>
                <w:bCs w:val="1"/>
                <w:color w:val="auto"/>
              </w:rPr>
              <w:t>Principles – Diluted</w:t>
            </w:r>
          </w:p>
        </w:tc>
        <w:tc>
          <w:tcPr>
            <w:tcW w:w="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9"/>
              <w:spacing w:after="0"/>
              <w:rPr>
                <w:sz w:val="20"/>
                <w:szCs w:val="20"/>
                <w:color w:val="auto"/>
              </w:rPr>
            </w:pPr>
            <w:r>
              <w:rPr>
                <w:rFonts w:ascii="Arial" w:cs="Arial" w:eastAsia="Arial" w:hAnsi="Arial"/>
                <w:sz w:val="14"/>
                <w:szCs w:val="14"/>
                <w:color w:val="auto"/>
              </w:rPr>
              <w:t>1,137</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1,063.4</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49"/>
              <w:spacing w:after="0"/>
              <w:rPr>
                <w:sz w:val="20"/>
                <w:szCs w:val="20"/>
                <w:color w:val="auto"/>
              </w:rPr>
            </w:pPr>
            <w:r>
              <w:rPr>
                <w:rFonts w:ascii="Arial" w:cs="Arial" w:eastAsia="Arial" w:hAnsi="Arial"/>
                <w:sz w:val="14"/>
                <w:szCs w:val="14"/>
                <w:color w:val="auto"/>
              </w:rPr>
              <w:t>1.07</w:t>
            </w:r>
          </w:p>
        </w:tc>
        <w:tc>
          <w:tcPr>
            <w:tcW w:w="440" w:type="dxa"/>
            <w:vAlign w:val="bottom"/>
          </w:tcPr>
          <w:p>
            <w:pPr>
              <w:spacing w:after="0"/>
              <w:rPr>
                <w:sz w:val="14"/>
                <w:szCs w:val="14"/>
                <w:color w:val="auto"/>
              </w:rPr>
            </w:pPr>
          </w:p>
        </w:tc>
        <w:tc>
          <w:tcPr>
            <w:tcW w:w="720" w:type="dxa"/>
            <w:vAlign w:val="bottom"/>
          </w:tcPr>
          <w:p>
            <w:pPr>
              <w:jc w:val="right"/>
              <w:ind w:right="209"/>
              <w:spacing w:after="0"/>
              <w:rPr>
                <w:sz w:val="20"/>
                <w:szCs w:val="20"/>
                <w:color w:val="auto"/>
              </w:rPr>
            </w:pPr>
            <w:r>
              <w:rPr>
                <w:rFonts w:ascii="Arial" w:cs="Arial" w:eastAsia="Arial" w:hAnsi="Arial"/>
                <w:sz w:val="14"/>
                <w:szCs w:val="14"/>
                <w:color w:val="auto"/>
              </w:rPr>
              <w:t>3,931</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1,062.9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60" w:type="dxa"/>
            <w:vAlign w:val="bottom"/>
          </w:tcPr>
          <w:p>
            <w:pPr>
              <w:ind w:left="260"/>
              <w:spacing w:after="0" w:line="179" w:lineRule="exact"/>
              <w:rPr>
                <w:sz w:val="20"/>
                <w:szCs w:val="20"/>
                <w:color w:val="auto"/>
              </w:rPr>
            </w:pPr>
            <w:r>
              <w:rPr>
                <w:rFonts w:ascii="Arial" w:cs="Arial" w:eastAsia="Arial" w:hAnsi="Arial"/>
                <w:sz w:val="13"/>
                <w:szCs w:val="13"/>
                <w:color w:val="auto"/>
              </w:rPr>
              <w:t>Extraordinary item</w:t>
            </w:r>
            <w:r>
              <w:rPr>
                <w:rFonts w:ascii="Arial" w:cs="Arial" w:eastAsia="Arial" w:hAnsi="Arial"/>
                <w:sz w:val="20"/>
                <w:szCs w:val="20"/>
                <w:color w:val="auto"/>
                <w:vertAlign w:val="superscript"/>
              </w:rPr>
              <w:t>2</w:t>
            </w:r>
          </w:p>
        </w:tc>
        <w:tc>
          <w:tcPr>
            <w:tcW w:w="34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(643)</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ind w:left="260"/>
              <w:spacing w:after="0" w:line="159" w:lineRule="exact"/>
              <w:rPr>
                <w:sz w:val="20"/>
                <w:szCs w:val="20"/>
                <w:color w:val="auto"/>
              </w:rPr>
            </w:pPr>
            <w:r>
              <w:rPr>
                <w:rFonts w:ascii="Arial" w:cs="Arial" w:eastAsia="Arial" w:hAnsi="Arial"/>
                <w:sz w:val="14"/>
                <w:szCs w:val="14"/>
                <w:color w:val="auto"/>
              </w:rPr>
              <w:t>Cumulative effect of changes in</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Borders>
              <w:bottom w:val="single" w:sz="8" w:color="0070FF"/>
            </w:tcBorders>
          </w:tcPr>
          <w:p>
            <w:pPr>
              <w:ind w:left="400"/>
              <w:spacing w:after="0" w:line="198" w:lineRule="exact"/>
              <w:rPr>
                <w:sz w:val="20"/>
                <w:szCs w:val="20"/>
                <w:color w:val="auto"/>
              </w:rPr>
            </w:pPr>
            <w:r>
              <w:rPr>
                <w:rFonts w:ascii="Arial" w:cs="Arial" w:eastAsia="Arial" w:hAnsi="Arial"/>
                <w:sz w:val="14"/>
                <w:szCs w:val="14"/>
                <w:color w:val="auto"/>
              </w:rPr>
              <w:t>accounting principles</w:t>
            </w:r>
            <w:r>
              <w:rPr>
                <w:rFonts w:ascii="Arial" w:cs="Arial" w:eastAsia="Arial" w:hAnsi="Arial"/>
                <w:sz w:val="22"/>
                <w:szCs w:val="22"/>
                <w:color w:val="auto"/>
                <w:vertAlign w:val="superscript"/>
              </w:rPr>
              <w:t>3</w:t>
            </w:r>
          </w:p>
        </w:tc>
        <w:tc>
          <w:tcPr>
            <w:tcW w:w="340" w:type="dxa"/>
            <w:vAlign w:val="bottom"/>
            <w:tcBorders>
              <w:bottom w:val="single" w:sz="8" w:color="0070FF"/>
            </w:tcBorders>
          </w:tcPr>
          <w:p>
            <w:pPr>
              <w:spacing w:after="0"/>
              <w:rPr>
                <w:sz w:val="17"/>
                <w:szCs w:val="17"/>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(196)</w:t>
            </w:r>
          </w:p>
        </w:tc>
        <w:tc>
          <w:tcPr>
            <w:tcW w:w="920" w:type="dxa"/>
            <w:vAlign w:val="bottom"/>
            <w:tcBorders>
              <w:bottom w:val="single" w:sz="8" w:color="0070FF"/>
            </w:tcBorders>
          </w:tcPr>
          <w:p>
            <w:pPr>
              <w:spacing w:after="0"/>
              <w:rPr>
                <w:sz w:val="17"/>
                <w:szCs w:val="17"/>
                <w:color w:val="auto"/>
              </w:rPr>
            </w:pPr>
          </w:p>
        </w:tc>
        <w:tc>
          <w:tcPr>
            <w:tcW w:w="280" w:type="dxa"/>
            <w:vAlign w:val="bottom"/>
            <w:tcBorders>
              <w:bottom w:val="single" w:sz="8" w:color="0070FF"/>
            </w:tcBorders>
          </w:tcPr>
          <w:p>
            <w:pPr>
              <w:spacing w:after="0"/>
              <w:rPr>
                <w:sz w:val="17"/>
                <w:szCs w:val="17"/>
                <w:color w:val="auto"/>
              </w:rPr>
            </w:pPr>
          </w:p>
        </w:tc>
        <w:tc>
          <w:tcPr>
            <w:tcW w:w="820" w:type="dxa"/>
            <w:vAlign w:val="bottom"/>
            <w:tcBorders>
              <w:bottom w:val="single" w:sz="8" w:color="0070FF"/>
            </w:tcBorders>
          </w:tcPr>
          <w:p>
            <w:pPr>
              <w:jc w:val="right"/>
              <w:ind w:right="229"/>
              <w:spacing w:after="0"/>
              <w:rPr>
                <w:sz w:val="20"/>
                <w:szCs w:val="20"/>
                <w:color w:val="auto"/>
              </w:rPr>
            </w:pPr>
            <w:r>
              <w:rPr>
                <w:rFonts w:ascii="Arial" w:cs="Arial" w:eastAsia="Arial" w:hAnsi="Arial"/>
                <w:sz w:val="14"/>
                <w:szCs w:val="14"/>
                <w:b w:val="1"/>
                <w:bCs w:val="1"/>
                <w:color w:val="auto"/>
              </w:rPr>
              <w:t>(0.18)</w:t>
            </w:r>
          </w:p>
        </w:tc>
        <w:tc>
          <w:tcPr>
            <w:tcW w:w="420" w:type="dxa"/>
            <w:vAlign w:val="bottom"/>
            <w:tcBorders>
              <w:bottom w:val="single" w:sz="8" w:color="0070FF"/>
            </w:tcBorders>
          </w:tcPr>
          <w:p>
            <w:pPr>
              <w:spacing w:after="0"/>
              <w:rPr>
                <w:sz w:val="17"/>
                <w:szCs w:val="17"/>
                <w:color w:val="auto"/>
              </w:rPr>
            </w:pPr>
          </w:p>
        </w:tc>
        <w:tc>
          <w:tcPr>
            <w:tcW w:w="680" w:type="dxa"/>
            <w:vAlign w:val="bottom"/>
            <w:tcBorders>
              <w:bottom w:val="single" w:sz="8" w:color="0070FF"/>
            </w:tcBorders>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0FF"/>
            </w:tcBorders>
          </w:tcPr>
          <w:p>
            <w:pPr>
              <w:spacing w:after="0"/>
              <w:rPr>
                <w:sz w:val="17"/>
                <w:szCs w:val="17"/>
                <w:color w:val="auto"/>
              </w:rPr>
            </w:pPr>
          </w:p>
        </w:tc>
        <w:tc>
          <w:tcPr>
            <w:tcW w:w="240" w:type="dxa"/>
            <w:vAlign w:val="bottom"/>
            <w:tcBorders>
              <w:bottom w:val="single" w:sz="8" w:color="0070FF"/>
            </w:tcBorders>
          </w:tcPr>
          <w:p>
            <w:pPr>
              <w:spacing w:after="0"/>
              <w:rPr>
                <w:sz w:val="17"/>
                <w:szCs w:val="17"/>
                <w:color w:val="auto"/>
              </w:rPr>
            </w:pPr>
          </w:p>
        </w:tc>
        <w:tc>
          <w:tcPr>
            <w:tcW w:w="780" w:type="dxa"/>
            <w:vAlign w:val="bottom"/>
            <w:tcBorders>
              <w:bottom w:val="single" w:sz="8" w:color="0070FF"/>
            </w:tcBorders>
          </w:tcPr>
          <w:p>
            <w:pPr>
              <w:spacing w:after="0"/>
              <w:rPr>
                <w:sz w:val="17"/>
                <w:szCs w:val="17"/>
                <w:color w:val="auto"/>
              </w:rPr>
            </w:pPr>
          </w:p>
        </w:tc>
        <w:tc>
          <w:tcPr>
            <w:tcW w:w="440" w:type="dxa"/>
            <w:vAlign w:val="bottom"/>
            <w:tcBorders>
              <w:bottom w:val="single" w:sz="8" w:color="0070FF"/>
            </w:tcBorders>
          </w:tcPr>
          <w:p>
            <w:pPr>
              <w:spacing w:after="0"/>
              <w:rPr>
                <w:sz w:val="17"/>
                <w:szCs w:val="17"/>
                <w:color w:val="auto"/>
              </w:rPr>
            </w:pPr>
          </w:p>
        </w:tc>
        <w:tc>
          <w:tcPr>
            <w:tcW w:w="720" w:type="dxa"/>
            <w:vAlign w:val="bottom"/>
            <w:tcBorders>
              <w:bottom w:val="single" w:sz="8" w:color="0070FF"/>
            </w:tcBorders>
          </w:tcPr>
          <w:p>
            <w:pPr>
              <w:jc w:val="right"/>
              <w:ind w:right="2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0FF"/>
            </w:tcBorders>
          </w:tcPr>
          <w:p>
            <w:pPr>
              <w:spacing w:after="0"/>
              <w:rPr>
                <w:sz w:val="17"/>
                <w:szCs w:val="17"/>
                <w:color w:val="auto"/>
              </w:rPr>
            </w:pPr>
          </w:p>
        </w:tc>
        <w:tc>
          <w:tcPr>
            <w:tcW w:w="280" w:type="dxa"/>
            <w:vAlign w:val="bottom"/>
            <w:tcBorders>
              <w:bottom w:val="single" w:sz="8" w:color="0070FF"/>
            </w:tcBorders>
          </w:tcPr>
          <w:p>
            <w:pPr>
              <w:spacing w:after="0"/>
              <w:rPr>
                <w:sz w:val="17"/>
                <w:szCs w:val="17"/>
                <w:color w:val="auto"/>
              </w:rPr>
            </w:pPr>
          </w:p>
        </w:tc>
        <w:tc>
          <w:tcPr>
            <w:tcW w:w="580" w:type="dxa"/>
            <w:vAlign w:val="bottom"/>
            <w:tcBorders>
              <w:bottom w:val="single" w:sz="8" w:color="0070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236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b w:val="1"/>
                <w:bCs w:val="1"/>
                <w:color w:val="auto"/>
              </w:rPr>
              <w:t>Net Income – Diluted</w:t>
            </w:r>
          </w:p>
        </w:tc>
        <w:tc>
          <w:tcPr>
            <w:tcW w:w="3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b w:val="1"/>
                <w:bCs w:val="1"/>
                <w:color w:val="auto"/>
              </w:rPr>
              <w:t>7,404</w:t>
            </w:r>
          </w:p>
        </w:tc>
        <w:tc>
          <w:tcPr>
            <w:tcW w:w="92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b w:val="1"/>
                <w:bCs w:val="1"/>
                <w:color w:val="auto"/>
              </w:rPr>
              <w:t>1,064.0</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70FF"/>
            </w:tcBorders>
          </w:tcPr>
          <w:p>
            <w:pPr>
              <w:jc w:val="right"/>
              <w:ind w:right="289"/>
              <w:spacing w:after="0" w:line="155" w:lineRule="exact"/>
              <w:rPr>
                <w:sz w:val="20"/>
                <w:szCs w:val="20"/>
                <w:color w:val="auto"/>
              </w:rPr>
            </w:pPr>
            <w:r>
              <w:rPr>
                <w:rFonts w:ascii="Arial" w:cs="Arial" w:eastAsia="Arial" w:hAnsi="Arial"/>
                <w:sz w:val="14"/>
                <w:szCs w:val="14"/>
                <w:b w:val="1"/>
                <w:bCs w:val="1"/>
                <w:color w:val="auto"/>
              </w:rPr>
              <w:t>6.96</w:t>
            </w:r>
          </w:p>
        </w:tc>
        <w:tc>
          <w:tcPr>
            <w:tcW w:w="4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89"/>
              <w:spacing w:after="0" w:line="155" w:lineRule="exact"/>
              <w:rPr>
                <w:sz w:val="20"/>
                <w:szCs w:val="20"/>
                <w:color w:val="auto"/>
              </w:rPr>
            </w:pPr>
            <w:r>
              <w:rPr>
                <w:rFonts w:ascii="Arial" w:cs="Arial" w:eastAsia="Arial" w:hAnsi="Arial"/>
                <w:sz w:val="14"/>
                <w:szCs w:val="14"/>
                <w:color w:val="auto"/>
              </w:rPr>
              <w:t>1,137</w:t>
            </w:r>
          </w:p>
        </w:tc>
        <w:tc>
          <w:tcPr>
            <w:tcW w:w="94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1,063.4</w:t>
            </w:r>
          </w:p>
        </w:tc>
        <w:tc>
          <w:tcPr>
            <w:tcW w:w="240" w:type="dxa"/>
            <w:vAlign w:val="bottom"/>
            <w:tcBorders>
              <w:bottom w:val="single" w:sz="8" w:color="0070FF"/>
            </w:tcBorders>
          </w:tcPr>
          <w:p>
            <w:pPr>
              <w:ind w:left="16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0070FF"/>
            </w:tcBorders>
          </w:tcPr>
          <w:p>
            <w:pPr>
              <w:jc w:val="right"/>
              <w:ind w:right="249"/>
              <w:spacing w:after="0" w:line="155" w:lineRule="exact"/>
              <w:rPr>
                <w:sz w:val="20"/>
                <w:szCs w:val="20"/>
                <w:color w:val="auto"/>
              </w:rPr>
            </w:pPr>
            <w:r>
              <w:rPr>
                <w:rFonts w:ascii="Arial" w:cs="Arial" w:eastAsia="Arial" w:hAnsi="Arial"/>
                <w:sz w:val="14"/>
                <w:szCs w:val="14"/>
                <w:color w:val="auto"/>
              </w:rPr>
              <w:t>1.07</w:t>
            </w:r>
          </w:p>
        </w:tc>
        <w:tc>
          <w:tcPr>
            <w:tcW w:w="4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209"/>
              <w:spacing w:after="0" w:line="155" w:lineRule="exact"/>
              <w:rPr>
                <w:sz w:val="20"/>
                <w:szCs w:val="20"/>
                <w:color w:val="auto"/>
              </w:rPr>
            </w:pPr>
            <w:r>
              <w:rPr>
                <w:rFonts w:ascii="Arial" w:cs="Arial" w:eastAsia="Arial" w:hAnsi="Arial"/>
                <w:sz w:val="14"/>
                <w:szCs w:val="14"/>
                <w:color w:val="auto"/>
              </w:rPr>
              <w:t>3,288</w:t>
            </w:r>
          </w:p>
        </w:tc>
        <w:tc>
          <w:tcPr>
            <w:tcW w:w="900" w:type="dxa"/>
            <w:vAlign w:val="bottom"/>
            <w:tcBorders>
              <w:bottom w:val="single" w:sz="8" w:color="0070FF"/>
            </w:tcBorders>
          </w:tcPr>
          <w:p>
            <w:pPr>
              <w:jc w:val="right"/>
              <w:ind w:right="89"/>
              <w:spacing w:after="0" w:line="155" w:lineRule="exact"/>
              <w:rPr>
                <w:sz w:val="20"/>
                <w:szCs w:val="20"/>
                <w:color w:val="auto"/>
              </w:rPr>
            </w:pPr>
            <w:r>
              <w:rPr>
                <w:rFonts w:ascii="Arial" w:cs="Arial" w:eastAsia="Arial" w:hAnsi="Arial"/>
                <w:sz w:val="14"/>
                <w:szCs w:val="14"/>
                <w:color w:val="auto"/>
              </w:rPr>
              <w:t>1,062.9</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0070FF"/>
            </w:tcBorders>
          </w:tcPr>
          <w:p>
            <w:pPr>
              <w:jc w:val="right"/>
              <w:ind w:right="29"/>
              <w:spacing w:after="0" w:line="155"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right="3640" w:hanging="100"/>
        <w:spacing w:after="0" w:line="197" w:lineRule="auto"/>
        <w:tabs>
          <w:tab w:leader="none" w:pos="129" w:val="left"/>
        </w:tabs>
        <w:numPr>
          <w:ilvl w:val="0"/>
          <w:numId w:val="59"/>
        </w:numPr>
        <w:rPr>
          <w:rFonts w:ascii="Arial" w:cs="Arial" w:eastAsia="Arial" w:hAnsi="Arial"/>
          <w:sz w:val="18"/>
          <w:szCs w:val="18"/>
          <w:color w:val="auto"/>
          <w:vertAlign w:val="superscript"/>
        </w:rPr>
      </w:pPr>
      <w:r>
        <w:rPr>
          <w:rFonts w:ascii="Arial" w:cs="Arial" w:eastAsia="Arial" w:hAnsi="Arial"/>
          <w:sz w:val="11"/>
          <w:szCs w:val="11"/>
          <w:color w:val="auto"/>
        </w:rPr>
        <w:t>2003 amount is the company’s share of a capital stock transaction of its Dynegy affiliate, which, under the applicable accounting rules, was recorded directly to retained earnings.</w:t>
      </w:r>
    </w:p>
    <w:p>
      <w:pPr>
        <w:ind w:left="120" w:hanging="80"/>
        <w:spacing w:after="0" w:line="183" w:lineRule="auto"/>
        <w:tabs>
          <w:tab w:leader="none" w:pos="120" w:val="left"/>
        </w:tabs>
        <w:numPr>
          <w:ilvl w:val="0"/>
          <w:numId w:val="60"/>
        </w:numPr>
        <w:rPr>
          <w:rFonts w:ascii="Arial" w:cs="Arial" w:eastAsia="Arial" w:hAnsi="Arial"/>
          <w:sz w:val="20"/>
          <w:szCs w:val="20"/>
          <w:color w:val="auto"/>
          <w:vertAlign w:val="superscript"/>
        </w:rPr>
      </w:pPr>
      <w:r>
        <w:rPr>
          <w:rFonts w:ascii="Arial" w:cs="Arial" w:eastAsia="Arial" w:hAnsi="Arial"/>
          <w:sz w:val="12"/>
          <w:szCs w:val="12"/>
          <w:color w:val="auto"/>
        </w:rPr>
        <w:t>See Note 2 on page FS-30 for explanation of extraordinary item.</w:t>
      </w:r>
    </w:p>
    <w:p>
      <w:pPr>
        <w:ind w:left="120" w:hanging="80"/>
        <w:spacing w:after="0" w:line="184" w:lineRule="auto"/>
        <w:tabs>
          <w:tab w:leader="none" w:pos="120" w:val="left"/>
        </w:tabs>
        <w:numPr>
          <w:ilvl w:val="0"/>
          <w:numId w:val="61"/>
        </w:numPr>
        <w:rPr>
          <w:rFonts w:ascii="Arial" w:cs="Arial" w:eastAsia="Arial" w:hAnsi="Arial"/>
          <w:sz w:val="20"/>
          <w:szCs w:val="20"/>
          <w:color w:val="auto"/>
          <w:vertAlign w:val="superscript"/>
        </w:rPr>
      </w:pPr>
      <w:r>
        <w:rPr>
          <w:rFonts w:ascii="Arial" w:cs="Arial" w:eastAsia="Arial" w:hAnsi="Arial"/>
          <w:sz w:val="12"/>
          <w:szCs w:val="12"/>
          <w:color w:val="auto"/>
        </w:rPr>
        <w:t>Includes a net loss of $200 for the adoption of FAS 143 and a gain of $4 for the company’s share of Dynegy’s cumulative effect of adoption of EITF No. 02-3.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6" w:name="page87"/>
    <w:bookmarkEnd w:id="8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220345</wp:posOffset>
            </wp:positionV>
            <wp:extent cx="8890" cy="4476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447675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0" w:type="dxa"/>
            <w:vAlign w:val="bottom"/>
            <w:vMerge w:val="restart"/>
          </w:tcPr>
          <w:p>
            <w:pPr>
              <w:jc w:val="right"/>
              <w:spacing w:after="0"/>
              <w:rPr>
                <w:sz w:val="20"/>
                <w:szCs w:val="20"/>
                <w:color w:val="auto"/>
              </w:rPr>
            </w:pPr>
            <w:r>
              <w:rPr>
                <w:rFonts w:ascii="Arial" w:cs="Arial" w:eastAsia="Arial" w:hAnsi="Arial"/>
                <w:sz w:val="27"/>
                <w:szCs w:val="27"/>
                <w:b w:val="1"/>
                <w:bCs w:val="1"/>
                <w:color w:val="0070FF"/>
                <w:w w:val="92"/>
              </w:rPr>
              <w:t>»</w:t>
            </w:r>
          </w:p>
        </w:tc>
        <w:tc>
          <w:tcPr>
            <w:tcW w:w="20" w:type="dxa"/>
            <w:vAlign w:val="bottom"/>
          </w:tcPr>
          <w:p>
            <w:pPr>
              <w:spacing w:after="0"/>
              <w:rPr>
                <w:sz w:val="3"/>
                <w:szCs w:val="3"/>
                <w:color w:val="auto"/>
              </w:rPr>
            </w:pPr>
          </w:p>
        </w:tc>
        <w:tc>
          <w:tcPr>
            <w:tcW w:w="5180" w:type="dxa"/>
            <w:vAlign w:val="bottom"/>
            <w:vMerge w:val="restart"/>
          </w:tcPr>
          <w:p>
            <w:pPr>
              <w:ind w:left="140"/>
              <w:spacing w:after="0"/>
              <w:rPr>
                <w:sz w:val="20"/>
                <w:szCs w:val="20"/>
                <w:color w:val="auto"/>
              </w:rPr>
            </w:pPr>
            <w:r>
              <w:rPr>
                <w:rFonts w:ascii="Arial" w:cs="Arial" w:eastAsia="Arial" w:hAnsi="Arial"/>
                <w:sz w:val="14"/>
                <w:szCs w:val="14"/>
                <w:i w:val="1"/>
                <w:iCs w:val="1"/>
                <w:color w:val="0070FF"/>
                <w:w w:val="80"/>
              </w:rPr>
              <w:t>Notes to the Consolidated Financial Statements</w:t>
            </w:r>
            <w:r>
              <w:rPr>
                <w:rFonts w:ascii="Arial" w:cs="Arial" w:eastAsia="Arial" w:hAnsi="Arial"/>
                <w:sz w:val="25"/>
                <w:szCs w:val="25"/>
                <w:i w:val="1"/>
                <w:iCs w:val="1"/>
                <w:color w:val="0070FF"/>
                <w:w w:val="80"/>
                <w:vertAlign w:val="subscript"/>
              </w:rPr>
              <w:t>Millions of dollars, except per-share amounts</w:t>
            </w:r>
          </w:p>
        </w:tc>
        <w:tc>
          <w:tcPr>
            <w:tcW w:w="0" w:type="dxa"/>
            <w:vAlign w:val="bottom"/>
          </w:tcPr>
          <w:p>
            <w:pPr>
              <w:spacing w:after="0" w:line="20" w:lineRule="exact"/>
              <w:rPr>
                <w:sz w:val="1"/>
                <w:szCs w:val="1"/>
                <w:color w:val="auto"/>
              </w:rPr>
            </w:pPr>
          </w:p>
        </w:tc>
      </w:tr>
      <w:tr>
        <w:trPr>
          <w:trHeight w:val="324"/>
        </w:trPr>
        <w:tc>
          <w:tcPr>
            <w:tcW w:w="280" w:type="dxa"/>
            <w:vAlign w:val="bottom"/>
            <w:tcBorders>
              <w:bottom w:val="single" w:sz="8" w:color="0070FF"/>
            </w:tcBorders>
            <w:vMerge w:val="continue"/>
          </w:tcPr>
          <w:p>
            <w:pPr>
              <w:spacing w:after="0"/>
              <w:rPr>
                <w:sz w:val="24"/>
                <w:szCs w:val="24"/>
                <w:color w:val="auto"/>
              </w:rPr>
            </w:pPr>
          </w:p>
        </w:tc>
        <w:tc>
          <w:tcPr>
            <w:tcW w:w="20" w:type="dxa"/>
            <w:vAlign w:val="bottom"/>
            <w:tcBorders>
              <w:bottom w:val="single" w:sz="8" w:color="0070FF"/>
            </w:tcBorders>
            <w:shd w:val="clear" w:color="auto" w:fill="0070FF"/>
          </w:tcPr>
          <w:p>
            <w:pPr>
              <w:spacing w:after="0"/>
              <w:rPr>
                <w:sz w:val="24"/>
                <w:szCs w:val="24"/>
                <w:color w:val="auto"/>
              </w:rPr>
            </w:pPr>
          </w:p>
        </w:tc>
        <w:tc>
          <w:tcPr>
            <w:tcW w:w="5180" w:type="dxa"/>
            <w:vAlign w:val="bottom"/>
            <w:tcBorders>
              <w:bottom w:val="single" w:sz="8" w:color="0070FF"/>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NOTE 25.</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FAS 143 — ASSET RETIREMENT OBLIGATIONS</w:t>
      </w:r>
    </w:p>
    <w:p>
      <w:pPr>
        <w:spacing w:after="0" w:line="15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company adopted Financial Accounting Standards Board Statement No. 143, “Accounting for Asset Retirement Obligations” (FAS 143), effective January 1, 2003. This accounting standard applies to the fair value of a liability for an asset retirement obligation that is recorded when there is a legal obligation associated with the retirement of a tangible long-lived asset and the liability can be reasonably estimated. Obligations associated with the retirement of these assets require recognition in certain circumstances: (1) the present value of a liability and offsetting asset for an asset retirement obligation (ARO), (2) the subsequent accretion of that liability and depreciation of the asset, and (3) the periodic review of the ARO liability estimates and discount rates. FAS 143 primarily affects the company’s accounting for oil and gas producing assets and differs in several respects from previous accounting under FAS 19, “Financial Accounting and Reporting by Oil and Gas Producing Companies.”</w:t>
      </w:r>
    </w:p>
    <w:p>
      <w:pPr>
        <w:spacing w:after="0" w:line="3" w:lineRule="exact"/>
        <w:rPr>
          <w:sz w:val="20"/>
          <w:szCs w:val="20"/>
          <w:color w:val="auto"/>
        </w:rPr>
      </w:pPr>
    </w:p>
    <w:p>
      <w:pPr>
        <w:ind w:right="20" w:firstLine="203"/>
        <w:spacing w:after="0" w:line="301" w:lineRule="auto"/>
        <w:rPr>
          <w:sz w:val="20"/>
          <w:szCs w:val="20"/>
          <w:color w:val="auto"/>
        </w:rPr>
      </w:pPr>
      <w:r>
        <w:rPr>
          <w:rFonts w:ascii="Arial" w:cs="Arial" w:eastAsia="Arial" w:hAnsi="Arial"/>
          <w:sz w:val="14"/>
          <w:szCs w:val="14"/>
          <w:color w:val="auto"/>
        </w:rPr>
        <w:t>In the first quarter 2003, the company recorded a net after-tax charge of $200 for the cumulative effect of the adoption of FAS 143, including the company’s share of amounts attributable to equity affiliates. The cumulative-effect adjustment also increased the following balance sheet categories: “Properties, plant and equipment,” $2,568; “Accrued liabilities,” $115; and “Deferred credits and other noncurrent obligations,” $2,674. “Noncurrent deferred income taxes” decreased by $21.</w:t>
      </w:r>
    </w:p>
    <w:p>
      <w:pPr>
        <w:spacing w:after="0" w:line="4" w:lineRule="exact"/>
        <w:rPr>
          <w:sz w:val="20"/>
          <w:szCs w:val="20"/>
          <w:color w:val="auto"/>
        </w:rPr>
      </w:pPr>
    </w:p>
    <w:p>
      <w:pPr>
        <w:ind w:right="60" w:firstLine="203"/>
        <w:spacing w:after="0" w:line="301" w:lineRule="auto"/>
        <w:rPr>
          <w:sz w:val="20"/>
          <w:szCs w:val="20"/>
          <w:color w:val="auto"/>
        </w:rPr>
      </w:pPr>
      <w:r>
        <w:rPr>
          <w:rFonts w:ascii="Arial" w:cs="Arial" w:eastAsia="Arial" w:hAnsi="Arial"/>
          <w:sz w:val="14"/>
          <w:szCs w:val="14"/>
          <w:color w:val="auto"/>
        </w:rPr>
        <w:t>Upon adoption, no significant legal obligations to retire refining, marketing and transportation (downstream) and chemical long-lived assets generally were recognized, as indeterminate settlement dates for the asset retirements prevented estimation of the fair value of the associated ARO. The company performs periodic reviews of its downstream and chemical long-lived assets for any changes in facts and circumstances that might require recognition of a retirement obligation.</w:t>
      </w:r>
    </w:p>
    <w:p>
      <w:pPr>
        <w:spacing w:after="0" w:line="4" w:lineRule="exact"/>
        <w:rPr>
          <w:sz w:val="20"/>
          <w:szCs w:val="20"/>
          <w:color w:val="auto"/>
        </w:rPr>
      </w:pPr>
    </w:p>
    <w:p>
      <w:pPr>
        <w:ind w:right="140" w:firstLine="203"/>
        <w:spacing w:after="0" w:line="281" w:lineRule="auto"/>
        <w:rPr>
          <w:sz w:val="20"/>
          <w:szCs w:val="20"/>
          <w:color w:val="auto"/>
        </w:rPr>
      </w:pPr>
      <w:r>
        <w:rPr>
          <w:rFonts w:ascii="Arial" w:cs="Arial" w:eastAsia="Arial" w:hAnsi="Arial"/>
          <w:sz w:val="15"/>
          <w:szCs w:val="15"/>
          <w:color w:val="auto"/>
        </w:rPr>
        <w:t>Other than the cumulative-effect net charge, the effect of the new accounting standard on net income in 2003 was not materially different from what the result would have been under FAS 19 accounting. Included in “Depreciation, depletion and amortization” were $52 related to the depreciation of the ARO asset and $132 related to the accretion of the ARO liability.</w:t>
      </w:r>
    </w:p>
    <w:p>
      <w:pPr>
        <w:spacing w:after="0" w:line="3" w:lineRule="exact"/>
        <w:rPr>
          <w:sz w:val="20"/>
          <w:szCs w:val="20"/>
          <w:color w:val="auto"/>
        </w:rPr>
      </w:pPr>
    </w:p>
    <w:p>
      <w:pPr>
        <w:ind w:right="160" w:firstLine="200"/>
        <w:spacing w:after="0" w:line="276" w:lineRule="auto"/>
        <w:rPr>
          <w:sz w:val="20"/>
          <w:szCs w:val="20"/>
          <w:color w:val="auto"/>
        </w:rPr>
      </w:pPr>
      <w:r>
        <w:rPr>
          <w:rFonts w:ascii="Arial" w:cs="Arial" w:eastAsia="Arial" w:hAnsi="Arial"/>
          <w:sz w:val="16"/>
          <w:szCs w:val="16"/>
          <w:color w:val="auto"/>
        </w:rPr>
        <w:t>The following table illustrates what the company’s net income before extraordinary items, net income and related per share amounts would have been if the provisions of FAS 143 had been applied retroactively: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bottom w:val="single" w:sz="8" w:color="0070FF"/>
            </w:tcBorders>
          </w:tcPr>
          <w:p>
            <w:pPr>
              <w:spacing w:after="0"/>
              <w:rPr>
                <w:sz w:val="14"/>
                <w:szCs w:val="14"/>
                <w:color w:val="auto"/>
              </w:rPr>
            </w:pPr>
          </w:p>
        </w:tc>
        <w:tc>
          <w:tcPr>
            <w:tcW w:w="420" w:type="dxa"/>
            <w:vAlign w:val="bottom"/>
            <w:tcBorders>
              <w:bottom w:val="single" w:sz="8" w:color="0070FF"/>
            </w:tcBorders>
          </w:tcPr>
          <w:p>
            <w:pPr>
              <w:spacing w:after="0"/>
              <w:rPr>
                <w:sz w:val="14"/>
                <w:szCs w:val="14"/>
                <w:color w:val="auto"/>
              </w:rPr>
            </w:pPr>
          </w:p>
        </w:tc>
        <w:tc>
          <w:tcPr>
            <w:tcW w:w="1480" w:type="dxa"/>
            <w:vAlign w:val="bottom"/>
            <w:tcBorders>
              <w:bottom w:val="single" w:sz="8" w:color="0070FF"/>
            </w:tcBorders>
            <w:gridSpan w:val="4"/>
          </w:tcPr>
          <w:p>
            <w:pPr>
              <w:jc w:val="right"/>
              <w:ind w:right="12"/>
              <w:spacing w:after="0"/>
              <w:rPr>
                <w:sz w:val="20"/>
                <w:szCs w:val="20"/>
                <w:color w:val="auto"/>
              </w:rPr>
            </w:pPr>
            <w:r>
              <w:rPr>
                <w:rFonts w:ascii="Arial" w:cs="Arial" w:eastAsia="Arial" w:hAnsi="Arial"/>
                <w:sz w:val="14"/>
                <w:szCs w:val="14"/>
                <w:color w:val="auto"/>
                <w:w w:val="85"/>
              </w:rPr>
              <w:t>Year Ended December 31</w:t>
            </w:r>
          </w:p>
        </w:tc>
      </w:tr>
      <w:tr>
        <w:trPr>
          <w:trHeight w:val="142"/>
        </w:trPr>
        <w:tc>
          <w:tcPr>
            <w:tcW w:w="3140" w:type="dxa"/>
            <w:vAlign w:val="bottom"/>
            <w:tcBorders>
              <w:bottom w:val="single" w:sz="8" w:color="0070FF"/>
            </w:tcBorders>
          </w:tcPr>
          <w:p>
            <w:pPr>
              <w:spacing w:after="0"/>
              <w:rPr>
                <w:sz w:val="12"/>
                <w:szCs w:val="12"/>
                <w:color w:val="auto"/>
              </w:rPr>
            </w:pPr>
          </w:p>
        </w:tc>
        <w:tc>
          <w:tcPr>
            <w:tcW w:w="380" w:type="dxa"/>
            <w:vAlign w:val="bottom"/>
            <w:tcBorders>
              <w:bottom w:val="single" w:sz="8" w:color="0070FF"/>
            </w:tcBorders>
          </w:tcPr>
          <w:p>
            <w:pPr>
              <w:spacing w:after="0"/>
              <w:rPr>
                <w:sz w:val="12"/>
                <w:szCs w:val="12"/>
                <w:color w:val="auto"/>
              </w:rPr>
            </w:pPr>
          </w:p>
        </w:tc>
        <w:tc>
          <w:tcPr>
            <w:tcW w:w="60" w:type="dxa"/>
            <w:vAlign w:val="bottom"/>
            <w:tcBorders>
              <w:bottom w:val="single" w:sz="8" w:color="0070FF"/>
            </w:tcBorders>
          </w:tcPr>
          <w:p>
            <w:pPr>
              <w:spacing w:after="0"/>
              <w:rPr>
                <w:sz w:val="12"/>
                <w:szCs w:val="12"/>
                <w:color w:val="auto"/>
              </w:rPr>
            </w:pPr>
          </w:p>
        </w:tc>
        <w:tc>
          <w:tcPr>
            <w:tcW w:w="420" w:type="dxa"/>
            <w:vAlign w:val="bottom"/>
            <w:tcBorders>
              <w:bottom w:val="single" w:sz="8" w:color="0070FF"/>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0070FF"/>
            </w:tcBorders>
          </w:tcPr>
          <w:p>
            <w:pPr>
              <w:spacing w:after="0"/>
              <w:rPr>
                <w:sz w:val="12"/>
                <w:szCs w:val="12"/>
                <w:color w:val="auto"/>
              </w:rPr>
            </w:pPr>
          </w:p>
        </w:tc>
        <w:tc>
          <w:tcPr>
            <w:tcW w:w="540" w:type="dxa"/>
            <w:vAlign w:val="bottom"/>
            <w:tcBorders>
              <w:bottom w:val="single" w:sz="8" w:color="0070FF"/>
            </w:tcBorders>
          </w:tcPr>
          <w:p>
            <w:pPr>
              <w:jc w:val="right"/>
              <w:ind w:right="132"/>
              <w:spacing w:after="0" w:line="142" w:lineRule="exact"/>
              <w:rPr>
                <w:sz w:val="20"/>
                <w:szCs w:val="20"/>
                <w:color w:val="auto"/>
              </w:rPr>
            </w:pPr>
            <w:r>
              <w:rPr>
                <w:rFonts w:ascii="Arial" w:cs="Arial" w:eastAsia="Arial" w:hAnsi="Arial"/>
                <w:sz w:val="14"/>
                <w:szCs w:val="14"/>
                <w:color w:val="auto"/>
              </w:rPr>
              <w:t>2002</w:t>
            </w:r>
          </w:p>
        </w:tc>
        <w:tc>
          <w:tcPr>
            <w:tcW w:w="220" w:type="dxa"/>
            <w:vAlign w:val="bottom"/>
            <w:tcBorders>
              <w:bottom w:val="single" w:sz="8" w:color="0070FF"/>
            </w:tcBorders>
          </w:tcPr>
          <w:p>
            <w:pPr>
              <w:spacing w:after="0"/>
              <w:rPr>
                <w:sz w:val="12"/>
                <w:szCs w:val="12"/>
                <w:color w:val="auto"/>
              </w:rPr>
            </w:pPr>
          </w:p>
        </w:tc>
        <w:tc>
          <w:tcPr>
            <w:tcW w:w="400" w:type="dxa"/>
            <w:vAlign w:val="bottom"/>
            <w:tcBorders>
              <w:bottom w:val="single" w:sz="8" w:color="0070FF"/>
            </w:tcBorders>
          </w:tcPr>
          <w:p>
            <w:pPr>
              <w:jc w:val="right"/>
              <w:ind w:right="12"/>
              <w:spacing w:after="0" w:line="142" w:lineRule="exact"/>
              <w:rPr>
                <w:sz w:val="20"/>
                <w:szCs w:val="20"/>
                <w:color w:val="auto"/>
              </w:rPr>
            </w:pPr>
            <w:r>
              <w:rPr>
                <w:rFonts w:ascii="Arial" w:cs="Arial" w:eastAsia="Arial" w:hAnsi="Arial"/>
                <w:sz w:val="14"/>
                <w:szCs w:val="14"/>
                <w:color w:val="auto"/>
                <w:w w:val="96"/>
              </w:rPr>
              <w:t>2001</w:t>
            </w:r>
          </w:p>
        </w:tc>
      </w:tr>
      <w:tr>
        <w:trPr>
          <w:trHeight w:val="160"/>
        </w:trPr>
        <w:tc>
          <w:tcPr>
            <w:tcW w:w="3140" w:type="dxa"/>
            <w:vAlign w:val="bottom"/>
          </w:tcPr>
          <w:p>
            <w:pPr>
              <w:spacing w:after="0"/>
              <w:rPr>
                <w:sz w:val="20"/>
                <w:szCs w:val="20"/>
                <w:color w:val="auto"/>
              </w:rPr>
            </w:pPr>
            <w:r>
              <w:rPr>
                <w:rFonts w:ascii="Arial" w:cs="Arial" w:eastAsia="Arial" w:hAnsi="Arial"/>
                <w:sz w:val="14"/>
                <w:szCs w:val="14"/>
                <w:color w:val="auto"/>
              </w:rPr>
              <w:t>Proforma net income before extraordinary items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60" w:lineRule="exact"/>
              <w:rPr>
                <w:sz w:val="20"/>
                <w:szCs w:val="20"/>
                <w:color w:val="auto"/>
              </w:rPr>
            </w:pPr>
            <w:r>
              <w:rPr>
                <w:rFonts w:ascii="Arial" w:cs="Arial" w:eastAsia="Arial" w:hAnsi="Arial"/>
                <w:sz w:val="12"/>
                <w:szCs w:val="12"/>
                <w:b w:val="1"/>
                <w:bCs w:val="1"/>
                <w:color w:val="auto"/>
              </w:rPr>
              <w:t>7,430</w:t>
            </w:r>
            <w:r>
              <w:rPr>
                <w:rFonts w:ascii="Arial" w:cs="Arial" w:eastAsia="Arial" w:hAnsi="Arial"/>
                <w:sz w:val="18"/>
                <w:szCs w:val="18"/>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60" w:lineRule="exact"/>
              <w:rPr>
                <w:sz w:val="20"/>
                <w:szCs w:val="20"/>
                <w:color w:val="auto"/>
              </w:rPr>
            </w:pPr>
            <w:r>
              <w:rPr>
                <w:rFonts w:ascii="Arial" w:cs="Arial" w:eastAsia="Arial" w:hAnsi="Arial"/>
                <w:sz w:val="12"/>
                <w:szCs w:val="12"/>
                <w:color w:val="auto"/>
              </w:rPr>
              <w:t>1,137</w:t>
            </w:r>
            <w:r>
              <w:rPr>
                <w:rFonts w:ascii="Arial" w:cs="Arial" w:eastAsia="Arial" w:hAnsi="Arial"/>
                <w:sz w:val="18"/>
                <w:szCs w:val="18"/>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60" w:lineRule="exact"/>
              <w:rPr>
                <w:sz w:val="20"/>
                <w:szCs w:val="20"/>
                <w:color w:val="auto"/>
              </w:rPr>
            </w:pPr>
            <w:r>
              <w:rPr>
                <w:rFonts w:ascii="Arial" w:cs="Arial" w:eastAsia="Arial" w:hAnsi="Arial"/>
                <w:sz w:val="12"/>
                <w:szCs w:val="12"/>
                <w:color w:val="auto"/>
                <w:w w:val="97"/>
              </w:rPr>
              <w:t>3,933</w:t>
            </w:r>
            <w:r>
              <w:rPr>
                <w:rFonts w:ascii="Arial" w:cs="Arial" w:eastAsia="Arial" w:hAnsi="Arial"/>
                <w:sz w:val="18"/>
                <w:szCs w:val="18"/>
                <w:color w:val="auto"/>
                <w:w w:val="97"/>
                <w:vertAlign w:val="superscript"/>
              </w:rPr>
              <w:t>2</w:t>
            </w:r>
          </w:p>
        </w:tc>
      </w:tr>
      <w:tr>
        <w:trPr>
          <w:trHeight w:val="189"/>
        </w:trPr>
        <w:tc>
          <w:tcPr>
            <w:tcW w:w="3140" w:type="dxa"/>
            <w:vAlign w:val="bottom"/>
          </w:tcPr>
          <w:p>
            <w:pPr>
              <w:ind w:left="140"/>
              <w:spacing w:after="0" w:line="189" w:lineRule="exact"/>
              <w:rPr>
                <w:sz w:val="20"/>
                <w:szCs w:val="20"/>
                <w:color w:val="auto"/>
              </w:rPr>
            </w:pPr>
            <w:r>
              <w:rPr>
                <w:rFonts w:ascii="Arial" w:cs="Arial" w:eastAsia="Arial" w:hAnsi="Arial"/>
                <w:sz w:val="13"/>
                <w:szCs w:val="13"/>
                <w:color w:val="auto"/>
              </w:rPr>
              <w:t>Earnings per share — basic</w:t>
            </w:r>
            <w:r>
              <w:rPr>
                <w:rFonts w:ascii="Arial" w:cs="Arial" w:eastAsia="Arial" w:hAnsi="Arial"/>
                <w:sz w:val="21"/>
                <w:szCs w:val="21"/>
                <w:color w:val="auto"/>
                <w:vertAlign w:val="superscript"/>
              </w:rPr>
              <w:t>3</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7.15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32"/>
              <w:spacing w:after="0"/>
              <w:rPr>
                <w:sz w:val="20"/>
                <w:szCs w:val="20"/>
                <w:color w:val="auto"/>
              </w:rPr>
            </w:pPr>
            <w:r>
              <w:rPr>
                <w:rFonts w:ascii="Arial" w:cs="Arial" w:eastAsia="Arial" w:hAnsi="Arial"/>
                <w:sz w:val="14"/>
                <w:szCs w:val="14"/>
                <w:color w:val="auto"/>
              </w:rPr>
              <w:t>1.07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3.71</w:t>
            </w:r>
          </w:p>
        </w:tc>
      </w:tr>
      <w:tr>
        <w:trPr>
          <w:trHeight w:val="185"/>
        </w:trPr>
        <w:tc>
          <w:tcPr>
            <w:tcW w:w="3140" w:type="dxa"/>
            <w:vAlign w:val="bottom"/>
          </w:tcPr>
          <w:p>
            <w:pPr>
              <w:ind w:left="140"/>
              <w:spacing w:after="0" w:line="185" w:lineRule="exact"/>
              <w:rPr>
                <w:sz w:val="20"/>
                <w:szCs w:val="20"/>
                <w:color w:val="auto"/>
              </w:rPr>
            </w:pPr>
            <w:r>
              <w:rPr>
                <w:rFonts w:ascii="Arial" w:cs="Arial" w:eastAsia="Arial" w:hAnsi="Arial"/>
                <w:sz w:val="13"/>
                <w:szCs w:val="13"/>
                <w:color w:val="auto"/>
              </w:rPr>
              <w:t>Earnings per share — diluted</w:t>
            </w:r>
            <w:r>
              <w:rPr>
                <w:rFonts w:ascii="Arial" w:cs="Arial" w:eastAsia="Arial" w:hAnsi="Arial"/>
                <w:sz w:val="21"/>
                <w:szCs w:val="21"/>
                <w:color w:val="auto"/>
                <w:vertAlign w:val="superscript"/>
              </w:rPr>
              <w:t>3</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7.14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32"/>
              <w:spacing w:after="0"/>
              <w:rPr>
                <w:sz w:val="20"/>
                <w:szCs w:val="20"/>
                <w:color w:val="auto"/>
              </w:rPr>
            </w:pPr>
            <w:r>
              <w:rPr>
                <w:rFonts w:ascii="Arial" w:cs="Arial" w:eastAsia="Arial" w:hAnsi="Arial"/>
                <w:sz w:val="14"/>
                <w:szCs w:val="14"/>
                <w:color w:val="auto"/>
              </w:rPr>
              <w:t>1.07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3.70</w:t>
            </w:r>
          </w:p>
        </w:tc>
      </w:tr>
      <w:tr>
        <w:trPr>
          <w:trHeight w:val="166"/>
        </w:trPr>
        <w:tc>
          <w:tcPr>
            <w:tcW w:w="3140" w:type="dxa"/>
            <w:vAlign w:val="bottom"/>
          </w:tcPr>
          <w:p>
            <w:pPr>
              <w:spacing w:after="0"/>
              <w:rPr>
                <w:sz w:val="20"/>
                <w:szCs w:val="20"/>
                <w:color w:val="auto"/>
              </w:rPr>
            </w:pPr>
            <w:r>
              <w:rPr>
                <w:rFonts w:ascii="Arial" w:cs="Arial" w:eastAsia="Arial" w:hAnsi="Arial"/>
                <w:sz w:val="14"/>
                <w:szCs w:val="14"/>
                <w:color w:val="auto"/>
              </w:rPr>
              <w:t>Proforma net income</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66" w:lineRule="exact"/>
              <w:rPr>
                <w:sz w:val="20"/>
                <w:szCs w:val="20"/>
                <w:color w:val="auto"/>
              </w:rPr>
            </w:pPr>
            <w:r>
              <w:rPr>
                <w:rFonts w:ascii="Arial" w:cs="Arial" w:eastAsia="Arial" w:hAnsi="Arial"/>
                <w:sz w:val="12"/>
                <w:szCs w:val="12"/>
                <w:b w:val="1"/>
                <w:bCs w:val="1"/>
                <w:color w:val="auto"/>
              </w:rPr>
              <w:t>7,430</w:t>
            </w:r>
            <w:r>
              <w:rPr>
                <w:rFonts w:ascii="Arial" w:cs="Arial" w:eastAsia="Arial" w:hAnsi="Arial"/>
                <w:sz w:val="19"/>
                <w:szCs w:val="19"/>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66" w:lineRule="exact"/>
              <w:rPr>
                <w:sz w:val="20"/>
                <w:szCs w:val="20"/>
                <w:color w:val="auto"/>
              </w:rPr>
            </w:pPr>
            <w:r>
              <w:rPr>
                <w:rFonts w:ascii="Arial" w:cs="Arial" w:eastAsia="Arial" w:hAnsi="Arial"/>
                <w:sz w:val="12"/>
                <w:szCs w:val="12"/>
                <w:color w:val="auto"/>
              </w:rPr>
              <w:t>1,137</w:t>
            </w:r>
            <w:r>
              <w:rPr>
                <w:rFonts w:ascii="Arial" w:cs="Arial" w:eastAsia="Arial" w:hAnsi="Arial"/>
                <w:sz w:val="19"/>
                <w:szCs w:val="19"/>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66" w:lineRule="exact"/>
              <w:rPr>
                <w:sz w:val="20"/>
                <w:szCs w:val="20"/>
                <w:color w:val="auto"/>
              </w:rPr>
            </w:pPr>
            <w:r>
              <w:rPr>
                <w:rFonts w:ascii="Arial" w:cs="Arial" w:eastAsia="Arial" w:hAnsi="Arial"/>
                <w:sz w:val="12"/>
                <w:szCs w:val="12"/>
                <w:color w:val="auto"/>
                <w:w w:val="96"/>
              </w:rPr>
              <w:t>3,290</w:t>
            </w:r>
            <w:r>
              <w:rPr>
                <w:rFonts w:ascii="Arial" w:cs="Arial" w:eastAsia="Arial" w:hAnsi="Arial"/>
                <w:sz w:val="19"/>
                <w:szCs w:val="19"/>
                <w:color w:val="auto"/>
                <w:w w:val="96"/>
                <w:vertAlign w:val="superscript"/>
              </w:rPr>
              <w:t>2</w:t>
            </w:r>
          </w:p>
        </w:tc>
      </w:tr>
      <w:tr>
        <w:trPr>
          <w:trHeight w:val="189"/>
        </w:trPr>
        <w:tc>
          <w:tcPr>
            <w:tcW w:w="3140" w:type="dxa"/>
            <w:vAlign w:val="bottom"/>
          </w:tcPr>
          <w:p>
            <w:pPr>
              <w:ind w:left="140"/>
              <w:spacing w:after="0" w:line="189" w:lineRule="exact"/>
              <w:rPr>
                <w:sz w:val="20"/>
                <w:szCs w:val="20"/>
                <w:color w:val="auto"/>
              </w:rPr>
            </w:pPr>
            <w:r>
              <w:rPr>
                <w:rFonts w:ascii="Arial" w:cs="Arial" w:eastAsia="Arial" w:hAnsi="Arial"/>
                <w:sz w:val="13"/>
                <w:szCs w:val="13"/>
                <w:color w:val="auto"/>
              </w:rPr>
              <w:t>Earnings per share — basic</w:t>
            </w:r>
            <w:r>
              <w:rPr>
                <w:rFonts w:ascii="Arial" w:cs="Arial" w:eastAsia="Arial" w:hAnsi="Arial"/>
                <w:sz w:val="21"/>
                <w:szCs w:val="21"/>
                <w:color w:val="auto"/>
                <w:vertAlign w:val="superscript"/>
              </w:rPr>
              <w:t>4</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7.15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32"/>
              <w:spacing w:after="0"/>
              <w:rPr>
                <w:sz w:val="20"/>
                <w:szCs w:val="20"/>
                <w:color w:val="auto"/>
              </w:rPr>
            </w:pPr>
            <w:r>
              <w:rPr>
                <w:rFonts w:ascii="Arial" w:cs="Arial" w:eastAsia="Arial" w:hAnsi="Arial"/>
                <w:sz w:val="14"/>
                <w:szCs w:val="14"/>
                <w:color w:val="auto"/>
              </w:rPr>
              <w:t>1.07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3.10</w:t>
            </w:r>
          </w:p>
        </w:tc>
      </w:tr>
      <w:tr>
        <w:trPr>
          <w:trHeight w:val="218"/>
        </w:trPr>
        <w:tc>
          <w:tcPr>
            <w:tcW w:w="3140" w:type="dxa"/>
            <w:vAlign w:val="bottom"/>
            <w:tcBorders>
              <w:bottom w:val="single" w:sz="8" w:color="0070FF"/>
            </w:tcBorders>
          </w:tcPr>
          <w:p>
            <w:pPr>
              <w:ind w:left="140"/>
              <w:spacing w:after="0" w:line="198" w:lineRule="exact"/>
              <w:rPr>
                <w:sz w:val="20"/>
                <w:szCs w:val="20"/>
                <w:color w:val="auto"/>
              </w:rPr>
            </w:pPr>
            <w:r>
              <w:rPr>
                <w:rFonts w:ascii="Arial" w:cs="Arial" w:eastAsia="Arial" w:hAnsi="Arial"/>
                <w:sz w:val="14"/>
                <w:szCs w:val="14"/>
                <w:color w:val="auto"/>
              </w:rPr>
              <w:t>Earnings per share — diluted</w:t>
            </w:r>
            <w:r>
              <w:rPr>
                <w:rFonts w:ascii="Arial" w:cs="Arial" w:eastAsia="Arial" w:hAnsi="Arial"/>
                <w:sz w:val="22"/>
                <w:szCs w:val="22"/>
                <w:color w:val="auto"/>
                <w:vertAlign w:val="superscript"/>
              </w:rPr>
              <w:t>4</w:t>
            </w:r>
          </w:p>
        </w:tc>
        <w:tc>
          <w:tcPr>
            <w:tcW w:w="44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0FF"/>
            </w:tcBorders>
          </w:tcPr>
          <w:p>
            <w:pPr>
              <w:jc w:val="right"/>
              <w:ind w:right="12"/>
              <w:spacing w:after="0"/>
              <w:rPr>
                <w:sz w:val="20"/>
                <w:szCs w:val="20"/>
                <w:color w:val="auto"/>
              </w:rPr>
            </w:pPr>
            <w:r>
              <w:rPr>
                <w:rFonts w:ascii="Arial" w:cs="Arial" w:eastAsia="Arial" w:hAnsi="Arial"/>
                <w:sz w:val="14"/>
                <w:szCs w:val="14"/>
                <w:b w:val="1"/>
                <w:bCs w:val="1"/>
                <w:color w:val="auto"/>
              </w:rPr>
              <w:t>7.14</w:t>
            </w: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132"/>
              <w:spacing w:after="0"/>
              <w:rPr>
                <w:sz w:val="20"/>
                <w:szCs w:val="20"/>
                <w:color w:val="auto"/>
              </w:rPr>
            </w:pPr>
            <w:r>
              <w:rPr>
                <w:rFonts w:ascii="Arial" w:cs="Arial" w:eastAsia="Arial" w:hAnsi="Arial"/>
                <w:sz w:val="14"/>
                <w:szCs w:val="14"/>
                <w:color w:val="auto"/>
              </w:rPr>
              <w:t>1.07</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12"/>
              <w:spacing w:after="0"/>
              <w:rPr>
                <w:sz w:val="20"/>
                <w:szCs w:val="20"/>
                <w:color w:val="auto"/>
              </w:rPr>
            </w:pPr>
            <w:r>
              <w:rPr>
                <w:rFonts w:ascii="Arial" w:cs="Arial" w:eastAsia="Arial" w:hAnsi="Arial"/>
                <w:sz w:val="14"/>
                <w:szCs w:val="14"/>
                <w:color w:val="auto"/>
              </w:rPr>
              <w:t>3.09</w:t>
            </w:r>
          </w:p>
        </w:tc>
      </w:tr>
    </w:tbl>
    <w:p>
      <w:pPr>
        <w:spacing w:after="0" w:line="16" w:lineRule="exact"/>
        <w:rPr>
          <w:sz w:val="20"/>
          <w:szCs w:val="20"/>
          <w:color w:val="auto"/>
        </w:rPr>
      </w:pPr>
    </w:p>
    <w:p>
      <w:pPr>
        <w:ind w:left="121" w:hanging="121"/>
        <w:spacing w:after="0"/>
        <w:tabs>
          <w:tab w:leader="none" w:pos="121" w:val="left"/>
        </w:tabs>
        <w:numPr>
          <w:ilvl w:val="0"/>
          <w:numId w:val="62"/>
        </w:numPr>
        <w:rPr>
          <w:rFonts w:ascii="Arial" w:cs="Arial" w:eastAsia="Arial" w:hAnsi="Arial"/>
          <w:sz w:val="9"/>
          <w:szCs w:val="9"/>
          <w:color w:val="auto"/>
        </w:rPr>
      </w:pPr>
      <w:r>
        <w:rPr>
          <w:rFonts w:ascii="Arial" w:cs="Arial" w:eastAsia="Arial" w:hAnsi="Arial"/>
          <w:sz w:val="11"/>
          <w:szCs w:val="11"/>
          <w:color w:val="auto"/>
        </w:rPr>
        <w:t>Amount excludes cumulative-effect charge of $200 ($0.18 per basic and diluted share) for the adoption</w:t>
      </w:r>
    </w:p>
    <w:p>
      <w:pPr>
        <w:spacing w:after="0" w:line="6" w:lineRule="exact"/>
        <w:rPr>
          <w:sz w:val="20"/>
          <w:szCs w:val="20"/>
          <w:color w:val="auto"/>
        </w:rPr>
      </w:pPr>
    </w:p>
    <w:p>
      <w:pPr>
        <w:ind w:left="121"/>
        <w:spacing w:after="0"/>
        <w:rPr>
          <w:sz w:val="20"/>
          <w:szCs w:val="20"/>
          <w:color w:val="auto"/>
        </w:rPr>
      </w:pPr>
      <w:r>
        <w:rPr>
          <w:rFonts w:ascii="Arial" w:cs="Arial" w:eastAsia="Arial" w:hAnsi="Arial"/>
          <w:sz w:val="12"/>
          <w:szCs w:val="12"/>
          <w:color w:val="auto"/>
        </w:rPr>
        <w:t>of FAS 143.</w:t>
      </w:r>
    </w:p>
    <w:p>
      <w:pPr>
        <w:ind w:left="121" w:right="80" w:hanging="121"/>
        <w:spacing w:after="0" w:line="234" w:lineRule="auto"/>
        <w:tabs>
          <w:tab w:leader="none" w:pos="121" w:val="left"/>
        </w:tabs>
        <w:numPr>
          <w:ilvl w:val="0"/>
          <w:numId w:val="63"/>
        </w:numPr>
        <w:rPr>
          <w:rFonts w:ascii="Arial" w:cs="Arial" w:eastAsia="Arial" w:hAnsi="Arial"/>
          <w:sz w:val="10"/>
          <w:szCs w:val="10"/>
          <w:color w:val="auto"/>
        </w:rPr>
      </w:pPr>
      <w:r>
        <w:rPr>
          <w:rFonts w:ascii="Arial" w:cs="Arial" w:eastAsia="Arial" w:hAnsi="Arial"/>
          <w:sz w:val="12"/>
          <w:szCs w:val="12"/>
          <w:color w:val="auto"/>
        </w:rPr>
        <w:t xml:space="preserve">Includes benefit of $5 and $2 for 2002 and 2001, respectively, which represent the reversal of FAS 19 depreciation related to abandonment offset partially by proforma expenses for the depreciation and accretion of the ARO asset and liability, net of tax. There is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effect to net income per basic or diluted share.</w:t>
      </w:r>
    </w:p>
    <w:p>
      <w:pPr>
        <w:spacing w:after="0" w:line="2" w:lineRule="exact"/>
        <w:rPr>
          <w:sz w:val="20"/>
          <w:szCs w:val="20"/>
          <w:color w:val="auto"/>
        </w:rPr>
      </w:pPr>
    </w:p>
    <w:p>
      <w:pPr>
        <w:ind w:left="121" w:right="200" w:hanging="121"/>
        <w:spacing w:after="0" w:line="234" w:lineRule="auto"/>
        <w:tabs>
          <w:tab w:leader="none" w:pos="121" w:val="left"/>
        </w:tabs>
        <w:numPr>
          <w:ilvl w:val="0"/>
          <w:numId w:val="64"/>
        </w:numPr>
        <w:rPr>
          <w:rFonts w:ascii="Arial" w:cs="Arial" w:eastAsia="Arial" w:hAnsi="Arial"/>
          <w:sz w:val="10"/>
          <w:szCs w:val="10"/>
          <w:color w:val="auto"/>
        </w:rPr>
      </w:pPr>
      <w:r>
        <w:rPr>
          <w:rFonts w:ascii="Arial" w:cs="Arial" w:eastAsia="Arial" w:hAnsi="Arial"/>
          <w:sz w:val="12"/>
          <w:szCs w:val="12"/>
          <w:color w:val="auto"/>
        </w:rPr>
        <w:t>Reported net income before extraordinary items was $1.07 per basic and diluted share for 2002 and $3.71 per basic share ($3.70 — diluted) for 2001.</w:t>
      </w:r>
    </w:p>
    <w:p>
      <w:pPr>
        <w:spacing w:after="0" w:line="1" w:lineRule="exact"/>
        <w:rPr>
          <w:sz w:val="20"/>
          <w:szCs w:val="20"/>
          <w:color w:val="auto"/>
        </w:rPr>
      </w:pPr>
    </w:p>
    <w:p>
      <w:pPr>
        <w:ind w:left="121" w:hanging="121"/>
        <w:spacing w:after="0"/>
        <w:tabs>
          <w:tab w:leader="none" w:pos="121" w:val="left"/>
        </w:tabs>
        <w:numPr>
          <w:ilvl w:val="0"/>
          <w:numId w:val="65"/>
        </w:numPr>
        <w:rPr>
          <w:rFonts w:ascii="Arial" w:cs="Arial" w:eastAsia="Arial" w:hAnsi="Arial"/>
          <w:sz w:val="9"/>
          <w:szCs w:val="9"/>
          <w:color w:val="auto"/>
        </w:rPr>
      </w:pPr>
      <w:r>
        <w:rPr>
          <w:rFonts w:ascii="Arial" w:cs="Arial" w:eastAsia="Arial" w:hAnsi="Arial"/>
          <w:sz w:val="11"/>
          <w:szCs w:val="11"/>
          <w:color w:val="auto"/>
        </w:rPr>
        <w:t>Reported net income was $1.07 per basic and diluted share for 2002 and $3.10 per basic share ($3.09</w:t>
      </w:r>
    </w:p>
    <w:p>
      <w:pPr>
        <w:spacing w:after="0" w:line="8" w:lineRule="exact"/>
        <w:rPr>
          <w:rFonts w:ascii="Arial" w:cs="Arial" w:eastAsia="Arial" w:hAnsi="Arial"/>
          <w:sz w:val="9"/>
          <w:szCs w:val="9"/>
          <w:color w:val="auto"/>
        </w:rPr>
      </w:pPr>
    </w:p>
    <w:p>
      <w:pPr>
        <w:ind w:left="121"/>
        <w:spacing w:after="0"/>
        <w:rPr>
          <w:rFonts w:ascii="Arial" w:cs="Arial" w:eastAsia="Arial" w:hAnsi="Arial"/>
          <w:sz w:val="9"/>
          <w:szCs w:val="9"/>
          <w:color w:val="auto"/>
        </w:rPr>
      </w:pPr>
      <w:r>
        <w:rPr>
          <w:rFonts w:ascii="Arial" w:cs="Arial" w:eastAsia="Arial" w:hAnsi="Arial"/>
          <w:sz w:val="12"/>
          <w:szCs w:val="12"/>
          <w:color w:val="auto"/>
        </w:rPr>
        <w:t>— diluted) for 2001.</w:t>
      </w:r>
    </w:p>
    <w:p>
      <w:pPr>
        <w:spacing w:after="0" w:line="188" w:lineRule="exact"/>
        <w:rPr>
          <w:sz w:val="20"/>
          <w:szCs w:val="20"/>
          <w:color w:val="auto"/>
        </w:rPr>
      </w:pPr>
    </w:p>
    <w:p>
      <w:pPr>
        <w:ind w:left="1" w:right="140" w:firstLine="203"/>
        <w:spacing w:after="0" w:line="318" w:lineRule="auto"/>
        <w:rPr>
          <w:sz w:val="20"/>
          <w:szCs w:val="20"/>
          <w:color w:val="auto"/>
        </w:rPr>
      </w:pPr>
      <w:r>
        <w:rPr>
          <w:rFonts w:ascii="Arial" w:cs="Arial" w:eastAsia="Arial" w:hAnsi="Arial"/>
          <w:sz w:val="14"/>
          <w:szCs w:val="14"/>
          <w:color w:val="auto"/>
        </w:rPr>
        <w:t>Prior to the implementation of FAS 143, the company had recorded a provision for abandonment that was part of “Accumulated depreciation, depletion and amortization.” Upon implementation of FAS 143, the provision for abandonment was reversed and ARO liability was recorded. The amount of the abandonment reserve at the end of each year and the proforma ARO liability were as follows:</w:t>
      </w:r>
    </w:p>
    <w:p>
      <w:pPr>
        <w:spacing w:after="0" w:line="92"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Borders>
              <w:bottom w:val="single" w:sz="8" w:color="0070FF"/>
            </w:tcBorders>
          </w:tcPr>
          <w:p>
            <w:pPr>
              <w:spacing w:after="0"/>
              <w:rPr>
                <w:sz w:val="14"/>
                <w:szCs w:val="14"/>
                <w:color w:val="auto"/>
              </w:rPr>
            </w:pPr>
          </w:p>
        </w:tc>
        <w:tc>
          <w:tcPr>
            <w:tcW w:w="88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b w:val="1"/>
                <w:bCs w:val="1"/>
                <w:color w:val="auto"/>
              </w:rPr>
              <w:t>2003</w:t>
            </w:r>
          </w:p>
        </w:tc>
        <w:tc>
          <w:tcPr>
            <w:tcW w:w="78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2002</w:t>
            </w:r>
          </w:p>
        </w:tc>
        <w:tc>
          <w:tcPr>
            <w:tcW w:w="6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2001</w:t>
            </w:r>
          </w:p>
        </w:tc>
      </w:tr>
      <w:tr>
        <w:trPr>
          <w:trHeight w:val="133"/>
        </w:trPr>
        <w:tc>
          <w:tcPr>
            <w:tcW w:w="20" w:type="dxa"/>
            <w:vAlign w:val="bottom"/>
          </w:tcPr>
          <w:p>
            <w:pPr>
              <w:spacing w:after="0"/>
              <w:rPr>
                <w:sz w:val="11"/>
                <w:szCs w:val="11"/>
                <w:color w:val="auto"/>
              </w:rPr>
            </w:pPr>
          </w:p>
        </w:tc>
        <w:tc>
          <w:tcPr>
            <w:tcW w:w="3120" w:type="dxa"/>
            <w:vAlign w:val="bottom"/>
          </w:tcPr>
          <w:p>
            <w:pPr>
              <w:spacing w:after="0" w:line="133" w:lineRule="exact"/>
              <w:rPr>
                <w:sz w:val="20"/>
                <w:szCs w:val="20"/>
                <w:color w:val="auto"/>
              </w:rPr>
            </w:pPr>
            <w:r>
              <w:rPr>
                <w:rFonts w:ascii="Arial" w:cs="Arial" w:eastAsia="Arial" w:hAnsi="Arial"/>
                <w:sz w:val="14"/>
                <w:szCs w:val="14"/>
                <w:color w:val="auto"/>
              </w:rPr>
              <w:t>ARO liability (FAS 143) at January 1</w:t>
            </w:r>
          </w:p>
        </w:tc>
        <w:tc>
          <w:tcPr>
            <w:tcW w:w="880" w:type="dxa"/>
            <w:vAlign w:val="bottom"/>
          </w:tcPr>
          <w:p>
            <w:pPr>
              <w:jc w:val="right"/>
              <w:ind w:right="109"/>
              <w:spacing w:after="0" w:line="133" w:lineRule="exact"/>
              <w:rPr>
                <w:sz w:val="20"/>
                <w:szCs w:val="20"/>
                <w:color w:val="auto"/>
              </w:rPr>
            </w:pPr>
            <w:r>
              <w:rPr>
                <w:rFonts w:ascii="Arial" w:cs="Arial" w:eastAsia="Arial" w:hAnsi="Arial"/>
                <w:sz w:val="14"/>
                <w:szCs w:val="14"/>
                <w:b w:val="1"/>
                <w:bCs w:val="1"/>
                <w:color w:val="auto"/>
              </w:rPr>
              <w:t>$ 2,797</w:t>
            </w:r>
          </w:p>
        </w:tc>
        <w:tc>
          <w:tcPr>
            <w:tcW w:w="780" w:type="dxa"/>
            <w:vAlign w:val="bottom"/>
          </w:tcPr>
          <w:p>
            <w:pPr>
              <w:jc w:val="right"/>
              <w:ind w:right="89"/>
              <w:spacing w:after="0" w:line="133" w:lineRule="exact"/>
              <w:rPr>
                <w:sz w:val="20"/>
                <w:szCs w:val="20"/>
                <w:color w:val="auto"/>
              </w:rPr>
            </w:pPr>
            <w:r>
              <w:rPr>
                <w:rFonts w:ascii="Arial" w:cs="Arial" w:eastAsia="Arial" w:hAnsi="Arial"/>
                <w:sz w:val="14"/>
                <w:szCs w:val="14"/>
                <w:color w:val="auto"/>
              </w:rPr>
              <w:t>$ 2,792</w:t>
            </w:r>
          </w:p>
        </w:tc>
        <w:tc>
          <w:tcPr>
            <w:tcW w:w="680" w:type="dxa"/>
            <w:vAlign w:val="bottom"/>
          </w:tcPr>
          <w:p>
            <w:pPr>
              <w:jc w:val="right"/>
              <w:spacing w:after="0" w:line="133" w:lineRule="exact"/>
              <w:rPr>
                <w:sz w:val="20"/>
                <w:szCs w:val="20"/>
                <w:color w:val="auto"/>
              </w:rPr>
            </w:pPr>
            <w:r>
              <w:rPr>
                <w:rFonts w:ascii="Arial" w:cs="Arial" w:eastAsia="Arial" w:hAnsi="Arial"/>
                <w:sz w:val="14"/>
                <w:szCs w:val="14"/>
                <w:color w:val="auto"/>
              </w:rPr>
              <w:t>$ 2,729</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ARO liability (FAS 143) at December 31</w:t>
            </w:r>
          </w:p>
        </w:tc>
        <w:tc>
          <w:tcPr>
            <w:tcW w:w="88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2,856</w:t>
            </w: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2,797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2,792</w:t>
            </w:r>
          </w:p>
        </w:tc>
      </w:tr>
      <w:tr>
        <w:trPr>
          <w:trHeight w:val="192"/>
        </w:trPr>
        <w:tc>
          <w:tcPr>
            <w:tcW w:w="314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Abandonment provision (FAS 19) at December 31</w:t>
            </w:r>
          </w:p>
        </w:tc>
        <w:tc>
          <w:tcPr>
            <w:tcW w:w="88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0FF"/>
            </w:tcBorders>
          </w:tcPr>
          <w:p>
            <w:pPr>
              <w:jc w:val="right"/>
              <w:ind w:right="89"/>
              <w:spacing w:after="0"/>
              <w:rPr>
                <w:sz w:val="20"/>
                <w:szCs w:val="20"/>
                <w:color w:val="auto"/>
              </w:rPr>
            </w:pPr>
            <w:r>
              <w:rPr>
                <w:rFonts w:ascii="Arial" w:cs="Arial" w:eastAsia="Arial" w:hAnsi="Arial"/>
                <w:sz w:val="14"/>
                <w:szCs w:val="14"/>
                <w:color w:val="auto"/>
              </w:rPr>
              <w:t>2,263</w:t>
            </w:r>
          </w:p>
        </w:tc>
        <w:tc>
          <w:tcPr>
            <w:tcW w:w="6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2,155</w:t>
            </w:r>
          </w:p>
        </w:tc>
      </w:tr>
    </w:tbl>
    <w:p>
      <w:pPr>
        <w:spacing w:after="0" w:line="206" w:lineRule="exact"/>
        <w:rPr>
          <w:sz w:val="20"/>
          <w:szCs w:val="20"/>
          <w:color w:val="auto"/>
        </w:rPr>
      </w:pPr>
    </w:p>
    <w:p>
      <w:pPr>
        <w:ind w:left="1" w:right="380" w:firstLine="200"/>
        <w:spacing w:after="0" w:line="293" w:lineRule="auto"/>
        <w:rPr>
          <w:sz w:val="20"/>
          <w:szCs w:val="20"/>
          <w:color w:val="auto"/>
        </w:rPr>
      </w:pPr>
      <w:r>
        <w:rPr>
          <w:rFonts w:ascii="Arial" w:cs="Arial" w:eastAsia="Arial" w:hAnsi="Arial"/>
          <w:sz w:val="16"/>
          <w:szCs w:val="16"/>
          <w:color w:val="auto"/>
        </w:rPr>
        <w:t>The following table indicates the changes to the company’s before-tax asset retirement obligations in 2003:</w:t>
      </w:r>
    </w:p>
    <w:p>
      <w:pPr>
        <w:spacing w:after="0" w:line="102"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Borders>
              <w:bottom w:val="single" w:sz="8" w:color="0070FF"/>
            </w:tcBorders>
          </w:tcPr>
          <w:p>
            <w:pPr>
              <w:spacing w:after="0"/>
              <w:rPr>
                <w:sz w:val="14"/>
                <w:szCs w:val="14"/>
                <w:color w:val="auto"/>
              </w:rPr>
            </w:pPr>
          </w:p>
        </w:tc>
        <w:tc>
          <w:tcPr>
            <w:tcW w:w="116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2003</w:t>
            </w:r>
          </w:p>
        </w:tc>
      </w:tr>
      <w:tr>
        <w:trPr>
          <w:trHeight w:val="133"/>
        </w:trPr>
        <w:tc>
          <w:tcPr>
            <w:tcW w:w="20" w:type="dxa"/>
            <w:vAlign w:val="bottom"/>
          </w:tcPr>
          <w:p>
            <w:pPr>
              <w:spacing w:after="0"/>
              <w:rPr>
                <w:sz w:val="11"/>
                <w:szCs w:val="11"/>
                <w:color w:val="auto"/>
              </w:rPr>
            </w:pPr>
          </w:p>
        </w:tc>
        <w:tc>
          <w:tcPr>
            <w:tcW w:w="4300" w:type="dxa"/>
            <w:vAlign w:val="bottom"/>
          </w:tcPr>
          <w:p>
            <w:pPr>
              <w:spacing w:after="0" w:line="133" w:lineRule="exact"/>
              <w:rPr>
                <w:sz w:val="20"/>
                <w:szCs w:val="20"/>
                <w:color w:val="auto"/>
              </w:rPr>
            </w:pPr>
            <w:r>
              <w:rPr>
                <w:rFonts w:ascii="Arial" w:cs="Arial" w:eastAsia="Arial" w:hAnsi="Arial"/>
                <w:sz w:val="14"/>
                <w:szCs w:val="14"/>
                <w:color w:val="auto"/>
              </w:rPr>
              <w:t>Balance at Jan. 1 — Cumulative effect of the accounting change</w:t>
            </w:r>
          </w:p>
        </w:tc>
        <w:tc>
          <w:tcPr>
            <w:tcW w:w="1160" w:type="dxa"/>
            <w:vAlign w:val="bottom"/>
          </w:tcPr>
          <w:p>
            <w:pPr>
              <w:jc w:val="right"/>
              <w:ind w:right="49"/>
              <w:spacing w:after="0" w:line="133" w:lineRule="exact"/>
              <w:rPr>
                <w:sz w:val="20"/>
                <w:szCs w:val="20"/>
                <w:color w:val="auto"/>
              </w:rPr>
            </w:pPr>
            <w:r>
              <w:rPr>
                <w:rFonts w:ascii="Arial" w:cs="Arial" w:eastAsia="Arial" w:hAnsi="Arial"/>
                <w:sz w:val="14"/>
                <w:szCs w:val="14"/>
                <w:b w:val="1"/>
                <w:bCs w:val="1"/>
                <w:color w:val="auto"/>
              </w:rPr>
              <w:t>$ 2,797</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Liabilities incurred</w:t>
            </w:r>
          </w:p>
        </w:tc>
        <w:tc>
          <w:tcPr>
            <w:tcW w:w="116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14</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Liabilities settled</w:t>
            </w:r>
          </w:p>
        </w:tc>
        <w:tc>
          <w:tcPr>
            <w:tcW w:w="116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(128)</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Accretion expense</w:t>
            </w:r>
          </w:p>
        </w:tc>
        <w:tc>
          <w:tcPr>
            <w:tcW w:w="116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132</w:t>
            </w:r>
          </w:p>
        </w:tc>
      </w:tr>
      <w:tr>
        <w:trPr>
          <w:trHeight w:val="171"/>
        </w:trPr>
        <w:tc>
          <w:tcPr>
            <w:tcW w:w="43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Revisions in estimated cash flows</w:t>
            </w:r>
          </w:p>
        </w:tc>
        <w:tc>
          <w:tcPr>
            <w:tcW w:w="1160" w:type="dxa"/>
            <w:vAlign w:val="bottom"/>
            <w:tcBorders>
              <w:bottom w:val="single" w:sz="8" w:color="0070FF"/>
            </w:tcBorders>
          </w:tcPr>
          <w:p>
            <w:pPr>
              <w:jc w:val="right"/>
              <w:ind w:right="49"/>
              <w:spacing w:after="0"/>
              <w:rPr>
                <w:sz w:val="20"/>
                <w:szCs w:val="20"/>
                <w:color w:val="auto"/>
              </w:rPr>
            </w:pPr>
            <w:r>
              <w:rPr>
                <w:rFonts w:ascii="Arial" w:cs="Arial" w:eastAsia="Arial" w:hAnsi="Arial"/>
                <w:sz w:val="14"/>
                <w:szCs w:val="14"/>
                <w:b w:val="1"/>
                <w:bCs w:val="1"/>
                <w:color w:val="auto"/>
              </w:rPr>
              <w:t>41</w:t>
            </w:r>
          </w:p>
        </w:tc>
      </w:tr>
      <w:tr>
        <w:trPr>
          <w:trHeight w:val="176"/>
        </w:trPr>
        <w:tc>
          <w:tcPr>
            <w:tcW w:w="43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Balance at December 31</w:t>
            </w:r>
          </w:p>
        </w:tc>
        <w:tc>
          <w:tcPr>
            <w:tcW w:w="1160" w:type="dxa"/>
            <w:vAlign w:val="bottom"/>
            <w:tcBorders>
              <w:bottom w:val="single" w:sz="8" w:color="0070FF"/>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$ 2,856</w:t>
            </w:r>
          </w:p>
        </w:tc>
      </w:tr>
    </w:tbl>
    <w:p>
      <w:pPr>
        <w:spacing w:after="0" w:line="1328" w:lineRule="exact"/>
        <w:rPr>
          <w:sz w:val="20"/>
          <w:szCs w:val="20"/>
          <w:color w:val="auto"/>
        </w:rPr>
      </w:pPr>
    </w:p>
    <w:p>
      <w:pPr>
        <w:sectPr>
          <w:pgSz w:w="11900" w:h="16838" w:orient="portrait"/>
          <w:cols w:equalWidth="0" w:num="2">
            <w:col w:w="5480" w:space="399"/>
            <w:col w:w="5481"/>
          </w:cols>
          <w:pgMar w:left="240" w:top="419" w:right="299" w:bottom="1440" w:gutter="0" w:footer="0" w:header="0"/>
          <w:type w:val="continuous"/>
        </w:sectPr>
      </w:pP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584"/>
        <w:spacing w:after="0"/>
        <w:tabs>
          <w:tab w:leader="none" w:pos="700" w:val="left"/>
        </w:tabs>
        <w:numPr>
          <w:ilvl w:val="0"/>
          <w:numId w:val="66"/>
        </w:numPr>
        <w:rPr>
          <w:rFonts w:ascii="Arial" w:cs="Arial" w:eastAsia="Arial" w:hAnsi="Arial"/>
          <w:sz w:val="27"/>
          <w:szCs w:val="27"/>
          <w:b w:val="1"/>
          <w:bCs w:val="1"/>
          <w:color w:val="0070FF"/>
        </w:rPr>
      </w:pPr>
      <w:r>
        <w:rPr>
          <w:rFonts w:ascii="Arial" w:cs="Arial" w:eastAsia="Arial" w:hAnsi="Arial"/>
          <w:sz w:val="22"/>
          <w:szCs w:val="22"/>
          <w:color w:val="0070FF"/>
        </w:rPr>
        <w:t>Quarterly Results and Stock Market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i w:val="1"/>
                <w:iCs w:val="1"/>
                <w:color w:val="0070FF"/>
                <w:w w:val="84"/>
              </w:rPr>
              <w:t>Unaudited</w:t>
            </w:r>
          </w:p>
        </w:tc>
        <w:tc>
          <w:tcPr>
            <w:tcW w:w="0" w:type="dxa"/>
            <w:vAlign w:val="bottom"/>
          </w:tcPr>
          <w:p>
            <w:pPr>
              <w:spacing w:after="0"/>
              <w:rPr>
                <w:sz w:val="1"/>
                <w:szCs w:val="1"/>
                <w:color w:val="auto"/>
              </w:rPr>
            </w:pPr>
          </w:p>
        </w:tc>
      </w:tr>
      <w:tr>
        <w:trPr>
          <w:trHeight w:val="284"/>
        </w:trPr>
        <w:tc>
          <w:tcPr>
            <w:tcW w:w="3200" w:type="dxa"/>
            <w:vAlign w:val="bottom"/>
            <w:gridSpan w:val="3"/>
            <w:vMerge w:val="restart"/>
          </w:tcPr>
          <w:p>
            <w:pPr>
              <w:spacing w:after="0"/>
              <w:rPr>
                <w:sz w:val="20"/>
                <w:szCs w:val="20"/>
                <w:color w:val="auto"/>
              </w:rPr>
            </w:pPr>
            <w:r>
              <w:rPr>
                <w:rFonts w:ascii="Arial" w:cs="Arial" w:eastAsia="Arial" w:hAnsi="Arial"/>
                <w:sz w:val="14"/>
                <w:szCs w:val="14"/>
                <w:color w:val="auto"/>
              </w:rPr>
              <w:t>Millions of dollars, except per-share amount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42"/>
        </w:trPr>
        <w:tc>
          <w:tcPr>
            <w:tcW w:w="3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4TH Q</w:t>
            </w:r>
          </w:p>
        </w:tc>
        <w:tc>
          <w:tcPr>
            <w:tcW w:w="420" w:type="dxa"/>
            <w:vAlign w:val="bottom"/>
            <w:tcBorders>
              <w:top w:val="single" w:sz="8" w:color="0070FF"/>
            </w:tcBorders>
          </w:tcPr>
          <w:p>
            <w:pPr>
              <w:spacing w:after="0"/>
              <w:rPr>
                <w:sz w:val="12"/>
                <w:szCs w:val="12"/>
                <w:color w:val="auto"/>
              </w:rPr>
            </w:pPr>
          </w:p>
        </w:tc>
        <w:tc>
          <w:tcPr>
            <w:tcW w:w="660" w:type="dxa"/>
            <w:vAlign w:val="bottom"/>
            <w:tcBorders>
              <w:top w:val="single" w:sz="8" w:color="0070FF"/>
            </w:tcBorders>
          </w:tcPr>
          <w:p>
            <w:pPr>
              <w:jc w:val="right"/>
              <w:ind w:right="169"/>
              <w:spacing w:after="0" w:line="142" w:lineRule="exact"/>
              <w:rPr>
                <w:sz w:val="20"/>
                <w:szCs w:val="20"/>
                <w:color w:val="auto"/>
              </w:rPr>
            </w:pPr>
            <w:r>
              <w:rPr>
                <w:rFonts w:ascii="Arial" w:cs="Arial" w:eastAsia="Arial" w:hAnsi="Arial"/>
                <w:sz w:val="14"/>
                <w:szCs w:val="14"/>
                <w:b w:val="1"/>
                <w:bCs w:val="1"/>
                <w:color w:val="auto"/>
                <w:w w:val="93"/>
              </w:rPr>
              <w:t>3RD Q</w:t>
            </w:r>
          </w:p>
        </w:tc>
        <w:tc>
          <w:tcPr>
            <w:tcW w:w="32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2ND Q</w:t>
            </w:r>
          </w:p>
        </w:tc>
        <w:tc>
          <w:tcPr>
            <w:tcW w:w="360" w:type="dxa"/>
            <w:vAlign w:val="bottom"/>
            <w:tcBorders>
              <w:top w:val="single" w:sz="8" w:color="0070FF"/>
            </w:tcBorders>
          </w:tcPr>
          <w:p>
            <w:pPr>
              <w:spacing w:after="0"/>
              <w:rPr>
                <w:sz w:val="12"/>
                <w:szCs w:val="12"/>
                <w:color w:val="auto"/>
              </w:rPr>
            </w:pPr>
          </w:p>
        </w:tc>
        <w:tc>
          <w:tcPr>
            <w:tcW w:w="480" w:type="dxa"/>
            <w:vAlign w:val="bottom"/>
            <w:tcBorders>
              <w:top w:val="single" w:sz="8" w:color="0070FF"/>
            </w:tcBorders>
          </w:tcPr>
          <w:p>
            <w:pPr>
              <w:jc w:val="right"/>
              <w:spacing w:after="0" w:line="142" w:lineRule="exact"/>
              <w:rPr>
                <w:sz w:val="20"/>
                <w:szCs w:val="20"/>
                <w:color w:val="auto"/>
              </w:rPr>
            </w:pPr>
            <w:r>
              <w:rPr>
                <w:rFonts w:ascii="Arial" w:cs="Arial" w:eastAsia="Arial" w:hAnsi="Arial"/>
                <w:sz w:val="14"/>
                <w:szCs w:val="14"/>
                <w:b w:val="1"/>
                <w:bCs w:val="1"/>
                <w:color w:val="auto"/>
              </w:rPr>
              <w:t>1ST Q</w:t>
            </w:r>
          </w:p>
        </w:tc>
        <w:tc>
          <w:tcPr>
            <w:tcW w:w="220" w:type="dxa"/>
            <w:vAlign w:val="bottom"/>
          </w:tcPr>
          <w:p>
            <w:pPr>
              <w:spacing w:after="0"/>
              <w:rPr>
                <w:sz w:val="12"/>
                <w:szCs w:val="12"/>
                <w:color w:val="auto"/>
              </w:rPr>
            </w:pPr>
          </w:p>
        </w:tc>
        <w:tc>
          <w:tcPr>
            <w:tcW w:w="360" w:type="dxa"/>
            <w:vAlign w:val="bottom"/>
            <w:tcBorders>
              <w:top w:val="single" w:sz="8" w:color="0070FF"/>
            </w:tcBorders>
          </w:tcPr>
          <w:p>
            <w:pPr>
              <w:spacing w:after="0"/>
              <w:rPr>
                <w:sz w:val="12"/>
                <w:szCs w:val="12"/>
                <w:color w:val="auto"/>
              </w:rPr>
            </w:pPr>
          </w:p>
        </w:tc>
        <w:tc>
          <w:tcPr>
            <w:tcW w:w="680" w:type="dxa"/>
            <w:vAlign w:val="bottom"/>
            <w:tcBorders>
              <w:top w:val="single" w:sz="8" w:color="0070FF"/>
            </w:tcBorders>
          </w:tcPr>
          <w:p>
            <w:pPr>
              <w:jc w:val="right"/>
              <w:ind w:right="129"/>
              <w:spacing w:after="0" w:line="142" w:lineRule="exact"/>
              <w:rPr>
                <w:sz w:val="20"/>
                <w:szCs w:val="20"/>
                <w:color w:val="auto"/>
              </w:rPr>
            </w:pPr>
            <w:r>
              <w:rPr>
                <w:rFonts w:ascii="Arial" w:cs="Arial" w:eastAsia="Arial" w:hAnsi="Arial"/>
                <w:sz w:val="14"/>
                <w:szCs w:val="14"/>
                <w:color w:val="auto"/>
              </w:rPr>
              <w:t>4TH Q</w:t>
            </w:r>
          </w:p>
        </w:tc>
        <w:tc>
          <w:tcPr>
            <w:tcW w:w="38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jc w:val="right"/>
              <w:ind w:right="169"/>
              <w:spacing w:after="0" w:line="142" w:lineRule="exact"/>
              <w:rPr>
                <w:sz w:val="20"/>
                <w:szCs w:val="20"/>
                <w:color w:val="auto"/>
              </w:rPr>
            </w:pPr>
            <w:r>
              <w:rPr>
                <w:rFonts w:ascii="Arial" w:cs="Arial" w:eastAsia="Arial" w:hAnsi="Arial"/>
                <w:sz w:val="14"/>
                <w:szCs w:val="14"/>
                <w:color w:val="auto"/>
              </w:rPr>
              <w:t>3RD Q</w:t>
            </w:r>
          </w:p>
        </w:tc>
        <w:tc>
          <w:tcPr>
            <w:tcW w:w="34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jc w:val="right"/>
              <w:ind w:right="149"/>
              <w:spacing w:after="0" w:line="142" w:lineRule="exact"/>
              <w:rPr>
                <w:sz w:val="20"/>
                <w:szCs w:val="20"/>
                <w:color w:val="auto"/>
              </w:rPr>
            </w:pPr>
            <w:r>
              <w:rPr>
                <w:rFonts w:ascii="Arial" w:cs="Arial" w:eastAsia="Arial" w:hAnsi="Arial"/>
                <w:sz w:val="14"/>
                <w:szCs w:val="14"/>
                <w:color w:val="auto"/>
              </w:rPr>
              <w:t>2ND Q</w:t>
            </w:r>
          </w:p>
        </w:tc>
        <w:tc>
          <w:tcPr>
            <w:tcW w:w="320" w:type="dxa"/>
            <w:vAlign w:val="bottom"/>
            <w:tcBorders>
              <w:top w:val="single" w:sz="8" w:color="0070FF"/>
            </w:tcBorders>
          </w:tcPr>
          <w:p>
            <w:pPr>
              <w:spacing w:after="0"/>
              <w:rPr>
                <w:sz w:val="12"/>
                <w:szCs w:val="12"/>
                <w:color w:val="auto"/>
              </w:rPr>
            </w:pPr>
          </w:p>
        </w:tc>
        <w:tc>
          <w:tcPr>
            <w:tcW w:w="520" w:type="dxa"/>
            <w:vAlign w:val="bottom"/>
            <w:tcBorders>
              <w:top w:val="single" w:sz="8" w:color="0070FF"/>
            </w:tcBorders>
          </w:tcPr>
          <w:p>
            <w:pPr>
              <w:jc w:val="right"/>
              <w:spacing w:after="0" w:line="142" w:lineRule="exact"/>
              <w:rPr>
                <w:sz w:val="20"/>
                <w:szCs w:val="20"/>
                <w:color w:val="auto"/>
              </w:rPr>
            </w:pPr>
            <w:r>
              <w:rPr>
                <w:rFonts w:ascii="Arial" w:cs="Arial" w:eastAsia="Arial" w:hAnsi="Arial"/>
                <w:sz w:val="14"/>
                <w:szCs w:val="14"/>
                <w:color w:val="auto"/>
              </w:rPr>
              <w:t>1ST Q</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80" w:type="dxa"/>
            <w:vAlign w:val="bottom"/>
            <w:tcBorders>
              <w:top w:val="single" w:sz="8" w:color="0070FF"/>
            </w:tcBorders>
            <w:gridSpan w:val="2"/>
          </w:tcPr>
          <w:p>
            <w:pPr>
              <w:spacing w:after="0" w:line="147" w:lineRule="exact"/>
              <w:rPr>
                <w:sz w:val="20"/>
                <w:szCs w:val="20"/>
                <w:color w:val="auto"/>
              </w:rPr>
            </w:pPr>
            <w:r>
              <w:rPr>
                <w:rFonts w:ascii="Arial" w:cs="Arial" w:eastAsia="Arial" w:hAnsi="Arial"/>
                <w:sz w:val="14"/>
                <w:szCs w:val="14"/>
                <w:b w:val="1"/>
                <w:bCs w:val="1"/>
                <w:color w:val="0070FF"/>
              </w:rPr>
              <w:t>REVENUES AND OTHER INCOME</w:t>
            </w:r>
          </w:p>
        </w:tc>
        <w:tc>
          <w:tcPr>
            <w:tcW w:w="120" w:type="dxa"/>
            <w:vAlign w:val="bottom"/>
            <w:tcBorders>
              <w:top w:val="single" w:sz="8" w:color="0070FF"/>
            </w:tcBorders>
          </w:tcPr>
          <w:p>
            <w:pPr>
              <w:spacing w:after="0"/>
              <w:rPr>
                <w:sz w:val="12"/>
                <w:szCs w:val="12"/>
                <w:color w:val="auto"/>
              </w:rPr>
            </w:pPr>
          </w:p>
        </w:tc>
        <w:tc>
          <w:tcPr>
            <w:tcW w:w="14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spacing w:after="0"/>
              <w:rPr>
                <w:sz w:val="12"/>
                <w:szCs w:val="12"/>
                <w:color w:val="auto"/>
              </w:rPr>
            </w:pPr>
          </w:p>
        </w:tc>
        <w:tc>
          <w:tcPr>
            <w:tcW w:w="420" w:type="dxa"/>
            <w:vAlign w:val="bottom"/>
            <w:tcBorders>
              <w:top w:val="single" w:sz="8" w:color="0070FF"/>
            </w:tcBorders>
          </w:tcPr>
          <w:p>
            <w:pPr>
              <w:spacing w:after="0"/>
              <w:rPr>
                <w:sz w:val="12"/>
                <w:szCs w:val="12"/>
                <w:color w:val="auto"/>
              </w:rPr>
            </w:pPr>
          </w:p>
        </w:tc>
        <w:tc>
          <w:tcPr>
            <w:tcW w:w="660" w:type="dxa"/>
            <w:vAlign w:val="bottom"/>
            <w:tcBorders>
              <w:top w:val="single" w:sz="8" w:color="0070FF"/>
            </w:tcBorders>
          </w:tcPr>
          <w:p>
            <w:pPr>
              <w:spacing w:after="0"/>
              <w:rPr>
                <w:sz w:val="12"/>
                <w:szCs w:val="12"/>
                <w:color w:val="auto"/>
              </w:rPr>
            </w:pPr>
          </w:p>
        </w:tc>
        <w:tc>
          <w:tcPr>
            <w:tcW w:w="32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spacing w:after="0"/>
              <w:rPr>
                <w:sz w:val="12"/>
                <w:szCs w:val="12"/>
                <w:color w:val="auto"/>
              </w:rPr>
            </w:pPr>
          </w:p>
        </w:tc>
        <w:tc>
          <w:tcPr>
            <w:tcW w:w="360" w:type="dxa"/>
            <w:vAlign w:val="bottom"/>
            <w:tcBorders>
              <w:top w:val="single" w:sz="8" w:color="0070FF"/>
            </w:tcBorders>
          </w:tcPr>
          <w:p>
            <w:pPr>
              <w:spacing w:after="0"/>
              <w:rPr>
                <w:sz w:val="12"/>
                <w:szCs w:val="12"/>
                <w:color w:val="auto"/>
              </w:rPr>
            </w:pPr>
          </w:p>
        </w:tc>
        <w:tc>
          <w:tcPr>
            <w:tcW w:w="480" w:type="dxa"/>
            <w:vAlign w:val="bottom"/>
            <w:tcBorders>
              <w:top w:val="single" w:sz="8" w:color="0070FF"/>
            </w:tcBorders>
          </w:tcPr>
          <w:p>
            <w:pPr>
              <w:spacing w:after="0"/>
              <w:rPr>
                <w:sz w:val="12"/>
                <w:szCs w:val="12"/>
                <w:color w:val="auto"/>
              </w:rPr>
            </w:pPr>
          </w:p>
        </w:tc>
        <w:tc>
          <w:tcPr>
            <w:tcW w:w="220" w:type="dxa"/>
            <w:vAlign w:val="bottom"/>
            <w:tcBorders>
              <w:top w:val="single" w:sz="8" w:color="0070FF"/>
            </w:tcBorders>
          </w:tcPr>
          <w:p>
            <w:pPr>
              <w:spacing w:after="0"/>
              <w:rPr>
                <w:sz w:val="12"/>
                <w:szCs w:val="12"/>
                <w:color w:val="auto"/>
              </w:rPr>
            </w:pPr>
          </w:p>
        </w:tc>
        <w:tc>
          <w:tcPr>
            <w:tcW w:w="360" w:type="dxa"/>
            <w:vAlign w:val="bottom"/>
            <w:tcBorders>
              <w:top w:val="single" w:sz="8" w:color="0070FF"/>
            </w:tcBorders>
          </w:tcPr>
          <w:p>
            <w:pPr>
              <w:spacing w:after="0"/>
              <w:rPr>
                <w:sz w:val="12"/>
                <w:szCs w:val="12"/>
                <w:color w:val="auto"/>
              </w:rPr>
            </w:pPr>
          </w:p>
        </w:tc>
        <w:tc>
          <w:tcPr>
            <w:tcW w:w="680" w:type="dxa"/>
            <w:vAlign w:val="bottom"/>
            <w:tcBorders>
              <w:top w:val="single" w:sz="8" w:color="0070FF"/>
            </w:tcBorders>
          </w:tcPr>
          <w:p>
            <w:pPr>
              <w:spacing w:after="0"/>
              <w:rPr>
                <w:sz w:val="12"/>
                <w:szCs w:val="12"/>
                <w:color w:val="auto"/>
              </w:rPr>
            </w:pPr>
          </w:p>
        </w:tc>
        <w:tc>
          <w:tcPr>
            <w:tcW w:w="38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spacing w:after="0"/>
              <w:rPr>
                <w:sz w:val="12"/>
                <w:szCs w:val="12"/>
                <w:color w:val="auto"/>
              </w:rPr>
            </w:pPr>
          </w:p>
        </w:tc>
        <w:tc>
          <w:tcPr>
            <w:tcW w:w="34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spacing w:after="0"/>
              <w:rPr>
                <w:sz w:val="12"/>
                <w:szCs w:val="12"/>
                <w:color w:val="auto"/>
              </w:rPr>
            </w:pPr>
          </w:p>
        </w:tc>
        <w:tc>
          <w:tcPr>
            <w:tcW w:w="320" w:type="dxa"/>
            <w:vAlign w:val="bottom"/>
            <w:tcBorders>
              <w:top w:val="single" w:sz="8" w:color="0070FF"/>
            </w:tcBorders>
          </w:tcPr>
          <w:p>
            <w:pPr>
              <w:spacing w:after="0"/>
              <w:rPr>
                <w:sz w:val="12"/>
                <w:szCs w:val="12"/>
                <w:color w:val="auto"/>
              </w:rPr>
            </w:pPr>
          </w:p>
        </w:tc>
        <w:tc>
          <w:tcPr>
            <w:tcW w:w="520" w:type="dxa"/>
            <w:vAlign w:val="bottom"/>
            <w:tcBorders>
              <w:top w:val="single" w:sz="8" w:color="0070FF"/>
            </w:tcBorders>
          </w:tcPr>
          <w:p>
            <w:pPr>
              <w:spacing w:after="0"/>
              <w:rPr>
                <w:sz w:val="12"/>
                <w:szCs w:val="12"/>
                <w:color w:val="auto"/>
              </w:rPr>
            </w:pPr>
          </w:p>
        </w:tc>
        <w:tc>
          <w:tcPr>
            <w:tcW w:w="100" w:type="dxa"/>
            <w:vAlign w:val="bottom"/>
            <w:tcBorders>
              <w:top w:val="single" w:sz="8" w:color="0070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spacing w:after="0" w:line="175" w:lineRule="exact"/>
              <w:rPr>
                <w:sz w:val="20"/>
                <w:szCs w:val="20"/>
                <w:color w:val="auto"/>
              </w:rPr>
            </w:pPr>
            <w:r>
              <w:rPr>
                <w:rFonts w:ascii="Arial" w:cs="Arial" w:eastAsia="Arial" w:hAnsi="Arial"/>
                <w:sz w:val="13"/>
                <w:szCs w:val="13"/>
                <w:color w:val="auto"/>
              </w:rPr>
              <w:t>Sales and other operating revenues</w:t>
            </w:r>
            <w:r>
              <w:rPr>
                <w:rFonts w:ascii="Arial" w:cs="Arial" w:eastAsia="Arial" w:hAnsi="Arial"/>
                <w:sz w:val="20"/>
                <w:szCs w:val="20"/>
                <w:color w:val="auto"/>
                <w:vertAlign w:val="superscript"/>
              </w:rPr>
              <w:t>1</w:t>
            </w:r>
          </w:p>
        </w:tc>
        <w:tc>
          <w:tcPr>
            <w:tcW w:w="2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b w:val="1"/>
                <w:bCs w:val="1"/>
                <w:color w:val="auto"/>
              </w:rPr>
              <w:t>30,132</w:t>
            </w:r>
          </w:p>
        </w:tc>
        <w:tc>
          <w:tcPr>
            <w:tcW w:w="42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9"/>
              <w:spacing w:after="0"/>
              <w:rPr>
                <w:sz w:val="20"/>
                <w:szCs w:val="20"/>
                <w:color w:val="auto"/>
              </w:rPr>
            </w:pPr>
            <w:r>
              <w:rPr>
                <w:rFonts w:ascii="Arial" w:cs="Arial" w:eastAsia="Arial" w:hAnsi="Arial"/>
                <w:sz w:val="14"/>
                <w:szCs w:val="14"/>
                <w:b w:val="1"/>
                <w:bCs w:val="1"/>
                <w:color w:val="auto"/>
                <w:w w:val="93"/>
              </w:rPr>
              <w:t>30,163</w:t>
            </w:r>
          </w:p>
        </w:tc>
        <w:tc>
          <w:tcPr>
            <w:tcW w:w="3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b w:val="1"/>
                <w:bCs w:val="1"/>
                <w:color w:val="auto"/>
              </w:rPr>
              <w:t>29,085</w:t>
            </w:r>
          </w:p>
        </w:tc>
        <w:tc>
          <w:tcPr>
            <w:tcW w:w="36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30,652</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26,943</w:t>
            </w:r>
          </w:p>
        </w:tc>
        <w:tc>
          <w:tcPr>
            <w:tcW w:w="380" w:type="dxa"/>
            <w:vAlign w:val="bottom"/>
          </w:tcPr>
          <w:p>
            <w:pPr>
              <w:ind w:lef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25,681</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25,223</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20,844</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Income (loss) from equity affiliates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262</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287</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215</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265</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111</w:t>
            </w:r>
          </w:p>
        </w:tc>
        <w:tc>
          <w:tcPr>
            <w:tcW w:w="380" w:type="dxa"/>
            <w:vAlign w:val="bottom"/>
          </w:tcPr>
          <w:p>
            <w:pPr>
              <w:spacing w:after="0"/>
              <w:rPr>
                <w:sz w:val="12"/>
                <w:szCs w:val="12"/>
                <w:color w:val="auto"/>
              </w:rPr>
            </w:pP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(329)</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81</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Gain from exchange of Dynegy securities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365</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0070FF"/>
            </w:tcBorders>
            <w:gridSpan w:val="3"/>
          </w:tcPr>
          <w:p>
            <w:pPr>
              <w:spacing w:after="0"/>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71</w:t>
            </w:r>
          </w:p>
        </w:tc>
        <w:tc>
          <w:tcPr>
            <w:tcW w:w="4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b w:val="1"/>
                <w:bCs w:val="1"/>
                <w:color w:val="auto"/>
              </w:rPr>
              <w:t>155</w:t>
            </w:r>
          </w:p>
        </w:tc>
        <w:tc>
          <w:tcPr>
            <w:tcW w:w="3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61</w:t>
            </w:r>
          </w:p>
        </w:tc>
        <w:tc>
          <w:tcPr>
            <w:tcW w:w="3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48</w:t>
            </w:r>
          </w:p>
        </w:tc>
        <w:tc>
          <w:tcPr>
            <w:tcW w:w="36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15</w:t>
            </w:r>
          </w:p>
        </w:tc>
        <w:tc>
          <w:tcPr>
            <w:tcW w:w="3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TOTAL REVENUES AND OTHER INCOME</w:t>
            </w:r>
          </w:p>
        </w:tc>
        <w:tc>
          <w:tcPr>
            <w:tcW w:w="1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7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b w:val="1"/>
                <w:bCs w:val="1"/>
                <w:color w:val="auto"/>
              </w:rPr>
              <w:t>30,465</w:t>
            </w:r>
          </w:p>
        </w:tc>
        <w:tc>
          <w:tcPr>
            <w:tcW w:w="42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b w:val="1"/>
                <w:bCs w:val="1"/>
                <w:color w:val="auto"/>
                <w:w w:val="93"/>
              </w:rPr>
              <w:t>30,970</w:t>
            </w:r>
          </w:p>
        </w:tc>
        <w:tc>
          <w:tcPr>
            <w:tcW w:w="320" w:type="dxa"/>
            <w:vAlign w:val="bottom"/>
            <w:tcBorders>
              <w:bottom w:val="single" w:sz="8" w:color="0070FF"/>
            </w:tcBorders>
          </w:tcPr>
          <w:p>
            <w:pPr>
              <w:spacing w:after="0"/>
              <w:rPr>
                <w:sz w:val="13"/>
                <w:szCs w:val="13"/>
                <w:color w:val="auto"/>
              </w:rPr>
            </w:pPr>
          </w:p>
        </w:tc>
        <w:tc>
          <w:tcPr>
            <w:tcW w:w="7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b w:val="1"/>
                <w:bCs w:val="1"/>
                <w:color w:val="auto"/>
              </w:rPr>
              <w:t>29,361</w:t>
            </w:r>
          </w:p>
        </w:tc>
        <w:tc>
          <w:tcPr>
            <w:tcW w:w="360" w:type="dxa"/>
            <w:vAlign w:val="bottom"/>
            <w:tcBorders>
              <w:bottom w:val="single" w:sz="8" w:color="0070FF"/>
            </w:tcBorders>
          </w:tcPr>
          <w:p>
            <w:pPr>
              <w:spacing w:after="0"/>
              <w:rPr>
                <w:sz w:val="13"/>
                <w:szCs w:val="13"/>
                <w:color w:val="auto"/>
              </w:rPr>
            </w:pPr>
          </w:p>
        </w:tc>
        <w:tc>
          <w:tcPr>
            <w:tcW w:w="70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30,965</w:t>
            </w:r>
          </w:p>
        </w:tc>
        <w:tc>
          <w:tcPr>
            <w:tcW w:w="36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9"/>
              <w:spacing w:after="0" w:line="155" w:lineRule="exact"/>
              <w:rPr>
                <w:sz w:val="20"/>
                <w:szCs w:val="20"/>
                <w:color w:val="auto"/>
              </w:rPr>
            </w:pPr>
            <w:r>
              <w:rPr>
                <w:rFonts w:ascii="Arial" w:cs="Arial" w:eastAsia="Arial" w:hAnsi="Arial"/>
                <w:sz w:val="14"/>
                <w:szCs w:val="14"/>
                <w:color w:val="auto"/>
              </w:rPr>
              <w:t>27,058</w:t>
            </w:r>
          </w:p>
        </w:tc>
        <w:tc>
          <w:tcPr>
            <w:tcW w:w="380" w:type="dxa"/>
            <w:vAlign w:val="bottom"/>
            <w:tcBorders>
              <w:bottom w:val="single" w:sz="8" w:color="0070FF"/>
            </w:tcBorders>
          </w:tcPr>
          <w:p>
            <w:pPr>
              <w:spacing w:after="0"/>
              <w:rPr>
                <w:sz w:val="13"/>
                <w:szCs w:val="13"/>
                <w:color w:val="auto"/>
              </w:rPr>
            </w:pPr>
          </w:p>
        </w:tc>
        <w:tc>
          <w:tcPr>
            <w:tcW w:w="700" w:type="dxa"/>
            <w:vAlign w:val="bottom"/>
            <w:tcBorders>
              <w:bottom w:val="single" w:sz="8" w:color="0070FF"/>
            </w:tcBorders>
          </w:tcPr>
          <w:p>
            <w:pPr>
              <w:jc w:val="right"/>
              <w:ind w:right="169"/>
              <w:spacing w:after="0" w:line="155" w:lineRule="exact"/>
              <w:rPr>
                <w:sz w:val="20"/>
                <w:szCs w:val="20"/>
                <w:color w:val="auto"/>
              </w:rPr>
            </w:pPr>
            <w:r>
              <w:rPr>
                <w:rFonts w:ascii="Arial" w:cs="Arial" w:eastAsia="Arial" w:hAnsi="Arial"/>
                <w:sz w:val="14"/>
                <w:szCs w:val="14"/>
                <w:color w:val="auto"/>
              </w:rPr>
              <w:t>25,367</w:t>
            </w:r>
          </w:p>
        </w:tc>
        <w:tc>
          <w:tcPr>
            <w:tcW w:w="340" w:type="dxa"/>
            <w:vAlign w:val="bottom"/>
            <w:tcBorders>
              <w:bottom w:val="single" w:sz="8" w:color="0070FF"/>
            </w:tcBorders>
          </w:tcPr>
          <w:p>
            <w:pPr>
              <w:spacing w:after="0"/>
              <w:rPr>
                <w:sz w:val="13"/>
                <w:szCs w:val="13"/>
                <w:color w:val="auto"/>
              </w:rPr>
            </w:pPr>
          </w:p>
        </w:tc>
        <w:tc>
          <w:tcPr>
            <w:tcW w:w="70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25,333</w:t>
            </w:r>
          </w:p>
        </w:tc>
        <w:tc>
          <w:tcPr>
            <w:tcW w:w="32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gridSpan w:val="2"/>
          </w:tcPr>
          <w:p>
            <w:pPr>
              <w:jc w:val="right"/>
              <w:ind w:right="100"/>
              <w:spacing w:after="0" w:line="155" w:lineRule="exact"/>
              <w:rPr>
                <w:sz w:val="20"/>
                <w:szCs w:val="20"/>
                <w:color w:val="auto"/>
              </w:rPr>
            </w:pPr>
            <w:r>
              <w:rPr>
                <w:rFonts w:ascii="Arial" w:cs="Arial" w:eastAsia="Arial" w:hAnsi="Arial"/>
                <w:sz w:val="14"/>
                <w:szCs w:val="14"/>
                <w:color w:val="auto"/>
              </w:rPr>
              <w:t>21,155</w:t>
            </w:r>
          </w:p>
        </w:tc>
        <w:tc>
          <w:tcPr>
            <w:tcW w:w="0" w:type="dxa"/>
            <w:vAlign w:val="bottom"/>
          </w:tcPr>
          <w:p>
            <w:pPr>
              <w:spacing w:after="0"/>
              <w:rPr>
                <w:sz w:val="1"/>
                <w:szCs w:val="1"/>
                <w:color w:val="auto"/>
              </w:rPr>
            </w:pPr>
          </w:p>
        </w:tc>
      </w:tr>
      <w:tr>
        <w:trPr>
          <w:trHeight w:val="137"/>
        </w:trPr>
        <w:tc>
          <w:tcPr>
            <w:tcW w:w="3200" w:type="dxa"/>
            <w:vAlign w:val="bottom"/>
            <w:gridSpan w:val="3"/>
          </w:tcPr>
          <w:p>
            <w:pPr>
              <w:spacing w:after="0" w:line="137" w:lineRule="exact"/>
              <w:rPr>
                <w:sz w:val="20"/>
                <w:szCs w:val="20"/>
                <w:color w:val="auto"/>
              </w:rPr>
            </w:pPr>
            <w:r>
              <w:rPr>
                <w:rFonts w:ascii="Arial" w:cs="Arial" w:eastAsia="Arial" w:hAnsi="Arial"/>
                <w:sz w:val="14"/>
                <w:szCs w:val="14"/>
                <w:b w:val="1"/>
                <w:bCs w:val="1"/>
                <w:color w:val="0070FF"/>
              </w:rPr>
              <w:t>COSTS AND OTHER DEDUCTIONS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17,964</w:t>
            </w:r>
          </w:p>
        </w:tc>
        <w:tc>
          <w:tcPr>
            <w:tcW w:w="420" w:type="dxa"/>
            <w:vAlign w:val="bottom"/>
          </w:tcPr>
          <w:p>
            <w:pPr>
              <w:spacing w:after="0"/>
              <w:rPr>
                <w:sz w:val="11"/>
                <w:szCs w:val="11"/>
                <w:color w:val="auto"/>
              </w:rPr>
            </w:pPr>
          </w:p>
        </w:tc>
        <w:tc>
          <w:tcPr>
            <w:tcW w:w="6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3"/>
              </w:rPr>
              <w:t>18,007</w:t>
            </w:r>
          </w:p>
        </w:tc>
        <w:tc>
          <w:tcPr>
            <w:tcW w:w="320" w:type="dxa"/>
            <w:vAlign w:val="bottom"/>
          </w:tcPr>
          <w:p>
            <w:pPr>
              <w:spacing w:after="0"/>
              <w:rPr>
                <w:sz w:val="11"/>
                <w:szCs w:val="11"/>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17,337</w:t>
            </w:r>
          </w:p>
        </w:tc>
        <w:tc>
          <w:tcPr>
            <w:tcW w:w="360" w:type="dxa"/>
            <w:vAlign w:val="bottom"/>
          </w:tcPr>
          <w:p>
            <w:pPr>
              <w:spacing w:after="0"/>
              <w:rPr>
                <w:sz w:val="11"/>
                <w:szCs w:val="1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18,275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00" w:type="dxa"/>
            <w:vAlign w:val="bottom"/>
            <w:gridSpan w:val="3"/>
          </w:tcPr>
          <w:p>
            <w:pPr>
              <w:spacing w:after="0" w:line="145" w:lineRule="exact"/>
              <w:rPr>
                <w:sz w:val="20"/>
                <w:szCs w:val="20"/>
                <w:color w:val="auto"/>
              </w:rPr>
            </w:pPr>
            <w:r>
              <w:rPr>
                <w:rFonts w:ascii="Arial" w:cs="Arial" w:eastAsia="Arial" w:hAnsi="Arial"/>
                <w:sz w:val="14"/>
                <w:szCs w:val="14"/>
                <w:color w:val="auto"/>
              </w:rPr>
              <w:t>Purchased crude oil and products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ind w:right="129"/>
              <w:spacing w:after="0" w:line="145" w:lineRule="exact"/>
              <w:rPr>
                <w:sz w:val="20"/>
                <w:szCs w:val="20"/>
                <w:color w:val="auto"/>
              </w:rPr>
            </w:pPr>
            <w:r>
              <w:rPr>
                <w:rFonts w:ascii="Arial" w:cs="Arial" w:eastAsia="Arial" w:hAnsi="Arial"/>
                <w:sz w:val="14"/>
                <w:szCs w:val="14"/>
                <w:color w:val="auto"/>
              </w:rPr>
              <w:t>15,871</w:t>
            </w:r>
          </w:p>
        </w:tc>
        <w:tc>
          <w:tcPr>
            <w:tcW w:w="380" w:type="dxa"/>
            <w:vAlign w:val="bottom"/>
          </w:tcPr>
          <w:p>
            <w:pPr>
              <w:spacing w:after="0"/>
              <w:rPr>
                <w:sz w:val="12"/>
                <w:szCs w:val="12"/>
                <w:color w:val="auto"/>
              </w:rPr>
            </w:pPr>
          </w:p>
        </w:tc>
        <w:tc>
          <w:tcPr>
            <w:tcW w:w="700" w:type="dxa"/>
            <w:vAlign w:val="bottom"/>
          </w:tcPr>
          <w:p>
            <w:pPr>
              <w:jc w:val="right"/>
              <w:ind w:right="169"/>
              <w:spacing w:after="0" w:line="145" w:lineRule="exact"/>
              <w:rPr>
                <w:sz w:val="20"/>
                <w:szCs w:val="20"/>
                <w:color w:val="auto"/>
              </w:rPr>
            </w:pPr>
            <w:r>
              <w:rPr>
                <w:rFonts w:ascii="Arial" w:cs="Arial" w:eastAsia="Arial" w:hAnsi="Arial"/>
                <w:sz w:val="14"/>
                <w:szCs w:val="14"/>
                <w:color w:val="auto"/>
              </w:rPr>
              <w:t>14,871</w:t>
            </w:r>
          </w:p>
        </w:tc>
        <w:tc>
          <w:tcPr>
            <w:tcW w:w="340" w:type="dxa"/>
            <w:vAlign w:val="bottom"/>
          </w:tcPr>
          <w:p>
            <w:pPr>
              <w:spacing w:after="0"/>
              <w:rPr>
                <w:sz w:val="12"/>
                <w:szCs w:val="12"/>
                <w:color w:val="auto"/>
              </w:rPr>
            </w:pPr>
          </w:p>
        </w:tc>
        <w:tc>
          <w:tcPr>
            <w:tcW w:w="70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14,694</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11,813</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2,512</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2,321</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1,782</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1,938</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2,279</w:t>
            </w:r>
          </w:p>
        </w:tc>
        <w:tc>
          <w:tcPr>
            <w:tcW w:w="380" w:type="dxa"/>
            <w:vAlign w:val="bottom"/>
          </w:tcPr>
          <w:p>
            <w:pPr>
              <w:spacing w:after="0"/>
              <w:rPr>
                <w:sz w:val="12"/>
                <w:szCs w:val="12"/>
                <w:color w:val="auto"/>
              </w:rPr>
            </w:pP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2,118</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1,699</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1,173</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1,197</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1,061</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1,009</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1,107</w:t>
            </w:r>
          </w:p>
        </w:tc>
        <w:tc>
          <w:tcPr>
            <w:tcW w:w="380" w:type="dxa"/>
            <w:vAlign w:val="bottom"/>
          </w:tcPr>
          <w:p>
            <w:pPr>
              <w:spacing w:after="0"/>
              <w:rPr>
                <w:sz w:val="12"/>
                <w:szCs w:val="12"/>
                <w:color w:val="auto"/>
              </w:rPr>
            </w:pP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1,032</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1,153</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Exploration expenses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139</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130</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147</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155</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205</w:t>
            </w:r>
          </w:p>
        </w:tc>
        <w:tc>
          <w:tcPr>
            <w:tcW w:w="380" w:type="dxa"/>
            <w:vAlign w:val="bottom"/>
          </w:tcPr>
          <w:p>
            <w:pPr>
              <w:spacing w:after="0"/>
              <w:rPr>
                <w:sz w:val="12"/>
                <w:szCs w:val="12"/>
                <w:color w:val="auto"/>
              </w:rPr>
            </w:pP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166</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135</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Depreciation, depletion and amortization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1,322</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1,409</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1,411</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1,242</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1,271</w:t>
            </w:r>
          </w:p>
        </w:tc>
        <w:tc>
          <w:tcPr>
            <w:tcW w:w="380" w:type="dxa"/>
            <w:vAlign w:val="bottom"/>
          </w:tcPr>
          <w:p>
            <w:pPr>
              <w:spacing w:after="0"/>
              <w:rPr>
                <w:sz w:val="12"/>
                <w:szCs w:val="12"/>
                <w:color w:val="auto"/>
              </w:rPr>
            </w:pP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1,514</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1,241</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Write-down of investments in Dynegy Inc.</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1,094</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702</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00" w:type="dxa"/>
            <w:vAlign w:val="bottom"/>
            <w:gridSpan w:val="3"/>
          </w:tcPr>
          <w:p>
            <w:pPr>
              <w:spacing w:after="0"/>
              <w:rPr>
                <w:sz w:val="20"/>
                <w:szCs w:val="20"/>
                <w:color w:val="auto"/>
              </w:rPr>
            </w:pPr>
            <w:r>
              <w:rPr>
                <w:rFonts w:ascii="Arial" w:cs="Arial" w:eastAsia="Arial" w:hAnsi="Arial"/>
                <w:sz w:val="14"/>
                <w:szCs w:val="14"/>
                <w:color w:val="auto"/>
              </w:rPr>
              <w:t>Merger-related expenses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6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163</w:t>
            </w:r>
          </w:p>
        </w:tc>
        <w:tc>
          <w:tcPr>
            <w:tcW w:w="380" w:type="dxa"/>
            <w:vAlign w:val="bottom"/>
          </w:tcPr>
          <w:p>
            <w:pPr>
              <w:spacing w:after="0"/>
              <w:rPr>
                <w:sz w:val="14"/>
                <w:szCs w:val="14"/>
                <w:color w:val="auto"/>
              </w:rPr>
            </w:pP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4"/>
                <w:szCs w:val="14"/>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119</w:t>
            </w:r>
          </w:p>
        </w:tc>
        <w:tc>
          <w:tcPr>
            <w:tcW w:w="3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75"/>
        </w:trPr>
        <w:tc>
          <w:tcPr>
            <w:tcW w:w="3200" w:type="dxa"/>
            <w:vAlign w:val="bottom"/>
            <w:gridSpan w:val="3"/>
          </w:tcPr>
          <w:p>
            <w:pPr>
              <w:spacing w:after="0" w:line="175" w:lineRule="exact"/>
              <w:rPr>
                <w:sz w:val="20"/>
                <w:szCs w:val="20"/>
                <w:color w:val="auto"/>
              </w:rPr>
            </w:pPr>
            <w:r>
              <w:rPr>
                <w:rFonts w:ascii="Arial" w:cs="Arial" w:eastAsia="Arial" w:hAnsi="Arial"/>
                <w:sz w:val="13"/>
                <w:szCs w:val="13"/>
                <w:color w:val="auto"/>
              </w:rPr>
              <w:t>Taxes other than on income</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b w:val="1"/>
                <w:bCs w:val="1"/>
                <w:color w:val="auto"/>
              </w:rPr>
              <w:t>4,645</w:t>
            </w:r>
          </w:p>
        </w:tc>
        <w:tc>
          <w:tcPr>
            <w:tcW w:w="42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Arial" w:cs="Arial" w:eastAsia="Arial" w:hAnsi="Arial"/>
                <w:sz w:val="14"/>
                <w:szCs w:val="14"/>
                <w:b w:val="1"/>
                <w:bCs w:val="1"/>
                <w:color w:val="auto"/>
              </w:rPr>
              <w:t>4,418</w:t>
            </w:r>
          </w:p>
        </w:tc>
        <w:tc>
          <w:tcPr>
            <w:tcW w:w="320" w:type="dxa"/>
            <w:vAlign w:val="bottom"/>
          </w:tcPr>
          <w:p>
            <w:pPr>
              <w:spacing w:after="0"/>
              <w:rPr>
                <w:sz w:val="15"/>
                <w:szCs w:val="15"/>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b w:val="1"/>
                <w:bCs w:val="1"/>
                <w:color w:val="auto"/>
              </w:rPr>
              <w:t>4,513</w:t>
            </w:r>
          </w:p>
        </w:tc>
        <w:tc>
          <w:tcPr>
            <w:tcW w:w="3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4,330</w:t>
            </w:r>
          </w:p>
        </w:tc>
        <w:tc>
          <w:tcPr>
            <w:tcW w:w="360" w:type="dxa"/>
            <w:vAlign w:val="bottom"/>
          </w:tcPr>
          <w:p>
            <w:pPr>
              <w:spacing w:after="0"/>
              <w:rPr>
                <w:sz w:val="15"/>
                <w:szCs w:val="15"/>
                <w:color w:val="auto"/>
              </w:rPr>
            </w:pP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4,403</w:t>
            </w:r>
          </w:p>
        </w:tc>
        <w:tc>
          <w:tcPr>
            <w:tcW w:w="38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4,369</w:t>
            </w:r>
          </w:p>
        </w:tc>
        <w:tc>
          <w:tcPr>
            <w:tcW w:w="340" w:type="dxa"/>
            <w:vAlign w:val="bottom"/>
          </w:tcPr>
          <w:p>
            <w:pPr>
              <w:spacing w:after="0"/>
              <w:rPr>
                <w:sz w:val="15"/>
                <w:szCs w:val="15"/>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4,137</w:t>
            </w:r>
          </w:p>
        </w:tc>
        <w:tc>
          <w:tcPr>
            <w:tcW w:w="3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3,780</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Interest and debt expense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111</w:t>
            </w:r>
          </w:p>
        </w:tc>
        <w:tc>
          <w:tcPr>
            <w:tcW w:w="420" w:type="dxa"/>
            <w:vAlign w:val="bottom"/>
          </w:tcPr>
          <w:p>
            <w:pPr>
              <w:spacing w:after="0"/>
              <w:rPr>
                <w:sz w:val="12"/>
                <w:szCs w:val="12"/>
                <w:color w:val="auto"/>
              </w:rPr>
            </w:pP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115</w:t>
            </w:r>
          </w:p>
        </w:tc>
        <w:tc>
          <w:tcPr>
            <w:tcW w:w="32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118</w:t>
            </w:r>
          </w:p>
        </w:tc>
        <w:tc>
          <w:tcPr>
            <w:tcW w:w="3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130</w:t>
            </w:r>
          </w:p>
        </w:tc>
        <w:tc>
          <w:tcPr>
            <w:tcW w:w="360" w:type="dxa"/>
            <w:vAlign w:val="bottom"/>
          </w:tcPr>
          <w:p>
            <w:pPr>
              <w:spacing w:after="0"/>
              <w:rPr>
                <w:sz w:val="12"/>
                <w:szCs w:val="12"/>
                <w:color w:val="auto"/>
              </w:rPr>
            </w:pP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141</w:t>
            </w:r>
          </w:p>
        </w:tc>
        <w:tc>
          <w:tcPr>
            <w:tcW w:w="380" w:type="dxa"/>
            <w:vAlign w:val="bottom"/>
          </w:tcPr>
          <w:p>
            <w:pPr>
              <w:spacing w:after="0"/>
              <w:rPr>
                <w:sz w:val="12"/>
                <w:szCs w:val="12"/>
                <w:color w:val="auto"/>
              </w:rPr>
            </w:pP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117</w:t>
            </w:r>
          </w:p>
        </w:tc>
        <w:tc>
          <w:tcPr>
            <w:tcW w:w="340" w:type="dxa"/>
            <w:vAlign w:val="bottom"/>
          </w:tcPr>
          <w:p>
            <w:pPr>
              <w:spacing w:after="0"/>
              <w:rPr>
                <w:sz w:val="12"/>
                <w:szCs w:val="12"/>
                <w:color w:val="auto"/>
              </w:rPr>
            </w:pP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160</w:t>
            </w:r>
          </w:p>
        </w:tc>
        <w:tc>
          <w:tcPr>
            <w:tcW w:w="3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0070FF"/>
            </w:tcBorders>
            <w:gridSpan w:val="3"/>
          </w:tcPr>
          <w:p>
            <w:pPr>
              <w:spacing w:after="0"/>
              <w:rPr>
                <w:sz w:val="20"/>
                <w:szCs w:val="20"/>
                <w:color w:val="auto"/>
              </w:rPr>
            </w:pPr>
            <w:r>
              <w:rPr>
                <w:rFonts w:ascii="Arial" w:cs="Arial" w:eastAsia="Arial" w:hAnsi="Arial"/>
                <w:sz w:val="14"/>
                <w:szCs w:val="14"/>
                <w:color w:val="auto"/>
              </w:rPr>
              <w:t>Minority interests</w:t>
            </w:r>
          </w:p>
        </w:tc>
        <w:tc>
          <w:tcPr>
            <w:tcW w:w="1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14</w:t>
            </w:r>
          </w:p>
        </w:tc>
        <w:tc>
          <w:tcPr>
            <w:tcW w:w="4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b w:val="1"/>
                <w:bCs w:val="1"/>
                <w:color w:val="auto"/>
              </w:rPr>
              <w:t>24</w:t>
            </w:r>
          </w:p>
        </w:tc>
        <w:tc>
          <w:tcPr>
            <w:tcW w:w="3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20</w:t>
            </w:r>
          </w:p>
        </w:tc>
        <w:tc>
          <w:tcPr>
            <w:tcW w:w="3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22</w:t>
            </w:r>
          </w:p>
        </w:tc>
        <w:tc>
          <w:tcPr>
            <w:tcW w:w="36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22</w:t>
            </w:r>
          </w:p>
        </w:tc>
        <w:tc>
          <w:tcPr>
            <w:tcW w:w="38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0070FF"/>
            </w:tcBorders>
            <w:gridSpan w:val="3"/>
          </w:tcPr>
          <w:p>
            <w:pPr>
              <w:spacing w:after="0"/>
              <w:rPr>
                <w:sz w:val="20"/>
                <w:szCs w:val="20"/>
                <w:color w:val="auto"/>
              </w:rPr>
            </w:pPr>
            <w:r>
              <w:rPr>
                <w:rFonts w:ascii="Arial" w:cs="Arial" w:eastAsia="Arial" w:hAnsi="Arial"/>
                <w:sz w:val="14"/>
                <w:szCs w:val="14"/>
                <w:b w:val="1"/>
                <w:bCs w:val="1"/>
                <w:color w:val="0070FF"/>
              </w:rPr>
              <w:t>TOTAL COSTS AND OTHER DEDUCTIONS</w:t>
            </w:r>
          </w:p>
        </w:tc>
        <w:tc>
          <w:tcPr>
            <w:tcW w:w="1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27,880</w:t>
            </w:r>
          </w:p>
        </w:tc>
        <w:tc>
          <w:tcPr>
            <w:tcW w:w="4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b w:val="1"/>
                <w:bCs w:val="1"/>
                <w:color w:val="auto"/>
                <w:w w:val="93"/>
              </w:rPr>
              <w:t>27,621</w:t>
            </w:r>
          </w:p>
        </w:tc>
        <w:tc>
          <w:tcPr>
            <w:tcW w:w="3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26,389</w:t>
            </w:r>
          </w:p>
        </w:tc>
        <w:tc>
          <w:tcPr>
            <w:tcW w:w="3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27,101</w:t>
            </w:r>
          </w:p>
        </w:tc>
        <w:tc>
          <w:tcPr>
            <w:tcW w:w="36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25,462</w:t>
            </w:r>
          </w:p>
        </w:tc>
        <w:tc>
          <w:tcPr>
            <w:tcW w:w="38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25,405</w:t>
            </w:r>
          </w:p>
        </w:tc>
        <w:tc>
          <w:tcPr>
            <w:tcW w:w="3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24,050</w:t>
            </w:r>
          </w:p>
        </w:tc>
        <w:tc>
          <w:tcPr>
            <w:tcW w:w="3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19,840</w:t>
            </w:r>
          </w:p>
        </w:tc>
        <w:tc>
          <w:tcPr>
            <w:tcW w:w="0" w:type="dxa"/>
            <w:vAlign w:val="bottom"/>
          </w:tcPr>
          <w:p>
            <w:pPr>
              <w:spacing w:after="0"/>
              <w:rPr>
                <w:sz w:val="1"/>
                <w:szCs w:val="1"/>
                <w:color w:val="auto"/>
              </w:rPr>
            </w:pPr>
          </w:p>
        </w:tc>
      </w:tr>
      <w:tr>
        <w:trPr>
          <w:trHeight w:val="119"/>
        </w:trPr>
        <w:tc>
          <w:tcPr>
            <w:tcW w:w="3200" w:type="dxa"/>
            <w:vAlign w:val="bottom"/>
            <w:gridSpan w:val="3"/>
          </w:tcPr>
          <w:p>
            <w:pPr>
              <w:spacing w:after="0" w:line="119" w:lineRule="exact"/>
              <w:rPr>
                <w:sz w:val="20"/>
                <w:szCs w:val="20"/>
                <w:color w:val="auto"/>
              </w:rPr>
            </w:pPr>
            <w:r>
              <w:rPr>
                <w:rFonts w:ascii="Arial" w:cs="Arial" w:eastAsia="Arial" w:hAnsi="Arial"/>
                <w:sz w:val="13"/>
                <w:szCs w:val="13"/>
                <w:b w:val="1"/>
                <w:bCs w:val="1"/>
                <w:color w:val="0070FF"/>
              </w:rPr>
              <w:t>INCOME BEFORE INCOME TAX EXPENSE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49"/>
              <w:spacing w:after="0" w:line="119" w:lineRule="exact"/>
              <w:rPr>
                <w:sz w:val="20"/>
                <w:szCs w:val="20"/>
                <w:color w:val="auto"/>
              </w:rPr>
            </w:pPr>
            <w:r>
              <w:rPr>
                <w:rFonts w:ascii="Arial" w:cs="Arial" w:eastAsia="Arial" w:hAnsi="Arial"/>
                <w:sz w:val="13"/>
                <w:szCs w:val="13"/>
                <w:b w:val="1"/>
                <w:bCs w:val="1"/>
                <w:color w:val="auto"/>
              </w:rPr>
              <w:t>2,585</w:t>
            </w:r>
          </w:p>
        </w:tc>
        <w:tc>
          <w:tcPr>
            <w:tcW w:w="420" w:type="dxa"/>
            <w:vAlign w:val="bottom"/>
          </w:tcPr>
          <w:p>
            <w:pPr>
              <w:spacing w:after="0"/>
              <w:rPr>
                <w:sz w:val="10"/>
                <w:szCs w:val="10"/>
                <w:color w:val="auto"/>
              </w:rPr>
            </w:pPr>
          </w:p>
        </w:tc>
        <w:tc>
          <w:tcPr>
            <w:tcW w:w="66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3,349</w:t>
            </w:r>
          </w:p>
        </w:tc>
        <w:tc>
          <w:tcPr>
            <w:tcW w:w="320" w:type="dxa"/>
            <w:vAlign w:val="bottom"/>
          </w:tcPr>
          <w:p>
            <w:pPr>
              <w:spacing w:after="0"/>
              <w:rPr>
                <w:sz w:val="10"/>
                <w:szCs w:val="10"/>
                <w:color w:val="auto"/>
              </w:rPr>
            </w:pPr>
          </w:p>
        </w:tc>
        <w:tc>
          <w:tcPr>
            <w:tcW w:w="700" w:type="dxa"/>
            <w:vAlign w:val="bottom"/>
          </w:tcPr>
          <w:p>
            <w:pPr>
              <w:jc w:val="right"/>
              <w:ind w:right="149"/>
              <w:spacing w:after="0" w:line="119" w:lineRule="exact"/>
              <w:rPr>
                <w:sz w:val="20"/>
                <w:szCs w:val="20"/>
                <w:color w:val="auto"/>
              </w:rPr>
            </w:pPr>
            <w:r>
              <w:rPr>
                <w:rFonts w:ascii="Arial" w:cs="Arial" w:eastAsia="Arial" w:hAnsi="Arial"/>
                <w:sz w:val="13"/>
                <w:szCs w:val="13"/>
                <w:b w:val="1"/>
                <w:bCs w:val="1"/>
                <w:color w:val="auto"/>
              </w:rPr>
              <w:t>2,972</w:t>
            </w:r>
          </w:p>
        </w:tc>
        <w:tc>
          <w:tcPr>
            <w:tcW w:w="360" w:type="dxa"/>
            <w:vAlign w:val="bottom"/>
          </w:tcPr>
          <w:p>
            <w:pPr>
              <w:spacing w:after="0"/>
              <w:rPr>
                <w:sz w:val="10"/>
                <w:szCs w:val="10"/>
                <w:color w:val="auto"/>
              </w:rPr>
            </w:pPr>
          </w:p>
        </w:tc>
        <w:tc>
          <w:tcPr>
            <w:tcW w:w="7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3,864</w:t>
            </w:r>
          </w:p>
        </w:tc>
        <w:tc>
          <w:tcPr>
            <w:tcW w:w="360" w:type="dxa"/>
            <w:vAlign w:val="bottom"/>
          </w:tcPr>
          <w:p>
            <w:pPr>
              <w:spacing w:after="0"/>
              <w:rPr>
                <w:sz w:val="10"/>
                <w:szCs w:val="10"/>
                <w:color w:val="auto"/>
              </w:rPr>
            </w:pPr>
          </w:p>
        </w:tc>
        <w:tc>
          <w:tcPr>
            <w:tcW w:w="680" w:type="dxa"/>
            <w:vAlign w:val="bottom"/>
          </w:tcPr>
          <w:p>
            <w:pPr>
              <w:jc w:val="right"/>
              <w:ind w:right="129"/>
              <w:spacing w:after="0" w:line="119" w:lineRule="exact"/>
              <w:rPr>
                <w:sz w:val="20"/>
                <w:szCs w:val="20"/>
                <w:color w:val="auto"/>
              </w:rPr>
            </w:pPr>
            <w:r>
              <w:rPr>
                <w:rFonts w:ascii="Arial" w:cs="Arial" w:eastAsia="Arial" w:hAnsi="Arial"/>
                <w:sz w:val="13"/>
                <w:szCs w:val="13"/>
                <w:color w:val="auto"/>
              </w:rPr>
              <w:t>1,596</w:t>
            </w:r>
          </w:p>
        </w:tc>
        <w:tc>
          <w:tcPr>
            <w:tcW w:w="380" w:type="dxa"/>
            <w:vAlign w:val="bottom"/>
          </w:tcPr>
          <w:p>
            <w:pPr>
              <w:spacing w:after="0"/>
              <w:rPr>
                <w:sz w:val="10"/>
                <w:szCs w:val="10"/>
                <w:color w:val="auto"/>
              </w:rPr>
            </w:pPr>
          </w:p>
        </w:tc>
        <w:tc>
          <w:tcPr>
            <w:tcW w:w="700" w:type="dxa"/>
            <w:vAlign w:val="bottom"/>
          </w:tcPr>
          <w:p>
            <w:pPr>
              <w:jc w:val="right"/>
              <w:ind w:right="109"/>
              <w:spacing w:after="0" w:line="119" w:lineRule="exact"/>
              <w:rPr>
                <w:sz w:val="20"/>
                <w:szCs w:val="20"/>
                <w:color w:val="auto"/>
              </w:rPr>
            </w:pPr>
            <w:r>
              <w:rPr>
                <w:rFonts w:ascii="Arial" w:cs="Arial" w:eastAsia="Arial" w:hAnsi="Arial"/>
                <w:sz w:val="13"/>
                <w:szCs w:val="13"/>
                <w:color w:val="auto"/>
              </w:rPr>
              <w:t>(38)</w:t>
            </w:r>
          </w:p>
        </w:tc>
        <w:tc>
          <w:tcPr>
            <w:tcW w:w="340" w:type="dxa"/>
            <w:vAlign w:val="bottom"/>
          </w:tcPr>
          <w:p>
            <w:pPr>
              <w:spacing w:after="0"/>
              <w:rPr>
                <w:sz w:val="10"/>
                <w:szCs w:val="10"/>
                <w:color w:val="auto"/>
              </w:rPr>
            </w:pPr>
          </w:p>
        </w:tc>
        <w:tc>
          <w:tcPr>
            <w:tcW w:w="700" w:type="dxa"/>
            <w:vAlign w:val="bottom"/>
          </w:tcPr>
          <w:p>
            <w:pPr>
              <w:jc w:val="right"/>
              <w:ind w:right="149"/>
              <w:spacing w:after="0" w:line="119" w:lineRule="exact"/>
              <w:rPr>
                <w:sz w:val="20"/>
                <w:szCs w:val="20"/>
                <w:color w:val="auto"/>
              </w:rPr>
            </w:pPr>
            <w:r>
              <w:rPr>
                <w:rFonts w:ascii="Arial" w:cs="Arial" w:eastAsia="Arial" w:hAnsi="Arial"/>
                <w:sz w:val="13"/>
                <w:szCs w:val="13"/>
                <w:color w:val="auto"/>
              </w:rPr>
              <w:t>1,283</w:t>
            </w:r>
          </w:p>
        </w:tc>
        <w:tc>
          <w:tcPr>
            <w:tcW w:w="320" w:type="dxa"/>
            <w:vAlign w:val="bottom"/>
          </w:tcPr>
          <w:p>
            <w:pPr>
              <w:spacing w:after="0"/>
              <w:rPr>
                <w:sz w:val="10"/>
                <w:szCs w:val="10"/>
                <w:color w:val="auto"/>
              </w:rPr>
            </w:pPr>
          </w:p>
        </w:tc>
        <w:tc>
          <w:tcPr>
            <w:tcW w:w="620" w:type="dxa"/>
            <w:vAlign w:val="bottom"/>
            <w:gridSpan w:val="2"/>
          </w:tcPr>
          <w:p>
            <w:pPr>
              <w:jc w:val="right"/>
              <w:ind w:right="100"/>
              <w:spacing w:after="0" w:line="119" w:lineRule="exact"/>
              <w:rPr>
                <w:sz w:val="20"/>
                <w:szCs w:val="20"/>
                <w:color w:val="auto"/>
              </w:rPr>
            </w:pPr>
            <w:r>
              <w:rPr>
                <w:rFonts w:ascii="Arial" w:cs="Arial" w:eastAsia="Arial" w:hAnsi="Arial"/>
                <w:sz w:val="13"/>
                <w:szCs w:val="13"/>
                <w:color w:val="auto"/>
              </w:rPr>
              <w:t>1,315</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0070FF"/>
            </w:tcBorders>
            <w:gridSpan w:val="3"/>
          </w:tcPr>
          <w:p>
            <w:pPr>
              <w:spacing w:after="0"/>
              <w:rPr>
                <w:sz w:val="20"/>
                <w:szCs w:val="20"/>
                <w:color w:val="auto"/>
              </w:rPr>
            </w:pPr>
            <w:r>
              <w:rPr>
                <w:rFonts w:ascii="Arial" w:cs="Arial" w:eastAsia="Arial" w:hAnsi="Arial"/>
                <w:sz w:val="14"/>
                <w:szCs w:val="14"/>
                <w:b w:val="1"/>
                <w:bCs w:val="1"/>
                <w:color w:val="0070FF"/>
              </w:rPr>
              <w:t>INCOME TAX EXPENSE</w:t>
            </w:r>
          </w:p>
        </w:tc>
        <w:tc>
          <w:tcPr>
            <w:tcW w:w="1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850</w:t>
            </w:r>
          </w:p>
        </w:tc>
        <w:tc>
          <w:tcPr>
            <w:tcW w:w="4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b w:val="1"/>
                <w:bCs w:val="1"/>
                <w:color w:val="auto"/>
              </w:rPr>
              <w:t>1,374</w:t>
            </w:r>
          </w:p>
        </w:tc>
        <w:tc>
          <w:tcPr>
            <w:tcW w:w="3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1,372</w:t>
            </w:r>
          </w:p>
        </w:tc>
        <w:tc>
          <w:tcPr>
            <w:tcW w:w="3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1,748</w:t>
            </w:r>
          </w:p>
        </w:tc>
        <w:tc>
          <w:tcPr>
            <w:tcW w:w="36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692</w:t>
            </w:r>
          </w:p>
        </w:tc>
        <w:tc>
          <w:tcPr>
            <w:tcW w:w="38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866</w:t>
            </w:r>
          </w:p>
        </w:tc>
        <w:tc>
          <w:tcPr>
            <w:tcW w:w="34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876</w:t>
            </w:r>
          </w:p>
        </w:tc>
        <w:tc>
          <w:tcPr>
            <w:tcW w:w="3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33"/>
        </w:trPr>
        <w:tc>
          <w:tcPr>
            <w:tcW w:w="3200" w:type="dxa"/>
            <w:vAlign w:val="bottom"/>
            <w:gridSpan w:val="3"/>
          </w:tcPr>
          <w:p>
            <w:pPr>
              <w:spacing w:after="0" w:line="133" w:lineRule="exact"/>
              <w:rPr>
                <w:sz w:val="20"/>
                <w:szCs w:val="20"/>
                <w:color w:val="auto"/>
              </w:rPr>
            </w:pPr>
            <w:r>
              <w:rPr>
                <w:rFonts w:ascii="Arial" w:cs="Arial" w:eastAsia="Arial" w:hAnsi="Arial"/>
                <w:sz w:val="14"/>
                <w:szCs w:val="14"/>
                <w:b w:val="1"/>
                <w:bCs w:val="1"/>
                <w:color w:val="0070FF"/>
              </w:rPr>
              <w:t>NET INCOME (LOSS) BEFORE CUMULATIVE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ind w:left="40"/>
              <w:spacing w:after="0" w:line="149" w:lineRule="exact"/>
              <w:rPr>
                <w:sz w:val="20"/>
                <w:szCs w:val="20"/>
                <w:color w:val="auto"/>
              </w:rPr>
            </w:pPr>
            <w:r>
              <w:rPr>
                <w:rFonts w:ascii="Arial" w:cs="Arial" w:eastAsia="Arial" w:hAnsi="Arial"/>
                <w:sz w:val="14"/>
                <w:szCs w:val="14"/>
                <w:b w:val="1"/>
                <w:bCs w:val="1"/>
                <w:color w:val="0070FF"/>
              </w:rPr>
              <w:t>EFFECT OF CHANGES IN ACCOUNTING</w:t>
            </w:r>
          </w:p>
        </w:tc>
        <w:tc>
          <w:tcPr>
            <w:tcW w:w="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1,735</w:t>
            </w:r>
          </w:p>
        </w:tc>
        <w:tc>
          <w:tcPr>
            <w:tcW w:w="4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1,975</w:t>
            </w:r>
          </w:p>
        </w:tc>
        <w:tc>
          <w:tcPr>
            <w:tcW w:w="3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1,600</w:t>
            </w:r>
          </w:p>
        </w:tc>
        <w:tc>
          <w:tcPr>
            <w:tcW w:w="3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2,116</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ind w:left="40"/>
              <w:spacing w:after="0" w:line="149" w:lineRule="exact"/>
              <w:rPr>
                <w:sz w:val="20"/>
                <w:szCs w:val="20"/>
                <w:color w:val="auto"/>
              </w:rPr>
            </w:pPr>
            <w:r>
              <w:rPr>
                <w:rFonts w:ascii="Arial" w:cs="Arial" w:eastAsia="Arial" w:hAnsi="Arial"/>
                <w:sz w:val="14"/>
                <w:szCs w:val="14"/>
                <w:b w:val="1"/>
                <w:bCs w:val="1"/>
                <w:color w:val="0070FF"/>
              </w:rPr>
              <w:t>PRINCIPLES</w:t>
            </w:r>
          </w:p>
        </w:tc>
        <w:tc>
          <w:tcPr>
            <w:tcW w:w="2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904</w:t>
            </w:r>
          </w:p>
        </w:tc>
        <w:tc>
          <w:tcPr>
            <w:tcW w:w="38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(904)</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407</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b w:val="1"/>
                <w:bCs w:val="1"/>
                <w:color w:val="0070FF"/>
              </w:rPr>
              <w:t>CUMULATIVE EFFECT OF CHANGES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(196)</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40"/>
              <w:spacing w:after="0" w:line="159" w:lineRule="exact"/>
              <w:rPr>
                <w:sz w:val="20"/>
                <w:szCs w:val="20"/>
                <w:color w:val="auto"/>
              </w:rPr>
            </w:pPr>
            <w:r>
              <w:rPr>
                <w:rFonts w:ascii="Arial" w:cs="Arial" w:eastAsia="Arial" w:hAnsi="Arial"/>
                <w:sz w:val="14"/>
                <w:szCs w:val="14"/>
                <w:b w:val="1"/>
                <w:bCs w:val="1"/>
                <w:color w:val="0070FF"/>
              </w:rPr>
              <w:t>ACCOUNTING PRINCIPLES, NET OF 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70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200" w:type="dxa"/>
            <w:vAlign w:val="bottom"/>
            <w:tcBorders>
              <w:bottom w:val="single" w:sz="8" w:color="0070FF"/>
            </w:tcBorders>
            <w:gridSpan w:val="3"/>
          </w:tcPr>
          <w:p>
            <w:pPr>
              <w:spacing w:after="0" w:line="202" w:lineRule="exact"/>
              <w:rPr>
                <w:sz w:val="20"/>
                <w:szCs w:val="20"/>
                <w:color w:val="auto"/>
              </w:rPr>
            </w:pPr>
            <w:r>
              <w:rPr>
                <w:rFonts w:ascii="Arial" w:cs="Arial" w:eastAsia="Arial" w:hAnsi="Arial"/>
                <w:sz w:val="14"/>
                <w:szCs w:val="14"/>
                <w:b w:val="1"/>
                <w:bCs w:val="1"/>
                <w:color w:val="0070FF"/>
              </w:rPr>
              <w:t>NET INCOME (LOSS)</w:t>
            </w:r>
            <w:r>
              <w:rPr>
                <w:rFonts w:ascii="Arial" w:cs="Arial" w:eastAsia="Arial" w:hAnsi="Arial"/>
                <w:sz w:val="23"/>
                <w:szCs w:val="23"/>
                <w:b w:val="1"/>
                <w:bCs w:val="1"/>
                <w:color w:val="0070FF"/>
                <w:vertAlign w:val="superscript"/>
              </w:rPr>
              <w:t>2</w:t>
            </w:r>
          </w:p>
        </w:tc>
        <w:tc>
          <w:tcPr>
            <w:tcW w:w="260" w:type="dxa"/>
            <w:vAlign w:val="bottom"/>
            <w:tcBorders>
              <w:bottom w:val="single" w:sz="8" w:color="0070FF"/>
            </w:tcBorders>
            <w:gridSpan w:val="2"/>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1,735</w:t>
            </w:r>
          </w:p>
        </w:tc>
        <w:tc>
          <w:tcPr>
            <w:tcW w:w="420" w:type="dxa"/>
            <w:vAlign w:val="bottom"/>
            <w:tcBorders>
              <w:bottom w:val="single" w:sz="8" w:color="0070FF"/>
            </w:tcBorders>
          </w:tcPr>
          <w:p>
            <w:pPr>
              <w:ind w:left="2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b w:val="1"/>
                <w:bCs w:val="1"/>
                <w:color w:val="auto"/>
              </w:rPr>
              <w:t>1,975</w:t>
            </w:r>
          </w:p>
        </w:tc>
        <w:tc>
          <w:tcPr>
            <w:tcW w:w="320" w:type="dxa"/>
            <w:vAlign w:val="bottom"/>
            <w:tcBorders>
              <w:bottom w:val="single" w:sz="8" w:color="0070FF"/>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1,600</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1,920</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904</w:t>
            </w:r>
          </w:p>
        </w:tc>
        <w:tc>
          <w:tcPr>
            <w:tcW w:w="38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rPr>
              <w:t>(904)</w:t>
            </w:r>
          </w:p>
        </w:tc>
        <w:tc>
          <w:tcPr>
            <w:tcW w:w="340" w:type="dxa"/>
            <w:vAlign w:val="bottom"/>
            <w:tcBorders>
              <w:bottom w:val="single" w:sz="8" w:color="0070FF"/>
            </w:tcBorders>
          </w:tcPr>
          <w:p>
            <w:pPr>
              <w:ind w:left="2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407</w:t>
            </w:r>
          </w:p>
        </w:tc>
        <w:tc>
          <w:tcPr>
            <w:tcW w:w="32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line="139" w:lineRule="exact"/>
              <w:rPr>
                <w:sz w:val="20"/>
                <w:szCs w:val="20"/>
                <w:color w:val="auto"/>
              </w:rPr>
            </w:pPr>
            <w:r>
              <w:rPr>
                <w:rFonts w:ascii="Arial" w:cs="Arial" w:eastAsia="Arial" w:hAnsi="Arial"/>
                <w:sz w:val="14"/>
                <w:szCs w:val="14"/>
                <w:b w:val="1"/>
                <w:bCs w:val="1"/>
                <w:color w:val="0070FF"/>
              </w:rPr>
              <w:t>NET INCOME (LOSS) PER SHARE BEFORE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ind w:left="40"/>
              <w:spacing w:after="0" w:line="149" w:lineRule="exact"/>
              <w:rPr>
                <w:sz w:val="20"/>
                <w:szCs w:val="20"/>
                <w:color w:val="auto"/>
              </w:rPr>
            </w:pPr>
            <w:r>
              <w:rPr>
                <w:rFonts w:ascii="Arial" w:cs="Arial" w:eastAsia="Arial" w:hAnsi="Arial"/>
                <w:sz w:val="14"/>
                <w:szCs w:val="14"/>
                <w:b w:val="1"/>
                <w:bCs w:val="1"/>
                <w:color w:val="0070FF"/>
              </w:rPr>
              <w:t>CUMULATIVE EFFECT OF CHANGES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Arial" w:cs="Arial" w:eastAsia="Arial" w:hAnsi="Arial"/>
                <w:sz w:val="14"/>
                <w:szCs w:val="14"/>
                <w:b w:val="1"/>
                <w:bCs w:val="1"/>
                <w:color w:val="0070FF"/>
              </w:rPr>
              <w:t>ACCOUNTING PRINCIPLES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2.02</w:t>
            </w:r>
            <w:r>
              <w:rPr>
                <w:rFonts w:ascii="Arial" w:cs="Arial" w:eastAsia="Arial" w:hAnsi="Arial"/>
                <w:sz w:val="23"/>
                <w:szCs w:val="23"/>
                <w:b w:val="1"/>
                <w:bCs w:val="1"/>
                <w:color w:val="auto"/>
                <w:vertAlign w:val="superscript"/>
              </w:rPr>
              <w:t>3</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40"/>
              <w:spacing w:after="0" w:line="159" w:lineRule="exact"/>
              <w:rPr>
                <w:sz w:val="20"/>
                <w:szCs w:val="20"/>
                <w:color w:val="auto"/>
              </w:rPr>
            </w:pPr>
            <w:r>
              <w:rPr>
                <w:rFonts w:ascii="Arial" w:cs="Arial" w:eastAsia="Arial" w:hAnsi="Arial"/>
                <w:sz w:val="14"/>
                <w:szCs w:val="14"/>
                <w:b w:val="1"/>
                <w:bCs w:val="1"/>
                <w:color w:val="0070FF"/>
              </w:rPr>
              <w:t>– BASIC</w:t>
            </w:r>
          </w:p>
        </w:tc>
        <w:tc>
          <w:tcPr>
            <w:tcW w:w="26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rPr>
              <w:t>1.63</w:t>
            </w: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660" w:type="dxa"/>
            <w:vAlign w:val="bottom"/>
            <w:vMerge w:val="continue"/>
          </w:tcPr>
          <w:p>
            <w:pPr>
              <w:spacing w:after="0"/>
              <w:rPr>
                <w:sz w:val="13"/>
                <w:szCs w:val="13"/>
                <w:color w:val="auto"/>
              </w:rPr>
            </w:pPr>
          </w:p>
        </w:tc>
        <w:tc>
          <w:tcPr>
            <w:tcW w:w="32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rPr>
              <w:t>1.51</w:t>
            </w:r>
          </w:p>
        </w:tc>
        <w:tc>
          <w:tcPr>
            <w:tcW w:w="360" w:type="dxa"/>
            <w:vAlign w:val="bottom"/>
          </w:tcPr>
          <w:p>
            <w:pPr>
              <w:ind w:left="220"/>
              <w:spacing w:after="0" w:line="15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1.99</w:t>
            </w:r>
          </w:p>
        </w:tc>
        <w:tc>
          <w:tcPr>
            <w:tcW w:w="36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0.85</w:t>
            </w:r>
          </w:p>
        </w:tc>
        <w:tc>
          <w:tcPr>
            <w:tcW w:w="38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(0.85)</w:t>
            </w:r>
          </w:p>
        </w:tc>
        <w:tc>
          <w:tcPr>
            <w:tcW w:w="34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0.39</w:t>
            </w:r>
          </w:p>
        </w:tc>
        <w:tc>
          <w:tcPr>
            <w:tcW w:w="3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bottom w:val="single" w:sz="8" w:color="0070FF"/>
            </w:tcBorders>
          </w:tcPr>
          <w:p>
            <w:pPr>
              <w:spacing w:after="0"/>
              <w:rPr>
                <w:sz w:val="16"/>
                <w:szCs w:val="16"/>
                <w:color w:val="auto"/>
              </w:rPr>
            </w:pPr>
          </w:p>
        </w:tc>
        <w:tc>
          <w:tcPr>
            <w:tcW w:w="3100" w:type="dxa"/>
            <w:vAlign w:val="bottom"/>
            <w:tcBorders>
              <w:bottom w:val="single" w:sz="8" w:color="0070FF"/>
            </w:tcBorders>
          </w:tcPr>
          <w:p>
            <w:pPr>
              <w:ind w:left="40"/>
              <w:spacing w:after="0"/>
              <w:rPr>
                <w:sz w:val="20"/>
                <w:szCs w:val="20"/>
                <w:color w:val="auto"/>
              </w:rPr>
            </w:pPr>
            <w:r>
              <w:rPr>
                <w:rFonts w:ascii="Arial" w:cs="Arial" w:eastAsia="Arial" w:hAnsi="Arial"/>
                <w:sz w:val="14"/>
                <w:szCs w:val="14"/>
                <w:b w:val="1"/>
                <w:bCs w:val="1"/>
                <w:color w:val="0070FF"/>
              </w:rPr>
              <w:t>– DILUTED</w:t>
            </w:r>
          </w:p>
        </w:tc>
        <w:tc>
          <w:tcPr>
            <w:tcW w:w="260" w:type="dxa"/>
            <w:vAlign w:val="bottom"/>
            <w:tcBorders>
              <w:bottom w:val="single" w:sz="8" w:color="0070FF"/>
            </w:tcBorders>
            <w:gridSpan w:val="2"/>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1.63</w:t>
            </w:r>
          </w:p>
        </w:tc>
        <w:tc>
          <w:tcPr>
            <w:tcW w:w="42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109"/>
              <w:spacing w:after="0" w:line="175" w:lineRule="exact"/>
              <w:rPr>
                <w:sz w:val="20"/>
                <w:szCs w:val="20"/>
                <w:color w:val="auto"/>
              </w:rPr>
            </w:pPr>
            <w:r>
              <w:rPr>
                <w:rFonts w:ascii="Arial" w:cs="Arial" w:eastAsia="Arial" w:hAnsi="Arial"/>
                <w:sz w:val="13"/>
                <w:szCs w:val="13"/>
                <w:b w:val="1"/>
                <w:bCs w:val="1"/>
                <w:color w:val="auto"/>
              </w:rPr>
              <w:t>2.02</w:t>
            </w:r>
            <w:r>
              <w:rPr>
                <w:rFonts w:ascii="Arial" w:cs="Arial" w:eastAsia="Arial" w:hAnsi="Arial"/>
                <w:sz w:val="20"/>
                <w:szCs w:val="20"/>
                <w:b w:val="1"/>
                <w:bCs w:val="1"/>
                <w:color w:val="auto"/>
                <w:vertAlign w:val="superscript"/>
              </w:rPr>
              <w:t>3</w:t>
            </w:r>
          </w:p>
        </w:tc>
        <w:tc>
          <w:tcPr>
            <w:tcW w:w="320" w:type="dxa"/>
            <w:vAlign w:val="bottom"/>
            <w:tcBorders>
              <w:bottom w:val="single" w:sz="8" w:color="0070FF"/>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1.50</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1.99</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0.85</w:t>
            </w:r>
          </w:p>
        </w:tc>
        <w:tc>
          <w:tcPr>
            <w:tcW w:w="38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rPr>
              <w:t>(0.85)</w:t>
            </w:r>
          </w:p>
        </w:tc>
        <w:tc>
          <w:tcPr>
            <w:tcW w:w="340" w:type="dxa"/>
            <w:vAlign w:val="bottom"/>
            <w:tcBorders>
              <w:bottom w:val="single" w:sz="8" w:color="0070FF"/>
            </w:tcBorders>
          </w:tcPr>
          <w:p>
            <w:pPr>
              <w:ind w:left="2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0.39</w:t>
            </w:r>
          </w:p>
        </w:tc>
        <w:tc>
          <w:tcPr>
            <w:tcW w:w="32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gridSpan w:val="2"/>
          </w:tcPr>
          <w:p>
            <w:pPr>
              <w:spacing w:after="0" w:line="153" w:lineRule="exact"/>
              <w:rPr>
                <w:sz w:val="20"/>
                <w:szCs w:val="20"/>
                <w:color w:val="auto"/>
              </w:rPr>
            </w:pPr>
            <w:r>
              <w:rPr>
                <w:rFonts w:ascii="Arial" w:cs="Arial" w:eastAsia="Arial" w:hAnsi="Arial"/>
                <w:sz w:val="14"/>
                <w:szCs w:val="14"/>
                <w:b w:val="1"/>
                <w:bCs w:val="1"/>
                <w:color w:val="0070FF"/>
              </w:rPr>
              <w:t>NET INCOME (LOSS) PER SHARE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2.02</w:t>
            </w:r>
            <w:r>
              <w:rPr>
                <w:rFonts w:ascii="Arial" w:cs="Arial" w:eastAsia="Arial" w:hAnsi="Arial"/>
                <w:sz w:val="23"/>
                <w:szCs w:val="23"/>
                <w:b w:val="1"/>
                <w:bCs w:val="1"/>
                <w:color w:val="auto"/>
                <w:vertAlign w:val="superscript"/>
              </w:rPr>
              <w:t>3</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40"/>
              <w:spacing w:after="0" w:line="159" w:lineRule="exact"/>
              <w:rPr>
                <w:sz w:val="20"/>
                <w:szCs w:val="20"/>
                <w:color w:val="auto"/>
              </w:rPr>
            </w:pPr>
            <w:r>
              <w:rPr>
                <w:rFonts w:ascii="Arial" w:cs="Arial" w:eastAsia="Arial" w:hAnsi="Arial"/>
                <w:sz w:val="14"/>
                <w:szCs w:val="14"/>
                <w:b w:val="1"/>
                <w:bCs w:val="1"/>
                <w:color w:val="0070FF"/>
              </w:rPr>
              <w:t>– BASIC</w:t>
            </w:r>
          </w:p>
        </w:tc>
        <w:tc>
          <w:tcPr>
            <w:tcW w:w="26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rPr>
              <w:t>1.63</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660" w:type="dxa"/>
            <w:vAlign w:val="bottom"/>
            <w:vMerge w:val="continue"/>
          </w:tcPr>
          <w:p>
            <w:pPr>
              <w:spacing w:after="0"/>
              <w:rPr>
                <w:sz w:val="13"/>
                <w:szCs w:val="13"/>
                <w:color w:val="auto"/>
              </w:rPr>
            </w:pPr>
          </w:p>
        </w:tc>
        <w:tc>
          <w:tcPr>
            <w:tcW w:w="32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rPr>
              <w:t>1.51</w:t>
            </w:r>
          </w:p>
        </w:tc>
        <w:tc>
          <w:tcPr>
            <w:tcW w:w="360" w:type="dxa"/>
            <w:vAlign w:val="bottom"/>
          </w:tcPr>
          <w:p>
            <w:pPr>
              <w:ind w:left="220"/>
              <w:spacing w:after="0" w:line="15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1.81</w:t>
            </w:r>
          </w:p>
        </w:tc>
        <w:tc>
          <w:tcPr>
            <w:tcW w:w="36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0.85</w:t>
            </w:r>
          </w:p>
        </w:tc>
        <w:tc>
          <w:tcPr>
            <w:tcW w:w="38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(0.85)</w:t>
            </w:r>
          </w:p>
        </w:tc>
        <w:tc>
          <w:tcPr>
            <w:tcW w:w="34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0.39</w:t>
            </w:r>
          </w:p>
        </w:tc>
        <w:tc>
          <w:tcPr>
            <w:tcW w:w="3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bottom w:val="single" w:sz="8" w:color="0070FF"/>
            </w:tcBorders>
          </w:tcPr>
          <w:p>
            <w:pPr>
              <w:spacing w:after="0"/>
              <w:rPr>
                <w:sz w:val="16"/>
                <w:szCs w:val="16"/>
                <w:color w:val="auto"/>
              </w:rPr>
            </w:pPr>
          </w:p>
        </w:tc>
        <w:tc>
          <w:tcPr>
            <w:tcW w:w="3100" w:type="dxa"/>
            <w:vAlign w:val="bottom"/>
            <w:tcBorders>
              <w:bottom w:val="single" w:sz="8" w:color="0070FF"/>
            </w:tcBorders>
          </w:tcPr>
          <w:p>
            <w:pPr>
              <w:ind w:left="40"/>
              <w:spacing w:after="0"/>
              <w:rPr>
                <w:sz w:val="20"/>
                <w:szCs w:val="20"/>
                <w:color w:val="auto"/>
              </w:rPr>
            </w:pPr>
            <w:r>
              <w:rPr>
                <w:rFonts w:ascii="Arial" w:cs="Arial" w:eastAsia="Arial" w:hAnsi="Arial"/>
                <w:sz w:val="14"/>
                <w:szCs w:val="14"/>
                <w:b w:val="1"/>
                <w:bCs w:val="1"/>
                <w:color w:val="0070FF"/>
              </w:rPr>
              <w:t>– DILUTED</w:t>
            </w:r>
          </w:p>
        </w:tc>
        <w:tc>
          <w:tcPr>
            <w:tcW w:w="260" w:type="dxa"/>
            <w:vAlign w:val="bottom"/>
            <w:tcBorders>
              <w:bottom w:val="single" w:sz="8" w:color="0070FF"/>
            </w:tcBorders>
            <w:gridSpan w:val="2"/>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1.63</w:t>
            </w:r>
          </w:p>
        </w:tc>
        <w:tc>
          <w:tcPr>
            <w:tcW w:w="42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109"/>
              <w:spacing w:after="0" w:line="175" w:lineRule="exact"/>
              <w:rPr>
                <w:sz w:val="20"/>
                <w:szCs w:val="20"/>
                <w:color w:val="auto"/>
              </w:rPr>
            </w:pPr>
            <w:r>
              <w:rPr>
                <w:rFonts w:ascii="Arial" w:cs="Arial" w:eastAsia="Arial" w:hAnsi="Arial"/>
                <w:sz w:val="13"/>
                <w:szCs w:val="13"/>
                <w:b w:val="1"/>
                <w:bCs w:val="1"/>
                <w:color w:val="auto"/>
              </w:rPr>
              <w:t>2.02</w:t>
            </w:r>
            <w:r>
              <w:rPr>
                <w:rFonts w:ascii="Arial" w:cs="Arial" w:eastAsia="Arial" w:hAnsi="Arial"/>
                <w:sz w:val="20"/>
                <w:szCs w:val="20"/>
                <w:b w:val="1"/>
                <w:bCs w:val="1"/>
                <w:color w:val="auto"/>
                <w:vertAlign w:val="superscript"/>
              </w:rPr>
              <w:t>3</w:t>
            </w:r>
          </w:p>
        </w:tc>
        <w:tc>
          <w:tcPr>
            <w:tcW w:w="320" w:type="dxa"/>
            <w:vAlign w:val="bottom"/>
            <w:tcBorders>
              <w:bottom w:val="single" w:sz="8" w:color="0070FF"/>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1.50</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1.81</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0.85</w:t>
            </w:r>
          </w:p>
        </w:tc>
        <w:tc>
          <w:tcPr>
            <w:tcW w:w="38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rPr>
              <w:t>(0.85)</w:t>
            </w:r>
          </w:p>
        </w:tc>
        <w:tc>
          <w:tcPr>
            <w:tcW w:w="340" w:type="dxa"/>
            <w:vAlign w:val="bottom"/>
            <w:tcBorders>
              <w:bottom w:val="single" w:sz="8" w:color="0070FF"/>
            </w:tcBorders>
          </w:tcPr>
          <w:p>
            <w:pPr>
              <w:ind w:left="2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0.39</w:t>
            </w:r>
          </w:p>
        </w:tc>
        <w:tc>
          <w:tcPr>
            <w:tcW w:w="32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80" w:type="dxa"/>
            <w:vAlign w:val="bottom"/>
            <w:gridSpan w:val="2"/>
          </w:tcPr>
          <w:p>
            <w:pPr>
              <w:spacing w:after="0" w:line="139" w:lineRule="exact"/>
              <w:rPr>
                <w:sz w:val="20"/>
                <w:szCs w:val="20"/>
                <w:color w:val="auto"/>
              </w:rPr>
            </w:pPr>
            <w:r>
              <w:rPr>
                <w:rFonts w:ascii="Arial" w:cs="Arial" w:eastAsia="Arial" w:hAnsi="Arial"/>
                <w:sz w:val="14"/>
                <w:szCs w:val="14"/>
                <w:b w:val="1"/>
                <w:bCs w:val="1"/>
                <w:color w:val="0070FF"/>
              </w:rPr>
              <w:t>DIVIDENDS PAID PER SHARE</w:t>
            </w:r>
          </w:p>
        </w:tc>
        <w:tc>
          <w:tcPr>
            <w:tcW w:w="26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39" w:lineRule="exact"/>
              <w:rPr>
                <w:sz w:val="20"/>
                <w:szCs w:val="20"/>
                <w:color w:val="auto"/>
              </w:rPr>
            </w:pPr>
            <w:r>
              <w:rPr>
                <w:rFonts w:ascii="Arial" w:cs="Arial" w:eastAsia="Arial" w:hAnsi="Arial"/>
                <w:sz w:val="14"/>
                <w:szCs w:val="14"/>
                <w:b w:val="1"/>
                <w:bCs w:val="1"/>
                <w:color w:val="auto"/>
              </w:rPr>
              <w:t>0.73</w:t>
            </w:r>
          </w:p>
        </w:tc>
        <w:tc>
          <w:tcPr>
            <w:tcW w:w="420" w:type="dxa"/>
            <w:vAlign w:val="bottom"/>
          </w:tcPr>
          <w:p>
            <w:pPr>
              <w:ind w:left="220"/>
              <w:spacing w:after="0" w:line="13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9"/>
              <w:spacing w:after="0" w:line="139" w:lineRule="exact"/>
              <w:rPr>
                <w:sz w:val="20"/>
                <w:szCs w:val="20"/>
                <w:color w:val="auto"/>
              </w:rPr>
            </w:pPr>
            <w:r>
              <w:rPr>
                <w:rFonts w:ascii="Arial" w:cs="Arial" w:eastAsia="Arial" w:hAnsi="Arial"/>
                <w:sz w:val="14"/>
                <w:szCs w:val="14"/>
                <w:b w:val="1"/>
                <w:bCs w:val="1"/>
                <w:color w:val="auto"/>
              </w:rPr>
              <w:t>0.73</w:t>
            </w:r>
          </w:p>
        </w:tc>
        <w:tc>
          <w:tcPr>
            <w:tcW w:w="320" w:type="dxa"/>
            <w:vAlign w:val="bottom"/>
          </w:tcPr>
          <w:p>
            <w:pPr>
              <w:ind w:left="180"/>
              <w:spacing w:after="0" w:line="13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39" w:lineRule="exact"/>
              <w:rPr>
                <w:sz w:val="20"/>
                <w:szCs w:val="20"/>
                <w:color w:val="auto"/>
              </w:rPr>
            </w:pPr>
            <w:r>
              <w:rPr>
                <w:rFonts w:ascii="Arial" w:cs="Arial" w:eastAsia="Arial" w:hAnsi="Arial"/>
                <w:sz w:val="14"/>
                <w:szCs w:val="14"/>
                <w:b w:val="1"/>
                <w:bCs w:val="1"/>
                <w:color w:val="auto"/>
              </w:rPr>
              <w:t>0.70</w:t>
            </w:r>
          </w:p>
        </w:tc>
        <w:tc>
          <w:tcPr>
            <w:tcW w:w="360" w:type="dxa"/>
            <w:vAlign w:val="bottom"/>
          </w:tcPr>
          <w:p>
            <w:pPr>
              <w:ind w:left="220"/>
              <w:spacing w:after="0" w:line="13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39" w:lineRule="exact"/>
              <w:rPr>
                <w:sz w:val="20"/>
                <w:szCs w:val="20"/>
                <w:color w:val="auto"/>
              </w:rPr>
            </w:pPr>
            <w:r>
              <w:rPr>
                <w:rFonts w:ascii="Arial" w:cs="Arial" w:eastAsia="Arial" w:hAnsi="Arial"/>
                <w:sz w:val="14"/>
                <w:szCs w:val="14"/>
                <w:b w:val="1"/>
                <w:bCs w:val="1"/>
                <w:color w:val="auto"/>
              </w:rPr>
              <w:t>0.70</w:t>
            </w:r>
          </w:p>
        </w:tc>
        <w:tc>
          <w:tcPr>
            <w:tcW w:w="360" w:type="dxa"/>
            <w:vAlign w:val="bottom"/>
          </w:tcPr>
          <w:p>
            <w:pPr>
              <w:ind w:left="220"/>
              <w:spacing w:after="0" w:line="13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line="139" w:lineRule="exact"/>
              <w:rPr>
                <w:sz w:val="20"/>
                <w:szCs w:val="20"/>
                <w:color w:val="auto"/>
              </w:rPr>
            </w:pPr>
            <w:r>
              <w:rPr>
                <w:rFonts w:ascii="Arial" w:cs="Arial" w:eastAsia="Arial" w:hAnsi="Arial"/>
                <w:sz w:val="14"/>
                <w:szCs w:val="14"/>
                <w:color w:val="auto"/>
              </w:rPr>
              <w:t>0.70</w:t>
            </w:r>
          </w:p>
        </w:tc>
        <w:tc>
          <w:tcPr>
            <w:tcW w:w="380" w:type="dxa"/>
            <w:vAlign w:val="bottom"/>
          </w:tcPr>
          <w:p>
            <w:pPr>
              <w:ind w:left="220"/>
              <w:spacing w:after="0" w:line="13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69"/>
              <w:spacing w:after="0" w:line="139" w:lineRule="exact"/>
              <w:rPr>
                <w:sz w:val="20"/>
                <w:szCs w:val="20"/>
                <w:color w:val="auto"/>
              </w:rPr>
            </w:pPr>
            <w:r>
              <w:rPr>
                <w:rFonts w:ascii="Arial" w:cs="Arial" w:eastAsia="Arial" w:hAnsi="Arial"/>
                <w:sz w:val="14"/>
                <w:szCs w:val="14"/>
                <w:color w:val="auto"/>
              </w:rPr>
              <w:t>0.70</w:t>
            </w:r>
          </w:p>
        </w:tc>
        <w:tc>
          <w:tcPr>
            <w:tcW w:w="340" w:type="dxa"/>
            <w:vAlign w:val="bottom"/>
          </w:tcPr>
          <w:p>
            <w:pPr>
              <w:ind w:left="200"/>
              <w:spacing w:after="0" w:line="13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line="139" w:lineRule="exact"/>
              <w:rPr>
                <w:sz w:val="20"/>
                <w:szCs w:val="20"/>
                <w:color w:val="auto"/>
              </w:rPr>
            </w:pPr>
            <w:r>
              <w:rPr>
                <w:rFonts w:ascii="Arial" w:cs="Arial" w:eastAsia="Arial" w:hAnsi="Arial"/>
                <w:sz w:val="14"/>
                <w:szCs w:val="14"/>
                <w:color w:val="auto"/>
              </w:rPr>
              <w:t>0.70</w:t>
            </w:r>
          </w:p>
        </w:tc>
        <w:tc>
          <w:tcPr>
            <w:tcW w:w="320" w:type="dxa"/>
            <w:vAlign w:val="bottom"/>
          </w:tcPr>
          <w:p>
            <w:pPr>
              <w:ind w:left="220"/>
              <w:spacing w:after="0" w:line="13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39"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b w:val="1"/>
                <w:bCs w:val="1"/>
                <w:color w:val="0070FF"/>
              </w:rPr>
              <w:t>COMMON STOCK PRICE RANGE – HIGH</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86.99</w:t>
            </w:r>
          </w:p>
        </w:tc>
        <w:tc>
          <w:tcPr>
            <w:tcW w:w="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74.56</w:t>
            </w:r>
          </w:p>
        </w:tc>
        <w:tc>
          <w:tcPr>
            <w:tcW w:w="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76.23</w:t>
            </w:r>
          </w:p>
        </w:tc>
        <w:tc>
          <w:tcPr>
            <w:tcW w:w="3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70.40</w:t>
            </w:r>
          </w:p>
        </w:tc>
        <w:tc>
          <w:tcPr>
            <w:tcW w:w="36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75.43</w:t>
            </w:r>
          </w:p>
        </w:tc>
        <w:tc>
          <w:tcPr>
            <w:tcW w:w="38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88.93</w:t>
            </w:r>
          </w:p>
        </w:tc>
        <w:tc>
          <w:tcPr>
            <w:tcW w:w="3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91.04</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Borders>
              <w:bottom w:val="single" w:sz="8" w:color="0070FF"/>
            </w:tcBorders>
          </w:tcPr>
          <w:p>
            <w:pPr>
              <w:spacing w:after="0"/>
              <w:rPr>
                <w:sz w:val="16"/>
                <w:szCs w:val="16"/>
                <w:color w:val="auto"/>
              </w:rPr>
            </w:pPr>
          </w:p>
        </w:tc>
        <w:tc>
          <w:tcPr>
            <w:tcW w:w="3100" w:type="dxa"/>
            <w:vAlign w:val="bottom"/>
            <w:tcBorders>
              <w:bottom w:val="single" w:sz="8" w:color="0070FF"/>
            </w:tcBorders>
          </w:tcPr>
          <w:p>
            <w:pPr>
              <w:ind w:left="2240"/>
              <w:spacing w:after="0"/>
              <w:rPr>
                <w:sz w:val="20"/>
                <w:szCs w:val="20"/>
                <w:color w:val="auto"/>
              </w:rPr>
            </w:pPr>
            <w:r>
              <w:rPr>
                <w:rFonts w:ascii="Arial" w:cs="Arial" w:eastAsia="Arial" w:hAnsi="Arial"/>
                <w:sz w:val="14"/>
                <w:szCs w:val="14"/>
                <w:b w:val="1"/>
                <w:bCs w:val="1"/>
                <w:color w:val="0070FF"/>
              </w:rPr>
              <w:t>– LOW</w:t>
            </w:r>
          </w:p>
        </w:tc>
        <w:tc>
          <w:tcPr>
            <w:tcW w:w="260" w:type="dxa"/>
            <w:vAlign w:val="bottom"/>
            <w:tcBorders>
              <w:bottom w:val="single" w:sz="8" w:color="0070FF"/>
            </w:tcBorders>
            <w:gridSpan w:val="2"/>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71.14</w:t>
            </w:r>
          </w:p>
        </w:tc>
        <w:tc>
          <w:tcPr>
            <w:tcW w:w="420" w:type="dxa"/>
            <w:vAlign w:val="bottom"/>
            <w:tcBorders>
              <w:bottom w:val="single" w:sz="8" w:color="0070FF"/>
            </w:tcBorders>
          </w:tcPr>
          <w:p>
            <w:pPr>
              <w:ind w:left="2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b w:val="1"/>
                <w:bCs w:val="1"/>
                <w:color w:val="auto"/>
              </w:rPr>
              <w:t>70.05</w:t>
            </w:r>
          </w:p>
        </w:tc>
        <w:tc>
          <w:tcPr>
            <w:tcW w:w="320" w:type="dxa"/>
            <w:vAlign w:val="bottom"/>
            <w:tcBorders>
              <w:bottom w:val="single" w:sz="8" w:color="0070FF"/>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b w:val="1"/>
                <w:bCs w:val="1"/>
                <w:color w:val="auto"/>
              </w:rPr>
              <w:t>62.13</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61.31</w:t>
            </w:r>
          </w:p>
        </w:tc>
        <w:tc>
          <w:tcPr>
            <w:tcW w:w="36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29"/>
              <w:spacing w:after="0"/>
              <w:rPr>
                <w:sz w:val="20"/>
                <w:szCs w:val="20"/>
                <w:color w:val="auto"/>
              </w:rPr>
            </w:pPr>
            <w:r>
              <w:rPr>
                <w:rFonts w:ascii="Arial" w:cs="Arial" w:eastAsia="Arial" w:hAnsi="Arial"/>
                <w:sz w:val="14"/>
                <w:szCs w:val="14"/>
                <w:color w:val="auto"/>
              </w:rPr>
              <w:t>65.41</w:t>
            </w:r>
          </w:p>
        </w:tc>
        <w:tc>
          <w:tcPr>
            <w:tcW w:w="38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69"/>
              <w:spacing w:after="0"/>
              <w:rPr>
                <w:sz w:val="20"/>
                <w:szCs w:val="20"/>
                <w:color w:val="auto"/>
              </w:rPr>
            </w:pPr>
            <w:r>
              <w:rPr>
                <w:rFonts w:ascii="Arial" w:cs="Arial" w:eastAsia="Arial" w:hAnsi="Arial"/>
                <w:sz w:val="14"/>
                <w:szCs w:val="14"/>
                <w:color w:val="auto"/>
              </w:rPr>
              <w:t>65.64</w:t>
            </w:r>
          </w:p>
        </w:tc>
        <w:tc>
          <w:tcPr>
            <w:tcW w:w="340" w:type="dxa"/>
            <w:vAlign w:val="bottom"/>
            <w:tcBorders>
              <w:bottom w:val="single" w:sz="8" w:color="0070FF"/>
            </w:tcBorders>
          </w:tcPr>
          <w:p>
            <w:pPr>
              <w:ind w:left="2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49"/>
              <w:spacing w:after="0"/>
              <w:rPr>
                <w:sz w:val="20"/>
                <w:szCs w:val="20"/>
                <w:color w:val="auto"/>
              </w:rPr>
            </w:pPr>
            <w:r>
              <w:rPr>
                <w:rFonts w:ascii="Arial" w:cs="Arial" w:eastAsia="Arial" w:hAnsi="Arial"/>
                <w:sz w:val="14"/>
                <w:szCs w:val="14"/>
                <w:color w:val="auto"/>
              </w:rPr>
              <w:t>83.55</w:t>
            </w:r>
          </w:p>
        </w:tc>
        <w:tc>
          <w:tcPr>
            <w:tcW w:w="320" w:type="dxa"/>
            <w:vAlign w:val="bottom"/>
            <w:tcBorders>
              <w:bottom w:val="single" w:sz="8" w:color="0070FF"/>
            </w:tcBorders>
          </w:tcPr>
          <w:p>
            <w:pPr>
              <w:ind w:left="2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gridSpan w:val="2"/>
          </w:tcPr>
          <w:p>
            <w:pPr>
              <w:jc w:val="right"/>
              <w:ind w:right="100"/>
              <w:spacing w:after="0"/>
              <w:rPr>
                <w:sz w:val="20"/>
                <w:szCs w:val="20"/>
                <w:color w:val="auto"/>
              </w:rPr>
            </w:pPr>
            <w:r>
              <w:rPr>
                <w:rFonts w:ascii="Arial" w:cs="Arial" w:eastAsia="Arial" w:hAnsi="Arial"/>
                <w:sz w:val="14"/>
                <w:szCs w:val="14"/>
                <w:color w:val="auto"/>
              </w:rPr>
              <w:t>80.80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0"/>
                <w:szCs w:val="10"/>
                <w:color w:val="auto"/>
              </w:rPr>
              <w:t>1</w:t>
            </w:r>
          </w:p>
        </w:tc>
        <w:tc>
          <w:tcPr>
            <w:tcW w:w="3100" w:type="dxa"/>
            <w:vAlign w:val="bottom"/>
          </w:tcPr>
          <w:p>
            <w:pPr>
              <w:ind w:left="40"/>
              <w:spacing w:after="0"/>
              <w:rPr>
                <w:sz w:val="20"/>
                <w:szCs w:val="20"/>
                <w:color w:val="auto"/>
              </w:rPr>
            </w:pPr>
            <w:r>
              <w:rPr>
                <w:rFonts w:ascii="Arial" w:cs="Arial" w:eastAsia="Arial" w:hAnsi="Arial"/>
                <w:sz w:val="12"/>
                <w:szCs w:val="12"/>
                <w:color w:val="auto"/>
              </w:rPr>
              <w:t>Includes consumer excise taxes:</w:t>
            </w:r>
          </w:p>
        </w:tc>
        <w:tc>
          <w:tcPr>
            <w:tcW w:w="260" w:type="dxa"/>
            <w:vAlign w:val="bottom"/>
            <w:gridSpan w:val="2"/>
          </w:tcPr>
          <w:p>
            <w:pPr>
              <w:ind w:left="120"/>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149"/>
              <w:spacing w:after="0"/>
              <w:rPr>
                <w:sz w:val="20"/>
                <w:szCs w:val="20"/>
                <w:color w:val="auto"/>
              </w:rPr>
            </w:pPr>
            <w:r>
              <w:rPr>
                <w:rFonts w:ascii="Arial" w:cs="Arial" w:eastAsia="Arial" w:hAnsi="Arial"/>
                <w:sz w:val="12"/>
                <w:szCs w:val="12"/>
                <w:b w:val="1"/>
                <w:bCs w:val="1"/>
                <w:color w:val="auto"/>
              </w:rPr>
              <w:t>1,825</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169"/>
              <w:spacing w:after="0"/>
              <w:rPr>
                <w:sz w:val="20"/>
                <w:szCs w:val="20"/>
                <w:color w:val="auto"/>
              </w:rPr>
            </w:pPr>
            <w:r>
              <w:rPr>
                <w:rFonts w:ascii="Arial" w:cs="Arial" w:eastAsia="Arial" w:hAnsi="Arial"/>
                <w:sz w:val="12"/>
                <w:szCs w:val="12"/>
                <w:b w:val="1"/>
                <w:bCs w:val="1"/>
                <w:color w:val="auto"/>
              </w:rPr>
              <w:t>1,814</w:t>
            </w:r>
          </w:p>
        </w:tc>
        <w:tc>
          <w:tcPr>
            <w:tcW w:w="320" w:type="dxa"/>
            <w:vAlign w:val="bottom"/>
          </w:tcPr>
          <w:p>
            <w:pPr>
              <w:ind w:left="180"/>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149"/>
              <w:spacing w:after="0"/>
              <w:rPr>
                <w:sz w:val="20"/>
                <w:szCs w:val="20"/>
                <w:color w:val="auto"/>
              </w:rPr>
            </w:pPr>
            <w:r>
              <w:rPr>
                <w:rFonts w:ascii="Arial" w:cs="Arial" w:eastAsia="Arial" w:hAnsi="Arial"/>
                <w:sz w:val="12"/>
                <w:szCs w:val="12"/>
                <w:b w:val="1"/>
                <w:bCs w:val="1"/>
                <w:color w:val="auto"/>
              </w:rPr>
              <w:t>1,765</w:t>
            </w:r>
          </w:p>
        </w:tc>
        <w:tc>
          <w:tcPr>
            <w:tcW w:w="36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1,691</w:t>
            </w:r>
          </w:p>
        </w:tc>
        <w:tc>
          <w:tcPr>
            <w:tcW w:w="360" w:type="dxa"/>
            <w:vAlign w:val="bottom"/>
          </w:tcPr>
          <w:p>
            <w:pPr>
              <w:ind w:left="2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29"/>
              <w:spacing w:after="0"/>
              <w:rPr>
                <w:sz w:val="20"/>
                <w:szCs w:val="20"/>
                <w:color w:val="auto"/>
              </w:rPr>
            </w:pPr>
            <w:r>
              <w:rPr>
                <w:rFonts w:ascii="Arial" w:cs="Arial" w:eastAsia="Arial" w:hAnsi="Arial"/>
                <w:sz w:val="12"/>
                <w:szCs w:val="12"/>
                <w:color w:val="auto"/>
              </w:rPr>
              <w:t>1,785</w:t>
            </w:r>
          </w:p>
        </w:tc>
        <w:tc>
          <w:tcPr>
            <w:tcW w:w="38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69"/>
              <w:spacing w:after="0"/>
              <w:rPr>
                <w:sz w:val="20"/>
                <w:szCs w:val="20"/>
                <w:color w:val="auto"/>
              </w:rPr>
            </w:pPr>
            <w:r>
              <w:rPr>
                <w:rFonts w:ascii="Arial" w:cs="Arial" w:eastAsia="Arial" w:hAnsi="Arial"/>
                <w:sz w:val="12"/>
                <w:szCs w:val="12"/>
                <w:color w:val="auto"/>
              </w:rPr>
              <w:t>1,782</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49"/>
              <w:spacing w:after="0"/>
              <w:rPr>
                <w:sz w:val="20"/>
                <w:szCs w:val="20"/>
                <w:color w:val="auto"/>
              </w:rPr>
            </w:pPr>
            <w:r>
              <w:rPr>
                <w:rFonts w:ascii="Arial" w:cs="Arial" w:eastAsia="Arial" w:hAnsi="Arial"/>
                <w:sz w:val="12"/>
                <w:szCs w:val="12"/>
                <w:color w:val="auto"/>
              </w:rPr>
              <w:t>1,751</w:t>
            </w:r>
          </w:p>
        </w:tc>
        <w:tc>
          <w:tcPr>
            <w:tcW w:w="320" w:type="dxa"/>
            <w:vAlign w:val="bottom"/>
          </w:tcPr>
          <w:p>
            <w:pPr>
              <w:ind w:left="2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1,688</w:t>
            </w:r>
          </w:p>
        </w:tc>
        <w:tc>
          <w:tcPr>
            <w:tcW w:w="0" w:type="dxa"/>
            <w:vAlign w:val="bottom"/>
          </w:tcPr>
          <w:p>
            <w:pPr>
              <w:spacing w:after="0"/>
              <w:rPr>
                <w:sz w:val="1"/>
                <w:szCs w:val="1"/>
                <w:color w:val="auto"/>
              </w:rPr>
            </w:pPr>
          </w:p>
        </w:tc>
      </w:tr>
      <w:tr>
        <w:trPr>
          <w:trHeight w:val="180"/>
        </w:trPr>
        <w:tc>
          <w:tcPr>
            <w:tcW w:w="100" w:type="dxa"/>
            <w:vAlign w:val="bottom"/>
            <w:gridSpan w:val="2"/>
          </w:tcPr>
          <w:p>
            <w:pPr>
              <w:spacing w:after="0"/>
              <w:rPr>
                <w:sz w:val="20"/>
                <w:szCs w:val="20"/>
                <w:color w:val="auto"/>
              </w:rPr>
            </w:pPr>
            <w:r>
              <w:rPr>
                <w:rFonts w:ascii="Arial" w:cs="Arial" w:eastAsia="Arial" w:hAnsi="Arial"/>
                <w:sz w:val="10"/>
                <w:szCs w:val="10"/>
                <w:color w:val="auto"/>
              </w:rPr>
              <w:t>2</w:t>
            </w:r>
          </w:p>
        </w:tc>
        <w:tc>
          <w:tcPr>
            <w:tcW w:w="3100" w:type="dxa"/>
            <w:vAlign w:val="bottom"/>
          </w:tcPr>
          <w:p>
            <w:pPr>
              <w:ind w:left="40"/>
              <w:spacing w:after="0"/>
              <w:rPr>
                <w:sz w:val="20"/>
                <w:szCs w:val="20"/>
                <w:color w:val="auto"/>
              </w:rPr>
            </w:pPr>
            <w:r>
              <w:rPr>
                <w:rFonts w:ascii="Arial" w:cs="Arial" w:eastAsia="Arial" w:hAnsi="Arial"/>
                <w:sz w:val="12"/>
                <w:szCs w:val="12"/>
                <w:color w:val="auto"/>
              </w:rPr>
              <w:t>Net benefits (charges) for special items included in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spacing w:after="0" w:line="237" w:lineRule="auto"/>
        <w:tabs>
          <w:tab w:leader="none" w:pos="3300" w:val="left"/>
          <w:tab w:leader="none" w:pos="3800" w:val="left"/>
          <w:tab w:leader="none" w:pos="4360" w:val="left"/>
          <w:tab w:leader="none" w:pos="4860" w:val="left"/>
          <w:tab w:leader="none" w:pos="5400" w:val="left"/>
          <w:tab w:leader="none" w:pos="5820" w:val="left"/>
          <w:tab w:leader="none" w:pos="6460" w:val="left"/>
          <w:tab w:leader="none" w:pos="6920" w:val="left"/>
          <w:tab w:leader="none" w:pos="7520" w:val="left"/>
          <w:tab w:leader="none" w:pos="7920" w:val="left"/>
          <w:tab w:leader="none" w:pos="8560" w:val="left"/>
          <w:tab w:leader="none" w:pos="8880" w:val="left"/>
          <w:tab w:leader="none" w:pos="9620" w:val="left"/>
          <w:tab w:leader="none" w:pos="10020" w:val="left"/>
          <w:tab w:leader="none" w:pos="10680" w:val="left"/>
          <w:tab w:leader="none" w:pos="11080" w:val="left"/>
        </w:tabs>
        <w:rPr>
          <w:sz w:val="20"/>
          <w:szCs w:val="20"/>
          <w:color w:val="auto"/>
        </w:rPr>
      </w:pPr>
      <w:r>
        <w:rPr>
          <w:rFonts w:ascii="Arial" w:cs="Arial" w:eastAsia="Arial" w:hAnsi="Arial"/>
          <w:sz w:val="12"/>
          <w:szCs w:val="12"/>
          <w:color w:val="auto"/>
        </w:rPr>
        <w:t>“Net Income (Loss)”:</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2"/>
          <w:szCs w:val="12"/>
          <w:b w:val="1"/>
          <w:bCs w:val="1"/>
          <w:color w:val="auto"/>
        </w:rPr>
        <w:t>89</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2"/>
          <w:szCs w:val="12"/>
          <w:b w:val="1"/>
          <w:bCs w:val="1"/>
          <w:color w:val="auto"/>
        </w:rPr>
        <w:t>14</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2"/>
          <w:szCs w:val="12"/>
          <w:b w:val="1"/>
          <w:bCs w:val="1"/>
          <w:color w:val="auto"/>
        </w:rPr>
        <w:t>(117)</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2"/>
          <w:szCs w:val="12"/>
          <w:b w:val="1"/>
          <w:bCs w:val="1"/>
          <w:color w:val="auto"/>
        </w:rPr>
        <w:t>(39)</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(161)</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(2,141)</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(826)</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(206)</w:t>
      </w:r>
    </w:p>
    <w:p>
      <w:pPr>
        <w:ind w:left="160" w:right="80" w:hanging="152"/>
        <w:spacing w:after="0" w:line="184" w:lineRule="auto"/>
        <w:tabs>
          <w:tab w:leader="none" w:pos="160" w:val="left"/>
        </w:tabs>
        <w:numPr>
          <w:ilvl w:val="0"/>
          <w:numId w:val="67"/>
        </w:numPr>
        <w:rPr>
          <w:rFonts w:ascii="Arial" w:cs="Arial" w:eastAsia="Arial" w:hAnsi="Arial"/>
          <w:sz w:val="20"/>
          <w:szCs w:val="20"/>
          <w:color w:val="auto"/>
          <w:vertAlign w:val="superscript"/>
        </w:rPr>
      </w:pPr>
      <w:r>
        <w:rPr>
          <w:rFonts w:ascii="Arial" w:cs="Arial" w:eastAsia="Arial" w:hAnsi="Arial"/>
          <w:sz w:val="12"/>
          <w:szCs w:val="12"/>
          <w:color w:val="auto"/>
        </w:rPr>
        <w:t>Includes a benefit of $0.16 for the company’s share of a capital stock transaction of its Dynegy Inc. affiliate, which, under the applicable accounting rules, was recorded directly to retained earnings and not included in the net income for the period.</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company’s common stock is listed on the New York Stock Exchange (trading symbol: CVX) and on the Pacific Exchange. As of February 25, 2004, stockholders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record numbered approximately 239,000. Through October 9, 2001, the common stock traded under the name of Chevron Corporation (trading symbol: CHV).</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There are no restrictions on the company’s ability to pay dividends.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431"/>
        </w:trPr>
        <w:tc>
          <w:tcPr>
            <w:tcW w:w="280" w:type="dxa"/>
            <w:vAlign w:val="bottom"/>
            <w:gridSpan w:val="2"/>
          </w:tcPr>
          <w:p>
            <w:pPr>
              <w:ind w:left="120"/>
              <w:spacing w:after="0"/>
              <w:rPr>
                <w:sz w:val="20"/>
                <w:szCs w:val="20"/>
                <w:color w:val="auto"/>
              </w:rPr>
            </w:pPr>
            <w:r>
              <w:rPr>
                <w:rFonts w:ascii="Arial" w:cs="Arial" w:eastAsia="Arial" w:hAnsi="Arial"/>
                <w:sz w:val="27"/>
                <w:szCs w:val="27"/>
                <w:b w:val="1"/>
                <w:bCs w:val="1"/>
                <w:color w:val="0070FF"/>
                <w:w w:val="92"/>
              </w:rPr>
              <w:t>»</w:t>
            </w:r>
          </w:p>
        </w:tc>
        <w:tc>
          <w:tcPr>
            <w:tcW w:w="320" w:type="dxa"/>
            <w:vAlign w:val="bottom"/>
            <w:tcBorders>
              <w:right w:val="single" w:sz="8" w:color="0070FF"/>
            </w:tcBorders>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22"/>
                <w:szCs w:val="22"/>
                <w:color w:val="0070FF"/>
              </w:rPr>
              <w:t>Five-Year Financial Summary</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 w:type="dxa"/>
            <w:vAlign w:val="bottom"/>
            <w:tcBorders>
              <w:bottom w:val="single" w:sz="8" w:color="0070FF"/>
              <w:right w:val="single" w:sz="8" w:color="0070FF"/>
            </w:tcBorders>
            <w:gridSpan w:val="2"/>
          </w:tcPr>
          <w:p>
            <w:pPr>
              <w:spacing w:after="0"/>
              <w:rPr>
                <w:sz w:val="8"/>
                <w:szCs w:val="8"/>
                <w:color w:val="auto"/>
              </w:rPr>
            </w:pPr>
          </w:p>
        </w:tc>
        <w:tc>
          <w:tcPr>
            <w:tcW w:w="5240" w:type="dxa"/>
            <w:vAlign w:val="bottom"/>
            <w:tcBorders>
              <w:bottom w:val="single" w:sz="8" w:color="0070FF"/>
            </w:tcBorders>
          </w:tcPr>
          <w:p>
            <w:pPr>
              <w:spacing w:after="0"/>
              <w:rPr>
                <w:sz w:val="8"/>
                <w:szCs w:val="8"/>
                <w:color w:val="auto"/>
              </w:rPr>
            </w:pPr>
          </w:p>
        </w:tc>
        <w:tc>
          <w:tcPr>
            <w:tcW w:w="900" w:type="dxa"/>
            <w:vAlign w:val="bottom"/>
            <w:tcBorders>
              <w:bottom w:val="single" w:sz="8" w:color="0070FF"/>
            </w:tcBorders>
          </w:tcPr>
          <w:p>
            <w:pPr>
              <w:spacing w:after="0"/>
              <w:rPr>
                <w:sz w:val="8"/>
                <w:szCs w:val="8"/>
                <w:color w:val="auto"/>
              </w:rPr>
            </w:pPr>
          </w:p>
        </w:tc>
        <w:tc>
          <w:tcPr>
            <w:tcW w:w="760" w:type="dxa"/>
            <w:vAlign w:val="bottom"/>
            <w:tcBorders>
              <w:bottom w:val="single" w:sz="8" w:color="0070FF"/>
            </w:tcBorders>
          </w:tcPr>
          <w:p>
            <w:pPr>
              <w:spacing w:after="0"/>
              <w:rPr>
                <w:sz w:val="8"/>
                <w:szCs w:val="8"/>
                <w:color w:val="auto"/>
              </w:rPr>
            </w:pPr>
          </w:p>
        </w:tc>
        <w:tc>
          <w:tcPr>
            <w:tcW w:w="320" w:type="dxa"/>
            <w:vAlign w:val="bottom"/>
            <w:tcBorders>
              <w:bottom w:val="single" w:sz="8" w:color="0070FF"/>
            </w:tcBorders>
          </w:tcPr>
          <w:p>
            <w:pPr>
              <w:spacing w:after="0"/>
              <w:rPr>
                <w:sz w:val="8"/>
                <w:szCs w:val="8"/>
                <w:color w:val="auto"/>
              </w:rPr>
            </w:pPr>
          </w:p>
        </w:tc>
        <w:tc>
          <w:tcPr>
            <w:tcW w:w="660" w:type="dxa"/>
            <w:vAlign w:val="bottom"/>
            <w:tcBorders>
              <w:bottom w:val="single" w:sz="8" w:color="0070FF"/>
            </w:tcBorders>
          </w:tcPr>
          <w:p>
            <w:pPr>
              <w:spacing w:after="0"/>
              <w:rPr>
                <w:sz w:val="8"/>
                <w:szCs w:val="8"/>
                <w:color w:val="auto"/>
              </w:rPr>
            </w:pPr>
          </w:p>
        </w:tc>
        <w:tc>
          <w:tcPr>
            <w:tcW w:w="320" w:type="dxa"/>
            <w:vAlign w:val="bottom"/>
            <w:tcBorders>
              <w:bottom w:val="single" w:sz="8" w:color="0070FF"/>
            </w:tcBorders>
          </w:tcPr>
          <w:p>
            <w:pPr>
              <w:spacing w:after="0"/>
              <w:rPr>
                <w:sz w:val="8"/>
                <w:szCs w:val="8"/>
                <w:color w:val="auto"/>
              </w:rPr>
            </w:pPr>
          </w:p>
        </w:tc>
        <w:tc>
          <w:tcPr>
            <w:tcW w:w="740" w:type="dxa"/>
            <w:vAlign w:val="bottom"/>
            <w:tcBorders>
              <w:bottom w:val="single" w:sz="8" w:color="0070FF"/>
            </w:tcBorders>
          </w:tcPr>
          <w:p>
            <w:pPr>
              <w:spacing w:after="0"/>
              <w:rPr>
                <w:sz w:val="8"/>
                <w:szCs w:val="8"/>
                <w:color w:val="auto"/>
              </w:rPr>
            </w:pPr>
          </w:p>
        </w:tc>
        <w:tc>
          <w:tcPr>
            <w:tcW w:w="280" w:type="dxa"/>
            <w:vAlign w:val="bottom"/>
            <w:tcBorders>
              <w:bottom w:val="single" w:sz="8" w:color="0070FF"/>
            </w:tcBorders>
          </w:tcPr>
          <w:p>
            <w:pPr>
              <w:spacing w:after="0"/>
              <w:rPr>
                <w:sz w:val="8"/>
                <w:szCs w:val="8"/>
                <w:color w:val="auto"/>
              </w:rPr>
            </w:pPr>
          </w:p>
        </w:tc>
        <w:tc>
          <w:tcPr>
            <w:tcW w:w="720" w:type="dxa"/>
            <w:vAlign w:val="bottom"/>
            <w:tcBorders>
              <w:bottom w:val="single" w:sz="8" w:color="0070FF"/>
            </w:tcBorders>
          </w:tcPr>
          <w:p>
            <w:pPr>
              <w:spacing w:after="0"/>
              <w:rPr>
                <w:sz w:val="8"/>
                <w:szCs w:val="8"/>
                <w:color w:val="auto"/>
              </w:rPr>
            </w:pPr>
          </w:p>
        </w:tc>
        <w:tc>
          <w:tcPr>
            <w:tcW w:w="340" w:type="dxa"/>
            <w:vAlign w:val="bottom"/>
            <w:tcBorders>
              <w:bottom w:val="single" w:sz="8" w:color="0070FF"/>
            </w:tcBorders>
          </w:tcPr>
          <w:p>
            <w:pPr>
              <w:spacing w:after="0"/>
              <w:rPr>
                <w:sz w:val="8"/>
                <w:szCs w:val="8"/>
                <w:color w:val="auto"/>
              </w:rPr>
            </w:pPr>
          </w:p>
        </w:tc>
        <w:tc>
          <w:tcPr>
            <w:tcW w:w="540" w:type="dxa"/>
            <w:vAlign w:val="bottom"/>
            <w:tcBorders>
              <w:bottom w:val="single" w:sz="8" w:color="0070FF"/>
            </w:tcBorders>
          </w:tcPr>
          <w:p>
            <w:pPr>
              <w:spacing w:after="0"/>
              <w:rPr>
                <w:sz w:val="8"/>
                <w:szCs w:val="8"/>
                <w:color w:val="auto"/>
              </w:rPr>
            </w:pPr>
          </w:p>
        </w:tc>
        <w:tc>
          <w:tcPr>
            <w:tcW w:w="0" w:type="dxa"/>
            <w:vAlign w:val="bottom"/>
          </w:tcPr>
          <w:p>
            <w:pPr>
              <w:spacing w:after="0"/>
              <w:rPr>
                <w:sz w:val="1"/>
                <w:szCs w:val="1"/>
                <w:color w:val="auto"/>
              </w:rPr>
            </w:pPr>
          </w:p>
        </w:tc>
      </w:tr>
      <w:tr>
        <w:trPr>
          <w:trHeight w:val="534"/>
        </w:trPr>
        <w:tc>
          <w:tcPr>
            <w:tcW w:w="584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color w:val="auto"/>
              </w:rPr>
              <w:t>Millions of dollars, except per-share amounts</w:t>
            </w:r>
          </w:p>
        </w:tc>
        <w:tc>
          <w:tcPr>
            <w:tcW w:w="900" w:type="dxa"/>
            <w:vAlign w:val="bottom"/>
            <w:tcBorders>
              <w:bottom w:val="single" w:sz="8" w:color="0070FF"/>
            </w:tcBorders>
          </w:tcPr>
          <w:p>
            <w:pPr>
              <w:spacing w:after="0"/>
              <w:rPr>
                <w:sz w:val="24"/>
                <w:szCs w:val="2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0070FF"/>
            </w:tcBorders>
          </w:tcPr>
          <w:p>
            <w:pPr>
              <w:spacing w:after="0"/>
              <w:rPr>
                <w:sz w:val="24"/>
                <w:szCs w:val="24"/>
                <w:color w:val="auto"/>
              </w:rPr>
            </w:pP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2002</w:t>
            </w:r>
          </w:p>
        </w:tc>
        <w:tc>
          <w:tcPr>
            <w:tcW w:w="320" w:type="dxa"/>
            <w:vAlign w:val="bottom"/>
            <w:tcBorders>
              <w:bottom w:val="single" w:sz="8" w:color="0070FF"/>
            </w:tcBorders>
          </w:tcPr>
          <w:p>
            <w:pPr>
              <w:spacing w:after="0"/>
              <w:rPr>
                <w:sz w:val="24"/>
                <w:szCs w:val="2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2001</w:t>
            </w:r>
          </w:p>
        </w:tc>
        <w:tc>
          <w:tcPr>
            <w:tcW w:w="280" w:type="dxa"/>
            <w:vAlign w:val="bottom"/>
            <w:tcBorders>
              <w:bottom w:val="single" w:sz="8" w:color="0070FF"/>
            </w:tcBorders>
          </w:tcPr>
          <w:p>
            <w:pPr>
              <w:spacing w:after="0"/>
              <w:rPr>
                <w:sz w:val="24"/>
                <w:szCs w:val="24"/>
                <w:color w:val="auto"/>
              </w:rPr>
            </w:pP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2000</w:t>
            </w:r>
          </w:p>
        </w:tc>
        <w:tc>
          <w:tcPr>
            <w:tcW w:w="340" w:type="dxa"/>
            <w:vAlign w:val="bottom"/>
            <w:tcBorders>
              <w:bottom w:val="single" w:sz="8" w:color="0070FF"/>
            </w:tcBorders>
          </w:tcPr>
          <w:p>
            <w:pPr>
              <w:spacing w:after="0"/>
              <w:rPr>
                <w:sz w:val="24"/>
                <w:szCs w:val="2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33"/>
        </w:trPr>
        <w:tc>
          <w:tcPr>
            <w:tcW w:w="5840" w:type="dxa"/>
            <w:vAlign w:val="bottom"/>
            <w:gridSpan w:val="4"/>
          </w:tcPr>
          <w:p>
            <w:pPr>
              <w:spacing w:after="0" w:line="133" w:lineRule="exact"/>
              <w:rPr>
                <w:sz w:val="20"/>
                <w:szCs w:val="20"/>
                <w:color w:val="auto"/>
              </w:rPr>
            </w:pPr>
            <w:r>
              <w:rPr>
                <w:rFonts w:ascii="Arial" w:cs="Arial" w:eastAsia="Arial" w:hAnsi="Arial"/>
                <w:sz w:val="14"/>
                <w:szCs w:val="14"/>
                <w:b w:val="1"/>
                <w:bCs w:val="1"/>
                <w:color w:val="0070FF"/>
              </w:rPr>
              <w:t>COMBINED STATEMENT OF INCOME DATA</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40" w:type="dxa"/>
            <w:vAlign w:val="bottom"/>
            <w:gridSpan w:val="4"/>
          </w:tcPr>
          <w:p>
            <w:pPr>
              <w:spacing w:after="0" w:line="153" w:lineRule="exact"/>
              <w:rPr>
                <w:sz w:val="20"/>
                <w:szCs w:val="20"/>
                <w:color w:val="auto"/>
              </w:rPr>
            </w:pPr>
            <w:r>
              <w:rPr>
                <w:rFonts w:ascii="Arial" w:cs="Arial" w:eastAsia="Arial" w:hAnsi="Arial"/>
                <w:sz w:val="14"/>
                <w:szCs w:val="14"/>
                <w:b w:val="1"/>
                <w:bCs w:val="1"/>
                <w:color w:val="0070FF"/>
              </w:rPr>
              <w:t>REVENUES AND OTHER INCOME</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4"/>
              </w:rPr>
              <w:t>120,032</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840" w:type="dxa"/>
            <w:vAlign w:val="bottom"/>
            <w:gridSpan w:val="4"/>
          </w:tcPr>
          <w:p>
            <w:pPr>
              <w:spacing w:after="0" w:line="145" w:lineRule="exact"/>
              <w:rPr>
                <w:sz w:val="20"/>
                <w:szCs w:val="20"/>
                <w:color w:val="auto"/>
              </w:rPr>
            </w:pPr>
            <w:r>
              <w:rPr>
                <w:rFonts w:ascii="Arial" w:cs="Arial" w:eastAsia="Arial" w:hAnsi="Arial"/>
                <w:sz w:val="14"/>
                <w:szCs w:val="14"/>
                <w:color w:val="auto"/>
              </w:rPr>
              <w:t>Total sales and other operating revenues</w:t>
            </w:r>
          </w:p>
        </w:tc>
        <w:tc>
          <w:tcPr>
            <w:tcW w:w="9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line="145" w:lineRule="exact"/>
              <w:rPr>
                <w:sz w:val="20"/>
                <w:szCs w:val="20"/>
                <w:color w:val="auto"/>
              </w:rPr>
            </w:pPr>
            <w:r>
              <w:rPr>
                <w:rFonts w:ascii="Arial" w:cs="Arial" w:eastAsia="Arial" w:hAnsi="Arial"/>
                <w:sz w:val="14"/>
                <w:szCs w:val="14"/>
                <w:color w:val="auto"/>
                <w:w w:val="97"/>
              </w:rPr>
              <w:t>98,691</w:t>
            </w:r>
          </w:p>
        </w:tc>
        <w:tc>
          <w:tcPr>
            <w:tcW w:w="3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line="145" w:lineRule="exact"/>
              <w:rPr>
                <w:sz w:val="20"/>
                <w:szCs w:val="20"/>
                <w:color w:val="auto"/>
              </w:rPr>
            </w:pPr>
            <w:r>
              <w:rPr>
                <w:rFonts w:ascii="Arial" w:cs="Arial" w:eastAsia="Arial" w:hAnsi="Arial"/>
                <w:sz w:val="14"/>
                <w:szCs w:val="14"/>
                <w:color w:val="auto"/>
                <w:w w:val="90"/>
              </w:rPr>
              <w:t>104,409</w:t>
            </w:r>
          </w:p>
        </w:tc>
        <w:tc>
          <w:tcPr>
            <w:tcW w:w="2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45" w:lineRule="exact"/>
              <w:rPr>
                <w:sz w:val="20"/>
                <w:szCs w:val="20"/>
                <w:color w:val="auto"/>
              </w:rPr>
            </w:pPr>
            <w:r>
              <w:rPr>
                <w:rFonts w:ascii="Arial" w:cs="Arial" w:eastAsia="Arial" w:hAnsi="Arial"/>
                <w:sz w:val="14"/>
                <w:szCs w:val="14"/>
                <w:color w:val="auto"/>
                <w:w w:val="94"/>
              </w:rPr>
              <w:t>117,095</w:t>
            </w:r>
          </w:p>
        </w:tc>
        <w:tc>
          <w:tcPr>
            <w:tcW w:w="3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5" w:lineRule="exact"/>
              <w:rPr>
                <w:sz w:val="20"/>
                <w:szCs w:val="20"/>
                <w:color w:val="auto"/>
              </w:rPr>
            </w:pPr>
            <w:r>
              <w:rPr>
                <w:rFonts w:ascii="Arial" w:cs="Arial" w:eastAsia="Arial" w:hAnsi="Arial"/>
                <w:sz w:val="14"/>
                <w:szCs w:val="14"/>
                <w:color w:val="auto"/>
                <w:w w:val="97"/>
              </w:rPr>
              <w:t>84,004</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color w:val="auto"/>
              </w:rPr>
              <w:t>Income from equity affiliates and other income</w:t>
            </w:r>
          </w:p>
        </w:tc>
        <w:tc>
          <w:tcPr>
            <w:tcW w:w="90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1,729</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222</w:t>
            </w: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1,836</w:t>
            </w:r>
          </w:p>
        </w:tc>
        <w:tc>
          <w:tcPr>
            <w:tcW w:w="28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2,035</w:t>
            </w: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33"/>
        </w:trPr>
        <w:tc>
          <w:tcPr>
            <w:tcW w:w="5840" w:type="dxa"/>
            <w:vAlign w:val="bottom"/>
            <w:gridSpan w:val="4"/>
          </w:tcPr>
          <w:p>
            <w:pPr>
              <w:spacing w:after="0" w:line="133" w:lineRule="exact"/>
              <w:rPr>
                <w:sz w:val="20"/>
                <w:szCs w:val="20"/>
                <w:color w:val="auto"/>
              </w:rPr>
            </w:pPr>
            <w:r>
              <w:rPr>
                <w:rFonts w:ascii="Arial" w:cs="Arial" w:eastAsia="Arial" w:hAnsi="Arial"/>
                <w:sz w:val="14"/>
                <w:szCs w:val="14"/>
                <w:b w:val="1"/>
                <w:bCs w:val="1"/>
                <w:color w:val="0070FF"/>
              </w:rPr>
              <w:t>TOTAL REVENUES AND OTHER INCOME</w:t>
            </w:r>
          </w:p>
        </w:tc>
        <w:tc>
          <w:tcPr>
            <w:tcW w:w="900" w:type="dxa"/>
            <w:vAlign w:val="bottom"/>
          </w:tcPr>
          <w:p>
            <w:pPr>
              <w:spacing w:after="0"/>
              <w:rPr>
                <w:sz w:val="11"/>
                <w:szCs w:val="11"/>
                <w:color w:val="auto"/>
              </w:rPr>
            </w:pPr>
          </w:p>
        </w:tc>
        <w:tc>
          <w:tcPr>
            <w:tcW w:w="76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w w:val="94"/>
              </w:rPr>
              <w:t>121,761</w:t>
            </w:r>
          </w:p>
        </w:tc>
        <w:tc>
          <w:tcPr>
            <w:tcW w:w="320" w:type="dxa"/>
            <w:vAlign w:val="bottom"/>
          </w:tcPr>
          <w:p>
            <w:pPr>
              <w:spacing w:after="0"/>
              <w:rPr>
                <w:sz w:val="11"/>
                <w:szCs w:val="11"/>
                <w:color w:val="auto"/>
              </w:rPr>
            </w:pPr>
          </w:p>
        </w:tc>
        <w:tc>
          <w:tcPr>
            <w:tcW w:w="660" w:type="dxa"/>
            <w:vAlign w:val="bottom"/>
          </w:tcPr>
          <w:p>
            <w:pPr>
              <w:jc w:val="right"/>
              <w:ind w:right="148"/>
              <w:spacing w:after="0" w:line="133" w:lineRule="exact"/>
              <w:rPr>
                <w:sz w:val="20"/>
                <w:szCs w:val="20"/>
                <w:color w:val="auto"/>
              </w:rPr>
            </w:pPr>
            <w:r>
              <w:rPr>
                <w:rFonts w:ascii="Arial" w:cs="Arial" w:eastAsia="Arial" w:hAnsi="Arial"/>
                <w:sz w:val="14"/>
                <w:szCs w:val="14"/>
                <w:color w:val="auto"/>
                <w:w w:val="97"/>
              </w:rPr>
              <w:t>98,913</w:t>
            </w:r>
          </w:p>
        </w:tc>
        <w:tc>
          <w:tcPr>
            <w:tcW w:w="320" w:type="dxa"/>
            <w:vAlign w:val="bottom"/>
          </w:tcPr>
          <w:p>
            <w:pPr>
              <w:spacing w:after="0"/>
              <w:rPr>
                <w:sz w:val="11"/>
                <w:szCs w:val="11"/>
                <w:color w:val="auto"/>
              </w:rPr>
            </w:pPr>
          </w:p>
        </w:tc>
        <w:tc>
          <w:tcPr>
            <w:tcW w:w="740" w:type="dxa"/>
            <w:vAlign w:val="bottom"/>
          </w:tcPr>
          <w:p>
            <w:pPr>
              <w:jc w:val="right"/>
              <w:ind w:right="188"/>
              <w:spacing w:after="0" w:line="133" w:lineRule="exact"/>
              <w:rPr>
                <w:sz w:val="20"/>
                <w:szCs w:val="20"/>
                <w:color w:val="auto"/>
              </w:rPr>
            </w:pPr>
            <w:r>
              <w:rPr>
                <w:rFonts w:ascii="Arial" w:cs="Arial" w:eastAsia="Arial" w:hAnsi="Arial"/>
                <w:sz w:val="14"/>
                <w:szCs w:val="14"/>
                <w:color w:val="auto"/>
                <w:w w:val="90"/>
              </w:rPr>
              <w:t>106,245</w:t>
            </w:r>
          </w:p>
        </w:tc>
        <w:tc>
          <w:tcPr>
            <w:tcW w:w="280" w:type="dxa"/>
            <w:vAlign w:val="bottom"/>
          </w:tcPr>
          <w:p>
            <w:pPr>
              <w:spacing w:after="0"/>
              <w:rPr>
                <w:sz w:val="11"/>
                <w:szCs w:val="11"/>
                <w:color w:val="auto"/>
              </w:rPr>
            </w:pPr>
          </w:p>
        </w:tc>
        <w:tc>
          <w:tcPr>
            <w:tcW w:w="720" w:type="dxa"/>
            <w:vAlign w:val="bottom"/>
          </w:tcPr>
          <w:p>
            <w:pPr>
              <w:jc w:val="right"/>
              <w:ind w:right="148"/>
              <w:spacing w:after="0" w:line="133" w:lineRule="exact"/>
              <w:rPr>
                <w:sz w:val="20"/>
                <w:szCs w:val="20"/>
                <w:color w:val="auto"/>
              </w:rPr>
            </w:pPr>
            <w:r>
              <w:rPr>
                <w:rFonts w:ascii="Arial" w:cs="Arial" w:eastAsia="Arial" w:hAnsi="Arial"/>
                <w:sz w:val="14"/>
                <w:szCs w:val="14"/>
                <w:color w:val="auto"/>
                <w:w w:val="94"/>
              </w:rPr>
              <w:t>119,130</w:t>
            </w:r>
          </w:p>
        </w:tc>
        <w:tc>
          <w:tcPr>
            <w:tcW w:w="340" w:type="dxa"/>
            <w:vAlign w:val="bottom"/>
          </w:tcPr>
          <w:p>
            <w:pPr>
              <w:spacing w:after="0"/>
              <w:rPr>
                <w:sz w:val="11"/>
                <w:szCs w:val="11"/>
                <w:color w:val="auto"/>
              </w:rPr>
            </w:pPr>
          </w:p>
        </w:tc>
        <w:tc>
          <w:tcPr>
            <w:tcW w:w="540" w:type="dxa"/>
            <w:vAlign w:val="bottom"/>
          </w:tcPr>
          <w:p>
            <w:pPr>
              <w:jc w:val="right"/>
              <w:ind w:right="28"/>
              <w:spacing w:after="0" w:line="133" w:lineRule="exact"/>
              <w:rPr>
                <w:sz w:val="20"/>
                <w:szCs w:val="20"/>
                <w:color w:val="auto"/>
              </w:rPr>
            </w:pPr>
            <w:r>
              <w:rPr>
                <w:rFonts w:ascii="Arial" w:cs="Arial" w:eastAsia="Arial" w:hAnsi="Arial"/>
                <w:sz w:val="14"/>
                <w:szCs w:val="14"/>
                <w:color w:val="auto"/>
                <w:w w:val="97"/>
              </w:rPr>
              <w:t>85,713</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b w:val="1"/>
                <w:bCs w:val="1"/>
                <w:color w:val="0070FF"/>
              </w:rPr>
              <w:t>TOTAL COSTS AND OTHER DEDUCTIONS</w:t>
            </w:r>
          </w:p>
        </w:tc>
        <w:tc>
          <w:tcPr>
            <w:tcW w:w="90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w w:val="94"/>
              </w:rPr>
              <w:t>108,991</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w w:val="97"/>
              </w:rPr>
              <w:t>94,757</w:t>
            </w: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97,954</w:t>
            </w:r>
          </w:p>
        </w:tc>
        <w:tc>
          <w:tcPr>
            <w:tcW w:w="28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w w:val="94"/>
              </w:rPr>
              <w:t>105,081</w:t>
            </w: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w w:val="97"/>
              </w:rPr>
              <w:t>79,901</w:t>
            </w:r>
          </w:p>
        </w:tc>
        <w:tc>
          <w:tcPr>
            <w:tcW w:w="0" w:type="dxa"/>
            <w:vAlign w:val="bottom"/>
          </w:tcPr>
          <w:p>
            <w:pPr>
              <w:spacing w:after="0"/>
              <w:rPr>
                <w:sz w:val="1"/>
                <w:szCs w:val="1"/>
                <w:color w:val="auto"/>
              </w:rPr>
            </w:pPr>
          </w:p>
        </w:tc>
      </w:tr>
      <w:tr>
        <w:trPr>
          <w:trHeight w:val="133"/>
        </w:trPr>
        <w:tc>
          <w:tcPr>
            <w:tcW w:w="5840" w:type="dxa"/>
            <w:vAlign w:val="bottom"/>
            <w:gridSpan w:val="4"/>
          </w:tcPr>
          <w:p>
            <w:pPr>
              <w:spacing w:after="0" w:line="133" w:lineRule="exact"/>
              <w:rPr>
                <w:sz w:val="20"/>
                <w:szCs w:val="20"/>
                <w:color w:val="auto"/>
              </w:rPr>
            </w:pPr>
            <w:r>
              <w:rPr>
                <w:rFonts w:ascii="Arial" w:cs="Arial" w:eastAsia="Arial" w:hAnsi="Arial"/>
                <w:sz w:val="14"/>
                <w:szCs w:val="14"/>
                <w:b w:val="1"/>
                <w:bCs w:val="1"/>
                <w:color w:val="0070FF"/>
              </w:rPr>
              <w:t>INCOME BEFORE INCOME TAXES</w:t>
            </w:r>
          </w:p>
        </w:tc>
        <w:tc>
          <w:tcPr>
            <w:tcW w:w="900" w:type="dxa"/>
            <w:vAlign w:val="bottom"/>
          </w:tcPr>
          <w:p>
            <w:pPr>
              <w:spacing w:after="0"/>
              <w:rPr>
                <w:sz w:val="11"/>
                <w:szCs w:val="11"/>
                <w:color w:val="auto"/>
              </w:rPr>
            </w:pPr>
          </w:p>
        </w:tc>
        <w:tc>
          <w:tcPr>
            <w:tcW w:w="76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12,770</w:t>
            </w:r>
          </w:p>
        </w:tc>
        <w:tc>
          <w:tcPr>
            <w:tcW w:w="320" w:type="dxa"/>
            <w:vAlign w:val="bottom"/>
          </w:tcPr>
          <w:p>
            <w:pPr>
              <w:spacing w:after="0"/>
              <w:rPr>
                <w:sz w:val="11"/>
                <w:szCs w:val="11"/>
                <w:color w:val="auto"/>
              </w:rPr>
            </w:pPr>
          </w:p>
        </w:tc>
        <w:tc>
          <w:tcPr>
            <w:tcW w:w="660" w:type="dxa"/>
            <w:vAlign w:val="bottom"/>
          </w:tcPr>
          <w:p>
            <w:pPr>
              <w:jc w:val="right"/>
              <w:ind w:right="148"/>
              <w:spacing w:after="0" w:line="133" w:lineRule="exact"/>
              <w:rPr>
                <w:sz w:val="20"/>
                <w:szCs w:val="20"/>
                <w:color w:val="auto"/>
              </w:rPr>
            </w:pPr>
            <w:r>
              <w:rPr>
                <w:rFonts w:ascii="Arial" w:cs="Arial" w:eastAsia="Arial" w:hAnsi="Arial"/>
                <w:sz w:val="14"/>
                <w:szCs w:val="14"/>
                <w:color w:val="auto"/>
              </w:rPr>
              <w:t>4,156</w:t>
            </w:r>
          </w:p>
        </w:tc>
        <w:tc>
          <w:tcPr>
            <w:tcW w:w="320" w:type="dxa"/>
            <w:vAlign w:val="bottom"/>
          </w:tcPr>
          <w:p>
            <w:pPr>
              <w:spacing w:after="0"/>
              <w:rPr>
                <w:sz w:val="11"/>
                <w:szCs w:val="11"/>
                <w:color w:val="auto"/>
              </w:rPr>
            </w:pPr>
          </w:p>
        </w:tc>
        <w:tc>
          <w:tcPr>
            <w:tcW w:w="740" w:type="dxa"/>
            <w:vAlign w:val="bottom"/>
          </w:tcPr>
          <w:p>
            <w:pPr>
              <w:jc w:val="right"/>
              <w:ind w:right="188"/>
              <w:spacing w:after="0" w:line="133" w:lineRule="exact"/>
              <w:rPr>
                <w:sz w:val="20"/>
                <w:szCs w:val="20"/>
                <w:color w:val="auto"/>
              </w:rPr>
            </w:pPr>
            <w:r>
              <w:rPr>
                <w:rFonts w:ascii="Arial" w:cs="Arial" w:eastAsia="Arial" w:hAnsi="Arial"/>
                <w:sz w:val="14"/>
                <w:szCs w:val="14"/>
                <w:color w:val="auto"/>
              </w:rPr>
              <w:t>8,291</w:t>
            </w:r>
          </w:p>
        </w:tc>
        <w:tc>
          <w:tcPr>
            <w:tcW w:w="280" w:type="dxa"/>
            <w:vAlign w:val="bottom"/>
          </w:tcPr>
          <w:p>
            <w:pPr>
              <w:spacing w:after="0"/>
              <w:rPr>
                <w:sz w:val="11"/>
                <w:szCs w:val="11"/>
                <w:color w:val="auto"/>
              </w:rPr>
            </w:pPr>
          </w:p>
        </w:tc>
        <w:tc>
          <w:tcPr>
            <w:tcW w:w="720" w:type="dxa"/>
            <w:vAlign w:val="bottom"/>
          </w:tcPr>
          <w:p>
            <w:pPr>
              <w:jc w:val="right"/>
              <w:ind w:right="148"/>
              <w:spacing w:after="0" w:line="133" w:lineRule="exact"/>
              <w:rPr>
                <w:sz w:val="20"/>
                <w:szCs w:val="20"/>
                <w:color w:val="auto"/>
              </w:rPr>
            </w:pPr>
            <w:r>
              <w:rPr>
                <w:rFonts w:ascii="Arial" w:cs="Arial" w:eastAsia="Arial" w:hAnsi="Arial"/>
                <w:sz w:val="14"/>
                <w:szCs w:val="14"/>
                <w:color w:val="auto"/>
              </w:rPr>
              <w:t>14,049</w:t>
            </w:r>
          </w:p>
        </w:tc>
        <w:tc>
          <w:tcPr>
            <w:tcW w:w="340" w:type="dxa"/>
            <w:vAlign w:val="bottom"/>
          </w:tcPr>
          <w:p>
            <w:pPr>
              <w:spacing w:after="0"/>
              <w:rPr>
                <w:sz w:val="11"/>
                <w:szCs w:val="11"/>
                <w:color w:val="auto"/>
              </w:rPr>
            </w:pPr>
          </w:p>
        </w:tc>
        <w:tc>
          <w:tcPr>
            <w:tcW w:w="540" w:type="dxa"/>
            <w:vAlign w:val="bottom"/>
          </w:tcPr>
          <w:p>
            <w:pPr>
              <w:jc w:val="right"/>
              <w:ind w:right="28"/>
              <w:spacing w:after="0" w:line="133" w:lineRule="exact"/>
              <w:rPr>
                <w:sz w:val="20"/>
                <w:szCs w:val="20"/>
                <w:color w:val="auto"/>
              </w:rPr>
            </w:pPr>
            <w:r>
              <w:rPr>
                <w:rFonts w:ascii="Arial" w:cs="Arial" w:eastAsia="Arial" w:hAnsi="Arial"/>
                <w:sz w:val="14"/>
                <w:szCs w:val="14"/>
                <w:color w:val="auto"/>
              </w:rPr>
              <w:t>5,812</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b w:val="1"/>
                <w:bCs w:val="1"/>
                <w:color w:val="0070FF"/>
              </w:rPr>
              <w:t>INCOME TAX EXPENSE</w:t>
            </w:r>
          </w:p>
        </w:tc>
        <w:tc>
          <w:tcPr>
            <w:tcW w:w="90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5,344</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3,024</w:t>
            </w: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4,360</w:t>
            </w:r>
          </w:p>
        </w:tc>
        <w:tc>
          <w:tcPr>
            <w:tcW w:w="28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6,322</w:t>
            </w: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33"/>
        </w:trPr>
        <w:tc>
          <w:tcPr>
            <w:tcW w:w="5840" w:type="dxa"/>
            <w:vAlign w:val="bottom"/>
            <w:gridSpan w:val="4"/>
          </w:tcPr>
          <w:p>
            <w:pPr>
              <w:spacing w:after="0" w:line="133" w:lineRule="exact"/>
              <w:rPr>
                <w:sz w:val="20"/>
                <w:szCs w:val="20"/>
                <w:color w:val="auto"/>
              </w:rPr>
            </w:pPr>
            <w:r>
              <w:rPr>
                <w:rFonts w:ascii="Arial" w:cs="Arial" w:eastAsia="Arial" w:hAnsi="Arial"/>
                <w:sz w:val="14"/>
                <w:szCs w:val="14"/>
                <w:b w:val="1"/>
                <w:bCs w:val="1"/>
                <w:color w:val="0070FF"/>
              </w:rPr>
              <w:t>NET INCOME BEFORE EXTRAORDINARY ITEM AND</w:t>
            </w:r>
          </w:p>
        </w:tc>
        <w:tc>
          <w:tcPr>
            <w:tcW w:w="900" w:type="dxa"/>
            <w:vAlign w:val="bottom"/>
          </w:tcPr>
          <w:p>
            <w:pPr>
              <w:spacing w:after="0"/>
              <w:rPr>
                <w:sz w:val="11"/>
                <w:szCs w:val="11"/>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7,426</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0070FF"/>
              </w:rPr>
              <w:t>CUMULATIVE EFFECT OF CHANGES IN ACCOUNTING PRINCIPLES</w:t>
            </w:r>
          </w:p>
        </w:tc>
        <w:tc>
          <w:tcPr>
            <w:tcW w:w="9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1,132</w:t>
            </w: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3,931</w:t>
            </w:r>
          </w:p>
        </w:tc>
        <w:tc>
          <w:tcPr>
            <w:tcW w:w="28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7,727</w:t>
            </w:r>
          </w:p>
        </w:tc>
        <w:tc>
          <w:tcPr>
            <w:tcW w:w="34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560" w:type="dxa"/>
            <w:vAlign w:val="bottom"/>
            <w:gridSpan w:val="2"/>
          </w:tcPr>
          <w:p>
            <w:pPr>
              <w:spacing w:after="0" w:line="149" w:lineRule="exact"/>
              <w:rPr>
                <w:sz w:val="20"/>
                <w:szCs w:val="20"/>
                <w:color w:val="auto"/>
              </w:rPr>
            </w:pPr>
            <w:r>
              <w:rPr>
                <w:rFonts w:ascii="Arial" w:cs="Arial" w:eastAsia="Arial" w:hAnsi="Arial"/>
                <w:sz w:val="14"/>
                <w:szCs w:val="14"/>
                <w:color w:val="auto"/>
              </w:rPr>
              <w:t>Extraordinary loss, net of tax</w:t>
            </w:r>
          </w:p>
        </w:tc>
        <w:tc>
          <w:tcPr>
            <w:tcW w:w="90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(643)</w:t>
            </w:r>
          </w:p>
        </w:tc>
        <w:tc>
          <w:tcPr>
            <w:tcW w:w="28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0070FF"/>
            </w:tcBorders>
          </w:tcPr>
          <w:p>
            <w:pPr>
              <w:spacing w:after="0"/>
              <w:rPr>
                <w:sz w:val="14"/>
                <w:szCs w:val="14"/>
                <w:color w:val="auto"/>
              </w:rPr>
            </w:pPr>
          </w:p>
        </w:tc>
        <w:tc>
          <w:tcPr>
            <w:tcW w:w="55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Cumulative effect of changes in accounting principles</w:t>
            </w:r>
          </w:p>
        </w:tc>
        <w:tc>
          <w:tcPr>
            <w:tcW w:w="90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(196)</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70FF"/>
            </w:tcBorders>
          </w:tcPr>
          <w:p>
            <w:pPr>
              <w:spacing w:after="0"/>
              <w:rPr>
                <w:sz w:val="15"/>
                <w:szCs w:val="15"/>
                <w:color w:val="auto"/>
              </w:rPr>
            </w:pPr>
          </w:p>
        </w:tc>
        <w:tc>
          <w:tcPr>
            <w:tcW w:w="5820" w:type="dxa"/>
            <w:vAlign w:val="bottom"/>
            <w:tcBorders>
              <w:bottom w:val="single" w:sz="8" w:color="0070FF"/>
            </w:tcBorders>
            <w:gridSpan w:val="3"/>
          </w:tcPr>
          <w:p>
            <w:pPr>
              <w:spacing w:after="0" w:line="155" w:lineRule="exact"/>
              <w:rPr>
                <w:sz w:val="20"/>
                <w:szCs w:val="20"/>
                <w:color w:val="auto"/>
              </w:rPr>
            </w:pPr>
            <w:r>
              <w:rPr>
                <w:rFonts w:ascii="Arial" w:cs="Arial" w:eastAsia="Arial" w:hAnsi="Arial"/>
                <w:sz w:val="14"/>
                <w:szCs w:val="14"/>
                <w:b w:val="1"/>
                <w:bCs w:val="1"/>
                <w:color w:val="0070FF"/>
              </w:rPr>
              <w:t>NET INCOME</w:t>
            </w:r>
          </w:p>
        </w:tc>
        <w:tc>
          <w:tcPr>
            <w:tcW w:w="9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7,230</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1,132</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color w:val="auto"/>
              </w:rPr>
              <w:t>3,288</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7,727</w:t>
            </w:r>
          </w:p>
        </w:tc>
        <w:tc>
          <w:tcPr>
            <w:tcW w:w="3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3,247</w:t>
            </w:r>
          </w:p>
        </w:tc>
        <w:tc>
          <w:tcPr>
            <w:tcW w:w="0" w:type="dxa"/>
            <w:vAlign w:val="bottom"/>
          </w:tcPr>
          <w:p>
            <w:pPr>
              <w:spacing w:after="0"/>
              <w:rPr>
                <w:sz w:val="1"/>
                <w:szCs w:val="1"/>
                <w:color w:val="auto"/>
              </w:rPr>
            </w:pPr>
          </w:p>
        </w:tc>
      </w:tr>
      <w:tr>
        <w:trPr>
          <w:trHeight w:val="139"/>
        </w:trPr>
        <w:tc>
          <w:tcPr>
            <w:tcW w:w="5840" w:type="dxa"/>
            <w:vAlign w:val="bottom"/>
            <w:gridSpan w:val="4"/>
          </w:tcPr>
          <w:p>
            <w:pPr>
              <w:spacing w:after="0" w:line="139" w:lineRule="exact"/>
              <w:rPr>
                <w:sz w:val="20"/>
                <w:szCs w:val="20"/>
                <w:color w:val="auto"/>
              </w:rPr>
            </w:pPr>
            <w:r>
              <w:rPr>
                <w:rFonts w:ascii="Arial" w:cs="Arial" w:eastAsia="Arial" w:hAnsi="Arial"/>
                <w:sz w:val="14"/>
                <w:szCs w:val="14"/>
                <w:b w:val="1"/>
                <w:bCs w:val="1"/>
                <w:color w:val="0070FF"/>
              </w:rPr>
              <w:t>PER-SHARE AMOUNTS</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gridSpan w:val="4"/>
          </w:tcPr>
          <w:p>
            <w:pPr>
              <w:spacing w:after="0" w:line="149" w:lineRule="exact"/>
              <w:rPr>
                <w:sz w:val="20"/>
                <w:szCs w:val="20"/>
                <w:color w:val="auto"/>
              </w:rPr>
            </w:pPr>
            <w:r>
              <w:rPr>
                <w:rFonts w:ascii="Arial" w:cs="Arial" w:eastAsia="Arial" w:hAnsi="Arial"/>
                <w:sz w:val="14"/>
                <w:szCs w:val="14"/>
                <w:b w:val="1"/>
                <w:bCs w:val="1"/>
                <w:color w:val="0070FF"/>
              </w:rPr>
              <w:t>BASIC:</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20" w:type="dxa"/>
            <w:vAlign w:val="bottom"/>
            <w:gridSpan w:val="3"/>
          </w:tcPr>
          <w:p>
            <w:pPr>
              <w:ind w:left="120"/>
              <w:spacing w:after="0" w:line="159" w:lineRule="exact"/>
              <w:rPr>
                <w:sz w:val="20"/>
                <w:szCs w:val="20"/>
                <w:color w:val="auto"/>
              </w:rPr>
            </w:pPr>
            <w:r>
              <w:rPr>
                <w:rFonts w:ascii="Arial" w:cs="Arial" w:eastAsia="Arial" w:hAnsi="Arial"/>
                <w:sz w:val="14"/>
                <w:szCs w:val="14"/>
                <w:b w:val="1"/>
                <w:bCs w:val="1"/>
                <w:color w:val="0070FF"/>
              </w:rPr>
              <w:t>NET INCOME BEFORE EXTRAORDINARY ITEM AND</w:t>
            </w: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60" w:type="dxa"/>
            <w:vAlign w:val="bottom"/>
            <w:gridSpan w:val="2"/>
          </w:tcPr>
          <w:p>
            <w:pPr>
              <w:spacing w:after="0" w:line="179" w:lineRule="exact"/>
              <w:rPr>
                <w:sz w:val="20"/>
                <w:szCs w:val="20"/>
                <w:color w:val="auto"/>
              </w:rPr>
            </w:pPr>
            <w:r>
              <w:rPr>
                <w:rFonts w:ascii="Arial" w:cs="Arial" w:eastAsia="Arial" w:hAnsi="Arial"/>
                <w:sz w:val="13"/>
                <w:szCs w:val="13"/>
                <w:b w:val="1"/>
                <w:bCs w:val="1"/>
                <w:color w:val="0070FF"/>
              </w:rPr>
              <w:t>CUMULATIVE EFFECT OF CHANGES IN ACCOUNTING PRINCIPLES</w:t>
            </w:r>
            <w:r>
              <w:rPr>
                <w:rFonts w:ascii="Arial" w:cs="Arial" w:eastAsia="Arial" w:hAnsi="Arial"/>
                <w:sz w:val="20"/>
                <w:szCs w:val="20"/>
                <w:b w:val="1"/>
                <w:bCs w:val="1"/>
                <w:color w:val="0070FF"/>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7.15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1.07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3.71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7.23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Extraordinary item</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(0.61)</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5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Cumulative effect of changes in accounting principles</w:t>
            </w: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28"/>
              <w:spacing w:after="0" w:line="159" w:lineRule="exact"/>
              <w:rPr>
                <w:sz w:val="20"/>
                <w:szCs w:val="20"/>
                <w:color w:val="auto"/>
              </w:rPr>
            </w:pPr>
            <w:r>
              <w:rPr>
                <w:rFonts w:ascii="Arial" w:cs="Arial" w:eastAsia="Arial" w:hAnsi="Arial"/>
                <w:sz w:val="14"/>
                <w:szCs w:val="14"/>
                <w:b w:val="1"/>
                <w:bCs w:val="1"/>
                <w:color w:val="auto"/>
              </w:rPr>
              <w:t>(0.18)</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gridSpan w:val="3"/>
          </w:tcPr>
          <w:p>
            <w:pPr>
              <w:ind w:left="120"/>
              <w:spacing w:after="0" w:line="179" w:lineRule="exact"/>
              <w:rPr>
                <w:sz w:val="20"/>
                <w:szCs w:val="20"/>
                <w:color w:val="auto"/>
              </w:rPr>
            </w:pPr>
            <w:r>
              <w:rPr>
                <w:rFonts w:ascii="Arial" w:cs="Arial" w:eastAsia="Arial" w:hAnsi="Arial"/>
                <w:sz w:val="13"/>
                <w:szCs w:val="13"/>
                <w:b w:val="1"/>
                <w:bCs w:val="1"/>
                <w:color w:val="0070FF"/>
              </w:rPr>
              <w:t>NET INCOME</w:t>
            </w:r>
            <w:r>
              <w:rPr>
                <w:rFonts w:ascii="Arial" w:cs="Arial" w:eastAsia="Arial" w:hAnsi="Arial"/>
                <w:sz w:val="20"/>
                <w:szCs w:val="20"/>
                <w:b w:val="1"/>
                <w:bCs w:val="1"/>
                <w:color w:val="0070FF"/>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6.97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1.07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3.10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7.23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49"/>
        </w:trPr>
        <w:tc>
          <w:tcPr>
            <w:tcW w:w="5840" w:type="dxa"/>
            <w:vAlign w:val="bottom"/>
            <w:gridSpan w:val="4"/>
          </w:tcPr>
          <w:p>
            <w:pPr>
              <w:spacing w:after="0" w:line="149" w:lineRule="exact"/>
              <w:rPr>
                <w:sz w:val="20"/>
                <w:szCs w:val="20"/>
                <w:color w:val="auto"/>
              </w:rPr>
            </w:pPr>
            <w:r>
              <w:rPr>
                <w:rFonts w:ascii="Arial" w:cs="Arial" w:eastAsia="Arial" w:hAnsi="Arial"/>
                <w:sz w:val="14"/>
                <w:szCs w:val="14"/>
                <w:b w:val="1"/>
                <w:bCs w:val="1"/>
                <w:color w:val="0070FF"/>
              </w:rPr>
              <w:t>DILUTED:</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20" w:type="dxa"/>
            <w:vAlign w:val="bottom"/>
            <w:gridSpan w:val="3"/>
          </w:tcPr>
          <w:p>
            <w:pPr>
              <w:ind w:left="120"/>
              <w:spacing w:after="0" w:line="159" w:lineRule="exact"/>
              <w:rPr>
                <w:sz w:val="20"/>
                <w:szCs w:val="20"/>
                <w:color w:val="auto"/>
              </w:rPr>
            </w:pPr>
            <w:r>
              <w:rPr>
                <w:rFonts w:ascii="Arial" w:cs="Arial" w:eastAsia="Arial" w:hAnsi="Arial"/>
                <w:sz w:val="14"/>
                <w:szCs w:val="14"/>
                <w:b w:val="1"/>
                <w:bCs w:val="1"/>
                <w:color w:val="0070FF"/>
              </w:rPr>
              <w:t>NET INCOME BEFORE EXTRAORDINARY ITEM AND</w:t>
            </w: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60" w:type="dxa"/>
            <w:vAlign w:val="bottom"/>
            <w:gridSpan w:val="2"/>
          </w:tcPr>
          <w:p>
            <w:pPr>
              <w:spacing w:after="0" w:line="179" w:lineRule="exact"/>
              <w:rPr>
                <w:sz w:val="20"/>
                <w:szCs w:val="20"/>
                <w:color w:val="auto"/>
              </w:rPr>
            </w:pPr>
            <w:r>
              <w:rPr>
                <w:rFonts w:ascii="Arial" w:cs="Arial" w:eastAsia="Arial" w:hAnsi="Arial"/>
                <w:sz w:val="13"/>
                <w:szCs w:val="13"/>
                <w:b w:val="1"/>
                <w:bCs w:val="1"/>
                <w:color w:val="0070FF"/>
              </w:rPr>
              <w:t>CUMULATIVE EFFECT OF CHANGES IN ACCOUNTING PRINCIPLES</w:t>
            </w:r>
            <w:r>
              <w:rPr>
                <w:rFonts w:ascii="Arial" w:cs="Arial" w:eastAsia="Arial" w:hAnsi="Arial"/>
                <w:sz w:val="20"/>
                <w:szCs w:val="20"/>
                <w:b w:val="1"/>
                <w:bCs w:val="1"/>
                <w:color w:val="0070FF"/>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7.14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1.07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3.70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7.21</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Extraordinary item</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(0.61)</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5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Cumulative effect of changes in accounting principles</w:t>
            </w: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28"/>
              <w:spacing w:after="0" w:line="159" w:lineRule="exact"/>
              <w:rPr>
                <w:sz w:val="20"/>
                <w:szCs w:val="20"/>
                <w:color w:val="auto"/>
              </w:rPr>
            </w:pPr>
            <w:r>
              <w:rPr>
                <w:rFonts w:ascii="Arial" w:cs="Arial" w:eastAsia="Arial" w:hAnsi="Arial"/>
                <w:sz w:val="14"/>
                <w:szCs w:val="14"/>
                <w:b w:val="1"/>
                <w:bCs w:val="1"/>
                <w:color w:val="auto"/>
              </w:rPr>
              <w:t>(0.18)</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Borders>
              <w:bottom w:val="single" w:sz="8" w:color="0070FF"/>
            </w:tcBorders>
            <w:gridSpan w:val="3"/>
          </w:tcPr>
          <w:p>
            <w:pPr>
              <w:ind w:left="120"/>
              <w:spacing w:after="0" w:line="202" w:lineRule="exact"/>
              <w:rPr>
                <w:sz w:val="20"/>
                <w:szCs w:val="20"/>
                <w:color w:val="auto"/>
              </w:rPr>
            </w:pPr>
            <w:r>
              <w:rPr>
                <w:rFonts w:ascii="Arial" w:cs="Arial" w:eastAsia="Arial" w:hAnsi="Arial"/>
                <w:sz w:val="14"/>
                <w:szCs w:val="14"/>
                <w:b w:val="1"/>
                <w:bCs w:val="1"/>
                <w:color w:val="0070FF"/>
              </w:rPr>
              <w:t>NET INCOME</w:t>
            </w:r>
            <w:r>
              <w:rPr>
                <w:rFonts w:ascii="Arial" w:cs="Arial" w:eastAsia="Arial" w:hAnsi="Arial"/>
                <w:sz w:val="23"/>
                <w:szCs w:val="23"/>
                <w:b w:val="1"/>
                <w:bCs w:val="1"/>
                <w:color w:val="0070FF"/>
                <w:vertAlign w:val="superscript"/>
              </w:rPr>
              <w:t>1</w:t>
            </w:r>
          </w:p>
        </w:tc>
        <w:tc>
          <w:tcPr>
            <w:tcW w:w="90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6.96</w:t>
            </w: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1.07</w:t>
            </w: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3.09</w:t>
            </w:r>
          </w:p>
        </w:tc>
        <w:tc>
          <w:tcPr>
            <w:tcW w:w="2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7.21</w:t>
            </w:r>
          </w:p>
        </w:tc>
        <w:tc>
          <w:tcPr>
            <w:tcW w:w="3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0070FF"/>
            </w:tcBorders>
            <w:gridSpan w:val="4"/>
          </w:tcPr>
          <w:p>
            <w:pPr>
              <w:spacing w:after="0" w:line="202" w:lineRule="exact"/>
              <w:rPr>
                <w:sz w:val="20"/>
                <w:szCs w:val="20"/>
                <w:color w:val="auto"/>
              </w:rPr>
            </w:pPr>
            <w:r>
              <w:rPr>
                <w:rFonts w:ascii="Arial" w:cs="Arial" w:eastAsia="Arial" w:hAnsi="Arial"/>
                <w:sz w:val="14"/>
                <w:szCs w:val="14"/>
                <w:b w:val="1"/>
                <w:bCs w:val="1"/>
                <w:color w:val="0070FF"/>
              </w:rPr>
              <w:t xml:space="preserve">CASH DIVIDENDS PER SHARE </w:t>
            </w:r>
            <w:r>
              <w:rPr>
                <w:rFonts w:ascii="Arial" w:cs="Arial" w:eastAsia="Arial" w:hAnsi="Arial"/>
                <w:sz w:val="23"/>
                <w:szCs w:val="23"/>
                <w:b w:val="1"/>
                <w:bCs w:val="1"/>
                <w:color w:val="0070FF"/>
                <w:vertAlign w:val="superscript"/>
              </w:rPr>
              <w:t>2</w:t>
            </w:r>
          </w:p>
        </w:tc>
        <w:tc>
          <w:tcPr>
            <w:tcW w:w="90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2.86</w:t>
            </w: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2.80</w:t>
            </w: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2.65</w:t>
            </w:r>
          </w:p>
        </w:tc>
        <w:tc>
          <w:tcPr>
            <w:tcW w:w="2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2.60</w:t>
            </w:r>
          </w:p>
        </w:tc>
        <w:tc>
          <w:tcPr>
            <w:tcW w:w="3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3"/>
        </w:trPr>
        <w:tc>
          <w:tcPr>
            <w:tcW w:w="5840" w:type="dxa"/>
            <w:vAlign w:val="bottom"/>
            <w:gridSpan w:val="4"/>
          </w:tcPr>
          <w:p>
            <w:pPr>
              <w:spacing w:after="0" w:line="143" w:lineRule="exact"/>
              <w:rPr>
                <w:sz w:val="20"/>
                <w:szCs w:val="20"/>
                <w:color w:val="auto"/>
              </w:rPr>
            </w:pPr>
            <w:r>
              <w:rPr>
                <w:rFonts w:ascii="Arial" w:cs="Arial" w:eastAsia="Arial" w:hAnsi="Arial"/>
                <w:sz w:val="14"/>
                <w:szCs w:val="14"/>
                <w:b w:val="1"/>
                <w:bCs w:val="1"/>
                <w:color w:val="0070FF"/>
              </w:rPr>
              <w:t>COMBINED BALANCE SHEET DATA (AT DECEMBER 31)</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19,426</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40" w:type="dxa"/>
            <w:vAlign w:val="bottom"/>
            <w:gridSpan w:val="4"/>
          </w:tcPr>
          <w:p>
            <w:pPr>
              <w:spacing w:after="0" w:line="145" w:lineRule="exact"/>
              <w:rPr>
                <w:sz w:val="20"/>
                <w:szCs w:val="20"/>
                <w:color w:val="auto"/>
              </w:rPr>
            </w:pPr>
            <w:r>
              <w:rPr>
                <w:rFonts w:ascii="Arial" w:cs="Arial" w:eastAsia="Arial" w:hAnsi="Arial"/>
                <w:sz w:val="14"/>
                <w:szCs w:val="14"/>
                <w:color w:val="auto"/>
              </w:rPr>
              <w:t>Current assets</w:t>
            </w:r>
          </w:p>
        </w:tc>
        <w:tc>
          <w:tcPr>
            <w:tcW w:w="9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48"/>
              <w:spacing w:after="0" w:line="145" w:lineRule="exact"/>
              <w:rPr>
                <w:sz w:val="20"/>
                <w:szCs w:val="20"/>
                <w:color w:val="auto"/>
              </w:rPr>
            </w:pPr>
            <w:r>
              <w:rPr>
                <w:rFonts w:ascii="Arial" w:cs="Arial" w:eastAsia="Arial" w:hAnsi="Arial"/>
                <w:sz w:val="14"/>
                <w:szCs w:val="14"/>
                <w:color w:val="auto"/>
                <w:w w:val="97"/>
              </w:rPr>
              <w:t>17,776</w:t>
            </w:r>
          </w:p>
        </w:tc>
        <w:tc>
          <w:tcPr>
            <w:tcW w:w="3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88"/>
              <w:spacing w:after="0" w:line="145" w:lineRule="exact"/>
              <w:rPr>
                <w:sz w:val="20"/>
                <w:szCs w:val="20"/>
                <w:color w:val="auto"/>
              </w:rPr>
            </w:pPr>
            <w:r>
              <w:rPr>
                <w:rFonts w:ascii="Arial" w:cs="Arial" w:eastAsia="Arial" w:hAnsi="Arial"/>
                <w:sz w:val="14"/>
                <w:szCs w:val="14"/>
                <w:color w:val="auto"/>
              </w:rPr>
              <w:t>18,327</w:t>
            </w:r>
          </w:p>
        </w:tc>
        <w:tc>
          <w:tcPr>
            <w:tcW w:w="2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17,913</w:t>
            </w:r>
          </w:p>
        </w:tc>
        <w:tc>
          <w:tcPr>
            <w:tcW w:w="3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line="145" w:lineRule="exact"/>
              <w:rPr>
                <w:sz w:val="20"/>
                <w:szCs w:val="20"/>
                <w:color w:val="auto"/>
              </w:rPr>
            </w:pPr>
            <w:r>
              <w:rPr>
                <w:rFonts w:ascii="Arial" w:cs="Arial" w:eastAsia="Arial" w:hAnsi="Arial"/>
                <w:sz w:val="14"/>
                <w:szCs w:val="14"/>
                <w:color w:val="auto"/>
                <w:w w:val="97"/>
              </w:rPr>
              <w:t>17,043</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color w:val="auto"/>
              </w:rPr>
              <w:t>Noncurrent assets</w:t>
            </w:r>
          </w:p>
        </w:tc>
        <w:tc>
          <w:tcPr>
            <w:tcW w:w="90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62,044</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w w:val="97"/>
              </w:rPr>
              <w:t>59,583</w:t>
            </w: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59,245</w:t>
            </w:r>
          </w:p>
        </w:tc>
        <w:tc>
          <w:tcPr>
            <w:tcW w:w="28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59,708</w:t>
            </w: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w w:val="97"/>
              </w:rPr>
              <w:t>58,337</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0070FF"/>
            </w:tcBorders>
            <w:gridSpan w:val="4"/>
          </w:tcPr>
          <w:p>
            <w:pPr>
              <w:spacing w:after="0" w:line="155" w:lineRule="exact"/>
              <w:rPr>
                <w:sz w:val="20"/>
                <w:szCs w:val="20"/>
                <w:color w:val="auto"/>
              </w:rPr>
            </w:pPr>
            <w:r>
              <w:rPr>
                <w:rFonts w:ascii="Arial" w:cs="Arial" w:eastAsia="Arial" w:hAnsi="Arial"/>
                <w:sz w:val="14"/>
                <w:szCs w:val="14"/>
                <w:b w:val="1"/>
                <w:bCs w:val="1"/>
                <w:color w:val="0070FF"/>
              </w:rPr>
              <w:t>TOTAL ASSETS</w:t>
            </w:r>
          </w:p>
        </w:tc>
        <w:tc>
          <w:tcPr>
            <w:tcW w:w="900" w:type="dxa"/>
            <w:vAlign w:val="bottom"/>
            <w:tcBorders>
              <w:bottom w:val="single" w:sz="8" w:color="0070FF"/>
            </w:tcBorders>
          </w:tcPr>
          <w:p>
            <w:pPr>
              <w:spacing w:after="0"/>
              <w:rPr>
                <w:sz w:val="13"/>
                <w:szCs w:val="13"/>
                <w:color w:val="auto"/>
              </w:rPr>
            </w:pPr>
          </w:p>
        </w:tc>
        <w:tc>
          <w:tcPr>
            <w:tcW w:w="76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81,470</w:t>
            </w:r>
          </w:p>
        </w:tc>
        <w:tc>
          <w:tcPr>
            <w:tcW w:w="32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w w:val="97"/>
              </w:rPr>
              <w:t>77,359</w:t>
            </w:r>
          </w:p>
        </w:tc>
        <w:tc>
          <w:tcPr>
            <w:tcW w:w="32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color w:val="auto"/>
              </w:rPr>
              <w:t>77,572</w:t>
            </w:r>
          </w:p>
        </w:tc>
        <w:tc>
          <w:tcPr>
            <w:tcW w:w="28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77,621</w:t>
            </w: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w w:val="97"/>
              </w:rPr>
              <w:t>75,380</w:t>
            </w:r>
          </w:p>
        </w:tc>
        <w:tc>
          <w:tcPr>
            <w:tcW w:w="0" w:type="dxa"/>
            <w:vAlign w:val="bottom"/>
          </w:tcPr>
          <w:p>
            <w:pPr>
              <w:spacing w:after="0"/>
              <w:rPr>
                <w:sz w:val="1"/>
                <w:szCs w:val="1"/>
                <w:color w:val="auto"/>
              </w:rPr>
            </w:pPr>
          </w:p>
        </w:tc>
      </w:tr>
      <w:tr>
        <w:trPr>
          <w:trHeight w:val="133"/>
        </w:trPr>
        <w:tc>
          <w:tcPr>
            <w:tcW w:w="5840" w:type="dxa"/>
            <w:vAlign w:val="bottom"/>
            <w:gridSpan w:val="4"/>
          </w:tcPr>
          <w:p>
            <w:pPr>
              <w:spacing w:after="0" w:line="133" w:lineRule="exact"/>
              <w:rPr>
                <w:sz w:val="20"/>
                <w:szCs w:val="20"/>
                <w:color w:val="auto"/>
              </w:rPr>
            </w:pPr>
            <w:r>
              <w:rPr>
                <w:rFonts w:ascii="Arial" w:cs="Arial" w:eastAsia="Arial" w:hAnsi="Arial"/>
                <w:sz w:val="14"/>
                <w:szCs w:val="14"/>
                <w:color w:val="auto"/>
              </w:rPr>
              <w:t>Short-term debt</w:t>
            </w:r>
          </w:p>
        </w:tc>
        <w:tc>
          <w:tcPr>
            <w:tcW w:w="900" w:type="dxa"/>
            <w:vAlign w:val="bottom"/>
          </w:tcPr>
          <w:p>
            <w:pPr>
              <w:spacing w:after="0"/>
              <w:rPr>
                <w:sz w:val="11"/>
                <w:szCs w:val="11"/>
                <w:color w:val="auto"/>
              </w:rPr>
            </w:pPr>
          </w:p>
        </w:tc>
        <w:tc>
          <w:tcPr>
            <w:tcW w:w="76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1,703</w:t>
            </w:r>
          </w:p>
        </w:tc>
        <w:tc>
          <w:tcPr>
            <w:tcW w:w="320" w:type="dxa"/>
            <w:vAlign w:val="bottom"/>
          </w:tcPr>
          <w:p>
            <w:pPr>
              <w:spacing w:after="0"/>
              <w:rPr>
                <w:sz w:val="11"/>
                <w:szCs w:val="11"/>
                <w:color w:val="auto"/>
              </w:rPr>
            </w:pPr>
          </w:p>
        </w:tc>
        <w:tc>
          <w:tcPr>
            <w:tcW w:w="660" w:type="dxa"/>
            <w:vAlign w:val="bottom"/>
          </w:tcPr>
          <w:p>
            <w:pPr>
              <w:jc w:val="right"/>
              <w:ind w:right="148"/>
              <w:spacing w:after="0" w:line="133" w:lineRule="exact"/>
              <w:rPr>
                <w:sz w:val="20"/>
                <w:szCs w:val="20"/>
                <w:color w:val="auto"/>
              </w:rPr>
            </w:pPr>
            <w:r>
              <w:rPr>
                <w:rFonts w:ascii="Arial" w:cs="Arial" w:eastAsia="Arial" w:hAnsi="Arial"/>
                <w:sz w:val="14"/>
                <w:szCs w:val="14"/>
                <w:color w:val="auto"/>
              </w:rPr>
              <w:t>5,358</w:t>
            </w:r>
          </w:p>
        </w:tc>
        <w:tc>
          <w:tcPr>
            <w:tcW w:w="320" w:type="dxa"/>
            <w:vAlign w:val="bottom"/>
          </w:tcPr>
          <w:p>
            <w:pPr>
              <w:spacing w:after="0"/>
              <w:rPr>
                <w:sz w:val="11"/>
                <w:szCs w:val="11"/>
                <w:color w:val="auto"/>
              </w:rPr>
            </w:pPr>
          </w:p>
        </w:tc>
        <w:tc>
          <w:tcPr>
            <w:tcW w:w="740" w:type="dxa"/>
            <w:vAlign w:val="bottom"/>
          </w:tcPr>
          <w:p>
            <w:pPr>
              <w:jc w:val="right"/>
              <w:ind w:right="188"/>
              <w:spacing w:after="0" w:line="133" w:lineRule="exact"/>
              <w:rPr>
                <w:sz w:val="20"/>
                <w:szCs w:val="20"/>
                <w:color w:val="auto"/>
              </w:rPr>
            </w:pPr>
            <w:r>
              <w:rPr>
                <w:rFonts w:ascii="Arial" w:cs="Arial" w:eastAsia="Arial" w:hAnsi="Arial"/>
                <w:sz w:val="14"/>
                <w:szCs w:val="14"/>
                <w:color w:val="auto"/>
              </w:rPr>
              <w:t>8,429</w:t>
            </w:r>
          </w:p>
        </w:tc>
        <w:tc>
          <w:tcPr>
            <w:tcW w:w="280" w:type="dxa"/>
            <w:vAlign w:val="bottom"/>
          </w:tcPr>
          <w:p>
            <w:pPr>
              <w:spacing w:after="0"/>
              <w:rPr>
                <w:sz w:val="11"/>
                <w:szCs w:val="11"/>
                <w:color w:val="auto"/>
              </w:rPr>
            </w:pPr>
          </w:p>
        </w:tc>
        <w:tc>
          <w:tcPr>
            <w:tcW w:w="720" w:type="dxa"/>
            <w:vAlign w:val="bottom"/>
          </w:tcPr>
          <w:p>
            <w:pPr>
              <w:jc w:val="right"/>
              <w:ind w:right="148"/>
              <w:spacing w:after="0" w:line="133" w:lineRule="exact"/>
              <w:rPr>
                <w:sz w:val="20"/>
                <w:szCs w:val="20"/>
                <w:color w:val="auto"/>
              </w:rPr>
            </w:pPr>
            <w:r>
              <w:rPr>
                <w:rFonts w:ascii="Arial" w:cs="Arial" w:eastAsia="Arial" w:hAnsi="Arial"/>
                <w:sz w:val="14"/>
                <w:szCs w:val="14"/>
                <w:color w:val="auto"/>
              </w:rPr>
              <w:t>3,094</w:t>
            </w:r>
          </w:p>
        </w:tc>
        <w:tc>
          <w:tcPr>
            <w:tcW w:w="340" w:type="dxa"/>
            <w:vAlign w:val="bottom"/>
          </w:tcPr>
          <w:p>
            <w:pPr>
              <w:spacing w:after="0"/>
              <w:rPr>
                <w:sz w:val="11"/>
                <w:szCs w:val="11"/>
                <w:color w:val="auto"/>
              </w:rPr>
            </w:pPr>
          </w:p>
        </w:tc>
        <w:tc>
          <w:tcPr>
            <w:tcW w:w="540" w:type="dxa"/>
            <w:vAlign w:val="bottom"/>
          </w:tcPr>
          <w:p>
            <w:pPr>
              <w:jc w:val="right"/>
              <w:ind w:right="28"/>
              <w:spacing w:after="0" w:line="133" w:lineRule="exact"/>
              <w:rPr>
                <w:sz w:val="20"/>
                <w:szCs w:val="20"/>
                <w:color w:val="auto"/>
              </w:rPr>
            </w:pPr>
            <w:r>
              <w:rPr>
                <w:rFonts w:ascii="Arial" w:cs="Arial" w:eastAsia="Arial" w:hAnsi="Arial"/>
                <w:sz w:val="14"/>
                <w:szCs w:val="14"/>
                <w:color w:val="auto"/>
              </w:rPr>
              <w:t>6,063</w:t>
            </w:r>
          </w:p>
        </w:tc>
        <w:tc>
          <w:tcPr>
            <w:tcW w:w="0" w:type="dxa"/>
            <w:vAlign w:val="bottom"/>
          </w:tcPr>
          <w:p>
            <w:pPr>
              <w:spacing w:after="0"/>
              <w:rPr>
                <w:sz w:val="1"/>
                <w:szCs w:val="1"/>
                <w:color w:val="auto"/>
              </w:rPr>
            </w:pPr>
          </w:p>
        </w:tc>
      </w:tr>
      <w:tr>
        <w:trPr>
          <w:trHeight w:val="149"/>
        </w:trPr>
        <w:tc>
          <w:tcPr>
            <w:tcW w:w="5840" w:type="dxa"/>
            <w:vAlign w:val="bottom"/>
            <w:gridSpan w:val="4"/>
          </w:tcPr>
          <w:p>
            <w:pPr>
              <w:spacing w:after="0" w:line="149" w:lineRule="exact"/>
              <w:rPr>
                <w:sz w:val="20"/>
                <w:szCs w:val="20"/>
                <w:color w:val="auto"/>
              </w:rPr>
            </w:pPr>
            <w:r>
              <w:rPr>
                <w:rFonts w:ascii="Arial" w:cs="Arial" w:eastAsia="Arial" w:hAnsi="Arial"/>
                <w:sz w:val="14"/>
                <w:szCs w:val="14"/>
                <w:color w:val="auto"/>
              </w:rPr>
              <w:t>Other current liabilities</w:t>
            </w:r>
          </w:p>
        </w:tc>
        <w:tc>
          <w:tcPr>
            <w:tcW w:w="90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14,408</w:t>
            </w:r>
          </w:p>
        </w:tc>
        <w:tc>
          <w:tcPr>
            <w:tcW w:w="32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7"/>
              </w:rPr>
              <w:t>14,518</w:t>
            </w: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12,225</w:t>
            </w:r>
          </w:p>
        </w:tc>
        <w:tc>
          <w:tcPr>
            <w:tcW w:w="28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13,567</w:t>
            </w:r>
          </w:p>
        </w:tc>
        <w:tc>
          <w:tcPr>
            <w:tcW w:w="34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7"/>
              </w:rPr>
              <w:t>11,620</w:t>
            </w:r>
          </w:p>
        </w:tc>
        <w:tc>
          <w:tcPr>
            <w:tcW w:w="0" w:type="dxa"/>
            <w:vAlign w:val="bottom"/>
          </w:tcPr>
          <w:p>
            <w:pPr>
              <w:spacing w:after="0"/>
              <w:rPr>
                <w:sz w:val="1"/>
                <w:szCs w:val="1"/>
                <w:color w:val="auto"/>
              </w:rPr>
            </w:pPr>
          </w:p>
        </w:tc>
      </w:tr>
      <w:tr>
        <w:trPr>
          <w:trHeight w:val="149"/>
        </w:trPr>
        <w:tc>
          <w:tcPr>
            <w:tcW w:w="5840" w:type="dxa"/>
            <w:vAlign w:val="bottom"/>
            <w:gridSpan w:val="4"/>
          </w:tcPr>
          <w:p>
            <w:pPr>
              <w:spacing w:after="0" w:line="149" w:lineRule="exact"/>
              <w:rPr>
                <w:sz w:val="20"/>
                <w:szCs w:val="20"/>
                <w:color w:val="auto"/>
              </w:rPr>
            </w:pPr>
            <w:r>
              <w:rPr>
                <w:rFonts w:ascii="Arial" w:cs="Arial" w:eastAsia="Arial" w:hAnsi="Arial"/>
                <w:sz w:val="14"/>
                <w:szCs w:val="14"/>
                <w:color w:val="auto"/>
              </w:rPr>
              <w:t>Long-term debt and capital lease obligations</w:t>
            </w:r>
          </w:p>
        </w:tc>
        <w:tc>
          <w:tcPr>
            <w:tcW w:w="90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10,894</w:t>
            </w:r>
          </w:p>
        </w:tc>
        <w:tc>
          <w:tcPr>
            <w:tcW w:w="32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7"/>
              </w:rPr>
              <w:t>10,911</w:t>
            </w: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8,989</w:t>
            </w:r>
          </w:p>
        </w:tc>
        <w:tc>
          <w:tcPr>
            <w:tcW w:w="28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12,821</w:t>
            </w:r>
          </w:p>
        </w:tc>
        <w:tc>
          <w:tcPr>
            <w:tcW w:w="34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7"/>
              </w:rPr>
              <w:t>13,145</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0070FF"/>
            </w:tcBorders>
            <w:gridSpan w:val="4"/>
          </w:tcPr>
          <w:p>
            <w:pPr>
              <w:spacing w:after="0"/>
              <w:rPr>
                <w:sz w:val="20"/>
                <w:szCs w:val="20"/>
                <w:color w:val="auto"/>
              </w:rPr>
            </w:pPr>
            <w:r>
              <w:rPr>
                <w:rFonts w:ascii="Arial" w:cs="Arial" w:eastAsia="Arial" w:hAnsi="Arial"/>
                <w:sz w:val="14"/>
                <w:szCs w:val="14"/>
                <w:color w:val="auto"/>
              </w:rPr>
              <w:t>Other noncurrent liabilities</w:t>
            </w:r>
          </w:p>
        </w:tc>
        <w:tc>
          <w:tcPr>
            <w:tcW w:w="900" w:type="dxa"/>
            <w:vAlign w:val="bottom"/>
            <w:tcBorders>
              <w:bottom w:val="single" w:sz="8" w:color="0070FF"/>
            </w:tcBorders>
          </w:tcPr>
          <w:p>
            <w:pPr>
              <w:spacing w:after="0"/>
              <w:rPr>
                <w:sz w:val="14"/>
                <w:szCs w:val="14"/>
                <w:color w:val="auto"/>
              </w:rPr>
            </w:pPr>
          </w:p>
        </w:tc>
        <w:tc>
          <w:tcPr>
            <w:tcW w:w="76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rPr>
              <w:t>18,170</w:t>
            </w:r>
          </w:p>
        </w:tc>
        <w:tc>
          <w:tcPr>
            <w:tcW w:w="32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w w:val="97"/>
              </w:rPr>
              <w:t>14,968</w:t>
            </w: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13,971</w:t>
            </w:r>
          </w:p>
        </w:tc>
        <w:tc>
          <w:tcPr>
            <w:tcW w:w="28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14,770</w:t>
            </w: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w w:val="97"/>
              </w:rPr>
              <w:t>14,761</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0070FF"/>
            </w:tcBorders>
            <w:gridSpan w:val="4"/>
          </w:tcPr>
          <w:p>
            <w:pPr>
              <w:spacing w:after="0" w:line="155" w:lineRule="exact"/>
              <w:rPr>
                <w:sz w:val="20"/>
                <w:szCs w:val="20"/>
                <w:color w:val="auto"/>
              </w:rPr>
            </w:pPr>
            <w:r>
              <w:rPr>
                <w:rFonts w:ascii="Arial" w:cs="Arial" w:eastAsia="Arial" w:hAnsi="Arial"/>
                <w:sz w:val="14"/>
                <w:szCs w:val="14"/>
                <w:b w:val="1"/>
                <w:bCs w:val="1"/>
                <w:color w:val="0070FF"/>
              </w:rPr>
              <w:t>TOTAL LIABILITIES</w:t>
            </w:r>
          </w:p>
        </w:tc>
        <w:tc>
          <w:tcPr>
            <w:tcW w:w="900" w:type="dxa"/>
            <w:vAlign w:val="bottom"/>
            <w:tcBorders>
              <w:bottom w:val="single" w:sz="8" w:color="0070FF"/>
            </w:tcBorders>
          </w:tcPr>
          <w:p>
            <w:pPr>
              <w:spacing w:after="0"/>
              <w:rPr>
                <w:sz w:val="13"/>
                <w:szCs w:val="13"/>
                <w:color w:val="auto"/>
              </w:rPr>
            </w:pPr>
          </w:p>
        </w:tc>
        <w:tc>
          <w:tcPr>
            <w:tcW w:w="76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45,175</w:t>
            </w:r>
          </w:p>
        </w:tc>
        <w:tc>
          <w:tcPr>
            <w:tcW w:w="32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w w:val="97"/>
              </w:rPr>
              <w:t>45,755</w:t>
            </w:r>
          </w:p>
        </w:tc>
        <w:tc>
          <w:tcPr>
            <w:tcW w:w="32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color w:val="auto"/>
              </w:rPr>
              <w:t>43,614</w:t>
            </w:r>
          </w:p>
        </w:tc>
        <w:tc>
          <w:tcPr>
            <w:tcW w:w="28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44,252</w:t>
            </w: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w w:val="97"/>
              </w:rPr>
              <w:t>45,589</w:t>
            </w:r>
          </w:p>
        </w:tc>
        <w:tc>
          <w:tcPr>
            <w:tcW w:w="0" w:type="dxa"/>
            <w:vAlign w:val="bottom"/>
          </w:tcPr>
          <w:p>
            <w:pPr>
              <w:spacing w:after="0"/>
              <w:rPr>
                <w:sz w:val="1"/>
                <w:szCs w:val="1"/>
                <w:color w:val="auto"/>
              </w:rPr>
            </w:pPr>
          </w:p>
        </w:tc>
      </w:tr>
      <w:tr>
        <w:trPr>
          <w:trHeight w:val="176"/>
        </w:trPr>
        <w:tc>
          <w:tcPr>
            <w:tcW w:w="5840" w:type="dxa"/>
            <w:vAlign w:val="bottom"/>
            <w:tcBorders>
              <w:bottom w:val="single" w:sz="8" w:color="0070FF"/>
            </w:tcBorders>
            <w:gridSpan w:val="4"/>
          </w:tcPr>
          <w:p>
            <w:pPr>
              <w:spacing w:after="0" w:line="155" w:lineRule="exact"/>
              <w:rPr>
                <w:sz w:val="20"/>
                <w:szCs w:val="20"/>
                <w:color w:val="auto"/>
              </w:rPr>
            </w:pPr>
            <w:r>
              <w:rPr>
                <w:rFonts w:ascii="Arial" w:cs="Arial" w:eastAsia="Arial" w:hAnsi="Arial"/>
                <w:sz w:val="14"/>
                <w:szCs w:val="14"/>
                <w:b w:val="1"/>
                <w:bCs w:val="1"/>
                <w:color w:val="0070FF"/>
              </w:rPr>
              <w:t>STOCKHOLDERS’ EQUITY</w:t>
            </w:r>
          </w:p>
        </w:tc>
        <w:tc>
          <w:tcPr>
            <w:tcW w:w="9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36,295</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w w:val="97"/>
              </w:rPr>
              <w:t>31,604</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188"/>
              <w:spacing w:after="0" w:line="155" w:lineRule="exact"/>
              <w:rPr>
                <w:sz w:val="20"/>
                <w:szCs w:val="20"/>
                <w:color w:val="auto"/>
              </w:rPr>
            </w:pPr>
            <w:r>
              <w:rPr>
                <w:rFonts w:ascii="Arial" w:cs="Arial" w:eastAsia="Arial" w:hAnsi="Arial"/>
                <w:sz w:val="14"/>
                <w:szCs w:val="14"/>
                <w:color w:val="auto"/>
              </w:rPr>
              <w:t>33,958</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33,369</w:t>
            </w:r>
          </w:p>
        </w:tc>
        <w:tc>
          <w:tcPr>
            <w:tcW w:w="34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w w:val="97"/>
              </w:rPr>
              <w:t>29,791</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40" w:right="20" w:hanging="232"/>
        <w:spacing w:after="0" w:line="234" w:lineRule="auto"/>
        <w:tabs>
          <w:tab w:leader="none" w:pos="240" w:val="left"/>
        </w:tabs>
        <w:numPr>
          <w:ilvl w:val="0"/>
          <w:numId w:val="68"/>
        </w:numPr>
        <w:rPr>
          <w:rFonts w:ascii="Arial" w:cs="Arial" w:eastAsia="Arial" w:hAnsi="Arial"/>
          <w:sz w:val="10"/>
          <w:szCs w:val="10"/>
          <w:color w:val="auto"/>
        </w:rPr>
      </w:pPr>
      <w:r>
        <w:rPr>
          <w:rFonts w:ascii="Arial" w:cs="Arial" w:eastAsia="Arial" w:hAnsi="Arial"/>
          <w:sz w:val="12"/>
          <w:szCs w:val="12"/>
          <w:color w:val="auto"/>
        </w:rPr>
        <w:t>The amount in 2003 includes a benefit of $0.16 for the company’s share of a capital stock transaction of its Dynegy Inc. affiliate, which, under the applicable accounting rules, was recorded directly to retained earnings and not included in net income for the period.</w:t>
      </w:r>
    </w:p>
    <w:p>
      <w:pPr>
        <w:spacing w:after="0" w:line="1" w:lineRule="exact"/>
        <w:rPr>
          <w:sz w:val="20"/>
          <w:szCs w:val="20"/>
          <w:color w:val="auto"/>
        </w:rPr>
      </w:pPr>
    </w:p>
    <w:p>
      <w:pPr>
        <w:ind w:left="240" w:hanging="232"/>
        <w:spacing w:after="0"/>
        <w:tabs>
          <w:tab w:leader="none" w:pos="240" w:val="left"/>
        </w:tabs>
        <w:numPr>
          <w:ilvl w:val="0"/>
          <w:numId w:val="69"/>
        </w:numPr>
        <w:rPr>
          <w:rFonts w:ascii="Arial" w:cs="Arial" w:eastAsia="Arial" w:hAnsi="Arial"/>
          <w:sz w:val="10"/>
          <w:szCs w:val="10"/>
          <w:color w:val="auto"/>
        </w:rPr>
      </w:pPr>
      <w:r>
        <w:rPr>
          <w:rFonts w:ascii="Arial" w:cs="Arial" w:eastAsia="Arial" w:hAnsi="Arial"/>
          <w:sz w:val="12"/>
          <w:szCs w:val="12"/>
          <w:color w:val="auto"/>
        </w:rPr>
        <w:t>Chevron Corporation dividend pre-merger.</w:t>
      </w:r>
    </w:p>
    <w:p>
      <w:pPr>
        <w:spacing w:after="0" w:line="200" w:lineRule="exact"/>
        <w:rPr>
          <w:rFonts w:ascii="Arial" w:cs="Arial" w:eastAsia="Arial" w:hAnsi="Arial"/>
          <w:sz w:val="10"/>
          <w:szCs w:val="10"/>
          <w:color w:val="auto"/>
        </w:rPr>
      </w:pPr>
    </w:p>
    <w:p>
      <w:pPr>
        <w:spacing w:after="0" w:line="345" w:lineRule="exact"/>
        <w:rPr>
          <w:rFonts w:ascii="Arial" w:cs="Arial" w:eastAsia="Arial" w:hAnsi="Arial"/>
          <w:sz w:val="10"/>
          <w:szCs w:val="10"/>
          <w:color w:val="auto"/>
        </w:rPr>
      </w:pPr>
    </w:p>
    <w:p>
      <w:pPr>
        <w:ind w:left="700" w:hanging="584"/>
        <w:spacing w:after="0"/>
        <w:tabs>
          <w:tab w:leader="none" w:pos="700" w:val="left"/>
        </w:tabs>
        <w:numPr>
          <w:ilvl w:val="1"/>
          <w:numId w:val="69"/>
        </w:numPr>
        <w:rPr>
          <w:rFonts w:ascii="Arial" w:cs="Arial" w:eastAsia="Arial" w:hAnsi="Arial"/>
          <w:sz w:val="27"/>
          <w:szCs w:val="27"/>
          <w:b w:val="1"/>
          <w:bCs w:val="1"/>
          <w:color w:val="0070FF"/>
        </w:rPr>
      </w:pPr>
      <w:r>
        <w:rPr>
          <w:rFonts w:ascii="Arial" w:cs="Arial" w:eastAsia="Arial" w:hAnsi="Arial"/>
          <w:sz w:val="22"/>
          <w:szCs w:val="22"/>
          <w:color w:val="0070FF"/>
        </w:rPr>
        <w:t>Supplemental Information on Oil and Gas Producing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342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21" w:lineRule="exact"/>
        <w:rPr>
          <w:sz w:val="20"/>
          <w:szCs w:val="20"/>
          <w:color w:val="auto"/>
        </w:rPr>
      </w:pPr>
    </w:p>
    <w:p>
      <w:pPr>
        <w:ind w:left="10860"/>
        <w:spacing w:after="0"/>
        <w:rPr>
          <w:sz w:val="20"/>
          <w:szCs w:val="20"/>
          <w:color w:val="auto"/>
        </w:rPr>
      </w:pPr>
      <w:r>
        <w:rPr>
          <w:rFonts w:ascii="Arial" w:cs="Arial" w:eastAsia="Arial" w:hAnsi="Arial"/>
          <w:sz w:val="12"/>
          <w:szCs w:val="12"/>
          <w:i w:val="1"/>
          <w:iCs w:val="1"/>
          <w:color w:val="0070F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442595</wp:posOffset>
            </wp:positionV>
            <wp:extent cx="8890" cy="9861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98615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accordance with Statement of Financial Accounting Standards No. 69, “Disclosures About Oil and Gas Producing Activities” (FAS 69), this section provides supplemental information on oil and gas exploration and producing activities of the company in seven separate tables. Tables I through IV provide historical cost information pertaining to costs incurred in exploration, property acquisitions and development; capitalized costs; and results of operations. Tables V through VII present information 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company’s estimated net proved reserve quantities; standardized measure of estimated discounted future net cash flows related to proved reserves; and changes in estimated discounted future net cash flows. The Africa geographic area includes activities principally in Nigeria, Angola, Chad, Republic of Congo and Democratic Republic of Congo. The Asia-Pacific geographic area includes activities principally in Australia, China, Indonesia, Kazakhstan, Partitioned Neutral Zone between Kuwait and Saudi</w:t>
      </w:r>
    </w:p>
    <w:p>
      <w:pPr>
        <w:spacing w:after="0" w:line="254" w:lineRule="exact"/>
        <w:rPr>
          <w:sz w:val="20"/>
          <w:szCs w:val="20"/>
          <w:color w:val="auto"/>
        </w:rPr>
      </w:pPr>
    </w:p>
    <w:p>
      <w:pPr>
        <w:sectPr>
          <w:pgSz w:w="11900" w:h="16838" w:orient="portrait"/>
          <w:cols w:equalWidth="0" w:num="2">
            <w:col w:w="5420" w:space="460"/>
            <w:col w:w="5540"/>
          </w:cols>
          <w:pgMar w:left="240" w:top="419" w:right="2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80"/>
        <w:spacing w:after="0" w:line="231" w:lineRule="auto"/>
        <w:rPr>
          <w:sz w:val="20"/>
          <w:szCs w:val="20"/>
          <w:color w:val="auto"/>
        </w:rPr>
      </w:pPr>
      <w:r>
        <w:rPr>
          <w:rFonts w:ascii="Arial" w:cs="Arial" w:eastAsia="Arial" w:hAnsi="Arial"/>
          <w:sz w:val="14"/>
          <w:szCs w:val="14"/>
          <w:color w:val="0070FF"/>
        </w:rPr>
        <w:t>SUPPLEMENTAL INFORMATION ON OIL AND GAS PRODUCING ACTIVITIES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817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4"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Arabia, Papua New Guinea, the Philippines, and Thailand. The “Other” geographic category includes activities in the United Kingdom, Canada, Denmark, the Netherlands, Norway, Trinidad and Tobago, Colombia, Venezuela, Brazil, Argentina, and other countries. Amounts shown for affiliated companies are ChevronTexaco’s 50 percent equity share of Tengizchevroil (TCO), an exploration and production partnership operating in the Republic of Kazakhstan, and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40"/>
        <w:spacing w:after="0" w:line="265" w:lineRule="auto"/>
        <w:rPr>
          <w:sz w:val="20"/>
          <w:szCs w:val="20"/>
          <w:color w:val="auto"/>
        </w:rPr>
      </w:pPr>
      <w:r>
        <w:rPr>
          <w:rFonts w:ascii="Arial" w:cs="Arial" w:eastAsia="Arial" w:hAnsi="Arial"/>
          <w:sz w:val="16"/>
          <w:szCs w:val="16"/>
          <w:color w:val="auto"/>
        </w:rPr>
        <w:t>30 percent equity share of Hamaca, an exploration and production partnership operating in Venezuela. The company increased its ownership in TCO from 45 percent to 50 percent in January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-868680</wp:posOffset>
            </wp:positionV>
            <wp:extent cx="8890" cy="13036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303655"/>
                    </a:xfrm>
                    <a:prstGeom prst="rect">
                      <a:avLst/>
                    </a:prstGeom>
                    <a:noFill/>
                  </pic:spPr>
                </pic:pic>
              </a:graphicData>
            </a:graphic>
          </wp:anchor>
        </w:drawing>
      </w:r>
    </w:p>
    <w:p>
      <w:pPr>
        <w:ind w:right="160" w:firstLine="194"/>
        <w:spacing w:after="0" w:line="363" w:lineRule="auto"/>
        <w:rPr>
          <w:sz w:val="20"/>
          <w:szCs w:val="20"/>
          <w:color w:val="auto"/>
        </w:rPr>
      </w:pPr>
      <w:r>
        <w:rPr>
          <w:rFonts w:ascii="Arial" w:cs="Arial" w:eastAsia="Arial" w:hAnsi="Arial"/>
          <w:sz w:val="14"/>
          <w:szCs w:val="14"/>
          <w:color w:val="auto"/>
        </w:rPr>
        <w:t>Amounts in the tables exclude the cumulative effect adjustment for the adoption of FAS 143, “Asset Retirement Obligations.” Refer to Note 25 on page FS-50.</w:t>
      </w:r>
    </w:p>
    <w:p>
      <w:pPr>
        <w:spacing w:after="0" w:line="200" w:lineRule="exact"/>
        <w:rPr>
          <w:sz w:val="20"/>
          <w:szCs w:val="20"/>
          <w:color w:val="auto"/>
        </w:rPr>
      </w:pPr>
    </w:p>
    <w:p>
      <w:pPr>
        <w:sectPr>
          <w:pgSz w:w="11900" w:h="16838" w:orient="portrait"/>
          <w:cols w:equalWidth="0" w:num="2">
            <w:col w:w="5400" w:space="480"/>
            <w:col w:w="5540"/>
          </w:cols>
          <w:pgMar w:left="240" w:top="419" w:right="2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TABLE I – COSTS INCURRED IN EXPLORATION, PROPERTY ACQUISITIONS AND DEVELOPMENT</w:t>
      </w:r>
      <w:r>
        <w:rPr>
          <w:rFonts w:ascii="Arial" w:cs="Arial" w:eastAsia="Arial" w:hAnsi="Arial"/>
          <w:sz w:val="27"/>
          <w:szCs w:val="27"/>
          <w:b w:val="1"/>
          <w:bCs w:val="1"/>
          <w:color w:val="0070FF"/>
          <w:vertAlign w:val="superscript"/>
        </w:rPr>
        <w:t>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spacing w:after="0"/>
              <w:rPr>
                <w:sz w:val="14"/>
                <w:szCs w:val="14"/>
                <w:color w:val="auto"/>
              </w:rPr>
            </w:pP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spacing w:after="0"/>
              <w:rPr>
                <w:sz w:val="14"/>
                <w:szCs w:val="14"/>
                <w:color w:val="auto"/>
              </w:rPr>
            </w:pPr>
          </w:p>
        </w:tc>
        <w:tc>
          <w:tcPr>
            <w:tcW w:w="480" w:type="dxa"/>
            <w:vAlign w:val="bottom"/>
            <w:tcBorders>
              <w:bottom w:val="single" w:sz="8" w:color="0070FF"/>
            </w:tcBorders>
          </w:tcPr>
          <w:p>
            <w:pPr>
              <w:spacing w:after="0"/>
              <w:rPr>
                <w:sz w:val="14"/>
                <w:szCs w:val="14"/>
                <w:color w:val="auto"/>
              </w:rPr>
            </w:pPr>
          </w:p>
        </w:tc>
        <w:tc>
          <w:tcPr>
            <w:tcW w:w="154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w w:val="97"/>
              </w:rPr>
              <w:t>Consolidated Companies</w:t>
            </w:r>
          </w:p>
        </w:tc>
        <w:tc>
          <w:tcPr>
            <w:tcW w:w="560" w:type="dxa"/>
            <w:vAlign w:val="bottom"/>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1320" w:type="dxa"/>
            <w:vAlign w:val="bottom"/>
            <w:tcBorders>
              <w:bottom w:val="single" w:sz="8" w:color="0070FF"/>
            </w:tcBorders>
            <w:gridSpan w:val="3"/>
          </w:tcPr>
          <w:p>
            <w:pPr>
              <w:jc w:val="right"/>
              <w:spacing w:after="0"/>
              <w:rPr>
                <w:sz w:val="20"/>
                <w:szCs w:val="20"/>
                <w:color w:val="auto"/>
              </w:rPr>
            </w:pPr>
            <w:r>
              <w:rPr>
                <w:rFonts w:ascii="Arial" w:cs="Arial" w:eastAsia="Arial" w:hAnsi="Arial"/>
                <w:sz w:val="14"/>
                <w:szCs w:val="14"/>
                <w:color w:val="auto"/>
              </w:rPr>
              <w:t>Affiliated Companies</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60" w:type="dxa"/>
            <w:vAlign w:val="bottom"/>
            <w:gridSpan w:val="2"/>
          </w:tcPr>
          <w:p>
            <w:pPr>
              <w:spacing w:after="0"/>
              <w:rPr>
                <w:sz w:val="20"/>
                <w:szCs w:val="20"/>
                <w:color w:val="auto"/>
              </w:rPr>
            </w:pPr>
            <w:r>
              <w:rPr>
                <w:rFonts w:ascii="Arial" w:cs="Arial" w:eastAsia="Arial" w:hAnsi="Arial"/>
                <w:sz w:val="14"/>
                <w:szCs w:val="14"/>
                <w:color w:val="auto"/>
              </w:rPr>
              <w:t>Millions of dollars</w:t>
            </w:r>
          </w:p>
        </w:tc>
        <w:tc>
          <w:tcPr>
            <w:tcW w:w="340" w:type="dxa"/>
            <w:vAlign w:val="bottom"/>
          </w:tcPr>
          <w:p>
            <w:pPr>
              <w:spacing w:after="0"/>
              <w:rPr>
                <w:sz w:val="14"/>
                <w:szCs w:val="14"/>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rPr>
              <w:t>U.S.</w:t>
            </w:r>
          </w:p>
        </w:tc>
        <w:tc>
          <w:tcPr>
            <w:tcW w:w="1180" w:type="dxa"/>
            <w:vAlign w:val="bottom"/>
            <w:gridSpan w:val="2"/>
          </w:tcPr>
          <w:p>
            <w:pPr>
              <w:jc w:val="right"/>
              <w:ind w:right="288"/>
              <w:spacing w:after="0"/>
              <w:rPr>
                <w:sz w:val="20"/>
                <w:szCs w:val="20"/>
                <w:color w:val="auto"/>
              </w:rPr>
            </w:pPr>
            <w:r>
              <w:rPr>
                <w:rFonts w:ascii="Arial" w:cs="Arial" w:eastAsia="Arial" w:hAnsi="Arial"/>
                <w:sz w:val="14"/>
                <w:szCs w:val="14"/>
                <w:color w:val="auto"/>
              </w:rPr>
              <w:t>Africa</w:t>
            </w:r>
          </w:p>
        </w:tc>
        <w:tc>
          <w:tcPr>
            <w:tcW w:w="1420" w:type="dxa"/>
            <w:vAlign w:val="bottom"/>
            <w:gridSpan w:val="2"/>
          </w:tcPr>
          <w:p>
            <w:pPr>
              <w:jc w:val="right"/>
              <w:ind w:right="328"/>
              <w:spacing w:after="0"/>
              <w:rPr>
                <w:sz w:val="20"/>
                <w:szCs w:val="20"/>
                <w:color w:val="auto"/>
              </w:rPr>
            </w:pPr>
            <w:r>
              <w:rPr>
                <w:rFonts w:ascii="Arial" w:cs="Arial" w:eastAsia="Arial" w:hAnsi="Arial"/>
                <w:sz w:val="14"/>
                <w:szCs w:val="14"/>
                <w:color w:val="auto"/>
              </w:rPr>
              <w:t>Asia-Pacific</w:t>
            </w:r>
          </w:p>
        </w:tc>
        <w:tc>
          <w:tcPr>
            <w:tcW w:w="480" w:type="dxa"/>
            <w:vAlign w:val="bottom"/>
          </w:tcPr>
          <w:p>
            <w:pPr>
              <w:spacing w:after="0"/>
              <w:rPr>
                <w:sz w:val="14"/>
                <w:szCs w:val="14"/>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color w:val="auto"/>
                <w:w w:val="85"/>
              </w:rPr>
              <w:t>Other</w:t>
            </w:r>
          </w:p>
        </w:tc>
        <w:tc>
          <w:tcPr>
            <w:tcW w:w="4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6"/>
              </w:rPr>
              <w:t>Total</w:t>
            </w:r>
          </w:p>
        </w:tc>
        <w:tc>
          <w:tcPr>
            <w:tcW w:w="560" w:type="dxa"/>
            <w:vAlign w:val="bottom"/>
          </w:tcPr>
          <w:p>
            <w:pPr>
              <w:spacing w:after="0"/>
              <w:rPr>
                <w:sz w:val="14"/>
                <w:szCs w:val="14"/>
                <w:color w:val="auto"/>
              </w:rPr>
            </w:pPr>
          </w:p>
        </w:tc>
        <w:tc>
          <w:tcPr>
            <w:tcW w:w="880" w:type="dxa"/>
            <w:vAlign w:val="bottom"/>
            <w:gridSpan w:val="2"/>
          </w:tcPr>
          <w:p>
            <w:pPr>
              <w:jc w:val="right"/>
              <w:ind w:right="248"/>
              <w:spacing w:after="0" w:line="169" w:lineRule="exact"/>
              <w:rPr>
                <w:sz w:val="20"/>
                <w:szCs w:val="20"/>
                <w:color w:val="auto"/>
              </w:rPr>
            </w:pPr>
            <w:r>
              <w:rPr>
                <w:rFonts w:ascii="Arial" w:cs="Arial" w:eastAsia="Arial" w:hAnsi="Arial"/>
                <w:sz w:val="12"/>
                <w:szCs w:val="12"/>
                <w:color w:val="auto"/>
              </w:rPr>
              <w:t>TCO</w:t>
            </w:r>
            <w:r>
              <w:rPr>
                <w:rFonts w:ascii="Arial" w:cs="Arial" w:eastAsia="Arial" w:hAnsi="Arial"/>
                <w:sz w:val="19"/>
                <w:szCs w:val="19"/>
                <w:color w:val="auto"/>
                <w:vertAlign w:val="superscript"/>
              </w:rPr>
              <w:t>2</w:t>
            </w:r>
          </w:p>
        </w:tc>
        <w:tc>
          <w:tcPr>
            <w:tcW w:w="1340" w:type="dxa"/>
            <w:vAlign w:val="bottom"/>
            <w:gridSpan w:val="3"/>
          </w:tcPr>
          <w:p>
            <w:pPr>
              <w:jc w:val="right"/>
              <w:ind w:right="560"/>
              <w:spacing w:after="0"/>
              <w:rPr>
                <w:sz w:val="20"/>
                <w:szCs w:val="20"/>
                <w:color w:val="auto"/>
              </w:rPr>
            </w:pPr>
            <w:r>
              <w:rPr>
                <w:rFonts w:ascii="Arial" w:cs="Arial" w:eastAsia="Arial" w:hAnsi="Arial"/>
                <w:sz w:val="14"/>
                <w:szCs w:val="14"/>
                <w:color w:val="auto"/>
              </w:rPr>
              <w:t>Hamaca</w:t>
            </w:r>
          </w:p>
        </w:tc>
        <w:tc>
          <w:tcPr>
            <w:tcW w:w="1100" w:type="dxa"/>
            <w:vAlign w:val="bottom"/>
            <w:gridSpan w:val="2"/>
          </w:tcPr>
          <w:p>
            <w:pPr>
              <w:jc w:val="right"/>
              <w:ind w:right="268"/>
              <w:spacing w:after="0"/>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19"/>
        </w:trPr>
        <w:tc>
          <w:tcPr>
            <w:tcW w:w="1860" w:type="dxa"/>
            <w:vAlign w:val="bottom"/>
            <w:tcBorders>
              <w:top w:val="single" w:sz="8" w:color="0070FF"/>
            </w:tcBorders>
            <w:gridSpan w:val="2"/>
          </w:tcPr>
          <w:p>
            <w:pPr>
              <w:spacing w:after="0" w:line="119" w:lineRule="exact"/>
              <w:rPr>
                <w:sz w:val="20"/>
                <w:szCs w:val="20"/>
                <w:color w:val="auto"/>
              </w:rPr>
            </w:pPr>
            <w:r>
              <w:rPr>
                <w:rFonts w:ascii="Arial" w:cs="Arial" w:eastAsia="Arial" w:hAnsi="Arial"/>
                <w:sz w:val="13"/>
                <w:szCs w:val="13"/>
                <w:b w:val="1"/>
                <w:bCs w:val="1"/>
                <w:color w:val="0070FF"/>
              </w:rPr>
              <w:t>YEAR ENDED</w:t>
            </w:r>
          </w:p>
        </w:tc>
        <w:tc>
          <w:tcPr>
            <w:tcW w:w="340" w:type="dxa"/>
            <w:vAlign w:val="bottom"/>
            <w:tcBorders>
              <w:top w:val="single" w:sz="8" w:color="0070FF"/>
            </w:tcBorders>
          </w:tcPr>
          <w:p>
            <w:pPr>
              <w:spacing w:after="0"/>
              <w:rPr>
                <w:sz w:val="10"/>
                <w:szCs w:val="10"/>
                <w:color w:val="auto"/>
              </w:rPr>
            </w:pPr>
          </w:p>
        </w:tc>
        <w:tc>
          <w:tcPr>
            <w:tcW w:w="720" w:type="dxa"/>
            <w:vAlign w:val="bottom"/>
            <w:tcBorders>
              <w:top w:val="single" w:sz="8" w:color="0070FF"/>
            </w:tcBorders>
          </w:tcPr>
          <w:p>
            <w:pPr>
              <w:spacing w:after="0"/>
              <w:rPr>
                <w:sz w:val="10"/>
                <w:szCs w:val="10"/>
                <w:color w:val="auto"/>
              </w:rPr>
            </w:pPr>
          </w:p>
        </w:tc>
        <w:tc>
          <w:tcPr>
            <w:tcW w:w="500" w:type="dxa"/>
            <w:vAlign w:val="bottom"/>
            <w:tcBorders>
              <w:top w:val="single" w:sz="8" w:color="0070FF"/>
            </w:tcBorders>
          </w:tcPr>
          <w:p>
            <w:pPr>
              <w:spacing w:after="0"/>
              <w:rPr>
                <w:sz w:val="10"/>
                <w:szCs w:val="10"/>
                <w:color w:val="auto"/>
              </w:rPr>
            </w:pPr>
          </w:p>
        </w:tc>
        <w:tc>
          <w:tcPr>
            <w:tcW w:w="680" w:type="dxa"/>
            <w:vAlign w:val="bottom"/>
            <w:tcBorders>
              <w:top w:val="single" w:sz="8" w:color="0070FF"/>
            </w:tcBorders>
          </w:tcPr>
          <w:p>
            <w:pPr>
              <w:spacing w:after="0"/>
              <w:rPr>
                <w:sz w:val="10"/>
                <w:szCs w:val="10"/>
                <w:color w:val="auto"/>
              </w:rPr>
            </w:pPr>
          </w:p>
        </w:tc>
        <w:tc>
          <w:tcPr>
            <w:tcW w:w="680" w:type="dxa"/>
            <w:vAlign w:val="bottom"/>
            <w:tcBorders>
              <w:top w:val="single" w:sz="8" w:color="0070FF"/>
            </w:tcBorders>
          </w:tcPr>
          <w:p>
            <w:pPr>
              <w:spacing w:after="0"/>
              <w:rPr>
                <w:sz w:val="10"/>
                <w:szCs w:val="10"/>
                <w:color w:val="auto"/>
              </w:rPr>
            </w:pPr>
          </w:p>
        </w:tc>
        <w:tc>
          <w:tcPr>
            <w:tcW w:w="740" w:type="dxa"/>
            <w:vAlign w:val="bottom"/>
            <w:tcBorders>
              <w:top w:val="single" w:sz="8" w:color="0070FF"/>
            </w:tcBorders>
          </w:tcPr>
          <w:p>
            <w:pPr>
              <w:spacing w:after="0"/>
              <w:rPr>
                <w:sz w:val="10"/>
                <w:szCs w:val="10"/>
                <w:color w:val="auto"/>
              </w:rPr>
            </w:pPr>
          </w:p>
        </w:tc>
        <w:tc>
          <w:tcPr>
            <w:tcW w:w="480" w:type="dxa"/>
            <w:vAlign w:val="bottom"/>
            <w:tcBorders>
              <w:top w:val="single" w:sz="8" w:color="0070FF"/>
            </w:tcBorders>
          </w:tcPr>
          <w:p>
            <w:pPr>
              <w:spacing w:after="0"/>
              <w:rPr>
                <w:sz w:val="10"/>
                <w:szCs w:val="10"/>
                <w:color w:val="auto"/>
              </w:rPr>
            </w:pPr>
          </w:p>
        </w:tc>
        <w:tc>
          <w:tcPr>
            <w:tcW w:w="740" w:type="dxa"/>
            <w:vAlign w:val="bottom"/>
            <w:tcBorders>
              <w:top w:val="single" w:sz="8" w:color="0070FF"/>
            </w:tcBorders>
          </w:tcPr>
          <w:p>
            <w:pPr>
              <w:spacing w:after="0"/>
              <w:rPr>
                <w:sz w:val="10"/>
                <w:szCs w:val="10"/>
                <w:color w:val="auto"/>
              </w:rPr>
            </w:pPr>
          </w:p>
        </w:tc>
        <w:tc>
          <w:tcPr>
            <w:tcW w:w="480" w:type="dxa"/>
            <w:vAlign w:val="bottom"/>
            <w:tcBorders>
              <w:top w:val="single" w:sz="8" w:color="0070FF"/>
            </w:tcBorders>
          </w:tcPr>
          <w:p>
            <w:pPr>
              <w:spacing w:after="0"/>
              <w:rPr>
                <w:sz w:val="10"/>
                <w:szCs w:val="10"/>
                <w:color w:val="auto"/>
              </w:rPr>
            </w:pPr>
          </w:p>
        </w:tc>
        <w:tc>
          <w:tcPr>
            <w:tcW w:w="320" w:type="dxa"/>
            <w:vAlign w:val="bottom"/>
            <w:tcBorders>
              <w:top w:val="single" w:sz="8" w:color="0070FF"/>
            </w:tcBorders>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Borders>
              <w:top w:val="single" w:sz="8" w:color="0070FF"/>
            </w:tcBorders>
          </w:tcPr>
          <w:p>
            <w:pPr>
              <w:spacing w:after="0"/>
              <w:rPr>
                <w:sz w:val="10"/>
                <w:szCs w:val="10"/>
                <w:color w:val="auto"/>
              </w:rPr>
            </w:pPr>
          </w:p>
        </w:tc>
        <w:tc>
          <w:tcPr>
            <w:tcW w:w="540" w:type="dxa"/>
            <w:vAlign w:val="bottom"/>
            <w:tcBorders>
              <w:top w:val="single" w:sz="8" w:color="0070FF"/>
            </w:tcBorders>
          </w:tcPr>
          <w:p>
            <w:pPr>
              <w:spacing w:after="0"/>
              <w:rPr>
                <w:sz w:val="10"/>
                <w:szCs w:val="10"/>
                <w:color w:val="auto"/>
              </w:rPr>
            </w:pPr>
          </w:p>
        </w:tc>
        <w:tc>
          <w:tcPr>
            <w:tcW w:w="560" w:type="dxa"/>
            <w:vAlign w:val="bottom"/>
            <w:tcBorders>
              <w:top w:val="single" w:sz="8" w:color="0070FF"/>
            </w:tcBorders>
          </w:tcPr>
          <w:p>
            <w:pPr>
              <w:spacing w:after="0"/>
              <w:rPr>
                <w:sz w:val="10"/>
                <w:szCs w:val="10"/>
                <w:color w:val="auto"/>
              </w:rPr>
            </w:pPr>
          </w:p>
        </w:tc>
        <w:tc>
          <w:tcPr>
            <w:tcW w:w="220" w:type="dxa"/>
            <w:vAlign w:val="bottom"/>
            <w:tcBorders>
              <w:top w:val="single" w:sz="8" w:color="0070FF"/>
            </w:tcBorders>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Borders>
              <w:top w:val="single" w:sz="8" w:color="0070FF"/>
            </w:tcBorders>
          </w:tcPr>
          <w:p>
            <w:pPr>
              <w:spacing w:after="0"/>
              <w:rPr>
                <w:sz w:val="10"/>
                <w:szCs w:val="10"/>
                <w:color w:val="auto"/>
              </w:rPr>
            </w:pPr>
          </w:p>
        </w:tc>
        <w:tc>
          <w:tcPr>
            <w:tcW w:w="660" w:type="dxa"/>
            <w:vAlign w:val="bottom"/>
            <w:tcBorders>
              <w:top w:val="single" w:sz="8" w:color="0070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40" w:type="dxa"/>
            <w:vAlign w:val="bottom"/>
          </w:tcPr>
          <w:p>
            <w:pPr>
              <w:ind w:left="120"/>
              <w:spacing w:after="0" w:line="153" w:lineRule="exact"/>
              <w:rPr>
                <w:sz w:val="20"/>
                <w:szCs w:val="20"/>
                <w:color w:val="auto"/>
              </w:rPr>
            </w:pPr>
            <w:r>
              <w:rPr>
                <w:rFonts w:ascii="Arial" w:cs="Arial" w:eastAsia="Arial" w:hAnsi="Arial"/>
                <w:sz w:val="14"/>
                <w:szCs w:val="14"/>
                <w:b w:val="1"/>
                <w:bCs w:val="1"/>
                <w:color w:val="0070FF"/>
              </w:rPr>
              <w:t>DECEMBER 31, 2003</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Exploration</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424</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116</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45</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72</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657</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20"/>
              <w:spacing w:after="0" w:line="149" w:lineRule="exact"/>
              <w:rPr>
                <w:sz w:val="20"/>
                <w:szCs w:val="20"/>
                <w:color w:val="auto"/>
              </w:rPr>
            </w:pPr>
            <w:r>
              <w:rPr>
                <w:rFonts w:ascii="Arial" w:cs="Arial" w:eastAsia="Arial" w:hAnsi="Arial"/>
                <w:sz w:val="14"/>
                <w:szCs w:val="14"/>
                <w:color w:val="auto"/>
              </w:rPr>
              <w:t>Wells</w:t>
            </w:r>
          </w:p>
        </w:tc>
        <w:tc>
          <w:tcPr>
            <w:tcW w:w="3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20"/>
              <w:spacing w:after="0" w:line="149" w:lineRule="exact"/>
              <w:rPr>
                <w:sz w:val="20"/>
                <w:szCs w:val="20"/>
                <w:color w:val="auto"/>
              </w:rPr>
            </w:pPr>
            <w:r>
              <w:rPr>
                <w:rFonts w:ascii="Arial" w:cs="Arial" w:eastAsia="Arial" w:hAnsi="Arial"/>
                <w:sz w:val="14"/>
                <w:szCs w:val="14"/>
                <w:color w:val="auto"/>
              </w:rPr>
              <w:t>Geological and</w:t>
            </w:r>
          </w:p>
        </w:tc>
        <w:tc>
          <w:tcPr>
            <w:tcW w:w="340" w:type="dxa"/>
            <w:vAlign w:val="bottom"/>
          </w:tcPr>
          <w:p>
            <w:pPr>
              <w:spacing w:after="0"/>
              <w:rPr>
                <w:sz w:val="12"/>
                <w:szCs w:val="12"/>
                <w:color w:val="auto"/>
              </w:rPr>
            </w:pPr>
          </w:p>
        </w:tc>
        <w:tc>
          <w:tcPr>
            <w:tcW w:w="7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39</w:t>
            </w:r>
          </w:p>
        </w:tc>
        <w:tc>
          <w:tcPr>
            <w:tcW w:w="500" w:type="dxa"/>
            <w:vAlign w:val="bottom"/>
          </w:tcPr>
          <w:p>
            <w:pPr>
              <w:spacing w:after="0"/>
              <w:rPr>
                <w:sz w:val="12"/>
                <w:szCs w:val="12"/>
                <w:color w:val="auto"/>
              </w:rPr>
            </w:pPr>
          </w:p>
        </w:tc>
        <w:tc>
          <w:tcPr>
            <w:tcW w:w="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75</w:t>
            </w:r>
          </w:p>
        </w:tc>
        <w:tc>
          <w:tcPr>
            <w:tcW w:w="680" w:type="dxa"/>
            <w:vAlign w:val="bottom"/>
          </w:tcPr>
          <w:p>
            <w:pPr>
              <w:spacing w:after="0"/>
              <w:rPr>
                <w:sz w:val="12"/>
                <w:szCs w:val="12"/>
                <w:color w:val="auto"/>
              </w:rPr>
            </w:pPr>
          </w:p>
        </w:tc>
        <w:tc>
          <w:tcPr>
            <w:tcW w:w="7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14</w:t>
            </w:r>
          </w:p>
        </w:tc>
        <w:tc>
          <w:tcPr>
            <w:tcW w:w="48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30</w:t>
            </w:r>
          </w:p>
        </w:tc>
        <w:tc>
          <w:tcPr>
            <w:tcW w:w="4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158</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7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158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40" w:type="dxa"/>
            <w:vAlign w:val="bottom"/>
          </w:tcPr>
          <w:p>
            <w:pPr>
              <w:ind w:left="260"/>
              <w:spacing w:after="0" w:line="145" w:lineRule="exact"/>
              <w:rPr>
                <w:sz w:val="20"/>
                <w:szCs w:val="20"/>
                <w:color w:val="auto"/>
              </w:rPr>
            </w:pPr>
            <w:r>
              <w:rPr>
                <w:rFonts w:ascii="Arial" w:cs="Arial" w:eastAsia="Arial" w:hAnsi="Arial"/>
                <w:sz w:val="14"/>
                <w:szCs w:val="14"/>
                <w:color w:val="auto"/>
              </w:rPr>
              <w:t>geophysical</w:t>
            </w:r>
          </w:p>
        </w:tc>
        <w:tc>
          <w:tcPr>
            <w:tcW w:w="3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Rentals and other</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b w:val="1"/>
                <w:bCs w:val="1"/>
                <w:color w:val="auto"/>
              </w:rPr>
              <w:t>44</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b w:val="1"/>
                <w:bCs w:val="1"/>
                <w:color w:val="auto"/>
              </w:rPr>
              <w:t>12</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b w:val="1"/>
                <w:bCs w:val="1"/>
                <w:color w:val="auto"/>
              </w:rPr>
              <w:t>58</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b w:val="1"/>
                <w:bCs w:val="1"/>
                <w:color w:val="auto"/>
              </w:rPr>
              <w:t>46</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160</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18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Total exploration</w:t>
            </w:r>
          </w:p>
        </w:tc>
        <w:tc>
          <w:tcPr>
            <w:tcW w:w="3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507</w:t>
            </w:r>
          </w:p>
        </w:tc>
        <w:tc>
          <w:tcPr>
            <w:tcW w:w="5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203</w:t>
            </w:r>
          </w:p>
        </w:tc>
        <w:tc>
          <w:tcPr>
            <w:tcW w:w="6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117</w:t>
            </w:r>
          </w:p>
        </w:tc>
        <w:tc>
          <w:tcPr>
            <w:tcW w:w="4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148</w:t>
            </w:r>
          </w:p>
        </w:tc>
        <w:tc>
          <w:tcPr>
            <w:tcW w:w="480" w:type="dxa"/>
            <w:vAlign w:val="bottom"/>
            <w:tcBorders>
              <w:bottom w:val="single" w:sz="8" w:color="0070FF"/>
            </w:tcBorders>
          </w:tcPr>
          <w:p>
            <w:pPr>
              <w:spacing w:after="0"/>
              <w:rPr>
                <w:sz w:val="13"/>
                <w:szCs w:val="13"/>
                <w:color w:val="auto"/>
              </w:rPr>
            </w:pP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975</w:t>
            </w:r>
          </w:p>
        </w:tc>
        <w:tc>
          <w:tcPr>
            <w:tcW w:w="56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975</w:t>
            </w:r>
          </w:p>
        </w:tc>
        <w:tc>
          <w:tcPr>
            <w:tcW w:w="0" w:type="dxa"/>
            <w:vAlign w:val="bottom"/>
          </w:tcPr>
          <w:p>
            <w:pPr>
              <w:spacing w:after="0"/>
              <w:rPr>
                <w:sz w:val="1"/>
                <w:szCs w:val="1"/>
                <w:color w:val="auto"/>
              </w:rPr>
            </w:pPr>
          </w:p>
        </w:tc>
      </w:tr>
      <w:tr>
        <w:trPr>
          <w:trHeight w:val="147"/>
        </w:trPr>
        <w:tc>
          <w:tcPr>
            <w:tcW w:w="1860" w:type="dxa"/>
            <w:vAlign w:val="bottom"/>
            <w:gridSpan w:val="2"/>
          </w:tcPr>
          <w:p>
            <w:pPr>
              <w:spacing w:after="0" w:line="147" w:lineRule="exact"/>
              <w:rPr>
                <w:sz w:val="20"/>
                <w:szCs w:val="20"/>
                <w:color w:val="auto"/>
              </w:rPr>
            </w:pPr>
            <w:r>
              <w:rPr>
                <w:rFonts w:ascii="Arial" w:cs="Arial" w:eastAsia="Arial" w:hAnsi="Arial"/>
                <w:sz w:val="14"/>
                <w:szCs w:val="14"/>
                <w:color w:val="auto"/>
              </w:rPr>
              <w:t>Property acquisitions</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tcPr>
          <w:p>
            <w:pPr>
              <w:ind w:left="120"/>
              <w:spacing w:after="0" w:line="175" w:lineRule="exact"/>
              <w:rPr>
                <w:sz w:val="20"/>
                <w:szCs w:val="20"/>
                <w:color w:val="auto"/>
              </w:rPr>
            </w:pPr>
            <w:r>
              <w:rPr>
                <w:rFonts w:ascii="Arial" w:cs="Arial" w:eastAsia="Arial" w:hAnsi="Arial"/>
                <w:sz w:val="13"/>
                <w:szCs w:val="13"/>
                <w:color w:val="auto"/>
              </w:rPr>
              <w:t>Proved</w:t>
            </w:r>
            <w:r>
              <w:rPr>
                <w:rFonts w:ascii="Arial" w:cs="Arial" w:eastAsia="Arial" w:hAnsi="Arial"/>
                <w:sz w:val="20"/>
                <w:szCs w:val="20"/>
                <w:color w:val="auto"/>
                <w:vertAlign w:val="superscript"/>
              </w:rPr>
              <w:t>3</w:t>
            </w:r>
          </w:p>
        </w:tc>
        <w:tc>
          <w:tcPr>
            <w:tcW w:w="340" w:type="dxa"/>
            <w:vAlign w:val="bottom"/>
          </w:tcPr>
          <w:p>
            <w:pPr>
              <w:spacing w:after="0"/>
              <w:rPr>
                <w:sz w:val="15"/>
                <w:szCs w:val="15"/>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rPr>
              <w:t>18</w:t>
            </w:r>
          </w:p>
        </w:tc>
        <w:tc>
          <w:tcPr>
            <w:tcW w:w="500" w:type="dxa"/>
            <w:vAlign w:val="bottom"/>
          </w:tcPr>
          <w:p>
            <w:pPr>
              <w:spacing w:after="0"/>
              <w:rPr>
                <w:sz w:val="15"/>
                <w:szCs w:val="15"/>
                <w:color w:val="auto"/>
              </w:rPr>
            </w:pPr>
          </w:p>
        </w:tc>
        <w:tc>
          <w:tcPr>
            <w:tcW w:w="68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740" w:type="dxa"/>
            <w:vAlign w:val="bottom"/>
          </w:tcPr>
          <w:p>
            <w:pPr>
              <w:jc w:val="right"/>
              <w:ind w:right="328"/>
              <w:spacing w:after="0"/>
              <w:rPr>
                <w:sz w:val="20"/>
                <w:szCs w:val="20"/>
                <w:color w:val="auto"/>
              </w:rPr>
            </w:pPr>
            <w:r>
              <w:rPr>
                <w:rFonts w:ascii="Arial" w:cs="Arial" w:eastAsia="Arial" w:hAnsi="Arial"/>
                <w:sz w:val="14"/>
                <w:szCs w:val="14"/>
                <w:b w:val="1"/>
                <w:bCs w:val="1"/>
                <w:color w:val="auto"/>
              </w:rPr>
              <w:t>20</w:t>
            </w:r>
          </w:p>
        </w:tc>
        <w:tc>
          <w:tcPr>
            <w:tcW w:w="480" w:type="dxa"/>
            <w:vAlign w:val="bottom"/>
          </w:tcPr>
          <w:p>
            <w:pPr>
              <w:spacing w:after="0"/>
              <w:rPr>
                <w:sz w:val="15"/>
                <w:szCs w:val="15"/>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b w:val="1"/>
                <w:bCs w:val="1"/>
                <w:color w:val="auto"/>
              </w:rPr>
              <w:t>7</w:t>
            </w:r>
          </w:p>
        </w:tc>
        <w:tc>
          <w:tcPr>
            <w:tcW w:w="4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5"/>
                <w:szCs w:val="15"/>
                <w:color w:val="auto"/>
              </w:rPr>
            </w:pPr>
          </w:p>
        </w:tc>
        <w:tc>
          <w:tcPr>
            <w:tcW w:w="7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660" w:type="dxa"/>
            <w:vAlign w:val="bottom"/>
          </w:tcPr>
          <w:p>
            <w:pPr>
              <w:jc w:val="right"/>
              <w:ind w:right="268"/>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Unproved</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b w:val="1"/>
                <w:bCs w:val="1"/>
                <w:color w:val="auto"/>
              </w:rPr>
              <w:t>33</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b w:val="1"/>
                <w:bCs w:val="1"/>
                <w:color w:val="auto"/>
              </w:rPr>
              <w:t>51</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b w:val="1"/>
                <w:bCs w:val="1"/>
                <w:color w:val="auto"/>
              </w:rPr>
              <w:t>6</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b w:val="1"/>
                <w:bCs w:val="1"/>
                <w:color w:val="auto"/>
              </w:rPr>
              <w:t>14</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104</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40" w:type="dxa"/>
            <w:vAlign w:val="bottom"/>
          </w:tcPr>
          <w:p>
            <w:pPr>
              <w:ind w:left="120"/>
              <w:spacing w:after="0" w:line="137" w:lineRule="exact"/>
              <w:rPr>
                <w:sz w:val="20"/>
                <w:szCs w:val="20"/>
                <w:color w:val="auto"/>
              </w:rPr>
            </w:pPr>
            <w:r>
              <w:rPr>
                <w:rFonts w:ascii="Arial" w:cs="Arial" w:eastAsia="Arial" w:hAnsi="Arial"/>
                <w:sz w:val="14"/>
                <w:szCs w:val="14"/>
                <w:color w:val="auto"/>
              </w:rPr>
              <w:t>Total property</w:t>
            </w:r>
          </w:p>
        </w:tc>
        <w:tc>
          <w:tcPr>
            <w:tcW w:w="340" w:type="dxa"/>
            <w:vAlign w:val="bottom"/>
          </w:tcPr>
          <w:p>
            <w:pPr>
              <w:spacing w:after="0"/>
              <w:rPr>
                <w:sz w:val="11"/>
                <w:szCs w:val="11"/>
                <w:color w:val="auto"/>
              </w:rPr>
            </w:pPr>
          </w:p>
        </w:tc>
        <w:tc>
          <w:tcPr>
            <w:tcW w:w="7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51</w:t>
            </w:r>
          </w:p>
        </w:tc>
        <w:tc>
          <w:tcPr>
            <w:tcW w:w="500" w:type="dxa"/>
            <w:vAlign w:val="bottom"/>
          </w:tcPr>
          <w:p>
            <w:pPr>
              <w:spacing w:after="0"/>
              <w:rPr>
                <w:sz w:val="11"/>
                <w:szCs w:val="11"/>
                <w:color w:val="auto"/>
              </w:rPr>
            </w:pPr>
          </w:p>
        </w:tc>
        <w:tc>
          <w:tcPr>
            <w:tcW w:w="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51</w:t>
            </w:r>
          </w:p>
        </w:tc>
        <w:tc>
          <w:tcPr>
            <w:tcW w:w="680" w:type="dxa"/>
            <w:vAlign w:val="bottom"/>
          </w:tcPr>
          <w:p>
            <w:pPr>
              <w:spacing w:after="0"/>
              <w:rPr>
                <w:sz w:val="11"/>
                <w:szCs w:val="11"/>
                <w:color w:val="auto"/>
              </w:rPr>
            </w:pPr>
          </w:p>
        </w:tc>
        <w:tc>
          <w:tcPr>
            <w:tcW w:w="7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26</w:t>
            </w:r>
          </w:p>
        </w:tc>
        <w:tc>
          <w:tcPr>
            <w:tcW w:w="480" w:type="dxa"/>
            <w:vAlign w:val="bottom"/>
          </w:tcPr>
          <w:p>
            <w:pPr>
              <w:spacing w:after="0"/>
              <w:rPr>
                <w:sz w:val="11"/>
                <w:szCs w:val="11"/>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21</w:t>
            </w:r>
          </w:p>
        </w:tc>
        <w:tc>
          <w:tcPr>
            <w:tcW w:w="4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149</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7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149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acquisitions</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vMerge w:val="continue"/>
          </w:tcPr>
          <w:p>
            <w:pPr>
              <w:spacing w:after="0"/>
              <w:rPr>
                <w:sz w:val="14"/>
                <w:szCs w:val="14"/>
                <w:color w:val="auto"/>
              </w:rPr>
            </w:pP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vMerge w:val="continue"/>
          </w:tcPr>
          <w:p>
            <w:pPr>
              <w:spacing w:after="0"/>
              <w:rPr>
                <w:sz w:val="14"/>
                <w:szCs w:val="14"/>
                <w:color w:val="auto"/>
              </w:rPr>
            </w:pP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vMerge w:val="continue"/>
          </w:tcPr>
          <w:p>
            <w:pPr>
              <w:spacing w:after="0"/>
              <w:rPr>
                <w:sz w:val="14"/>
                <w:szCs w:val="14"/>
                <w:color w:val="auto"/>
              </w:rPr>
            </w:pP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vMerge w:val="continue"/>
          </w:tcPr>
          <w:p>
            <w:pPr>
              <w:spacing w:after="0"/>
              <w:rPr>
                <w:sz w:val="14"/>
                <w:szCs w:val="14"/>
                <w:color w:val="auto"/>
              </w:rPr>
            </w:pP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vMerge w:val="continue"/>
          </w:tcPr>
          <w:p>
            <w:pPr>
              <w:spacing w:after="0"/>
              <w:rPr>
                <w:sz w:val="14"/>
                <w:szCs w:val="14"/>
                <w:color w:val="auto"/>
              </w:rPr>
            </w:pP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vMerge w:val="continue"/>
          </w:tcPr>
          <w:p>
            <w:pPr>
              <w:spacing w:after="0"/>
              <w:rPr>
                <w:sz w:val="14"/>
                <w:szCs w:val="14"/>
                <w:color w:val="auto"/>
              </w:rPr>
            </w:pP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vMerge w:val="continue"/>
          </w:tcPr>
          <w:p>
            <w:pPr>
              <w:spacing w:after="0"/>
              <w:rPr>
                <w:sz w:val="14"/>
                <w:szCs w:val="14"/>
                <w:color w:val="auto"/>
              </w:rPr>
            </w:pP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18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Development</w:t>
            </w:r>
          </w:p>
        </w:tc>
        <w:tc>
          <w:tcPr>
            <w:tcW w:w="3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b w:val="1"/>
                <w:bCs w:val="1"/>
                <w:color w:val="auto"/>
                <w:w w:val="85"/>
              </w:rPr>
              <w:t>1,048</w:t>
            </w:r>
          </w:p>
        </w:tc>
        <w:tc>
          <w:tcPr>
            <w:tcW w:w="5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974</w:t>
            </w:r>
          </w:p>
        </w:tc>
        <w:tc>
          <w:tcPr>
            <w:tcW w:w="6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968</w:t>
            </w:r>
          </w:p>
        </w:tc>
        <w:tc>
          <w:tcPr>
            <w:tcW w:w="4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461</w:t>
            </w:r>
          </w:p>
        </w:tc>
        <w:tc>
          <w:tcPr>
            <w:tcW w:w="480" w:type="dxa"/>
            <w:vAlign w:val="bottom"/>
            <w:tcBorders>
              <w:bottom w:val="single" w:sz="8" w:color="0070FF"/>
            </w:tcBorders>
          </w:tcPr>
          <w:p>
            <w:pPr>
              <w:spacing w:after="0"/>
              <w:rPr>
                <w:sz w:val="13"/>
                <w:szCs w:val="13"/>
                <w:color w:val="auto"/>
              </w:rPr>
            </w:pP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85"/>
              </w:rPr>
              <w:t>3,451</w:t>
            </w:r>
          </w:p>
        </w:tc>
        <w:tc>
          <w:tcPr>
            <w:tcW w:w="56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b w:val="1"/>
                <w:bCs w:val="1"/>
                <w:color w:val="auto"/>
                <w:w w:val="85"/>
              </w:rPr>
              <w:t>551</w:t>
            </w:r>
          </w:p>
        </w:tc>
        <w:tc>
          <w:tcPr>
            <w:tcW w:w="560" w:type="dxa"/>
            <w:vAlign w:val="bottom"/>
            <w:tcBorders>
              <w:bottom w:val="single" w:sz="8" w:color="0070FF"/>
            </w:tcBorders>
          </w:tcPr>
          <w:p>
            <w:pPr>
              <w:spacing w:after="0"/>
              <w:rPr>
                <w:sz w:val="13"/>
                <w:szCs w:val="13"/>
                <w:color w:val="auto"/>
              </w:rPr>
            </w:pP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w w:val="85"/>
              </w:rPr>
              <w:t>199</w:t>
            </w:r>
          </w:p>
        </w:tc>
        <w:tc>
          <w:tcPr>
            <w:tcW w:w="5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b w:val="1"/>
                <w:bCs w:val="1"/>
                <w:color w:val="auto"/>
                <w:w w:val="85"/>
              </w:rPr>
              <w:t>4,201</w:t>
            </w:r>
          </w:p>
        </w:tc>
        <w:tc>
          <w:tcPr>
            <w:tcW w:w="0" w:type="dxa"/>
            <w:vAlign w:val="bottom"/>
          </w:tcPr>
          <w:p>
            <w:pPr>
              <w:spacing w:after="0"/>
              <w:rPr>
                <w:sz w:val="1"/>
                <w:szCs w:val="1"/>
                <w:color w:val="auto"/>
              </w:rPr>
            </w:pPr>
          </w:p>
        </w:tc>
      </w:tr>
      <w:tr>
        <w:trPr>
          <w:trHeight w:val="133"/>
        </w:trPr>
        <w:tc>
          <w:tcPr>
            <w:tcW w:w="1860" w:type="dxa"/>
            <w:vAlign w:val="bottom"/>
            <w:gridSpan w:val="2"/>
          </w:tcPr>
          <w:p>
            <w:pPr>
              <w:spacing w:after="0" w:line="133" w:lineRule="exact"/>
              <w:rPr>
                <w:sz w:val="20"/>
                <w:szCs w:val="20"/>
                <w:color w:val="auto"/>
              </w:rPr>
            </w:pPr>
            <w:r>
              <w:rPr>
                <w:rFonts w:ascii="Arial" w:cs="Arial" w:eastAsia="Arial" w:hAnsi="Arial"/>
                <w:sz w:val="14"/>
                <w:szCs w:val="14"/>
                <w:b w:val="1"/>
                <w:bCs w:val="1"/>
                <w:color w:val="0070FF"/>
              </w:rPr>
              <w:t>TOTAL COSTS</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85"/>
              </w:rPr>
              <w:t>1,606</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w w:val="85"/>
              </w:rPr>
              <w:t>1,228</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91"/>
              </w:rPr>
              <w:t>1,111</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630</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4,575</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85"/>
              </w:rPr>
              <w:t>551</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199</w:t>
            </w:r>
          </w:p>
        </w:tc>
        <w:tc>
          <w:tcPr>
            <w:tcW w:w="5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85"/>
              </w:rPr>
              <w:t>5,325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b w:val="1"/>
                <w:bCs w:val="1"/>
                <w:color w:val="0070FF"/>
              </w:rPr>
              <w:t>INCURRED</w:t>
            </w:r>
          </w:p>
        </w:tc>
        <w:tc>
          <w:tcPr>
            <w:tcW w:w="340" w:type="dxa"/>
            <w:vAlign w:val="bottom"/>
            <w:tcBorders>
              <w:bottom w:val="single" w:sz="8" w:color="0070FF"/>
            </w:tcBorders>
            <w:vMerge w:val="continue"/>
          </w:tcPr>
          <w:p>
            <w:pPr>
              <w:spacing w:after="0"/>
              <w:rPr>
                <w:sz w:val="16"/>
                <w:szCs w:val="16"/>
                <w:color w:val="auto"/>
              </w:rPr>
            </w:pPr>
          </w:p>
        </w:tc>
        <w:tc>
          <w:tcPr>
            <w:tcW w:w="720" w:type="dxa"/>
            <w:vAlign w:val="bottom"/>
            <w:tcBorders>
              <w:bottom w:val="single" w:sz="8" w:color="0070FF"/>
            </w:tcBorders>
            <w:vMerge w:val="continue"/>
          </w:tcPr>
          <w:p>
            <w:pPr>
              <w:spacing w:after="0"/>
              <w:rPr>
                <w:sz w:val="16"/>
                <w:szCs w:val="16"/>
                <w:color w:val="auto"/>
              </w:rPr>
            </w:pPr>
          </w:p>
        </w:tc>
        <w:tc>
          <w:tcPr>
            <w:tcW w:w="500" w:type="dxa"/>
            <w:vAlign w:val="bottom"/>
            <w:tcBorders>
              <w:bottom w:val="single" w:sz="8" w:color="0070FF"/>
            </w:tcBorders>
            <w:vMerge w:val="continue"/>
          </w:tcPr>
          <w:p>
            <w:pPr>
              <w:spacing w:after="0"/>
              <w:rPr>
                <w:sz w:val="16"/>
                <w:szCs w:val="16"/>
                <w:color w:val="auto"/>
              </w:rPr>
            </w:pPr>
          </w:p>
        </w:tc>
        <w:tc>
          <w:tcPr>
            <w:tcW w:w="680" w:type="dxa"/>
            <w:vAlign w:val="bottom"/>
            <w:tcBorders>
              <w:bottom w:val="single" w:sz="8" w:color="0070FF"/>
            </w:tcBorders>
            <w:vMerge w:val="continue"/>
          </w:tcPr>
          <w:p>
            <w:pPr>
              <w:spacing w:after="0"/>
              <w:rPr>
                <w:sz w:val="16"/>
                <w:szCs w:val="16"/>
                <w:color w:val="auto"/>
              </w:rPr>
            </w:pPr>
          </w:p>
        </w:tc>
        <w:tc>
          <w:tcPr>
            <w:tcW w:w="680" w:type="dxa"/>
            <w:vAlign w:val="bottom"/>
            <w:tcBorders>
              <w:bottom w:val="single" w:sz="8" w:color="0070FF"/>
            </w:tcBorders>
            <w:vMerge w:val="continue"/>
          </w:tcPr>
          <w:p>
            <w:pPr>
              <w:spacing w:after="0"/>
              <w:rPr>
                <w:sz w:val="16"/>
                <w:szCs w:val="16"/>
                <w:color w:val="auto"/>
              </w:rPr>
            </w:pPr>
          </w:p>
        </w:tc>
        <w:tc>
          <w:tcPr>
            <w:tcW w:w="740" w:type="dxa"/>
            <w:vAlign w:val="bottom"/>
            <w:tcBorders>
              <w:bottom w:val="single" w:sz="8" w:color="0070FF"/>
            </w:tcBorders>
            <w:vMerge w:val="continue"/>
          </w:tcPr>
          <w:p>
            <w:pPr>
              <w:spacing w:after="0"/>
              <w:rPr>
                <w:sz w:val="16"/>
                <w:szCs w:val="16"/>
                <w:color w:val="auto"/>
              </w:rPr>
            </w:pPr>
          </w:p>
        </w:tc>
        <w:tc>
          <w:tcPr>
            <w:tcW w:w="480" w:type="dxa"/>
            <w:vAlign w:val="bottom"/>
            <w:tcBorders>
              <w:bottom w:val="single" w:sz="8" w:color="0070FF"/>
            </w:tcBorders>
            <w:vMerge w:val="continue"/>
          </w:tcPr>
          <w:p>
            <w:pPr>
              <w:spacing w:after="0"/>
              <w:rPr>
                <w:sz w:val="16"/>
                <w:szCs w:val="16"/>
                <w:color w:val="auto"/>
              </w:rPr>
            </w:pPr>
          </w:p>
        </w:tc>
        <w:tc>
          <w:tcPr>
            <w:tcW w:w="740" w:type="dxa"/>
            <w:vAlign w:val="bottom"/>
            <w:tcBorders>
              <w:bottom w:val="single" w:sz="8" w:color="0070FF"/>
            </w:tcBorders>
            <w:vMerge w:val="continue"/>
          </w:tcPr>
          <w:p>
            <w:pPr>
              <w:spacing w:after="0"/>
              <w:rPr>
                <w:sz w:val="16"/>
                <w:szCs w:val="16"/>
                <w:color w:val="auto"/>
              </w:rPr>
            </w:pPr>
          </w:p>
        </w:tc>
        <w:tc>
          <w:tcPr>
            <w:tcW w:w="480" w:type="dxa"/>
            <w:vAlign w:val="bottom"/>
            <w:tcBorders>
              <w:bottom w:val="single" w:sz="8" w:color="0070FF"/>
            </w:tcBorders>
            <w:vMerge w:val="continue"/>
          </w:tcPr>
          <w:p>
            <w:pPr>
              <w:spacing w:after="0"/>
              <w:rPr>
                <w:sz w:val="16"/>
                <w:szCs w:val="16"/>
                <w:color w:val="auto"/>
              </w:rPr>
            </w:pPr>
          </w:p>
        </w:tc>
        <w:tc>
          <w:tcPr>
            <w:tcW w:w="320" w:type="dxa"/>
            <w:vAlign w:val="bottom"/>
            <w:tcBorders>
              <w:bottom w:val="single" w:sz="8" w:color="0070FF"/>
            </w:tcBorders>
            <w:vMerge w:val="continue"/>
          </w:tcPr>
          <w:p>
            <w:pPr>
              <w:spacing w:after="0"/>
              <w:rPr>
                <w:sz w:val="16"/>
                <w:szCs w:val="16"/>
                <w:color w:val="auto"/>
              </w:rPr>
            </w:pPr>
          </w:p>
        </w:tc>
        <w:tc>
          <w:tcPr>
            <w:tcW w:w="900" w:type="dxa"/>
            <w:vAlign w:val="bottom"/>
            <w:tcBorders>
              <w:bottom w:val="single" w:sz="8" w:color="0070FF"/>
            </w:tcBorders>
            <w:gridSpan w:val="2"/>
            <w:vMerge w:val="continue"/>
          </w:tcPr>
          <w:p>
            <w:pPr>
              <w:spacing w:after="0"/>
              <w:rPr>
                <w:sz w:val="16"/>
                <w:szCs w:val="16"/>
                <w:color w:val="auto"/>
              </w:rPr>
            </w:pPr>
          </w:p>
        </w:tc>
        <w:tc>
          <w:tcPr>
            <w:tcW w:w="540" w:type="dxa"/>
            <w:vAlign w:val="bottom"/>
            <w:tcBorders>
              <w:bottom w:val="single" w:sz="8" w:color="0070FF"/>
            </w:tcBorders>
            <w:vMerge w:val="continue"/>
          </w:tcPr>
          <w:p>
            <w:pPr>
              <w:spacing w:after="0"/>
              <w:rPr>
                <w:sz w:val="16"/>
                <w:szCs w:val="16"/>
                <w:color w:val="auto"/>
              </w:rPr>
            </w:pPr>
          </w:p>
        </w:tc>
        <w:tc>
          <w:tcPr>
            <w:tcW w:w="560" w:type="dxa"/>
            <w:vAlign w:val="bottom"/>
            <w:tcBorders>
              <w:bottom w:val="single" w:sz="8" w:color="0070FF"/>
            </w:tcBorders>
            <w:vMerge w:val="continue"/>
          </w:tcPr>
          <w:p>
            <w:pPr>
              <w:spacing w:after="0"/>
              <w:rPr>
                <w:sz w:val="16"/>
                <w:szCs w:val="16"/>
                <w:color w:val="auto"/>
              </w:rPr>
            </w:pPr>
          </w:p>
        </w:tc>
        <w:tc>
          <w:tcPr>
            <w:tcW w:w="220" w:type="dxa"/>
            <w:vAlign w:val="bottom"/>
            <w:tcBorders>
              <w:bottom w:val="single" w:sz="8" w:color="0070FF"/>
            </w:tcBorders>
            <w:vMerge w:val="continue"/>
          </w:tcPr>
          <w:p>
            <w:pPr>
              <w:spacing w:after="0"/>
              <w:rPr>
                <w:sz w:val="16"/>
                <w:szCs w:val="16"/>
                <w:color w:val="auto"/>
              </w:rPr>
            </w:pPr>
          </w:p>
        </w:tc>
        <w:tc>
          <w:tcPr>
            <w:tcW w:w="560" w:type="dxa"/>
            <w:vAlign w:val="bottom"/>
            <w:tcBorders>
              <w:bottom w:val="single" w:sz="8" w:color="0070FF"/>
            </w:tcBorders>
          </w:tcPr>
          <w:p>
            <w:pPr>
              <w:spacing w:after="0"/>
              <w:rPr>
                <w:sz w:val="16"/>
                <w:szCs w:val="16"/>
                <w:color w:val="auto"/>
              </w:rPr>
            </w:pPr>
          </w:p>
        </w:tc>
        <w:tc>
          <w:tcPr>
            <w:tcW w:w="440" w:type="dxa"/>
            <w:vAlign w:val="bottom"/>
            <w:tcBorders>
              <w:bottom w:val="single" w:sz="8" w:color="0070FF"/>
            </w:tcBorders>
            <w:vMerge w:val="continue"/>
          </w:tcPr>
          <w:p>
            <w:pPr>
              <w:spacing w:after="0"/>
              <w:rPr>
                <w:sz w:val="16"/>
                <w:szCs w:val="16"/>
                <w:color w:val="auto"/>
              </w:rPr>
            </w:pPr>
          </w:p>
        </w:tc>
        <w:tc>
          <w:tcPr>
            <w:tcW w:w="660" w:type="dxa"/>
            <w:vAlign w:val="bottom"/>
            <w:tcBorders>
              <w:bottom w:val="single" w:sz="8" w:color="007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40" w:type="dxa"/>
            <w:vAlign w:val="bottom"/>
          </w:tcPr>
          <w:p>
            <w:pPr>
              <w:spacing w:after="0" w:line="139" w:lineRule="exact"/>
              <w:rPr>
                <w:sz w:val="20"/>
                <w:szCs w:val="20"/>
                <w:color w:val="auto"/>
              </w:rPr>
            </w:pPr>
            <w:r>
              <w:rPr>
                <w:rFonts w:ascii="Arial" w:cs="Arial" w:eastAsia="Arial" w:hAnsi="Arial"/>
                <w:sz w:val="14"/>
                <w:szCs w:val="14"/>
                <w:b w:val="1"/>
                <w:bCs w:val="1"/>
                <w:color w:val="0070FF"/>
              </w:rPr>
              <w:t>YEAR ENDED</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40" w:type="dxa"/>
            <w:vAlign w:val="bottom"/>
          </w:tcPr>
          <w:p>
            <w:pPr>
              <w:ind w:left="120"/>
              <w:spacing w:after="0" w:line="153" w:lineRule="exact"/>
              <w:rPr>
                <w:sz w:val="20"/>
                <w:szCs w:val="20"/>
                <w:color w:val="auto"/>
              </w:rPr>
            </w:pPr>
            <w:r>
              <w:rPr>
                <w:rFonts w:ascii="Arial" w:cs="Arial" w:eastAsia="Arial" w:hAnsi="Arial"/>
                <w:sz w:val="14"/>
                <w:szCs w:val="14"/>
                <w:b w:val="1"/>
                <w:bCs w:val="1"/>
                <w:color w:val="0070FF"/>
              </w:rPr>
              <w:t>DECEMBER 31, 2002</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Exploration</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20"/>
              <w:spacing w:after="0" w:line="149" w:lineRule="exact"/>
              <w:rPr>
                <w:sz w:val="20"/>
                <w:szCs w:val="20"/>
                <w:color w:val="auto"/>
              </w:rPr>
            </w:pPr>
            <w:r>
              <w:rPr>
                <w:rFonts w:ascii="Arial" w:cs="Arial" w:eastAsia="Arial" w:hAnsi="Arial"/>
                <w:sz w:val="14"/>
                <w:szCs w:val="14"/>
                <w:color w:val="auto"/>
              </w:rPr>
              <w:t>Wells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477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92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748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20"/>
              <w:spacing w:after="0" w:line="149" w:lineRule="exact"/>
              <w:rPr>
                <w:sz w:val="20"/>
                <w:szCs w:val="20"/>
                <w:color w:val="auto"/>
              </w:rPr>
            </w:pPr>
            <w:r>
              <w:rPr>
                <w:rFonts w:ascii="Arial" w:cs="Arial" w:eastAsia="Arial" w:hAnsi="Arial"/>
                <w:sz w:val="14"/>
                <w:szCs w:val="14"/>
                <w:color w:val="auto"/>
              </w:rPr>
              <w:t>Geological and</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60"/>
              <w:spacing w:after="0" w:line="149" w:lineRule="exact"/>
              <w:rPr>
                <w:sz w:val="20"/>
                <w:szCs w:val="20"/>
                <w:color w:val="auto"/>
              </w:rPr>
            </w:pPr>
            <w:r>
              <w:rPr>
                <w:rFonts w:ascii="Arial" w:cs="Arial" w:eastAsia="Arial" w:hAnsi="Arial"/>
                <w:sz w:val="14"/>
                <w:szCs w:val="14"/>
                <w:color w:val="auto"/>
              </w:rPr>
              <w:t>geophysical</w:t>
            </w:r>
          </w:p>
        </w:tc>
        <w:tc>
          <w:tcPr>
            <w:tcW w:w="340" w:type="dxa"/>
            <w:vAlign w:val="bottom"/>
          </w:tcPr>
          <w:p>
            <w:pPr>
              <w:spacing w:after="0"/>
              <w:rPr>
                <w:sz w:val="12"/>
                <w:szCs w:val="12"/>
                <w:color w:val="auto"/>
              </w:rPr>
            </w:pPr>
          </w:p>
        </w:tc>
        <w:tc>
          <w:tcPr>
            <w:tcW w:w="7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95</w:t>
            </w:r>
          </w:p>
        </w:tc>
        <w:tc>
          <w:tcPr>
            <w:tcW w:w="500" w:type="dxa"/>
            <w:vAlign w:val="bottom"/>
          </w:tcPr>
          <w:p>
            <w:pPr>
              <w:spacing w:after="0"/>
              <w:rPr>
                <w:sz w:val="12"/>
                <w:szCs w:val="12"/>
                <w:color w:val="auto"/>
              </w:rPr>
            </w:pPr>
          </w:p>
        </w:tc>
        <w:tc>
          <w:tcPr>
            <w:tcW w:w="6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69</w:t>
            </w:r>
          </w:p>
        </w:tc>
        <w:tc>
          <w:tcPr>
            <w:tcW w:w="680" w:type="dxa"/>
            <w:vAlign w:val="bottom"/>
          </w:tcPr>
          <w:p>
            <w:pPr>
              <w:spacing w:after="0"/>
              <w:rPr>
                <w:sz w:val="12"/>
                <w:szCs w:val="12"/>
                <w:color w:val="auto"/>
              </w:rPr>
            </w:pPr>
          </w:p>
        </w:tc>
        <w:tc>
          <w:tcPr>
            <w:tcW w:w="7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43</w:t>
            </w:r>
          </w:p>
        </w:tc>
        <w:tc>
          <w:tcPr>
            <w:tcW w:w="480" w:type="dxa"/>
            <w:vAlign w:val="bottom"/>
          </w:tcPr>
          <w:p>
            <w:pPr>
              <w:spacing w:after="0"/>
              <w:rPr>
                <w:sz w:val="12"/>
                <w:szCs w:val="12"/>
                <w:color w:val="auto"/>
              </w:rPr>
            </w:pPr>
          </w:p>
        </w:tc>
        <w:tc>
          <w:tcPr>
            <w:tcW w:w="7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53</w:t>
            </w:r>
          </w:p>
        </w:tc>
        <w:tc>
          <w:tcPr>
            <w:tcW w:w="4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7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Rentals and other</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35</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29</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38</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rPr>
              <w:t>43</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145</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color w:val="auto"/>
              </w:rPr>
              <w:t>Total exploration</w:t>
            </w:r>
          </w:p>
        </w:tc>
        <w:tc>
          <w:tcPr>
            <w:tcW w:w="3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rPr>
              <w:t>607</w:t>
            </w:r>
          </w:p>
        </w:tc>
        <w:tc>
          <w:tcPr>
            <w:tcW w:w="5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color w:val="auto"/>
              </w:rPr>
              <w:t>229</w:t>
            </w:r>
          </w:p>
        </w:tc>
        <w:tc>
          <w:tcPr>
            <w:tcW w:w="6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rPr>
              <w:t>129</w:t>
            </w:r>
          </w:p>
        </w:tc>
        <w:tc>
          <w:tcPr>
            <w:tcW w:w="4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48"/>
              <w:spacing w:after="0" w:line="155" w:lineRule="exact"/>
              <w:rPr>
                <w:sz w:val="20"/>
                <w:szCs w:val="20"/>
                <w:color w:val="auto"/>
              </w:rPr>
            </w:pPr>
            <w:r>
              <w:rPr>
                <w:rFonts w:ascii="Arial" w:cs="Arial" w:eastAsia="Arial" w:hAnsi="Arial"/>
                <w:sz w:val="14"/>
                <w:szCs w:val="14"/>
                <w:color w:val="auto"/>
              </w:rPr>
              <w:t>188</w:t>
            </w:r>
          </w:p>
        </w:tc>
        <w:tc>
          <w:tcPr>
            <w:tcW w:w="480" w:type="dxa"/>
            <w:vAlign w:val="bottom"/>
            <w:tcBorders>
              <w:bottom w:val="single" w:sz="8" w:color="0070FF"/>
            </w:tcBorders>
          </w:tcPr>
          <w:p>
            <w:pPr>
              <w:spacing w:after="0"/>
              <w:rPr>
                <w:sz w:val="13"/>
                <w:szCs w:val="13"/>
                <w:color w:val="auto"/>
              </w:rPr>
            </w:pP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1,153</w:t>
            </w:r>
          </w:p>
        </w:tc>
        <w:tc>
          <w:tcPr>
            <w:tcW w:w="56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gridSpan w:val="2"/>
          </w:tcPr>
          <w:p>
            <w:pPr>
              <w:jc w:val="right"/>
              <w:ind w:right="5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color w:val="auto"/>
                <w:w w:val="85"/>
              </w:rPr>
              <w:t>1,153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spacing w:after="0" w:line="147" w:lineRule="exact"/>
              <w:rPr>
                <w:sz w:val="20"/>
                <w:szCs w:val="20"/>
                <w:color w:val="auto"/>
              </w:rPr>
            </w:pPr>
            <w:r>
              <w:rPr>
                <w:rFonts w:ascii="Arial" w:cs="Arial" w:eastAsia="Arial" w:hAnsi="Arial"/>
                <w:sz w:val="14"/>
                <w:szCs w:val="14"/>
                <w:color w:val="auto"/>
              </w:rPr>
              <w:t>Property acquisitions</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40" w:type="dxa"/>
            <w:vAlign w:val="bottom"/>
          </w:tcPr>
          <w:p>
            <w:pPr>
              <w:ind w:left="120"/>
              <w:spacing w:after="0" w:line="179" w:lineRule="exact"/>
              <w:rPr>
                <w:sz w:val="20"/>
                <w:szCs w:val="20"/>
                <w:color w:val="auto"/>
              </w:rPr>
            </w:pPr>
            <w:r>
              <w:rPr>
                <w:rFonts w:ascii="Arial" w:cs="Arial" w:eastAsia="Arial" w:hAnsi="Arial"/>
                <w:sz w:val="13"/>
                <w:szCs w:val="13"/>
                <w:color w:val="auto"/>
              </w:rPr>
              <w:t>Proved</w:t>
            </w:r>
            <w:r>
              <w:rPr>
                <w:rFonts w:ascii="Arial" w:cs="Arial" w:eastAsia="Arial" w:hAnsi="Arial"/>
                <w:sz w:val="20"/>
                <w:szCs w:val="20"/>
                <w:color w:val="auto"/>
                <w:vertAlign w:val="superscript"/>
              </w:rPr>
              <w:t>3</w:t>
            </w:r>
          </w:p>
        </w:tc>
        <w:tc>
          <w:tcPr>
            <w:tcW w:w="340" w:type="dxa"/>
            <w:vAlign w:val="bottom"/>
          </w:tcPr>
          <w:p>
            <w:pPr>
              <w:spacing w:after="0"/>
              <w:rPr>
                <w:sz w:val="15"/>
                <w:szCs w:val="15"/>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rPr>
              <w:t>106</w:t>
            </w:r>
          </w:p>
        </w:tc>
        <w:tc>
          <w:tcPr>
            <w:tcW w:w="500" w:type="dxa"/>
            <w:vAlign w:val="bottom"/>
          </w:tcPr>
          <w:p>
            <w:pPr>
              <w:spacing w:after="0"/>
              <w:rPr>
                <w:sz w:val="15"/>
                <w:szCs w:val="15"/>
                <w:color w:val="auto"/>
              </w:rPr>
            </w:pPr>
          </w:p>
        </w:tc>
        <w:tc>
          <w:tcPr>
            <w:tcW w:w="6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106</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7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Unproved</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51</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6</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2</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60</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40" w:type="dxa"/>
            <w:vAlign w:val="bottom"/>
          </w:tcPr>
          <w:p>
            <w:pPr>
              <w:ind w:left="120"/>
              <w:spacing w:after="0" w:line="137" w:lineRule="exact"/>
              <w:rPr>
                <w:sz w:val="20"/>
                <w:szCs w:val="20"/>
                <w:color w:val="auto"/>
              </w:rPr>
            </w:pPr>
            <w:r>
              <w:rPr>
                <w:rFonts w:ascii="Arial" w:cs="Arial" w:eastAsia="Arial" w:hAnsi="Arial"/>
                <w:sz w:val="14"/>
                <w:szCs w:val="14"/>
                <w:color w:val="auto"/>
              </w:rPr>
              <w:t>Total property</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acquisitions</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157</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6</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2</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166</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18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Development</w:t>
            </w:r>
          </w:p>
        </w:tc>
        <w:tc>
          <w:tcPr>
            <w:tcW w:w="3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w w:val="85"/>
              </w:rPr>
              <w:t>1,091</w:t>
            </w:r>
          </w:p>
        </w:tc>
        <w:tc>
          <w:tcPr>
            <w:tcW w:w="5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color w:val="auto"/>
              </w:rPr>
              <w:t>661</w:t>
            </w:r>
          </w:p>
        </w:tc>
        <w:tc>
          <w:tcPr>
            <w:tcW w:w="6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w w:val="91"/>
              </w:rPr>
              <w:t>1,017</w:t>
            </w:r>
          </w:p>
        </w:tc>
        <w:tc>
          <w:tcPr>
            <w:tcW w:w="4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48"/>
              <w:spacing w:after="0" w:line="155" w:lineRule="exact"/>
              <w:rPr>
                <w:sz w:val="20"/>
                <w:szCs w:val="20"/>
                <w:color w:val="auto"/>
              </w:rPr>
            </w:pPr>
            <w:r>
              <w:rPr>
                <w:rFonts w:ascii="Arial" w:cs="Arial" w:eastAsia="Arial" w:hAnsi="Arial"/>
                <w:sz w:val="14"/>
                <w:szCs w:val="14"/>
                <w:color w:val="auto"/>
              </w:rPr>
              <w:t>926</w:t>
            </w:r>
          </w:p>
        </w:tc>
        <w:tc>
          <w:tcPr>
            <w:tcW w:w="480" w:type="dxa"/>
            <w:vAlign w:val="bottom"/>
            <w:tcBorders>
              <w:bottom w:val="single" w:sz="8" w:color="0070FF"/>
            </w:tcBorders>
          </w:tcPr>
          <w:p>
            <w:pPr>
              <w:spacing w:after="0"/>
              <w:rPr>
                <w:sz w:val="13"/>
                <w:szCs w:val="13"/>
                <w:color w:val="auto"/>
              </w:rPr>
            </w:pP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3,695</w:t>
            </w:r>
          </w:p>
        </w:tc>
        <w:tc>
          <w:tcPr>
            <w:tcW w:w="56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color w:val="auto"/>
                <w:w w:val="85"/>
              </w:rPr>
              <w:t>447</w:t>
            </w:r>
          </w:p>
        </w:tc>
        <w:tc>
          <w:tcPr>
            <w:tcW w:w="560" w:type="dxa"/>
            <w:vAlign w:val="bottom"/>
            <w:tcBorders>
              <w:bottom w:val="single" w:sz="8" w:color="0070FF"/>
            </w:tcBorders>
          </w:tcPr>
          <w:p>
            <w:pPr>
              <w:spacing w:after="0"/>
              <w:rPr>
                <w:sz w:val="13"/>
                <w:szCs w:val="13"/>
                <w:color w:val="auto"/>
              </w:rPr>
            </w:pP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353</w:t>
            </w:r>
          </w:p>
        </w:tc>
        <w:tc>
          <w:tcPr>
            <w:tcW w:w="5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color w:val="auto"/>
                <w:w w:val="85"/>
              </w:rPr>
              <w:t>4,495</w:t>
            </w:r>
          </w:p>
        </w:tc>
        <w:tc>
          <w:tcPr>
            <w:tcW w:w="0" w:type="dxa"/>
            <w:vAlign w:val="bottom"/>
          </w:tcPr>
          <w:p>
            <w:pPr>
              <w:spacing w:after="0"/>
              <w:rPr>
                <w:sz w:val="1"/>
                <w:szCs w:val="1"/>
                <w:color w:val="auto"/>
              </w:rPr>
            </w:pPr>
          </w:p>
        </w:tc>
      </w:tr>
      <w:tr>
        <w:trPr>
          <w:trHeight w:val="133"/>
        </w:trPr>
        <w:tc>
          <w:tcPr>
            <w:tcW w:w="1860" w:type="dxa"/>
            <w:vAlign w:val="bottom"/>
            <w:gridSpan w:val="2"/>
          </w:tcPr>
          <w:p>
            <w:pPr>
              <w:spacing w:after="0" w:line="133" w:lineRule="exact"/>
              <w:rPr>
                <w:sz w:val="20"/>
                <w:szCs w:val="20"/>
                <w:color w:val="auto"/>
              </w:rPr>
            </w:pPr>
            <w:r>
              <w:rPr>
                <w:rFonts w:ascii="Arial" w:cs="Arial" w:eastAsia="Arial" w:hAnsi="Arial"/>
                <w:sz w:val="14"/>
                <w:szCs w:val="14"/>
                <w:b w:val="1"/>
                <w:bCs w:val="1"/>
                <w:color w:val="0070FF"/>
              </w:rPr>
              <w:t>TOTAL COSTS</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b w:val="1"/>
                <w:bCs w:val="1"/>
                <w:color w:val="0070FF"/>
              </w:rPr>
              <w:t>INCURRED</w:t>
            </w:r>
          </w:p>
        </w:tc>
        <w:tc>
          <w:tcPr>
            <w:tcW w:w="3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w w:val="85"/>
              </w:rPr>
              <w:t>1,855</w:t>
            </w: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896</w:t>
            </w:r>
          </w:p>
        </w:tc>
        <w:tc>
          <w:tcPr>
            <w:tcW w:w="6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w w:val="91"/>
              </w:rPr>
              <w:t>1,148</w:t>
            </w: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w w:val="85"/>
              </w:rPr>
              <w:t>1,115</w:t>
            </w: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85"/>
              </w:rPr>
              <w:t>5,014</w:t>
            </w:r>
          </w:p>
        </w:tc>
        <w:tc>
          <w:tcPr>
            <w:tcW w:w="90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w w:val="85"/>
              </w:rPr>
              <w:t>447</w:t>
            </w:r>
          </w:p>
        </w:tc>
        <w:tc>
          <w:tcPr>
            <w:tcW w:w="5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85"/>
              </w:rPr>
              <w:t>353</w:t>
            </w:r>
          </w:p>
        </w:tc>
        <w:tc>
          <w:tcPr>
            <w:tcW w:w="560" w:type="dxa"/>
            <w:vAlign w:val="bottom"/>
            <w:tcBorders>
              <w:bottom w:val="single" w:sz="8" w:color="0070FF"/>
            </w:tcBorders>
          </w:tcPr>
          <w:p>
            <w:pPr>
              <w:spacing w:after="0"/>
              <w:rPr>
                <w:sz w:val="16"/>
                <w:szCs w:val="16"/>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w w:val="85"/>
              </w:rPr>
              <w:t>5,814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40" w:type="dxa"/>
            <w:vAlign w:val="bottom"/>
          </w:tcPr>
          <w:p>
            <w:pPr>
              <w:spacing w:after="0" w:line="139" w:lineRule="exact"/>
              <w:rPr>
                <w:sz w:val="20"/>
                <w:szCs w:val="20"/>
                <w:color w:val="auto"/>
              </w:rPr>
            </w:pPr>
            <w:r>
              <w:rPr>
                <w:rFonts w:ascii="Arial" w:cs="Arial" w:eastAsia="Arial" w:hAnsi="Arial"/>
                <w:sz w:val="14"/>
                <w:szCs w:val="14"/>
                <w:b w:val="1"/>
                <w:bCs w:val="1"/>
                <w:color w:val="0070FF"/>
              </w:rPr>
              <w:t>YEAR ENDED</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40" w:type="dxa"/>
            <w:vAlign w:val="bottom"/>
          </w:tcPr>
          <w:p>
            <w:pPr>
              <w:ind w:left="120"/>
              <w:spacing w:after="0" w:line="153" w:lineRule="exact"/>
              <w:rPr>
                <w:sz w:val="20"/>
                <w:szCs w:val="20"/>
                <w:color w:val="auto"/>
              </w:rPr>
            </w:pPr>
            <w:r>
              <w:rPr>
                <w:rFonts w:ascii="Arial" w:cs="Arial" w:eastAsia="Arial" w:hAnsi="Arial"/>
                <w:sz w:val="14"/>
                <w:szCs w:val="14"/>
                <w:b w:val="1"/>
                <w:bCs w:val="1"/>
                <w:color w:val="0070FF"/>
              </w:rPr>
              <w:t>DECEMBER 31, 2001</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Exploration</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20"/>
              <w:spacing w:after="0" w:line="149" w:lineRule="exact"/>
              <w:rPr>
                <w:sz w:val="20"/>
                <w:szCs w:val="20"/>
                <w:color w:val="auto"/>
              </w:rPr>
            </w:pPr>
            <w:r>
              <w:rPr>
                <w:rFonts w:ascii="Arial" w:cs="Arial" w:eastAsia="Arial" w:hAnsi="Arial"/>
                <w:sz w:val="14"/>
                <w:szCs w:val="14"/>
                <w:color w:val="auto"/>
              </w:rPr>
              <w:t>Wells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620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172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186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197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1,175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85"/>
              </w:rPr>
              <w:t>1,175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20"/>
              <w:spacing w:after="0" w:line="149" w:lineRule="exact"/>
              <w:rPr>
                <w:sz w:val="20"/>
                <w:szCs w:val="20"/>
                <w:color w:val="auto"/>
              </w:rPr>
            </w:pPr>
            <w:r>
              <w:rPr>
                <w:rFonts w:ascii="Arial" w:cs="Arial" w:eastAsia="Arial" w:hAnsi="Arial"/>
                <w:sz w:val="14"/>
                <w:szCs w:val="14"/>
                <w:color w:val="auto"/>
              </w:rPr>
              <w:t>Geological and</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60"/>
              <w:spacing w:after="0" w:line="149" w:lineRule="exact"/>
              <w:rPr>
                <w:sz w:val="20"/>
                <w:szCs w:val="20"/>
                <w:color w:val="auto"/>
              </w:rPr>
            </w:pPr>
            <w:r>
              <w:rPr>
                <w:rFonts w:ascii="Arial" w:cs="Arial" w:eastAsia="Arial" w:hAnsi="Arial"/>
                <w:sz w:val="14"/>
                <w:szCs w:val="14"/>
                <w:color w:val="auto"/>
              </w:rPr>
              <w:t>geophysical</w:t>
            </w:r>
          </w:p>
        </w:tc>
        <w:tc>
          <w:tcPr>
            <w:tcW w:w="340" w:type="dxa"/>
            <w:vAlign w:val="bottom"/>
          </w:tcPr>
          <w:p>
            <w:pPr>
              <w:spacing w:after="0"/>
              <w:rPr>
                <w:sz w:val="12"/>
                <w:szCs w:val="12"/>
                <w:color w:val="auto"/>
              </w:rPr>
            </w:pPr>
          </w:p>
        </w:tc>
        <w:tc>
          <w:tcPr>
            <w:tcW w:w="7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46</w:t>
            </w:r>
          </w:p>
        </w:tc>
        <w:tc>
          <w:tcPr>
            <w:tcW w:w="500" w:type="dxa"/>
            <w:vAlign w:val="bottom"/>
          </w:tcPr>
          <w:p>
            <w:pPr>
              <w:spacing w:after="0"/>
              <w:rPr>
                <w:sz w:val="12"/>
                <w:szCs w:val="12"/>
                <w:color w:val="auto"/>
              </w:rPr>
            </w:pPr>
          </w:p>
        </w:tc>
        <w:tc>
          <w:tcPr>
            <w:tcW w:w="6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35</w:t>
            </w:r>
          </w:p>
        </w:tc>
        <w:tc>
          <w:tcPr>
            <w:tcW w:w="680" w:type="dxa"/>
            <w:vAlign w:val="bottom"/>
          </w:tcPr>
          <w:p>
            <w:pPr>
              <w:spacing w:after="0"/>
              <w:rPr>
                <w:sz w:val="12"/>
                <w:szCs w:val="12"/>
                <w:color w:val="auto"/>
              </w:rPr>
            </w:pPr>
          </w:p>
        </w:tc>
        <w:tc>
          <w:tcPr>
            <w:tcW w:w="74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42</w:t>
            </w:r>
          </w:p>
        </w:tc>
        <w:tc>
          <w:tcPr>
            <w:tcW w:w="480" w:type="dxa"/>
            <w:vAlign w:val="bottom"/>
          </w:tcPr>
          <w:p>
            <w:pPr>
              <w:spacing w:after="0"/>
              <w:rPr>
                <w:sz w:val="12"/>
                <w:szCs w:val="12"/>
                <w:color w:val="auto"/>
              </w:rPr>
            </w:pPr>
          </w:p>
        </w:tc>
        <w:tc>
          <w:tcPr>
            <w:tcW w:w="7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65</w:t>
            </w:r>
          </w:p>
        </w:tc>
        <w:tc>
          <w:tcPr>
            <w:tcW w:w="4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7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Rentals and other</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65</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48</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15</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rPr>
              <w:t>98</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226</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Borders>
              <w:bottom w:val="single" w:sz="8" w:color="0070FF"/>
            </w:tcBorders>
          </w:tcPr>
          <w:p>
            <w:pPr>
              <w:ind w:left="120"/>
              <w:spacing w:after="0" w:line="155" w:lineRule="exact"/>
              <w:rPr>
                <w:sz w:val="20"/>
                <w:szCs w:val="20"/>
                <w:color w:val="auto"/>
              </w:rPr>
            </w:pPr>
            <w:r>
              <w:rPr>
                <w:rFonts w:ascii="Arial" w:cs="Arial" w:eastAsia="Arial" w:hAnsi="Arial"/>
                <w:sz w:val="14"/>
                <w:szCs w:val="14"/>
                <w:color w:val="auto"/>
              </w:rPr>
              <w:t>Total exploration</w:t>
            </w:r>
          </w:p>
        </w:tc>
        <w:tc>
          <w:tcPr>
            <w:tcW w:w="3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rPr>
              <w:t>731</w:t>
            </w:r>
          </w:p>
        </w:tc>
        <w:tc>
          <w:tcPr>
            <w:tcW w:w="5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color w:val="auto"/>
              </w:rPr>
              <w:t>255</w:t>
            </w:r>
          </w:p>
        </w:tc>
        <w:tc>
          <w:tcPr>
            <w:tcW w:w="6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rPr>
              <w:t>243</w:t>
            </w:r>
          </w:p>
        </w:tc>
        <w:tc>
          <w:tcPr>
            <w:tcW w:w="4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48"/>
              <w:spacing w:after="0" w:line="155" w:lineRule="exact"/>
              <w:rPr>
                <w:sz w:val="20"/>
                <w:szCs w:val="20"/>
                <w:color w:val="auto"/>
              </w:rPr>
            </w:pPr>
            <w:r>
              <w:rPr>
                <w:rFonts w:ascii="Arial" w:cs="Arial" w:eastAsia="Arial" w:hAnsi="Arial"/>
                <w:sz w:val="14"/>
                <w:szCs w:val="14"/>
                <w:color w:val="auto"/>
              </w:rPr>
              <w:t>360</w:t>
            </w:r>
          </w:p>
        </w:tc>
        <w:tc>
          <w:tcPr>
            <w:tcW w:w="480" w:type="dxa"/>
            <w:vAlign w:val="bottom"/>
            <w:tcBorders>
              <w:bottom w:val="single" w:sz="8" w:color="0070FF"/>
            </w:tcBorders>
          </w:tcPr>
          <w:p>
            <w:pPr>
              <w:spacing w:after="0"/>
              <w:rPr>
                <w:sz w:val="13"/>
                <w:szCs w:val="13"/>
                <w:color w:val="auto"/>
              </w:rPr>
            </w:pP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1,589</w:t>
            </w:r>
          </w:p>
        </w:tc>
        <w:tc>
          <w:tcPr>
            <w:tcW w:w="56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0070FF"/>
            </w:tcBorders>
          </w:tcPr>
          <w:p>
            <w:pPr>
              <w:spacing w:after="0"/>
              <w:rPr>
                <w:sz w:val="13"/>
                <w:szCs w:val="13"/>
                <w:color w:val="auto"/>
              </w:rPr>
            </w:pPr>
          </w:p>
        </w:tc>
        <w:tc>
          <w:tcPr>
            <w:tcW w:w="780" w:type="dxa"/>
            <w:vAlign w:val="bottom"/>
            <w:tcBorders>
              <w:bottom w:val="single" w:sz="8" w:color="0070FF"/>
            </w:tcBorders>
            <w:gridSpan w:val="2"/>
          </w:tcPr>
          <w:p>
            <w:pPr>
              <w:jc w:val="right"/>
              <w:ind w:right="5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color w:val="auto"/>
                <w:w w:val="85"/>
              </w:rPr>
              <w:t>1,589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spacing w:after="0" w:line="147" w:lineRule="exact"/>
              <w:rPr>
                <w:sz w:val="20"/>
                <w:szCs w:val="20"/>
                <w:color w:val="auto"/>
              </w:rPr>
            </w:pPr>
            <w:r>
              <w:rPr>
                <w:rFonts w:ascii="Arial" w:cs="Arial" w:eastAsia="Arial" w:hAnsi="Arial"/>
                <w:sz w:val="14"/>
                <w:szCs w:val="14"/>
                <w:color w:val="auto"/>
              </w:rPr>
              <w:t>Property acquisitions</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40" w:type="dxa"/>
            <w:vAlign w:val="bottom"/>
          </w:tcPr>
          <w:p>
            <w:pPr>
              <w:ind w:left="120"/>
              <w:spacing w:after="0" w:line="179" w:lineRule="exact"/>
              <w:rPr>
                <w:sz w:val="20"/>
                <w:szCs w:val="20"/>
                <w:color w:val="auto"/>
              </w:rPr>
            </w:pPr>
            <w:r>
              <w:rPr>
                <w:rFonts w:ascii="Arial" w:cs="Arial" w:eastAsia="Arial" w:hAnsi="Arial"/>
                <w:sz w:val="13"/>
                <w:szCs w:val="13"/>
                <w:color w:val="auto"/>
              </w:rPr>
              <w:t>Proved</w:t>
            </w:r>
            <w:r>
              <w:rPr>
                <w:rFonts w:ascii="Arial" w:cs="Arial" w:eastAsia="Arial" w:hAnsi="Arial"/>
                <w:sz w:val="20"/>
                <w:szCs w:val="20"/>
                <w:color w:val="auto"/>
                <w:vertAlign w:val="superscript"/>
              </w:rPr>
              <w:t>3</w:t>
            </w:r>
          </w:p>
        </w:tc>
        <w:tc>
          <w:tcPr>
            <w:tcW w:w="340" w:type="dxa"/>
            <w:vAlign w:val="bottom"/>
          </w:tcPr>
          <w:p>
            <w:pPr>
              <w:spacing w:after="0"/>
              <w:rPr>
                <w:sz w:val="15"/>
                <w:szCs w:val="15"/>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rPr>
              <w:t>25</w:t>
            </w:r>
          </w:p>
        </w:tc>
        <w:tc>
          <w:tcPr>
            <w:tcW w:w="500" w:type="dxa"/>
            <w:vAlign w:val="bottom"/>
          </w:tcPr>
          <w:p>
            <w:pPr>
              <w:spacing w:after="0"/>
              <w:rPr>
                <w:sz w:val="15"/>
                <w:szCs w:val="15"/>
                <w:color w:val="auto"/>
              </w:rPr>
            </w:pPr>
          </w:p>
        </w:tc>
        <w:tc>
          <w:tcPr>
            <w:tcW w:w="680" w:type="dxa"/>
            <w:vAlign w:val="bottom"/>
          </w:tcPr>
          <w:p>
            <w:pPr>
              <w:jc w:val="right"/>
              <w:ind w:right="288"/>
              <w:spacing w:after="0"/>
              <w:rPr>
                <w:sz w:val="20"/>
                <w:szCs w:val="20"/>
                <w:color w:val="auto"/>
              </w:rPr>
            </w:pPr>
            <w:r>
              <w:rPr>
                <w:rFonts w:ascii="Arial" w:cs="Arial" w:eastAsia="Arial" w:hAnsi="Arial"/>
                <w:sz w:val="14"/>
                <w:szCs w:val="14"/>
                <w:color w:val="auto"/>
              </w:rPr>
              <w:t>4</w:t>
            </w:r>
          </w:p>
        </w:tc>
        <w:tc>
          <w:tcPr>
            <w:tcW w:w="680" w:type="dxa"/>
            <w:vAlign w:val="bottom"/>
          </w:tcPr>
          <w:p>
            <w:pPr>
              <w:spacing w:after="0"/>
              <w:rPr>
                <w:sz w:val="15"/>
                <w:szCs w:val="15"/>
                <w:color w:val="auto"/>
              </w:rPr>
            </w:pP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362</w:t>
            </w:r>
          </w:p>
        </w:tc>
        <w:tc>
          <w:tcPr>
            <w:tcW w:w="560" w:type="dxa"/>
            <w:vAlign w:val="bottom"/>
          </w:tcPr>
          <w:p>
            <w:pPr>
              <w:spacing w:after="0"/>
              <w:rPr>
                <w:sz w:val="15"/>
                <w:szCs w:val="15"/>
                <w:color w:val="auto"/>
              </w:rPr>
            </w:pPr>
          </w:p>
        </w:tc>
        <w:tc>
          <w:tcPr>
            <w:tcW w:w="7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Unproved</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50</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38</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12</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100</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w w:val="85"/>
              </w:rPr>
              <w:t>108</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40" w:type="dxa"/>
            <w:vAlign w:val="bottom"/>
          </w:tcPr>
          <w:p>
            <w:pPr>
              <w:ind w:left="120"/>
              <w:spacing w:after="0" w:line="137" w:lineRule="exact"/>
              <w:rPr>
                <w:sz w:val="20"/>
                <w:szCs w:val="20"/>
                <w:color w:val="auto"/>
              </w:rPr>
            </w:pPr>
            <w:r>
              <w:rPr>
                <w:rFonts w:ascii="Arial" w:cs="Arial" w:eastAsia="Arial" w:hAnsi="Arial"/>
                <w:sz w:val="14"/>
                <w:szCs w:val="14"/>
                <w:color w:val="auto"/>
              </w:rPr>
              <w:t>Total property</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Borders>
              <w:bottom w:val="single" w:sz="8" w:color="0070FF"/>
            </w:tcBorders>
          </w:tcPr>
          <w:p>
            <w:pPr>
              <w:ind w:left="260"/>
              <w:spacing w:after="0"/>
              <w:rPr>
                <w:sz w:val="20"/>
                <w:szCs w:val="20"/>
                <w:color w:val="auto"/>
              </w:rPr>
            </w:pPr>
            <w:r>
              <w:rPr>
                <w:rFonts w:ascii="Arial" w:cs="Arial" w:eastAsia="Arial" w:hAnsi="Arial"/>
                <w:sz w:val="14"/>
                <w:szCs w:val="14"/>
                <w:color w:val="auto"/>
              </w:rPr>
              <w:t>acquisitions</w:t>
            </w:r>
          </w:p>
        </w:tc>
        <w:tc>
          <w:tcPr>
            <w:tcW w:w="3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75</w:t>
            </w:r>
          </w:p>
        </w:tc>
        <w:tc>
          <w:tcPr>
            <w:tcW w:w="5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42</w:t>
            </w:r>
          </w:p>
        </w:tc>
        <w:tc>
          <w:tcPr>
            <w:tcW w:w="6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rPr>
              <w:t>12</w:t>
            </w:r>
          </w:p>
        </w:tc>
        <w:tc>
          <w:tcPr>
            <w:tcW w:w="48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129</w:t>
            </w:r>
          </w:p>
        </w:tc>
        <w:tc>
          <w:tcPr>
            <w:tcW w:w="560" w:type="dxa"/>
            <w:vAlign w:val="bottom"/>
            <w:tcBorders>
              <w:bottom w:val="single" w:sz="8" w:color="0070FF"/>
            </w:tcBorders>
          </w:tcPr>
          <w:p>
            <w:pPr>
              <w:spacing w:after="0"/>
              <w:rPr>
                <w:sz w:val="14"/>
                <w:szCs w:val="14"/>
                <w:color w:val="auto"/>
              </w:rPr>
            </w:pPr>
          </w:p>
        </w:tc>
        <w:tc>
          <w:tcPr>
            <w:tcW w:w="3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w w:val="85"/>
              </w:rPr>
              <w:t>470</w:t>
            </w:r>
          </w:p>
        </w:tc>
        <w:tc>
          <w:tcPr>
            <w:tcW w:w="560" w:type="dxa"/>
            <w:vAlign w:val="bottom"/>
            <w:tcBorders>
              <w:bottom w:val="single" w:sz="8" w:color="0070FF"/>
            </w:tcBorders>
          </w:tcPr>
          <w:p>
            <w:pPr>
              <w:spacing w:after="0"/>
              <w:rPr>
                <w:sz w:val="14"/>
                <w:szCs w:val="14"/>
                <w:color w:val="auto"/>
              </w:rPr>
            </w:pPr>
          </w:p>
        </w:tc>
        <w:tc>
          <w:tcPr>
            <w:tcW w:w="780" w:type="dxa"/>
            <w:vAlign w:val="bottom"/>
            <w:tcBorders>
              <w:bottom w:val="single" w:sz="8" w:color="0070FF"/>
            </w:tcBorders>
            <w:gridSpan w:val="2"/>
          </w:tcPr>
          <w:p>
            <w:pPr>
              <w:jc w:val="right"/>
              <w:ind w:right="5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0FF"/>
            </w:tcBorders>
          </w:tcPr>
          <w:p>
            <w:pPr>
              <w:spacing w:after="0"/>
              <w:rPr>
                <w:sz w:val="14"/>
                <w:szCs w:val="14"/>
                <w:color w:val="auto"/>
              </w:rPr>
            </w:pP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56"/>
        </w:trPr>
        <w:tc>
          <w:tcPr>
            <w:tcW w:w="20" w:type="dxa"/>
            <w:vAlign w:val="bottom"/>
            <w:tcBorders>
              <w:bottom w:val="single" w:sz="8" w:color="0070FF"/>
            </w:tcBorders>
          </w:tcPr>
          <w:p>
            <w:pPr>
              <w:spacing w:after="0"/>
              <w:rPr>
                <w:sz w:val="13"/>
                <w:szCs w:val="13"/>
                <w:color w:val="auto"/>
              </w:rPr>
            </w:pPr>
          </w:p>
        </w:tc>
        <w:tc>
          <w:tcPr>
            <w:tcW w:w="1840" w:type="dxa"/>
            <w:vAlign w:val="bottom"/>
            <w:tcBorders>
              <w:bottom w:val="single" w:sz="8" w:color="0070FF"/>
            </w:tcBorders>
          </w:tcPr>
          <w:p>
            <w:pPr>
              <w:spacing w:after="0" w:line="155" w:lineRule="exact"/>
              <w:rPr>
                <w:sz w:val="20"/>
                <w:szCs w:val="20"/>
                <w:color w:val="auto"/>
              </w:rPr>
            </w:pPr>
            <w:r>
              <w:rPr>
                <w:rFonts w:ascii="Arial" w:cs="Arial" w:eastAsia="Arial" w:hAnsi="Arial"/>
                <w:sz w:val="14"/>
                <w:szCs w:val="14"/>
                <w:color w:val="auto"/>
              </w:rPr>
              <w:t>Development</w:t>
            </w:r>
          </w:p>
        </w:tc>
        <w:tc>
          <w:tcPr>
            <w:tcW w:w="3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w w:val="85"/>
              </w:rPr>
              <w:t>1,754</w:t>
            </w:r>
          </w:p>
        </w:tc>
        <w:tc>
          <w:tcPr>
            <w:tcW w:w="5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288"/>
              <w:spacing w:after="0" w:line="155" w:lineRule="exact"/>
              <w:rPr>
                <w:sz w:val="20"/>
                <w:szCs w:val="20"/>
                <w:color w:val="auto"/>
              </w:rPr>
            </w:pPr>
            <w:r>
              <w:rPr>
                <w:rFonts w:ascii="Arial" w:cs="Arial" w:eastAsia="Arial" w:hAnsi="Arial"/>
                <w:sz w:val="14"/>
                <w:szCs w:val="14"/>
                <w:color w:val="auto"/>
              </w:rPr>
              <w:t>551</w:t>
            </w:r>
          </w:p>
        </w:tc>
        <w:tc>
          <w:tcPr>
            <w:tcW w:w="6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28"/>
              <w:spacing w:after="0" w:line="155" w:lineRule="exact"/>
              <w:rPr>
                <w:sz w:val="20"/>
                <w:szCs w:val="20"/>
                <w:color w:val="auto"/>
              </w:rPr>
            </w:pPr>
            <w:r>
              <w:rPr>
                <w:rFonts w:ascii="Arial" w:cs="Arial" w:eastAsia="Arial" w:hAnsi="Arial"/>
                <w:sz w:val="14"/>
                <w:szCs w:val="14"/>
                <w:color w:val="auto"/>
                <w:w w:val="91"/>
              </w:rPr>
              <w:t>1,168</w:t>
            </w:r>
          </w:p>
        </w:tc>
        <w:tc>
          <w:tcPr>
            <w:tcW w:w="48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348"/>
              <w:spacing w:after="0" w:line="155" w:lineRule="exact"/>
              <w:rPr>
                <w:sz w:val="20"/>
                <w:szCs w:val="20"/>
                <w:color w:val="auto"/>
              </w:rPr>
            </w:pPr>
            <w:r>
              <w:rPr>
                <w:rFonts w:ascii="Arial" w:cs="Arial" w:eastAsia="Arial" w:hAnsi="Arial"/>
                <w:sz w:val="14"/>
                <w:szCs w:val="14"/>
                <w:color w:val="auto"/>
              </w:rPr>
              <w:t>494</w:t>
            </w:r>
          </w:p>
        </w:tc>
        <w:tc>
          <w:tcPr>
            <w:tcW w:w="480" w:type="dxa"/>
            <w:vAlign w:val="bottom"/>
            <w:tcBorders>
              <w:bottom w:val="single" w:sz="8" w:color="0070FF"/>
            </w:tcBorders>
          </w:tcPr>
          <w:p>
            <w:pPr>
              <w:spacing w:after="0"/>
              <w:rPr>
                <w:sz w:val="13"/>
                <w:szCs w:val="13"/>
                <w:color w:val="auto"/>
              </w:rPr>
            </w:pP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3,967</w:t>
            </w:r>
          </w:p>
        </w:tc>
        <w:tc>
          <w:tcPr>
            <w:tcW w:w="560" w:type="dxa"/>
            <w:vAlign w:val="bottom"/>
            <w:tcBorders>
              <w:bottom w:val="single" w:sz="8" w:color="0070FF"/>
            </w:tcBorders>
          </w:tcPr>
          <w:p>
            <w:pPr>
              <w:spacing w:after="0"/>
              <w:rPr>
                <w:sz w:val="13"/>
                <w:szCs w:val="13"/>
                <w:color w:val="auto"/>
              </w:rPr>
            </w:pPr>
          </w:p>
        </w:tc>
        <w:tc>
          <w:tcPr>
            <w:tcW w:w="340" w:type="dxa"/>
            <w:vAlign w:val="bottom"/>
            <w:tcBorders>
              <w:bottom w:val="single" w:sz="8" w:color="0070FF"/>
            </w:tcBorders>
          </w:tcPr>
          <w:p>
            <w:pPr>
              <w:spacing w:after="0"/>
              <w:rPr>
                <w:sz w:val="13"/>
                <w:szCs w:val="13"/>
                <w:color w:val="auto"/>
              </w:rPr>
            </w:pPr>
          </w:p>
        </w:tc>
        <w:tc>
          <w:tcPr>
            <w:tcW w:w="540" w:type="dxa"/>
            <w:vAlign w:val="bottom"/>
            <w:tcBorders>
              <w:bottom w:val="single" w:sz="8" w:color="0070FF"/>
            </w:tcBorders>
          </w:tcPr>
          <w:p>
            <w:pPr>
              <w:jc w:val="right"/>
              <w:ind w:right="248"/>
              <w:spacing w:after="0" w:line="155" w:lineRule="exact"/>
              <w:rPr>
                <w:sz w:val="20"/>
                <w:szCs w:val="20"/>
                <w:color w:val="auto"/>
              </w:rPr>
            </w:pPr>
            <w:r>
              <w:rPr>
                <w:rFonts w:ascii="Arial" w:cs="Arial" w:eastAsia="Arial" w:hAnsi="Arial"/>
                <w:sz w:val="14"/>
                <w:szCs w:val="14"/>
                <w:color w:val="auto"/>
                <w:w w:val="85"/>
              </w:rPr>
              <w:t>266</w:t>
            </w:r>
          </w:p>
        </w:tc>
        <w:tc>
          <w:tcPr>
            <w:tcW w:w="560" w:type="dxa"/>
            <w:vAlign w:val="bottom"/>
            <w:tcBorders>
              <w:bottom w:val="single" w:sz="8" w:color="0070FF"/>
            </w:tcBorders>
          </w:tcPr>
          <w:p>
            <w:pPr>
              <w:spacing w:after="0"/>
              <w:rPr>
                <w:sz w:val="13"/>
                <w:szCs w:val="13"/>
                <w:color w:val="auto"/>
              </w:rPr>
            </w:pPr>
          </w:p>
        </w:tc>
        <w:tc>
          <w:tcPr>
            <w:tcW w:w="2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w w:val="85"/>
              </w:rPr>
              <w:t>275</w:t>
            </w:r>
          </w:p>
        </w:tc>
        <w:tc>
          <w:tcPr>
            <w:tcW w:w="560" w:type="dxa"/>
            <w:vAlign w:val="bottom"/>
            <w:tcBorders>
              <w:bottom w:val="single" w:sz="8" w:color="0070FF"/>
            </w:tcBorders>
          </w:tcPr>
          <w:p>
            <w:pPr>
              <w:spacing w:after="0"/>
              <w:rPr>
                <w:sz w:val="13"/>
                <w:szCs w:val="13"/>
                <w:color w:val="auto"/>
              </w:rPr>
            </w:pPr>
          </w:p>
        </w:tc>
        <w:tc>
          <w:tcPr>
            <w:tcW w:w="440" w:type="dxa"/>
            <w:vAlign w:val="bottom"/>
            <w:tcBorders>
              <w:bottom w:val="single" w:sz="8" w:color="0070FF"/>
            </w:tcBorders>
          </w:tcPr>
          <w:p>
            <w:pPr>
              <w:spacing w:after="0"/>
              <w:rPr>
                <w:sz w:val="13"/>
                <w:szCs w:val="13"/>
                <w:color w:val="auto"/>
              </w:rPr>
            </w:pPr>
          </w:p>
        </w:tc>
        <w:tc>
          <w:tcPr>
            <w:tcW w:w="660" w:type="dxa"/>
            <w:vAlign w:val="bottom"/>
            <w:tcBorders>
              <w:bottom w:val="single" w:sz="8" w:color="0070FF"/>
            </w:tcBorders>
          </w:tcPr>
          <w:p>
            <w:pPr>
              <w:jc w:val="right"/>
              <w:ind w:right="268"/>
              <w:spacing w:after="0" w:line="155" w:lineRule="exact"/>
              <w:rPr>
                <w:sz w:val="20"/>
                <w:szCs w:val="20"/>
                <w:color w:val="auto"/>
              </w:rPr>
            </w:pPr>
            <w:r>
              <w:rPr>
                <w:rFonts w:ascii="Arial" w:cs="Arial" w:eastAsia="Arial" w:hAnsi="Arial"/>
                <w:sz w:val="14"/>
                <w:szCs w:val="14"/>
                <w:color w:val="auto"/>
                <w:w w:val="85"/>
              </w:rPr>
              <w:t>4,508</w:t>
            </w:r>
          </w:p>
        </w:tc>
        <w:tc>
          <w:tcPr>
            <w:tcW w:w="0" w:type="dxa"/>
            <w:vAlign w:val="bottom"/>
          </w:tcPr>
          <w:p>
            <w:pPr>
              <w:spacing w:after="0"/>
              <w:rPr>
                <w:sz w:val="1"/>
                <w:szCs w:val="1"/>
                <w:color w:val="auto"/>
              </w:rPr>
            </w:pPr>
          </w:p>
        </w:tc>
      </w:tr>
      <w:tr>
        <w:trPr>
          <w:trHeight w:val="133"/>
        </w:trPr>
        <w:tc>
          <w:tcPr>
            <w:tcW w:w="1860" w:type="dxa"/>
            <w:vAlign w:val="bottom"/>
            <w:gridSpan w:val="2"/>
          </w:tcPr>
          <w:p>
            <w:pPr>
              <w:spacing w:after="0" w:line="133" w:lineRule="exact"/>
              <w:rPr>
                <w:sz w:val="20"/>
                <w:szCs w:val="20"/>
                <w:color w:val="auto"/>
              </w:rPr>
            </w:pPr>
            <w:r>
              <w:rPr>
                <w:rFonts w:ascii="Arial" w:cs="Arial" w:eastAsia="Arial" w:hAnsi="Arial"/>
                <w:sz w:val="14"/>
                <w:szCs w:val="14"/>
                <w:b w:val="1"/>
                <w:bCs w:val="1"/>
                <w:color w:val="0070FF"/>
              </w:rPr>
              <w:t>TOTAL COSTS</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40" w:type="dxa"/>
            <w:vAlign w:val="bottom"/>
            <w:tcBorders>
              <w:bottom w:val="single" w:sz="8" w:color="0070FF"/>
            </w:tcBorders>
          </w:tcPr>
          <w:p>
            <w:pPr>
              <w:ind w:left="120"/>
              <w:spacing w:after="0"/>
              <w:rPr>
                <w:sz w:val="20"/>
                <w:szCs w:val="20"/>
                <w:color w:val="auto"/>
              </w:rPr>
            </w:pPr>
            <w:r>
              <w:rPr>
                <w:rFonts w:ascii="Arial" w:cs="Arial" w:eastAsia="Arial" w:hAnsi="Arial"/>
                <w:sz w:val="14"/>
                <w:szCs w:val="14"/>
                <w:b w:val="1"/>
                <w:bCs w:val="1"/>
                <w:color w:val="0070FF"/>
              </w:rPr>
              <w:t>INCURRED</w:t>
            </w:r>
          </w:p>
        </w:tc>
        <w:tc>
          <w:tcPr>
            <w:tcW w:w="3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w w:val="85"/>
              </w:rPr>
              <w:t>2,560</w:t>
            </w: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288"/>
              <w:spacing w:after="0"/>
              <w:rPr>
                <w:sz w:val="20"/>
                <w:szCs w:val="20"/>
                <w:color w:val="auto"/>
              </w:rPr>
            </w:pPr>
            <w:r>
              <w:rPr>
                <w:rFonts w:ascii="Arial" w:cs="Arial" w:eastAsia="Arial" w:hAnsi="Arial"/>
                <w:sz w:val="14"/>
                <w:szCs w:val="14"/>
                <w:color w:val="auto"/>
              </w:rPr>
              <w:t>848</w:t>
            </w:r>
          </w:p>
        </w:tc>
        <w:tc>
          <w:tcPr>
            <w:tcW w:w="6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328"/>
              <w:spacing w:after="0"/>
              <w:rPr>
                <w:sz w:val="20"/>
                <w:szCs w:val="20"/>
                <w:color w:val="auto"/>
              </w:rPr>
            </w:pPr>
            <w:r>
              <w:rPr>
                <w:rFonts w:ascii="Arial" w:cs="Arial" w:eastAsia="Arial" w:hAnsi="Arial"/>
                <w:sz w:val="14"/>
                <w:szCs w:val="14"/>
                <w:color w:val="auto"/>
                <w:w w:val="91"/>
              </w:rPr>
              <w:t>1,423</w:t>
            </w: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348"/>
              <w:spacing w:after="0"/>
              <w:rPr>
                <w:sz w:val="20"/>
                <w:szCs w:val="20"/>
                <w:color w:val="auto"/>
              </w:rPr>
            </w:pPr>
            <w:r>
              <w:rPr>
                <w:rFonts w:ascii="Arial" w:cs="Arial" w:eastAsia="Arial" w:hAnsi="Arial"/>
                <w:sz w:val="14"/>
                <w:szCs w:val="14"/>
                <w:color w:val="auto"/>
              </w:rPr>
              <w:t>854</w:t>
            </w:r>
          </w:p>
        </w:tc>
        <w:tc>
          <w:tcPr>
            <w:tcW w:w="4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85"/>
              </w:rPr>
              <w:t>5,685</w:t>
            </w:r>
          </w:p>
        </w:tc>
        <w:tc>
          <w:tcPr>
            <w:tcW w:w="90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248"/>
              <w:spacing w:after="0"/>
              <w:rPr>
                <w:sz w:val="20"/>
                <w:szCs w:val="20"/>
                <w:color w:val="auto"/>
              </w:rPr>
            </w:pPr>
            <w:r>
              <w:rPr>
                <w:rFonts w:ascii="Arial" w:cs="Arial" w:eastAsia="Arial" w:hAnsi="Arial"/>
                <w:sz w:val="14"/>
                <w:szCs w:val="14"/>
                <w:color w:val="auto"/>
                <w:w w:val="85"/>
              </w:rPr>
              <w:t>736</w:t>
            </w:r>
          </w:p>
        </w:tc>
        <w:tc>
          <w:tcPr>
            <w:tcW w:w="5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w w:val="85"/>
              </w:rPr>
              <w:t>275</w:t>
            </w:r>
          </w:p>
        </w:tc>
        <w:tc>
          <w:tcPr>
            <w:tcW w:w="560" w:type="dxa"/>
            <w:vAlign w:val="bottom"/>
            <w:tcBorders>
              <w:bottom w:val="single" w:sz="8" w:color="0070FF"/>
            </w:tcBorders>
          </w:tcPr>
          <w:p>
            <w:pPr>
              <w:spacing w:after="0"/>
              <w:rPr>
                <w:sz w:val="16"/>
                <w:szCs w:val="16"/>
                <w:color w:val="auto"/>
              </w:rPr>
            </w:pPr>
          </w:p>
        </w:tc>
        <w:tc>
          <w:tcPr>
            <w:tcW w:w="4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w w:val="85"/>
              </w:rPr>
              <w:t>6,696</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40" w:hanging="232"/>
        <w:spacing w:after="0"/>
        <w:tabs>
          <w:tab w:leader="none" w:pos="240" w:val="left"/>
        </w:tabs>
        <w:numPr>
          <w:ilvl w:val="0"/>
          <w:numId w:val="70"/>
        </w:numPr>
        <w:rPr>
          <w:rFonts w:ascii="Arial" w:cs="Arial" w:eastAsia="Arial" w:hAnsi="Arial"/>
          <w:sz w:val="10"/>
          <w:szCs w:val="10"/>
          <w:color w:val="auto"/>
        </w:rPr>
      </w:pPr>
      <w:r>
        <w:rPr>
          <w:rFonts w:ascii="Arial" w:cs="Arial" w:eastAsia="Arial" w:hAnsi="Arial"/>
          <w:sz w:val="12"/>
          <w:szCs w:val="12"/>
          <w:color w:val="auto"/>
        </w:rPr>
        <w:t>Includes costs incurred whether capitalized or expensed. Excludes general support equipment expenditures. See Note 25, FAS 143 “Asset Retirement Obligations,” on page FS-50.</w:t>
      </w:r>
    </w:p>
    <w:p>
      <w:pPr>
        <w:spacing w:after="0" w:line="10"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0"/>
          <w:szCs w:val="10"/>
          <w:color w:val="auto"/>
        </w:rPr>
        <w:t xml:space="preserve">2    </w:t>
      </w:r>
      <w:r>
        <w:rPr>
          <w:rFonts w:ascii="Arial" w:cs="Arial" w:eastAsia="Arial" w:hAnsi="Arial"/>
          <w:sz w:val="11"/>
          <w:szCs w:val="11"/>
          <w:color w:val="auto"/>
        </w:rPr>
        <w:t>Includes acquisition costs for an additional 5 percent interest in 2001.</w:t>
      </w:r>
    </w:p>
    <w:p>
      <w:pPr>
        <w:spacing w:after="0" w:line="22"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0"/>
          <w:szCs w:val="10"/>
          <w:color w:val="auto"/>
        </w:rPr>
        <w:t xml:space="preserve">3    </w:t>
      </w:r>
      <w:r>
        <w:rPr>
          <w:rFonts w:ascii="Arial" w:cs="Arial" w:eastAsia="Arial" w:hAnsi="Arial"/>
          <w:sz w:val="11"/>
          <w:szCs w:val="11"/>
          <w:color w:val="auto"/>
        </w:rPr>
        <w:t>Includes wells, equipment and facilities associated with proved reserves. Does not include properties acquired through property exchanges.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584"/>
        <w:spacing w:after="0"/>
        <w:tabs>
          <w:tab w:leader="none" w:pos="700" w:val="left"/>
        </w:tabs>
        <w:numPr>
          <w:ilvl w:val="0"/>
          <w:numId w:val="71"/>
        </w:numPr>
        <w:rPr>
          <w:rFonts w:ascii="Arial" w:cs="Arial" w:eastAsia="Arial" w:hAnsi="Arial"/>
          <w:sz w:val="27"/>
          <w:szCs w:val="27"/>
          <w:b w:val="1"/>
          <w:bCs w:val="1"/>
          <w:color w:val="0070FF"/>
        </w:rPr>
      </w:pPr>
      <w:r>
        <w:rPr>
          <w:rFonts w:ascii="Arial" w:cs="Arial" w:eastAsia="Arial" w:hAnsi="Arial"/>
          <w:sz w:val="22"/>
          <w:szCs w:val="22"/>
          <w:color w:val="0070FF"/>
        </w:rPr>
        <w:t xml:space="preserve">Supplemental Information on Oil and Gas Producing Activities – </w:t>
      </w:r>
      <w:r>
        <w:rPr>
          <w:rFonts w:ascii="Arial" w:cs="Arial" w:eastAsia="Arial" w:hAnsi="Arial"/>
          <w:sz w:val="22"/>
          <w:szCs w:val="22"/>
          <w:i w:val="1"/>
          <w:iCs w:val="1"/>
          <w:color w:val="0070FF"/>
        </w:rPr>
        <w:t>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0070FF"/>
              </w:rPr>
              <w:t>Unaudited</w:t>
            </w:r>
          </w:p>
        </w:tc>
        <w:tc>
          <w:tcPr>
            <w:tcW w:w="0" w:type="dxa"/>
            <w:vAlign w:val="bottom"/>
          </w:tcPr>
          <w:p>
            <w:pPr>
              <w:spacing w:after="0"/>
              <w:rPr>
                <w:sz w:val="1"/>
                <w:szCs w:val="1"/>
                <w:color w:val="auto"/>
              </w:rPr>
            </w:pPr>
          </w:p>
        </w:tc>
      </w:tr>
      <w:tr>
        <w:trPr>
          <w:trHeight w:val="494"/>
        </w:trPr>
        <w:tc>
          <w:tcPr>
            <w:tcW w:w="6780" w:type="dxa"/>
            <w:vAlign w:val="bottom"/>
            <w:gridSpan w:val="10"/>
          </w:tcPr>
          <w:p>
            <w:pPr>
              <w:spacing w:after="0"/>
              <w:rPr>
                <w:sz w:val="20"/>
                <w:szCs w:val="20"/>
                <w:color w:val="auto"/>
              </w:rPr>
            </w:pPr>
            <w:r>
              <w:rPr>
                <w:rFonts w:ascii="Arial" w:cs="Arial" w:eastAsia="Arial" w:hAnsi="Arial"/>
                <w:sz w:val="16"/>
                <w:szCs w:val="16"/>
                <w:b w:val="1"/>
                <w:bCs w:val="1"/>
                <w:color w:val="0070FF"/>
              </w:rPr>
              <w:t>TABLE II – CAPITALIZED COSTS RELATED TO OIL AND GAS PRODUCING ACTIVITIES</w:t>
            </w:r>
            <w:r>
              <w:rPr>
                <w:rFonts w:ascii="Arial" w:cs="Arial" w:eastAsia="Arial" w:hAnsi="Arial"/>
                <w:sz w:val="27"/>
                <w:szCs w:val="27"/>
                <w:b w:val="1"/>
                <w:bCs w:val="1"/>
                <w:color w:val="0070FF"/>
                <w:vertAlign w:val="superscript"/>
              </w:rPr>
              <w:t>1</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w w:val="92"/>
              </w:rPr>
              <w:t>Consolidated Companies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4"/>
                <w:szCs w:val="14"/>
                <w:color w:val="auto"/>
              </w:rPr>
              <w:t>Affiliated Companies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w w:val="91"/>
              </w:rPr>
              <w:t>Worldwide</w:t>
            </w:r>
          </w:p>
        </w:tc>
        <w:tc>
          <w:tcPr>
            <w:tcW w:w="0" w:type="dxa"/>
            <w:vAlign w:val="bottom"/>
          </w:tcPr>
          <w:p>
            <w:pPr>
              <w:spacing w:after="0"/>
              <w:rPr>
                <w:sz w:val="1"/>
                <w:szCs w:val="1"/>
                <w:color w:val="auto"/>
              </w:rPr>
            </w:pPr>
          </w:p>
        </w:tc>
      </w:tr>
      <w:tr>
        <w:trPr>
          <w:trHeight w:val="142"/>
        </w:trPr>
        <w:tc>
          <w:tcPr>
            <w:tcW w:w="3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0070FF"/>
            </w:tcBorders>
          </w:tcPr>
          <w:p>
            <w:pPr>
              <w:spacing w:after="0"/>
              <w:rPr>
                <w:sz w:val="12"/>
                <w:szCs w:val="12"/>
                <w:color w:val="auto"/>
              </w:rPr>
            </w:pPr>
          </w:p>
        </w:tc>
        <w:tc>
          <w:tcPr>
            <w:tcW w:w="680" w:type="dxa"/>
            <w:vAlign w:val="bottom"/>
            <w:tcBorders>
              <w:top w:val="single" w:sz="8" w:color="0070FF"/>
            </w:tcBorders>
          </w:tcPr>
          <w:p>
            <w:pPr>
              <w:jc w:val="right"/>
              <w:ind w:right="128"/>
              <w:spacing w:after="0" w:line="142" w:lineRule="exact"/>
              <w:rPr>
                <w:sz w:val="20"/>
                <w:szCs w:val="20"/>
                <w:color w:val="auto"/>
              </w:rPr>
            </w:pPr>
            <w:r>
              <w:rPr>
                <w:rFonts w:ascii="Arial" w:cs="Arial" w:eastAsia="Arial" w:hAnsi="Arial"/>
                <w:sz w:val="14"/>
                <w:szCs w:val="14"/>
                <w:color w:val="auto"/>
              </w:rPr>
              <w:t>U.S.</w:t>
            </w:r>
          </w:p>
        </w:tc>
        <w:tc>
          <w:tcPr>
            <w:tcW w:w="320" w:type="dxa"/>
            <w:vAlign w:val="bottom"/>
            <w:tcBorders>
              <w:top w:val="single" w:sz="8" w:color="0070FF"/>
            </w:tcBorders>
          </w:tcPr>
          <w:p>
            <w:pPr>
              <w:spacing w:after="0"/>
              <w:rPr>
                <w:sz w:val="12"/>
                <w:szCs w:val="12"/>
                <w:color w:val="auto"/>
              </w:rPr>
            </w:pPr>
          </w:p>
        </w:tc>
        <w:tc>
          <w:tcPr>
            <w:tcW w:w="600" w:type="dxa"/>
            <w:vAlign w:val="bottom"/>
            <w:tcBorders>
              <w:top w:val="single" w:sz="8" w:color="0070FF"/>
            </w:tcBorders>
          </w:tcPr>
          <w:p>
            <w:pPr>
              <w:jc w:val="right"/>
              <w:ind w:right="128"/>
              <w:spacing w:after="0" w:line="142" w:lineRule="exact"/>
              <w:rPr>
                <w:sz w:val="20"/>
                <w:szCs w:val="20"/>
                <w:color w:val="auto"/>
              </w:rPr>
            </w:pPr>
            <w:r>
              <w:rPr>
                <w:rFonts w:ascii="Arial" w:cs="Arial" w:eastAsia="Arial" w:hAnsi="Arial"/>
                <w:sz w:val="14"/>
                <w:szCs w:val="14"/>
                <w:color w:val="auto"/>
              </w:rPr>
              <w:t>Africa</w:t>
            </w:r>
          </w:p>
        </w:tc>
        <w:tc>
          <w:tcPr>
            <w:tcW w:w="280" w:type="dxa"/>
            <w:vAlign w:val="bottom"/>
            <w:tcBorders>
              <w:top w:val="single" w:sz="8" w:color="0070FF"/>
            </w:tcBorders>
          </w:tcPr>
          <w:p>
            <w:pPr>
              <w:spacing w:after="0"/>
              <w:rPr>
                <w:sz w:val="12"/>
                <w:szCs w:val="12"/>
                <w:color w:val="auto"/>
              </w:rPr>
            </w:pPr>
          </w:p>
        </w:tc>
        <w:tc>
          <w:tcPr>
            <w:tcW w:w="880" w:type="dxa"/>
            <w:vAlign w:val="bottom"/>
            <w:tcBorders>
              <w:top w:val="single" w:sz="8" w:color="0070FF"/>
            </w:tcBorders>
          </w:tcPr>
          <w:p>
            <w:pPr>
              <w:jc w:val="right"/>
              <w:ind w:right="128"/>
              <w:spacing w:after="0" w:line="142" w:lineRule="exact"/>
              <w:rPr>
                <w:sz w:val="20"/>
                <w:szCs w:val="20"/>
                <w:color w:val="auto"/>
              </w:rPr>
            </w:pPr>
            <w:r>
              <w:rPr>
                <w:rFonts w:ascii="Arial" w:cs="Arial" w:eastAsia="Arial" w:hAnsi="Arial"/>
                <w:sz w:val="14"/>
                <w:szCs w:val="14"/>
                <w:color w:val="auto"/>
                <w:w w:val="90"/>
              </w:rPr>
              <w:t>Asia-Pacific</w:t>
            </w:r>
          </w:p>
        </w:tc>
        <w:tc>
          <w:tcPr>
            <w:tcW w:w="380" w:type="dxa"/>
            <w:vAlign w:val="bottom"/>
            <w:tcBorders>
              <w:top w:val="single" w:sz="8" w:color="0070FF"/>
            </w:tcBorders>
          </w:tcPr>
          <w:p>
            <w:pPr>
              <w:spacing w:after="0"/>
              <w:rPr>
                <w:sz w:val="12"/>
                <w:szCs w:val="12"/>
                <w:color w:val="auto"/>
              </w:rPr>
            </w:pPr>
          </w:p>
        </w:tc>
        <w:tc>
          <w:tcPr>
            <w:tcW w:w="640" w:type="dxa"/>
            <w:vAlign w:val="bottom"/>
            <w:tcBorders>
              <w:top w:val="single" w:sz="8" w:color="0070FF"/>
            </w:tcBorders>
          </w:tcPr>
          <w:p>
            <w:pPr>
              <w:jc w:val="right"/>
              <w:ind w:right="128"/>
              <w:spacing w:after="0" w:line="142" w:lineRule="exact"/>
              <w:rPr>
                <w:sz w:val="20"/>
                <w:szCs w:val="20"/>
                <w:color w:val="auto"/>
              </w:rPr>
            </w:pPr>
            <w:r>
              <w:rPr>
                <w:rFonts w:ascii="Arial" w:cs="Arial" w:eastAsia="Arial" w:hAnsi="Arial"/>
                <w:sz w:val="14"/>
                <w:szCs w:val="14"/>
                <w:color w:val="auto"/>
              </w:rPr>
              <w:t>Other</w:t>
            </w:r>
          </w:p>
        </w:tc>
        <w:tc>
          <w:tcPr>
            <w:tcW w:w="360" w:type="dxa"/>
            <w:vAlign w:val="bottom"/>
            <w:tcBorders>
              <w:top w:val="single" w:sz="8" w:color="0070FF"/>
            </w:tcBorders>
          </w:tcPr>
          <w:p>
            <w:pPr>
              <w:spacing w:after="0"/>
              <w:rPr>
                <w:sz w:val="12"/>
                <w:szCs w:val="12"/>
                <w:color w:val="auto"/>
              </w:rPr>
            </w:pPr>
          </w:p>
        </w:tc>
        <w:tc>
          <w:tcPr>
            <w:tcW w:w="460" w:type="dxa"/>
            <w:vAlign w:val="bottom"/>
            <w:tcBorders>
              <w:top w:val="single" w:sz="8" w:color="0070FF"/>
            </w:tcBorders>
          </w:tcPr>
          <w:p>
            <w:pPr>
              <w:jc w:val="right"/>
              <w:spacing w:after="0" w:line="142" w:lineRule="exact"/>
              <w:rPr>
                <w:sz w:val="20"/>
                <w:szCs w:val="20"/>
                <w:color w:val="auto"/>
              </w:rPr>
            </w:pPr>
            <w:r>
              <w:rPr>
                <w:rFonts w:ascii="Arial" w:cs="Arial" w:eastAsia="Arial" w:hAnsi="Arial"/>
                <w:sz w:val="14"/>
                <w:szCs w:val="14"/>
                <w:color w:val="auto"/>
              </w:rPr>
              <w:t>Total</w:t>
            </w:r>
          </w:p>
        </w:tc>
        <w:tc>
          <w:tcPr>
            <w:tcW w:w="420" w:type="dxa"/>
            <w:vAlign w:val="bottom"/>
          </w:tcPr>
          <w:p>
            <w:pPr>
              <w:spacing w:after="0"/>
              <w:rPr>
                <w:sz w:val="12"/>
                <w:szCs w:val="12"/>
                <w:color w:val="auto"/>
              </w:rPr>
            </w:pPr>
          </w:p>
        </w:tc>
        <w:tc>
          <w:tcPr>
            <w:tcW w:w="140" w:type="dxa"/>
            <w:vAlign w:val="bottom"/>
            <w:tcBorders>
              <w:top w:val="single" w:sz="8" w:color="0070FF"/>
            </w:tcBorders>
          </w:tcPr>
          <w:p>
            <w:pPr>
              <w:spacing w:after="0"/>
              <w:rPr>
                <w:sz w:val="12"/>
                <w:szCs w:val="12"/>
                <w:color w:val="auto"/>
              </w:rPr>
            </w:pPr>
          </w:p>
        </w:tc>
        <w:tc>
          <w:tcPr>
            <w:tcW w:w="620" w:type="dxa"/>
            <w:vAlign w:val="bottom"/>
            <w:tcBorders>
              <w:top w:val="single" w:sz="8" w:color="0070FF"/>
            </w:tcBorders>
          </w:tcPr>
          <w:p>
            <w:pPr>
              <w:jc w:val="right"/>
              <w:ind w:right="148"/>
              <w:spacing w:after="0" w:line="142" w:lineRule="exact"/>
              <w:rPr>
                <w:sz w:val="20"/>
                <w:szCs w:val="20"/>
                <w:color w:val="auto"/>
              </w:rPr>
            </w:pPr>
            <w:r>
              <w:rPr>
                <w:rFonts w:ascii="Arial" w:cs="Arial" w:eastAsia="Arial" w:hAnsi="Arial"/>
                <w:sz w:val="14"/>
                <w:szCs w:val="14"/>
                <w:color w:val="auto"/>
              </w:rPr>
              <w:t>TCO</w:t>
            </w:r>
          </w:p>
        </w:tc>
        <w:tc>
          <w:tcPr>
            <w:tcW w:w="300" w:type="dxa"/>
            <w:vAlign w:val="bottom"/>
            <w:tcBorders>
              <w:top w:val="single" w:sz="8" w:color="0070FF"/>
            </w:tcBorders>
          </w:tcPr>
          <w:p>
            <w:pPr>
              <w:spacing w:after="0"/>
              <w:rPr>
                <w:sz w:val="12"/>
                <w:szCs w:val="12"/>
                <w:color w:val="auto"/>
              </w:rPr>
            </w:pPr>
          </w:p>
        </w:tc>
        <w:tc>
          <w:tcPr>
            <w:tcW w:w="460" w:type="dxa"/>
            <w:vAlign w:val="bottom"/>
            <w:tcBorders>
              <w:top w:val="single" w:sz="8" w:color="0070FF"/>
            </w:tcBorders>
          </w:tcPr>
          <w:p>
            <w:pPr>
              <w:jc w:val="right"/>
              <w:spacing w:after="0" w:line="142" w:lineRule="exact"/>
              <w:rPr>
                <w:sz w:val="20"/>
                <w:szCs w:val="20"/>
                <w:color w:val="auto"/>
              </w:rPr>
            </w:pPr>
            <w:r>
              <w:rPr>
                <w:rFonts w:ascii="Arial" w:cs="Arial" w:eastAsia="Arial" w:hAnsi="Arial"/>
                <w:sz w:val="14"/>
                <w:szCs w:val="14"/>
                <w:color w:val="auto"/>
                <w:w w:val="84"/>
              </w:rPr>
              <w:t>Hamaca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0" w:type="dxa"/>
            <w:vAlign w:val="bottom"/>
            <w:tcBorders>
              <w:top w:val="single" w:sz="8" w:color="0070FF"/>
            </w:tcBorders>
          </w:tcPr>
          <w:p>
            <w:pPr>
              <w:spacing w:after="0" w:line="137" w:lineRule="exact"/>
              <w:rPr>
                <w:sz w:val="20"/>
                <w:szCs w:val="20"/>
                <w:color w:val="auto"/>
              </w:rPr>
            </w:pPr>
            <w:r>
              <w:rPr>
                <w:rFonts w:ascii="Arial" w:cs="Arial" w:eastAsia="Arial" w:hAnsi="Arial"/>
                <w:sz w:val="14"/>
                <w:szCs w:val="14"/>
                <w:b w:val="1"/>
                <w:bCs w:val="1"/>
                <w:color w:val="0070FF"/>
              </w:rPr>
              <w:t>AT DECEMBER 31, 2003</w:t>
            </w:r>
          </w:p>
        </w:tc>
        <w:tc>
          <w:tcPr>
            <w:tcW w:w="220" w:type="dxa"/>
            <w:vAlign w:val="bottom"/>
            <w:tcBorders>
              <w:top w:val="single" w:sz="8" w:color="0070FF"/>
            </w:tcBorders>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0070FF"/>
            </w:tcBorders>
            <w:vMerge w:val="restart"/>
          </w:tcPr>
          <w:p>
            <w:pPr>
              <w:jc w:val="right"/>
              <w:ind w:right="128"/>
              <w:spacing w:after="0"/>
              <w:rPr>
                <w:sz w:val="20"/>
                <w:szCs w:val="20"/>
                <w:color w:val="auto"/>
              </w:rPr>
            </w:pPr>
            <w:r>
              <w:rPr>
                <w:rFonts w:ascii="Arial" w:cs="Arial" w:eastAsia="Arial" w:hAnsi="Arial"/>
                <w:sz w:val="14"/>
                <w:szCs w:val="14"/>
                <w:b w:val="1"/>
                <w:bCs w:val="1"/>
                <w:color w:val="auto"/>
              </w:rPr>
              <w:t>1,316</w:t>
            </w:r>
          </w:p>
        </w:tc>
        <w:tc>
          <w:tcPr>
            <w:tcW w:w="32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0070FF"/>
            </w:tcBorders>
            <w:vMerge w:val="restart"/>
          </w:tcPr>
          <w:p>
            <w:pPr>
              <w:jc w:val="right"/>
              <w:ind w:right="128"/>
              <w:spacing w:after="0"/>
              <w:rPr>
                <w:sz w:val="20"/>
                <w:szCs w:val="20"/>
                <w:color w:val="auto"/>
              </w:rPr>
            </w:pPr>
            <w:r>
              <w:rPr>
                <w:rFonts w:ascii="Arial" w:cs="Arial" w:eastAsia="Arial" w:hAnsi="Arial"/>
                <w:sz w:val="14"/>
                <w:szCs w:val="14"/>
                <w:b w:val="1"/>
                <w:bCs w:val="1"/>
                <w:color w:val="auto"/>
              </w:rPr>
              <w:t>290</w:t>
            </w:r>
          </w:p>
        </w:tc>
        <w:tc>
          <w:tcPr>
            <w:tcW w:w="28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0070FF"/>
            </w:tcBorders>
            <w:vMerge w:val="restart"/>
          </w:tcPr>
          <w:p>
            <w:pPr>
              <w:jc w:val="right"/>
              <w:ind w:right="128"/>
              <w:spacing w:after="0"/>
              <w:rPr>
                <w:sz w:val="20"/>
                <w:szCs w:val="20"/>
                <w:color w:val="auto"/>
              </w:rPr>
            </w:pPr>
            <w:r>
              <w:rPr>
                <w:rFonts w:ascii="Arial" w:cs="Arial" w:eastAsia="Arial" w:hAnsi="Arial"/>
                <w:sz w:val="14"/>
                <w:szCs w:val="14"/>
                <w:b w:val="1"/>
                <w:bCs w:val="1"/>
                <w:color w:val="auto"/>
              </w:rPr>
              <w:t>214</w:t>
            </w:r>
          </w:p>
        </w:tc>
        <w:tc>
          <w:tcPr>
            <w:tcW w:w="380" w:type="dxa"/>
            <w:vAlign w:val="bottom"/>
            <w:tcBorders>
              <w:top w:val="single" w:sz="8" w:color="0070FF"/>
            </w:tcBorders>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0070FF"/>
            </w:tcBorders>
            <w:vMerge w:val="restart"/>
          </w:tcPr>
          <w:p>
            <w:pPr>
              <w:jc w:val="right"/>
              <w:ind w:right="128"/>
              <w:spacing w:after="0"/>
              <w:rPr>
                <w:sz w:val="20"/>
                <w:szCs w:val="20"/>
                <w:color w:val="auto"/>
              </w:rPr>
            </w:pPr>
            <w:r>
              <w:rPr>
                <w:rFonts w:ascii="Arial" w:cs="Arial" w:eastAsia="Arial" w:hAnsi="Arial"/>
                <w:sz w:val="14"/>
                <w:szCs w:val="14"/>
                <w:b w:val="1"/>
                <w:bCs w:val="1"/>
                <w:color w:val="auto"/>
              </w:rPr>
              <w:t>1,048</w:t>
            </w:r>
          </w:p>
        </w:tc>
        <w:tc>
          <w:tcPr>
            <w:tcW w:w="360" w:type="dxa"/>
            <w:vAlign w:val="bottom"/>
            <w:tcBorders>
              <w:top w:val="single" w:sz="8" w:color="0070FF"/>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2,868</w:t>
            </w:r>
          </w:p>
        </w:tc>
        <w:tc>
          <w:tcPr>
            <w:tcW w:w="420" w:type="dxa"/>
            <w:vAlign w:val="bottom"/>
            <w:vMerge w:val="restart"/>
          </w:tcPr>
          <w:p>
            <w:pPr>
              <w:spacing w:after="0"/>
              <w:rPr>
                <w:sz w:val="11"/>
                <w:szCs w:val="11"/>
                <w:color w:val="auto"/>
              </w:rPr>
            </w:pPr>
          </w:p>
        </w:tc>
        <w:tc>
          <w:tcPr>
            <w:tcW w:w="14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0070FF"/>
            </w:tcBorders>
            <w:vMerge w:val="restart"/>
          </w:tcPr>
          <w:p>
            <w:pPr>
              <w:jc w:val="right"/>
              <w:ind w:right="148"/>
              <w:spacing w:after="0"/>
              <w:rPr>
                <w:sz w:val="20"/>
                <w:szCs w:val="20"/>
                <w:color w:val="auto"/>
              </w:rPr>
            </w:pPr>
            <w:r>
              <w:rPr>
                <w:rFonts w:ascii="Arial" w:cs="Arial" w:eastAsia="Arial" w:hAnsi="Arial"/>
                <w:sz w:val="14"/>
                <w:szCs w:val="14"/>
                <w:b w:val="1"/>
                <w:bCs w:val="1"/>
                <w:color w:val="auto"/>
              </w:rPr>
              <w:t>108</w:t>
            </w:r>
          </w:p>
        </w:tc>
        <w:tc>
          <w:tcPr>
            <w:tcW w:w="30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0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0070FF"/>
            </w:tcBorders>
            <w:vMerge w:val="restart"/>
          </w:tcPr>
          <w:p>
            <w:pPr>
              <w:jc w:val="right"/>
              <w:ind w:right="28"/>
              <w:spacing w:after="0"/>
              <w:rPr>
                <w:sz w:val="20"/>
                <w:szCs w:val="20"/>
                <w:color w:val="auto"/>
              </w:rPr>
            </w:pPr>
            <w:r>
              <w:rPr>
                <w:rFonts w:ascii="Arial" w:cs="Arial" w:eastAsia="Arial" w:hAnsi="Arial"/>
                <w:sz w:val="14"/>
                <w:szCs w:val="14"/>
                <w:b w:val="1"/>
                <w:bCs w:val="1"/>
                <w:color w:val="auto"/>
              </w:rPr>
              <w:t>2,976</w:t>
            </w:r>
          </w:p>
        </w:tc>
        <w:tc>
          <w:tcPr>
            <w:tcW w:w="0" w:type="dxa"/>
            <w:vAlign w:val="bottom"/>
          </w:tcPr>
          <w:p>
            <w:pPr>
              <w:spacing w:after="0"/>
              <w:rPr>
                <w:sz w:val="1"/>
                <w:szCs w:val="1"/>
                <w:color w:val="auto"/>
              </w:rPr>
            </w:pPr>
          </w:p>
        </w:tc>
      </w:tr>
      <w:tr>
        <w:trPr>
          <w:trHeight w:val="145"/>
        </w:trPr>
        <w:tc>
          <w:tcPr>
            <w:tcW w:w="3420" w:type="dxa"/>
            <w:vAlign w:val="bottom"/>
            <w:gridSpan w:val="2"/>
          </w:tcPr>
          <w:p>
            <w:pPr>
              <w:spacing w:after="0" w:line="145" w:lineRule="exact"/>
              <w:rPr>
                <w:sz w:val="20"/>
                <w:szCs w:val="20"/>
                <w:color w:val="auto"/>
              </w:rPr>
            </w:pPr>
            <w:r>
              <w:rPr>
                <w:rFonts w:ascii="Arial" w:cs="Arial" w:eastAsia="Arial" w:hAnsi="Arial"/>
                <w:sz w:val="14"/>
                <w:szCs w:val="14"/>
                <w:color w:val="auto"/>
              </w:rPr>
              <w:t>Unproved properties</w:t>
            </w:r>
          </w:p>
        </w:tc>
        <w:tc>
          <w:tcPr>
            <w:tcW w:w="2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Proved properties and related producing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37,603</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6,474</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10,391</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w w:val="97"/>
              </w:rPr>
              <w:t>10,469</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64,937</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2,091</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67,384</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Support equipment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677</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519</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2,110</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374</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3,680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425</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4,105</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Deferred exploratory wells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248</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221</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69</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120</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658</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Other uncompleted projects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387</w:t>
            </w:r>
          </w:p>
        </w:tc>
        <w:tc>
          <w:tcPr>
            <w:tcW w:w="3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1,906</w:t>
            </w:r>
          </w:p>
        </w:tc>
        <w:tc>
          <w:tcPr>
            <w:tcW w:w="28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2,217</w:t>
            </w:r>
          </w:p>
        </w:tc>
        <w:tc>
          <w:tcPr>
            <w:tcW w:w="3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334</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4,844</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1,011</w:t>
            </w:r>
          </w:p>
        </w:tc>
        <w:tc>
          <w:tcPr>
            <w:tcW w:w="3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661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6,516</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0070FF"/>
            </w:tcBorders>
            <w:gridSpan w:val="2"/>
          </w:tcPr>
          <w:p>
            <w:pPr>
              <w:spacing w:after="0" w:line="198" w:lineRule="exact"/>
              <w:rPr>
                <w:sz w:val="20"/>
                <w:szCs w:val="20"/>
                <w:color w:val="auto"/>
              </w:rPr>
            </w:pPr>
            <w:r>
              <w:rPr>
                <w:rFonts w:ascii="Arial" w:cs="Arial" w:eastAsia="Arial" w:hAnsi="Arial"/>
                <w:sz w:val="14"/>
                <w:szCs w:val="14"/>
                <w:color w:val="auto"/>
              </w:rPr>
              <w:t>ARO asset</w:t>
            </w:r>
            <w:r>
              <w:rPr>
                <w:rFonts w:ascii="Arial" w:cs="Arial" w:eastAsia="Arial" w:hAnsi="Arial"/>
                <w:sz w:val="22"/>
                <w:szCs w:val="22"/>
                <w:color w:val="auto"/>
                <w:vertAlign w:val="superscript"/>
              </w:rPr>
              <w:t>2</w:t>
            </w:r>
          </w:p>
        </w:tc>
        <w:tc>
          <w:tcPr>
            <w:tcW w:w="80" w:type="dxa"/>
            <w:vAlign w:val="bottom"/>
            <w:tcBorders>
              <w:bottom w:val="single" w:sz="8" w:color="0070FF"/>
            </w:tcBorders>
          </w:tcPr>
          <w:p>
            <w:pPr>
              <w:spacing w:after="0"/>
              <w:rPr>
                <w:sz w:val="17"/>
                <w:szCs w:val="17"/>
                <w:color w:val="auto"/>
              </w:rPr>
            </w:pPr>
          </w:p>
        </w:tc>
        <w:tc>
          <w:tcPr>
            <w:tcW w:w="140" w:type="dxa"/>
            <w:vAlign w:val="bottom"/>
            <w:tcBorders>
              <w:bottom w:val="single" w:sz="8" w:color="0070FF"/>
            </w:tcBorders>
          </w:tcPr>
          <w:p>
            <w:pPr>
              <w:spacing w:after="0"/>
              <w:rPr>
                <w:sz w:val="17"/>
                <w:szCs w:val="17"/>
                <w:color w:val="auto"/>
              </w:rPr>
            </w:pPr>
          </w:p>
        </w:tc>
        <w:tc>
          <w:tcPr>
            <w:tcW w:w="6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335</w:t>
            </w:r>
          </w:p>
        </w:tc>
        <w:tc>
          <w:tcPr>
            <w:tcW w:w="320" w:type="dxa"/>
            <w:vAlign w:val="bottom"/>
            <w:tcBorders>
              <w:bottom w:val="single" w:sz="8" w:color="0070FF"/>
            </w:tcBorders>
          </w:tcPr>
          <w:p>
            <w:pPr>
              <w:spacing w:after="0"/>
              <w:rPr>
                <w:sz w:val="17"/>
                <w:szCs w:val="17"/>
                <w:color w:val="auto"/>
              </w:rPr>
            </w:pPr>
          </w:p>
        </w:tc>
        <w:tc>
          <w:tcPr>
            <w:tcW w:w="6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207</w:t>
            </w:r>
          </w:p>
        </w:tc>
        <w:tc>
          <w:tcPr>
            <w:tcW w:w="280" w:type="dxa"/>
            <w:vAlign w:val="bottom"/>
            <w:tcBorders>
              <w:bottom w:val="single" w:sz="8" w:color="0070FF"/>
            </w:tcBorders>
          </w:tcPr>
          <w:p>
            <w:pPr>
              <w:spacing w:after="0"/>
              <w:rPr>
                <w:sz w:val="17"/>
                <w:szCs w:val="17"/>
                <w:color w:val="auto"/>
              </w:rPr>
            </w:pPr>
          </w:p>
        </w:tc>
        <w:tc>
          <w:tcPr>
            <w:tcW w:w="8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83</w:t>
            </w:r>
          </w:p>
        </w:tc>
        <w:tc>
          <w:tcPr>
            <w:tcW w:w="380" w:type="dxa"/>
            <w:vAlign w:val="bottom"/>
            <w:tcBorders>
              <w:bottom w:val="single" w:sz="8" w:color="0070FF"/>
            </w:tcBorders>
          </w:tcPr>
          <w:p>
            <w:pPr>
              <w:spacing w:after="0"/>
              <w:rPr>
                <w:sz w:val="17"/>
                <w:szCs w:val="17"/>
                <w:color w:val="auto"/>
              </w:rPr>
            </w:pPr>
          </w:p>
        </w:tc>
        <w:tc>
          <w:tcPr>
            <w:tcW w:w="6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236</w:t>
            </w:r>
          </w:p>
        </w:tc>
        <w:tc>
          <w:tcPr>
            <w:tcW w:w="360" w:type="dxa"/>
            <w:vAlign w:val="bottom"/>
            <w:tcBorders>
              <w:bottom w:val="single" w:sz="8" w:color="0070FF"/>
            </w:tcBorders>
          </w:tcPr>
          <w:p>
            <w:pPr>
              <w:spacing w:after="0"/>
              <w:rPr>
                <w:sz w:val="17"/>
                <w:szCs w:val="17"/>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861</w:t>
            </w:r>
          </w:p>
        </w:tc>
        <w:tc>
          <w:tcPr>
            <w:tcW w:w="420" w:type="dxa"/>
            <w:vAlign w:val="bottom"/>
            <w:tcBorders>
              <w:bottom w:val="single" w:sz="8" w:color="0070FF"/>
            </w:tcBorders>
          </w:tcPr>
          <w:p>
            <w:pPr>
              <w:spacing w:after="0"/>
              <w:rPr>
                <w:sz w:val="17"/>
                <w:szCs w:val="17"/>
                <w:color w:val="auto"/>
              </w:rPr>
            </w:pPr>
          </w:p>
        </w:tc>
        <w:tc>
          <w:tcPr>
            <w:tcW w:w="140" w:type="dxa"/>
            <w:vAlign w:val="bottom"/>
            <w:tcBorders>
              <w:bottom w:val="single" w:sz="8" w:color="0070FF"/>
            </w:tcBorders>
          </w:tcPr>
          <w:p>
            <w:pPr>
              <w:spacing w:after="0"/>
              <w:rPr>
                <w:sz w:val="17"/>
                <w:szCs w:val="17"/>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20</w:t>
            </w:r>
          </w:p>
        </w:tc>
        <w:tc>
          <w:tcPr>
            <w:tcW w:w="300" w:type="dxa"/>
            <w:vAlign w:val="bottom"/>
            <w:tcBorders>
              <w:bottom w:val="single" w:sz="8" w:color="0070FF"/>
            </w:tcBorders>
          </w:tcPr>
          <w:p>
            <w:pPr>
              <w:spacing w:after="0"/>
              <w:rPr>
                <w:sz w:val="17"/>
                <w:szCs w:val="17"/>
                <w:color w:val="auto"/>
              </w:rPr>
            </w:pPr>
          </w:p>
        </w:tc>
        <w:tc>
          <w:tcPr>
            <w:tcW w:w="68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0070FF"/>
            </w:tcBorders>
          </w:tcPr>
          <w:p>
            <w:pPr>
              <w:spacing w:after="0"/>
              <w:rPr>
                <w:sz w:val="17"/>
                <w:szCs w:val="17"/>
                <w:color w:val="auto"/>
              </w:rPr>
            </w:pPr>
          </w:p>
        </w:tc>
        <w:tc>
          <w:tcPr>
            <w:tcW w:w="100" w:type="dxa"/>
            <w:vAlign w:val="bottom"/>
            <w:tcBorders>
              <w:bottom w:val="single" w:sz="8" w:color="0070FF"/>
            </w:tcBorders>
          </w:tcPr>
          <w:p>
            <w:pPr>
              <w:spacing w:after="0"/>
              <w:rPr>
                <w:sz w:val="17"/>
                <w:szCs w:val="17"/>
                <w:color w:val="auto"/>
              </w:rPr>
            </w:pPr>
          </w:p>
        </w:tc>
        <w:tc>
          <w:tcPr>
            <w:tcW w:w="7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882</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GROSS CAPITALIZED COSTS</w:t>
            </w:r>
          </w:p>
        </w:tc>
        <w:tc>
          <w:tcPr>
            <w:tcW w:w="8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40,566</w:t>
            </w:r>
          </w:p>
        </w:tc>
        <w:tc>
          <w:tcPr>
            <w:tcW w:w="3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9,617</w:t>
            </w:r>
          </w:p>
        </w:tc>
        <w:tc>
          <w:tcPr>
            <w:tcW w:w="280" w:type="dxa"/>
            <w:vAlign w:val="bottom"/>
            <w:tcBorders>
              <w:bottom w:val="single" w:sz="8" w:color="0070FF"/>
            </w:tcBorders>
          </w:tcPr>
          <w:p>
            <w:pPr>
              <w:spacing w:after="0"/>
              <w:rPr>
                <w:sz w:val="13"/>
                <w:szCs w:val="13"/>
                <w:color w:val="auto"/>
              </w:rPr>
            </w:pP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15,084</w:t>
            </w:r>
          </w:p>
        </w:tc>
        <w:tc>
          <w:tcPr>
            <w:tcW w:w="38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w w:val="97"/>
              </w:rPr>
              <w:t>12,581</w:t>
            </w:r>
          </w:p>
        </w:tc>
        <w:tc>
          <w:tcPr>
            <w:tcW w:w="36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77,848</w:t>
            </w:r>
          </w:p>
        </w:tc>
        <w:tc>
          <w:tcPr>
            <w:tcW w:w="4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3,655</w:t>
            </w:r>
          </w:p>
        </w:tc>
        <w:tc>
          <w:tcPr>
            <w:tcW w:w="3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1,018</w:t>
            </w:r>
          </w:p>
        </w:tc>
        <w:tc>
          <w:tcPr>
            <w:tcW w:w="20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82,521</w:t>
            </w:r>
          </w:p>
        </w:tc>
        <w:tc>
          <w:tcPr>
            <w:tcW w:w="0" w:type="dxa"/>
            <w:vAlign w:val="bottom"/>
          </w:tcPr>
          <w:p>
            <w:pPr>
              <w:spacing w:after="0"/>
              <w:rPr>
                <w:sz w:val="1"/>
                <w:szCs w:val="1"/>
                <w:color w:val="auto"/>
              </w:rPr>
            </w:pPr>
          </w:p>
        </w:tc>
      </w:tr>
      <w:tr>
        <w:trPr>
          <w:trHeight w:val="133"/>
        </w:trPr>
        <w:tc>
          <w:tcPr>
            <w:tcW w:w="3420" w:type="dxa"/>
            <w:vAlign w:val="bottom"/>
            <w:gridSpan w:val="2"/>
          </w:tcPr>
          <w:p>
            <w:pPr>
              <w:spacing w:after="0" w:line="133" w:lineRule="exact"/>
              <w:rPr>
                <w:sz w:val="20"/>
                <w:szCs w:val="20"/>
                <w:color w:val="auto"/>
              </w:rPr>
            </w:pPr>
            <w:r>
              <w:rPr>
                <w:rFonts w:ascii="Arial" w:cs="Arial" w:eastAsia="Arial" w:hAnsi="Arial"/>
                <w:sz w:val="14"/>
                <w:szCs w:val="14"/>
                <w:color w:val="auto"/>
              </w:rPr>
              <w:t>Unproved properties valuation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912</w:t>
            </w:r>
          </w:p>
        </w:tc>
        <w:tc>
          <w:tcPr>
            <w:tcW w:w="320" w:type="dxa"/>
            <w:vAlign w:val="bottom"/>
          </w:tcPr>
          <w:p>
            <w:pPr>
              <w:spacing w:after="0"/>
              <w:rPr>
                <w:sz w:val="11"/>
                <w:szCs w:val="11"/>
                <w:color w:val="auto"/>
              </w:rPr>
            </w:pPr>
          </w:p>
        </w:tc>
        <w:tc>
          <w:tcPr>
            <w:tcW w:w="60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101</w:t>
            </w:r>
          </w:p>
        </w:tc>
        <w:tc>
          <w:tcPr>
            <w:tcW w:w="280" w:type="dxa"/>
            <w:vAlign w:val="bottom"/>
          </w:tcPr>
          <w:p>
            <w:pPr>
              <w:spacing w:after="0"/>
              <w:rPr>
                <w:sz w:val="11"/>
                <w:szCs w:val="11"/>
                <w:color w:val="auto"/>
              </w:rPr>
            </w:pPr>
          </w:p>
        </w:tc>
        <w:tc>
          <w:tcPr>
            <w:tcW w:w="8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60</w:t>
            </w:r>
          </w:p>
        </w:tc>
        <w:tc>
          <w:tcPr>
            <w:tcW w:w="380" w:type="dxa"/>
            <w:vAlign w:val="bottom"/>
          </w:tcPr>
          <w:p>
            <w:pPr>
              <w:spacing w:after="0"/>
              <w:rPr>
                <w:sz w:val="11"/>
                <w:szCs w:val="11"/>
                <w:color w:val="auto"/>
              </w:rPr>
            </w:pPr>
          </w:p>
        </w:tc>
        <w:tc>
          <w:tcPr>
            <w:tcW w:w="64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310</w:t>
            </w:r>
          </w:p>
        </w:tc>
        <w:tc>
          <w:tcPr>
            <w:tcW w:w="3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1,383</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48"/>
              <w:spacing w:after="0" w:line="133" w:lineRule="exact"/>
              <w:rPr>
                <w:sz w:val="20"/>
                <w:szCs w:val="20"/>
                <w:color w:val="auto"/>
              </w:rPr>
            </w:pPr>
            <w:r>
              <w:rPr>
                <w:rFonts w:ascii="Arial" w:cs="Arial" w:eastAsia="Arial" w:hAnsi="Arial"/>
                <w:sz w:val="14"/>
                <w:szCs w:val="14"/>
                <w:b w:val="1"/>
                <w:bCs w:val="1"/>
                <w:color w:val="auto"/>
              </w:rPr>
              <w:t>12</w:t>
            </w:r>
          </w:p>
        </w:tc>
        <w:tc>
          <w:tcPr>
            <w:tcW w:w="300" w:type="dxa"/>
            <w:vAlign w:val="bottom"/>
          </w:tcPr>
          <w:p>
            <w:pPr>
              <w:spacing w:after="0"/>
              <w:rPr>
                <w:sz w:val="11"/>
                <w:szCs w:val="11"/>
                <w:color w:val="auto"/>
              </w:rPr>
            </w:pPr>
          </w:p>
        </w:tc>
        <w:tc>
          <w:tcPr>
            <w:tcW w:w="68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1,395</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w w:val="95"/>
              </w:rPr>
              <w:t>Proved producing properties – depreciation and depletion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27,817</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3,656</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5,534</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5,868</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42,875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354</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43,253</w:t>
            </w:r>
          </w:p>
        </w:tc>
        <w:tc>
          <w:tcPr>
            <w:tcW w:w="0" w:type="dxa"/>
            <w:vAlign w:val="bottom"/>
          </w:tcPr>
          <w:p>
            <w:pPr>
              <w:spacing w:after="0"/>
              <w:rPr>
                <w:sz w:val="1"/>
                <w:szCs w:val="1"/>
                <w:color w:val="auto"/>
              </w:rPr>
            </w:pPr>
          </w:p>
        </w:tc>
      </w:tr>
      <w:tr>
        <w:trPr>
          <w:trHeight w:val="162"/>
        </w:trPr>
        <w:tc>
          <w:tcPr>
            <w:tcW w:w="3420" w:type="dxa"/>
            <w:vAlign w:val="bottom"/>
            <w:gridSpan w:val="2"/>
          </w:tcPr>
          <w:p>
            <w:pPr>
              <w:spacing w:after="0"/>
              <w:rPr>
                <w:sz w:val="20"/>
                <w:szCs w:val="20"/>
                <w:color w:val="auto"/>
              </w:rPr>
            </w:pPr>
            <w:r>
              <w:rPr>
                <w:rFonts w:ascii="Arial" w:cs="Arial" w:eastAsia="Arial" w:hAnsi="Arial"/>
                <w:sz w:val="14"/>
                <w:szCs w:val="14"/>
                <w:color w:val="auto"/>
              </w:rPr>
              <w:t>Support equipment depreciation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454</w:t>
            </w:r>
          </w:p>
        </w:tc>
        <w:tc>
          <w:tcPr>
            <w:tcW w:w="3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237</w:t>
            </w:r>
          </w:p>
        </w:tc>
        <w:tc>
          <w:tcPr>
            <w:tcW w:w="28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1,133</w:t>
            </w:r>
          </w:p>
        </w:tc>
        <w:tc>
          <w:tcPr>
            <w:tcW w:w="3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347</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2,171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160</w:t>
            </w:r>
          </w:p>
        </w:tc>
        <w:tc>
          <w:tcPr>
            <w:tcW w:w="3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2,331</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0070FF"/>
            </w:tcBorders>
            <w:gridSpan w:val="2"/>
          </w:tcPr>
          <w:p>
            <w:pPr>
              <w:spacing w:after="0" w:line="198" w:lineRule="exact"/>
              <w:rPr>
                <w:sz w:val="20"/>
                <w:szCs w:val="20"/>
                <w:color w:val="auto"/>
              </w:rPr>
            </w:pPr>
            <w:r>
              <w:rPr>
                <w:rFonts w:ascii="Arial" w:cs="Arial" w:eastAsia="Arial" w:hAnsi="Arial"/>
                <w:sz w:val="14"/>
                <w:szCs w:val="14"/>
                <w:color w:val="auto"/>
              </w:rPr>
              <w:t>ARO asset depreciation</w:t>
            </w:r>
            <w:r>
              <w:rPr>
                <w:rFonts w:ascii="Arial" w:cs="Arial" w:eastAsia="Arial" w:hAnsi="Arial"/>
                <w:sz w:val="22"/>
                <w:szCs w:val="22"/>
                <w:color w:val="auto"/>
                <w:vertAlign w:val="superscript"/>
              </w:rPr>
              <w:t>2</w:t>
            </w:r>
          </w:p>
        </w:tc>
        <w:tc>
          <w:tcPr>
            <w:tcW w:w="80" w:type="dxa"/>
            <w:vAlign w:val="bottom"/>
            <w:tcBorders>
              <w:bottom w:val="single" w:sz="8" w:color="0070FF"/>
            </w:tcBorders>
          </w:tcPr>
          <w:p>
            <w:pPr>
              <w:spacing w:after="0"/>
              <w:rPr>
                <w:sz w:val="17"/>
                <w:szCs w:val="17"/>
                <w:color w:val="auto"/>
              </w:rPr>
            </w:pPr>
          </w:p>
        </w:tc>
        <w:tc>
          <w:tcPr>
            <w:tcW w:w="140" w:type="dxa"/>
            <w:vAlign w:val="bottom"/>
            <w:tcBorders>
              <w:bottom w:val="single" w:sz="8" w:color="0070FF"/>
            </w:tcBorders>
          </w:tcPr>
          <w:p>
            <w:pPr>
              <w:spacing w:after="0"/>
              <w:rPr>
                <w:sz w:val="17"/>
                <w:szCs w:val="17"/>
                <w:color w:val="auto"/>
              </w:rPr>
            </w:pPr>
          </w:p>
        </w:tc>
        <w:tc>
          <w:tcPr>
            <w:tcW w:w="6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288</w:t>
            </w:r>
          </w:p>
        </w:tc>
        <w:tc>
          <w:tcPr>
            <w:tcW w:w="320" w:type="dxa"/>
            <w:vAlign w:val="bottom"/>
            <w:tcBorders>
              <w:bottom w:val="single" w:sz="8" w:color="0070FF"/>
            </w:tcBorders>
          </w:tcPr>
          <w:p>
            <w:pPr>
              <w:spacing w:after="0"/>
              <w:rPr>
                <w:sz w:val="17"/>
                <w:szCs w:val="17"/>
                <w:color w:val="auto"/>
              </w:rPr>
            </w:pPr>
          </w:p>
        </w:tc>
        <w:tc>
          <w:tcPr>
            <w:tcW w:w="6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133</w:t>
            </w:r>
          </w:p>
        </w:tc>
        <w:tc>
          <w:tcPr>
            <w:tcW w:w="280" w:type="dxa"/>
            <w:vAlign w:val="bottom"/>
            <w:tcBorders>
              <w:bottom w:val="single" w:sz="8" w:color="0070FF"/>
            </w:tcBorders>
          </w:tcPr>
          <w:p>
            <w:pPr>
              <w:spacing w:after="0"/>
              <w:rPr>
                <w:sz w:val="17"/>
                <w:szCs w:val="17"/>
                <w:color w:val="auto"/>
              </w:rPr>
            </w:pPr>
          </w:p>
        </w:tc>
        <w:tc>
          <w:tcPr>
            <w:tcW w:w="8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55</w:t>
            </w:r>
          </w:p>
        </w:tc>
        <w:tc>
          <w:tcPr>
            <w:tcW w:w="380" w:type="dxa"/>
            <w:vAlign w:val="bottom"/>
            <w:tcBorders>
              <w:bottom w:val="single" w:sz="8" w:color="0070FF"/>
            </w:tcBorders>
          </w:tcPr>
          <w:p>
            <w:pPr>
              <w:spacing w:after="0"/>
              <w:rPr>
                <w:sz w:val="17"/>
                <w:szCs w:val="17"/>
                <w:color w:val="auto"/>
              </w:rPr>
            </w:pPr>
          </w:p>
        </w:tc>
        <w:tc>
          <w:tcPr>
            <w:tcW w:w="6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148</w:t>
            </w:r>
          </w:p>
        </w:tc>
        <w:tc>
          <w:tcPr>
            <w:tcW w:w="360" w:type="dxa"/>
            <w:vAlign w:val="bottom"/>
            <w:tcBorders>
              <w:bottom w:val="single" w:sz="8" w:color="0070FF"/>
            </w:tcBorders>
          </w:tcPr>
          <w:p>
            <w:pPr>
              <w:spacing w:after="0"/>
              <w:rPr>
                <w:sz w:val="17"/>
                <w:szCs w:val="17"/>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b w:val="1"/>
                <w:bCs w:val="1"/>
                <w:color w:val="auto"/>
              </w:rPr>
              <w:t>624</w:t>
            </w:r>
          </w:p>
        </w:tc>
        <w:tc>
          <w:tcPr>
            <w:tcW w:w="420" w:type="dxa"/>
            <w:vAlign w:val="bottom"/>
            <w:tcBorders>
              <w:bottom w:val="single" w:sz="8" w:color="0070FF"/>
            </w:tcBorders>
          </w:tcPr>
          <w:p>
            <w:pPr>
              <w:spacing w:after="0"/>
              <w:rPr>
                <w:sz w:val="17"/>
                <w:szCs w:val="17"/>
                <w:color w:val="auto"/>
              </w:rPr>
            </w:pPr>
          </w:p>
        </w:tc>
        <w:tc>
          <w:tcPr>
            <w:tcW w:w="140" w:type="dxa"/>
            <w:vAlign w:val="bottom"/>
            <w:tcBorders>
              <w:bottom w:val="single" w:sz="8" w:color="0070FF"/>
            </w:tcBorders>
          </w:tcPr>
          <w:p>
            <w:pPr>
              <w:spacing w:after="0"/>
              <w:rPr>
                <w:sz w:val="17"/>
                <w:szCs w:val="17"/>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4</w:t>
            </w:r>
          </w:p>
        </w:tc>
        <w:tc>
          <w:tcPr>
            <w:tcW w:w="300" w:type="dxa"/>
            <w:vAlign w:val="bottom"/>
            <w:tcBorders>
              <w:bottom w:val="single" w:sz="8" w:color="0070FF"/>
            </w:tcBorders>
          </w:tcPr>
          <w:p>
            <w:pPr>
              <w:spacing w:after="0"/>
              <w:rPr>
                <w:sz w:val="17"/>
                <w:szCs w:val="17"/>
                <w:color w:val="auto"/>
              </w:rPr>
            </w:pPr>
          </w:p>
        </w:tc>
        <w:tc>
          <w:tcPr>
            <w:tcW w:w="68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0070FF"/>
            </w:tcBorders>
          </w:tcPr>
          <w:p>
            <w:pPr>
              <w:spacing w:after="0"/>
              <w:rPr>
                <w:sz w:val="17"/>
                <w:szCs w:val="17"/>
                <w:color w:val="auto"/>
              </w:rPr>
            </w:pPr>
          </w:p>
        </w:tc>
        <w:tc>
          <w:tcPr>
            <w:tcW w:w="100" w:type="dxa"/>
            <w:vAlign w:val="bottom"/>
            <w:tcBorders>
              <w:bottom w:val="single" w:sz="8" w:color="0070FF"/>
            </w:tcBorders>
          </w:tcPr>
          <w:p>
            <w:pPr>
              <w:spacing w:after="0"/>
              <w:rPr>
                <w:sz w:val="17"/>
                <w:szCs w:val="17"/>
                <w:color w:val="auto"/>
              </w:rPr>
            </w:pPr>
          </w:p>
        </w:tc>
        <w:tc>
          <w:tcPr>
            <w:tcW w:w="7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628</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Accumulated provisions</w:t>
            </w:r>
          </w:p>
        </w:tc>
        <w:tc>
          <w:tcPr>
            <w:tcW w:w="8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29,471</w:t>
            </w:r>
          </w:p>
        </w:tc>
        <w:tc>
          <w:tcPr>
            <w:tcW w:w="3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4,127</w:t>
            </w:r>
          </w:p>
        </w:tc>
        <w:tc>
          <w:tcPr>
            <w:tcW w:w="280" w:type="dxa"/>
            <w:vAlign w:val="bottom"/>
            <w:tcBorders>
              <w:bottom w:val="single" w:sz="8" w:color="0070FF"/>
            </w:tcBorders>
          </w:tcPr>
          <w:p>
            <w:pPr>
              <w:spacing w:after="0"/>
              <w:rPr>
                <w:sz w:val="13"/>
                <w:szCs w:val="13"/>
                <w:color w:val="auto"/>
              </w:rPr>
            </w:pP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6,782</w:t>
            </w:r>
          </w:p>
        </w:tc>
        <w:tc>
          <w:tcPr>
            <w:tcW w:w="38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6,673</w:t>
            </w:r>
          </w:p>
        </w:tc>
        <w:tc>
          <w:tcPr>
            <w:tcW w:w="36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47,053</w:t>
            </w:r>
          </w:p>
        </w:tc>
        <w:tc>
          <w:tcPr>
            <w:tcW w:w="4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530</w:t>
            </w:r>
          </w:p>
        </w:tc>
        <w:tc>
          <w:tcPr>
            <w:tcW w:w="3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24</w:t>
            </w:r>
          </w:p>
        </w:tc>
        <w:tc>
          <w:tcPr>
            <w:tcW w:w="20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47,607</w:t>
            </w:r>
          </w:p>
        </w:tc>
        <w:tc>
          <w:tcPr>
            <w:tcW w:w="0" w:type="dxa"/>
            <w:vAlign w:val="bottom"/>
          </w:tcPr>
          <w:p>
            <w:pPr>
              <w:spacing w:after="0"/>
              <w:rPr>
                <w:sz w:val="1"/>
                <w:szCs w:val="1"/>
                <w:color w:val="auto"/>
              </w:rPr>
            </w:pPr>
          </w:p>
        </w:tc>
      </w:tr>
      <w:tr>
        <w:trPr>
          <w:trHeight w:val="17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NET CAPITALIZED COSTS</w:t>
            </w:r>
          </w:p>
        </w:tc>
        <w:tc>
          <w:tcPr>
            <w:tcW w:w="220" w:type="dxa"/>
            <w:vAlign w:val="bottom"/>
            <w:tcBorders>
              <w:bottom w:val="single" w:sz="8" w:color="0070FF"/>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11,095</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5,490</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8,302</w:t>
            </w:r>
          </w:p>
        </w:tc>
        <w:tc>
          <w:tcPr>
            <w:tcW w:w="3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5,908</w:t>
            </w:r>
          </w:p>
        </w:tc>
        <w:tc>
          <w:tcPr>
            <w:tcW w:w="3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30,795</w:t>
            </w:r>
          </w:p>
        </w:tc>
        <w:tc>
          <w:tcPr>
            <w:tcW w:w="560" w:type="dxa"/>
            <w:vAlign w:val="bottom"/>
            <w:tcBorders>
              <w:bottom w:val="single" w:sz="8" w:color="0070FF"/>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3,125</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994</w:t>
            </w:r>
          </w:p>
        </w:tc>
        <w:tc>
          <w:tcPr>
            <w:tcW w:w="300" w:type="dxa"/>
            <w:vAlign w:val="bottom"/>
            <w:tcBorders>
              <w:bottom w:val="single" w:sz="8" w:color="0070FF"/>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34,914</w:t>
            </w:r>
          </w:p>
        </w:tc>
        <w:tc>
          <w:tcPr>
            <w:tcW w:w="0" w:type="dxa"/>
            <w:vAlign w:val="bottom"/>
          </w:tcPr>
          <w:p>
            <w:pPr>
              <w:spacing w:after="0"/>
              <w:rPr>
                <w:sz w:val="1"/>
                <w:szCs w:val="1"/>
                <w:color w:val="auto"/>
              </w:rPr>
            </w:pPr>
          </w:p>
        </w:tc>
      </w:tr>
      <w:tr>
        <w:trPr>
          <w:trHeight w:val="143"/>
        </w:trPr>
        <w:tc>
          <w:tcPr>
            <w:tcW w:w="3420" w:type="dxa"/>
            <w:vAlign w:val="bottom"/>
            <w:gridSpan w:val="2"/>
          </w:tcPr>
          <w:p>
            <w:pPr>
              <w:spacing w:after="0" w:line="143" w:lineRule="exact"/>
              <w:rPr>
                <w:sz w:val="20"/>
                <w:szCs w:val="20"/>
                <w:color w:val="auto"/>
              </w:rPr>
            </w:pPr>
            <w:r>
              <w:rPr>
                <w:rFonts w:ascii="Arial" w:cs="Arial" w:eastAsia="Arial" w:hAnsi="Arial"/>
                <w:sz w:val="14"/>
                <w:szCs w:val="14"/>
                <w:b w:val="1"/>
                <w:bCs w:val="1"/>
                <w:color w:val="0070FF"/>
              </w:rPr>
              <w:t>AT DECEMBER 31, 2002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Unproved properties</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1,362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330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259</w:t>
            </w: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1,134</w:t>
            </w:r>
          </w:p>
        </w:tc>
        <w:tc>
          <w:tcPr>
            <w:tcW w:w="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3,085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Proved properties and related producing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37,441</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6,037</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10,794</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7"/>
              </w:rPr>
              <w:t>10,185</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64,457</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1,975</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66,579</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Support equipment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774</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447</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2,188</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377</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3,786</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338</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Deferred exploratory wells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106</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130</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103</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111</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67"/>
        </w:trPr>
        <w:tc>
          <w:tcPr>
            <w:tcW w:w="34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Other uncompleted projects</w:t>
            </w:r>
          </w:p>
        </w:tc>
        <w:tc>
          <w:tcPr>
            <w:tcW w:w="8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502</w:t>
            </w:r>
          </w:p>
        </w:tc>
        <w:tc>
          <w:tcPr>
            <w:tcW w:w="3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1,417</w:t>
            </w:r>
          </w:p>
        </w:tc>
        <w:tc>
          <w:tcPr>
            <w:tcW w:w="280" w:type="dxa"/>
            <w:vAlign w:val="bottom"/>
            <w:tcBorders>
              <w:bottom w:val="single" w:sz="8" w:color="0070FF"/>
            </w:tcBorders>
          </w:tcPr>
          <w:p>
            <w:pPr>
              <w:spacing w:after="0"/>
              <w:rPr>
                <w:sz w:val="14"/>
                <w:szCs w:val="14"/>
                <w:color w:val="auto"/>
              </w:rPr>
            </w:pPr>
          </w:p>
        </w:tc>
        <w:tc>
          <w:tcPr>
            <w:tcW w:w="8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1,653</w:t>
            </w:r>
          </w:p>
        </w:tc>
        <w:tc>
          <w:tcPr>
            <w:tcW w:w="38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259</w:t>
            </w:r>
          </w:p>
        </w:tc>
        <w:tc>
          <w:tcPr>
            <w:tcW w:w="3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3,831</w:t>
            </w:r>
          </w:p>
        </w:tc>
        <w:tc>
          <w:tcPr>
            <w:tcW w:w="4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676</w:t>
            </w:r>
          </w:p>
        </w:tc>
        <w:tc>
          <w:tcPr>
            <w:tcW w:w="3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color w:val="auto"/>
              </w:rPr>
              <w:t>693</w:t>
            </w:r>
          </w:p>
        </w:tc>
        <w:tc>
          <w:tcPr>
            <w:tcW w:w="2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5,200</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GROSS CAPITALIZED COSTS</w:t>
            </w:r>
          </w:p>
        </w:tc>
        <w:tc>
          <w:tcPr>
            <w:tcW w:w="8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40,185</w:t>
            </w:r>
          </w:p>
        </w:tc>
        <w:tc>
          <w:tcPr>
            <w:tcW w:w="3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8,361</w:t>
            </w:r>
          </w:p>
        </w:tc>
        <w:tc>
          <w:tcPr>
            <w:tcW w:w="280" w:type="dxa"/>
            <w:vAlign w:val="bottom"/>
            <w:tcBorders>
              <w:bottom w:val="single" w:sz="8" w:color="0070FF"/>
            </w:tcBorders>
          </w:tcPr>
          <w:p>
            <w:pPr>
              <w:spacing w:after="0"/>
              <w:rPr>
                <w:sz w:val="13"/>
                <w:szCs w:val="13"/>
                <w:color w:val="auto"/>
              </w:rPr>
            </w:pP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14,997</w:t>
            </w:r>
          </w:p>
        </w:tc>
        <w:tc>
          <w:tcPr>
            <w:tcW w:w="38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w w:val="97"/>
              </w:rPr>
              <w:t>12,066</w:t>
            </w:r>
          </w:p>
        </w:tc>
        <w:tc>
          <w:tcPr>
            <w:tcW w:w="36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75,609</w:t>
            </w:r>
          </w:p>
        </w:tc>
        <w:tc>
          <w:tcPr>
            <w:tcW w:w="4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3,097</w:t>
            </w:r>
          </w:p>
        </w:tc>
        <w:tc>
          <w:tcPr>
            <w:tcW w:w="3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color w:val="auto"/>
              </w:rPr>
              <w:t>840</w:t>
            </w:r>
          </w:p>
        </w:tc>
        <w:tc>
          <w:tcPr>
            <w:tcW w:w="20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79,546</w:t>
            </w:r>
          </w:p>
        </w:tc>
        <w:tc>
          <w:tcPr>
            <w:tcW w:w="0" w:type="dxa"/>
            <w:vAlign w:val="bottom"/>
          </w:tcPr>
          <w:p>
            <w:pPr>
              <w:spacing w:after="0"/>
              <w:rPr>
                <w:sz w:val="1"/>
                <w:szCs w:val="1"/>
                <w:color w:val="auto"/>
              </w:rPr>
            </w:pPr>
          </w:p>
        </w:tc>
      </w:tr>
      <w:tr>
        <w:trPr>
          <w:trHeight w:val="137"/>
        </w:trPr>
        <w:tc>
          <w:tcPr>
            <w:tcW w:w="3420" w:type="dxa"/>
            <w:vAlign w:val="bottom"/>
            <w:gridSpan w:val="2"/>
          </w:tcPr>
          <w:p>
            <w:pPr>
              <w:spacing w:after="0" w:line="137" w:lineRule="exact"/>
              <w:rPr>
                <w:sz w:val="20"/>
                <w:szCs w:val="20"/>
                <w:color w:val="auto"/>
              </w:rPr>
            </w:pPr>
            <w:r>
              <w:rPr>
                <w:rFonts w:ascii="Arial" w:cs="Arial" w:eastAsia="Arial" w:hAnsi="Arial"/>
                <w:sz w:val="14"/>
                <w:szCs w:val="14"/>
                <w:color w:val="auto"/>
              </w:rPr>
              <w:t>Unproved properties valuation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961</w:t>
            </w:r>
          </w:p>
        </w:tc>
        <w:tc>
          <w:tcPr>
            <w:tcW w:w="320" w:type="dxa"/>
            <w:vAlign w:val="bottom"/>
          </w:tcPr>
          <w:p>
            <w:pPr>
              <w:spacing w:after="0"/>
              <w:rPr>
                <w:sz w:val="11"/>
                <w:szCs w:val="11"/>
                <w:color w:val="auto"/>
              </w:rPr>
            </w:pPr>
          </w:p>
        </w:tc>
        <w:tc>
          <w:tcPr>
            <w:tcW w:w="60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80</w:t>
            </w:r>
          </w:p>
        </w:tc>
        <w:tc>
          <w:tcPr>
            <w:tcW w:w="280" w:type="dxa"/>
            <w:vAlign w:val="bottom"/>
          </w:tcPr>
          <w:p>
            <w:pPr>
              <w:spacing w:after="0"/>
              <w:rPr>
                <w:sz w:val="11"/>
                <w:szCs w:val="11"/>
                <w:color w:val="auto"/>
              </w:rPr>
            </w:pPr>
          </w:p>
        </w:tc>
        <w:tc>
          <w:tcPr>
            <w:tcW w:w="88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90</w:t>
            </w:r>
          </w:p>
        </w:tc>
        <w:tc>
          <w:tcPr>
            <w:tcW w:w="380" w:type="dxa"/>
            <w:vAlign w:val="bottom"/>
          </w:tcPr>
          <w:p>
            <w:pPr>
              <w:spacing w:after="0"/>
              <w:rPr>
                <w:sz w:val="11"/>
                <w:szCs w:val="11"/>
                <w:color w:val="auto"/>
              </w:rPr>
            </w:pPr>
          </w:p>
        </w:tc>
        <w:tc>
          <w:tcPr>
            <w:tcW w:w="64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277</w:t>
            </w:r>
          </w:p>
        </w:tc>
        <w:tc>
          <w:tcPr>
            <w:tcW w:w="36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rPr>
              <w:t>1,408</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9</w:t>
            </w:r>
          </w:p>
        </w:tc>
        <w:tc>
          <w:tcPr>
            <w:tcW w:w="300" w:type="dxa"/>
            <w:vAlign w:val="bottom"/>
          </w:tcPr>
          <w:p>
            <w:pPr>
              <w:spacing w:after="0"/>
              <w:rPr>
                <w:sz w:val="11"/>
                <w:szCs w:val="11"/>
                <w:color w:val="auto"/>
              </w:rPr>
            </w:pPr>
          </w:p>
        </w:tc>
        <w:tc>
          <w:tcPr>
            <w:tcW w:w="680" w:type="dxa"/>
            <w:vAlign w:val="bottom"/>
            <w:gridSpan w:val="2"/>
          </w:tcPr>
          <w:p>
            <w:pPr>
              <w:jc w:val="right"/>
              <w:ind w:right="220"/>
              <w:spacing w:after="0" w:line="13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8"/>
              <w:spacing w:after="0" w:line="137" w:lineRule="exact"/>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w w:val="95"/>
              </w:rPr>
              <w:t>Proved producing properties – depreciation and depletion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27,115</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3,275</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5,470</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5,358</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41,218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285</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41,512</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Future abandonment and restoration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999</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508</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304</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392</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2,203</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67"/>
        </w:trPr>
        <w:tc>
          <w:tcPr>
            <w:tcW w:w="34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Support equipment depreciation</w:t>
            </w:r>
          </w:p>
        </w:tc>
        <w:tc>
          <w:tcPr>
            <w:tcW w:w="8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557</w:t>
            </w:r>
          </w:p>
        </w:tc>
        <w:tc>
          <w:tcPr>
            <w:tcW w:w="3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289</w:t>
            </w:r>
          </w:p>
        </w:tc>
        <w:tc>
          <w:tcPr>
            <w:tcW w:w="280" w:type="dxa"/>
            <w:vAlign w:val="bottom"/>
            <w:tcBorders>
              <w:bottom w:val="single" w:sz="8" w:color="0070FF"/>
            </w:tcBorders>
          </w:tcPr>
          <w:p>
            <w:pPr>
              <w:spacing w:after="0"/>
              <w:rPr>
                <w:sz w:val="14"/>
                <w:szCs w:val="14"/>
                <w:color w:val="auto"/>
              </w:rPr>
            </w:pPr>
          </w:p>
        </w:tc>
        <w:tc>
          <w:tcPr>
            <w:tcW w:w="8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1,145</w:t>
            </w:r>
          </w:p>
        </w:tc>
        <w:tc>
          <w:tcPr>
            <w:tcW w:w="38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223</w:t>
            </w:r>
          </w:p>
        </w:tc>
        <w:tc>
          <w:tcPr>
            <w:tcW w:w="3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2,214</w:t>
            </w:r>
          </w:p>
        </w:tc>
        <w:tc>
          <w:tcPr>
            <w:tcW w:w="4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138</w:t>
            </w:r>
          </w:p>
        </w:tc>
        <w:tc>
          <w:tcPr>
            <w:tcW w:w="3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Accumulated provisions</w:t>
            </w:r>
          </w:p>
        </w:tc>
        <w:tc>
          <w:tcPr>
            <w:tcW w:w="8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29,632</w:t>
            </w:r>
          </w:p>
        </w:tc>
        <w:tc>
          <w:tcPr>
            <w:tcW w:w="3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4,152</w:t>
            </w:r>
          </w:p>
        </w:tc>
        <w:tc>
          <w:tcPr>
            <w:tcW w:w="280" w:type="dxa"/>
            <w:vAlign w:val="bottom"/>
            <w:tcBorders>
              <w:bottom w:val="single" w:sz="8" w:color="0070FF"/>
            </w:tcBorders>
          </w:tcPr>
          <w:p>
            <w:pPr>
              <w:spacing w:after="0"/>
              <w:rPr>
                <w:sz w:val="13"/>
                <w:szCs w:val="13"/>
                <w:color w:val="auto"/>
              </w:rPr>
            </w:pP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7,009</w:t>
            </w:r>
          </w:p>
        </w:tc>
        <w:tc>
          <w:tcPr>
            <w:tcW w:w="38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6,250</w:t>
            </w:r>
          </w:p>
        </w:tc>
        <w:tc>
          <w:tcPr>
            <w:tcW w:w="36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47,043</w:t>
            </w:r>
          </w:p>
        </w:tc>
        <w:tc>
          <w:tcPr>
            <w:tcW w:w="4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456</w:t>
            </w:r>
          </w:p>
        </w:tc>
        <w:tc>
          <w:tcPr>
            <w:tcW w:w="3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color w:val="auto"/>
              </w:rPr>
              <w:t>9</w:t>
            </w:r>
          </w:p>
        </w:tc>
        <w:tc>
          <w:tcPr>
            <w:tcW w:w="20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47,508</w:t>
            </w:r>
          </w:p>
        </w:tc>
        <w:tc>
          <w:tcPr>
            <w:tcW w:w="0" w:type="dxa"/>
            <w:vAlign w:val="bottom"/>
          </w:tcPr>
          <w:p>
            <w:pPr>
              <w:spacing w:after="0"/>
              <w:rPr>
                <w:sz w:val="1"/>
                <w:szCs w:val="1"/>
                <w:color w:val="auto"/>
              </w:rPr>
            </w:pPr>
          </w:p>
        </w:tc>
      </w:tr>
      <w:tr>
        <w:trPr>
          <w:trHeight w:val="17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NET CAPITALIZED COSTS</w:t>
            </w:r>
          </w:p>
        </w:tc>
        <w:tc>
          <w:tcPr>
            <w:tcW w:w="220" w:type="dxa"/>
            <w:vAlign w:val="bottom"/>
            <w:tcBorders>
              <w:bottom w:val="single" w:sz="8" w:color="0070FF"/>
            </w:tcBorders>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10,553</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4,209</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7,988</w:t>
            </w:r>
          </w:p>
        </w:tc>
        <w:tc>
          <w:tcPr>
            <w:tcW w:w="3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5,816</w:t>
            </w:r>
          </w:p>
        </w:tc>
        <w:tc>
          <w:tcPr>
            <w:tcW w:w="3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28,566</w:t>
            </w:r>
          </w:p>
        </w:tc>
        <w:tc>
          <w:tcPr>
            <w:tcW w:w="560" w:type="dxa"/>
            <w:vAlign w:val="bottom"/>
            <w:tcBorders>
              <w:bottom w:val="single" w:sz="8" w:color="0070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2,641</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color w:val="auto"/>
              </w:rPr>
              <w:t>831</w:t>
            </w:r>
          </w:p>
        </w:tc>
        <w:tc>
          <w:tcPr>
            <w:tcW w:w="300" w:type="dxa"/>
            <w:vAlign w:val="bottom"/>
            <w:tcBorders>
              <w:bottom w:val="single" w:sz="8" w:color="0070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32,038</w:t>
            </w:r>
          </w:p>
        </w:tc>
        <w:tc>
          <w:tcPr>
            <w:tcW w:w="0" w:type="dxa"/>
            <w:vAlign w:val="bottom"/>
          </w:tcPr>
          <w:p>
            <w:pPr>
              <w:spacing w:after="0"/>
              <w:rPr>
                <w:sz w:val="1"/>
                <w:szCs w:val="1"/>
                <w:color w:val="auto"/>
              </w:rPr>
            </w:pPr>
          </w:p>
        </w:tc>
      </w:tr>
      <w:tr>
        <w:trPr>
          <w:trHeight w:val="143"/>
        </w:trPr>
        <w:tc>
          <w:tcPr>
            <w:tcW w:w="3420" w:type="dxa"/>
            <w:vAlign w:val="bottom"/>
            <w:gridSpan w:val="2"/>
          </w:tcPr>
          <w:p>
            <w:pPr>
              <w:spacing w:after="0" w:line="143" w:lineRule="exact"/>
              <w:rPr>
                <w:sz w:val="20"/>
                <w:szCs w:val="20"/>
                <w:color w:val="auto"/>
              </w:rPr>
            </w:pPr>
            <w:r>
              <w:rPr>
                <w:rFonts w:ascii="Arial" w:cs="Arial" w:eastAsia="Arial" w:hAnsi="Arial"/>
                <w:sz w:val="14"/>
                <w:szCs w:val="14"/>
                <w:b w:val="1"/>
                <w:bCs w:val="1"/>
                <w:color w:val="0070FF"/>
              </w:rPr>
              <w:t>AT DECEMBER 31, 2001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Unproved properties</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1,178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304</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565</w:t>
            </w:r>
          </w:p>
        </w:tc>
        <w:tc>
          <w:tcPr>
            <w:tcW w:w="3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1,168</w:t>
            </w:r>
          </w:p>
        </w:tc>
        <w:tc>
          <w:tcPr>
            <w:tcW w:w="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3,215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Proved properties and related producing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35,665</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5,531</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10,590</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9,253</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61,039</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1,878</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63,008</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Support equipment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766</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390</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2,177</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313</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3,646</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293</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3,939</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Deferred exploratory wells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91</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390</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128</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79</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67"/>
        </w:trPr>
        <w:tc>
          <w:tcPr>
            <w:tcW w:w="34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Other uncompleted projects</w:t>
            </w:r>
          </w:p>
        </w:tc>
        <w:tc>
          <w:tcPr>
            <w:tcW w:w="8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1,080</w:t>
            </w:r>
          </w:p>
        </w:tc>
        <w:tc>
          <w:tcPr>
            <w:tcW w:w="3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753</w:t>
            </w:r>
          </w:p>
        </w:tc>
        <w:tc>
          <w:tcPr>
            <w:tcW w:w="280" w:type="dxa"/>
            <w:vAlign w:val="bottom"/>
            <w:tcBorders>
              <w:bottom w:val="single" w:sz="8" w:color="0070FF"/>
            </w:tcBorders>
          </w:tcPr>
          <w:p>
            <w:pPr>
              <w:spacing w:after="0"/>
              <w:rPr>
                <w:sz w:val="14"/>
                <w:szCs w:val="14"/>
                <w:color w:val="auto"/>
              </w:rPr>
            </w:pPr>
          </w:p>
        </w:tc>
        <w:tc>
          <w:tcPr>
            <w:tcW w:w="8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686</w:t>
            </w:r>
          </w:p>
        </w:tc>
        <w:tc>
          <w:tcPr>
            <w:tcW w:w="38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292</w:t>
            </w:r>
          </w:p>
        </w:tc>
        <w:tc>
          <w:tcPr>
            <w:tcW w:w="3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2,811</w:t>
            </w:r>
          </w:p>
        </w:tc>
        <w:tc>
          <w:tcPr>
            <w:tcW w:w="4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245</w:t>
            </w:r>
          </w:p>
        </w:tc>
        <w:tc>
          <w:tcPr>
            <w:tcW w:w="3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color w:val="auto"/>
              </w:rPr>
              <w:t>381</w:t>
            </w:r>
          </w:p>
        </w:tc>
        <w:tc>
          <w:tcPr>
            <w:tcW w:w="2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3,437</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GROSS CAPITALIZED COSTS</w:t>
            </w:r>
          </w:p>
        </w:tc>
        <w:tc>
          <w:tcPr>
            <w:tcW w:w="8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38,780</w:t>
            </w:r>
          </w:p>
        </w:tc>
        <w:tc>
          <w:tcPr>
            <w:tcW w:w="3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7,368</w:t>
            </w:r>
          </w:p>
        </w:tc>
        <w:tc>
          <w:tcPr>
            <w:tcW w:w="280" w:type="dxa"/>
            <w:vAlign w:val="bottom"/>
            <w:tcBorders>
              <w:bottom w:val="single" w:sz="8" w:color="0070FF"/>
            </w:tcBorders>
          </w:tcPr>
          <w:p>
            <w:pPr>
              <w:spacing w:after="0"/>
              <w:rPr>
                <w:sz w:val="13"/>
                <w:szCs w:val="13"/>
                <w:color w:val="auto"/>
              </w:rPr>
            </w:pP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14,146</w:t>
            </w:r>
          </w:p>
        </w:tc>
        <w:tc>
          <w:tcPr>
            <w:tcW w:w="38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w w:val="97"/>
              </w:rPr>
              <w:t>11,105</w:t>
            </w:r>
          </w:p>
        </w:tc>
        <w:tc>
          <w:tcPr>
            <w:tcW w:w="36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71,399</w:t>
            </w:r>
          </w:p>
        </w:tc>
        <w:tc>
          <w:tcPr>
            <w:tcW w:w="4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2,524</w:t>
            </w:r>
          </w:p>
        </w:tc>
        <w:tc>
          <w:tcPr>
            <w:tcW w:w="3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color w:val="auto"/>
              </w:rPr>
              <w:t>472</w:t>
            </w:r>
          </w:p>
        </w:tc>
        <w:tc>
          <w:tcPr>
            <w:tcW w:w="20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74,395</w:t>
            </w:r>
          </w:p>
        </w:tc>
        <w:tc>
          <w:tcPr>
            <w:tcW w:w="0" w:type="dxa"/>
            <w:vAlign w:val="bottom"/>
          </w:tcPr>
          <w:p>
            <w:pPr>
              <w:spacing w:after="0"/>
              <w:rPr>
                <w:sz w:val="1"/>
                <w:szCs w:val="1"/>
                <w:color w:val="auto"/>
              </w:rPr>
            </w:pPr>
          </w:p>
        </w:tc>
      </w:tr>
      <w:tr>
        <w:trPr>
          <w:trHeight w:val="137"/>
        </w:trPr>
        <w:tc>
          <w:tcPr>
            <w:tcW w:w="3420" w:type="dxa"/>
            <w:vAlign w:val="bottom"/>
            <w:gridSpan w:val="2"/>
          </w:tcPr>
          <w:p>
            <w:pPr>
              <w:spacing w:after="0" w:line="137" w:lineRule="exact"/>
              <w:rPr>
                <w:sz w:val="20"/>
                <w:szCs w:val="20"/>
                <w:color w:val="auto"/>
              </w:rPr>
            </w:pPr>
            <w:r>
              <w:rPr>
                <w:rFonts w:ascii="Arial" w:cs="Arial" w:eastAsia="Arial" w:hAnsi="Arial"/>
                <w:sz w:val="14"/>
                <w:szCs w:val="14"/>
                <w:color w:val="auto"/>
              </w:rPr>
              <w:t>Unproved properties valuation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807</w:t>
            </w:r>
          </w:p>
        </w:tc>
        <w:tc>
          <w:tcPr>
            <w:tcW w:w="320" w:type="dxa"/>
            <w:vAlign w:val="bottom"/>
          </w:tcPr>
          <w:p>
            <w:pPr>
              <w:spacing w:after="0"/>
              <w:rPr>
                <w:sz w:val="11"/>
                <w:szCs w:val="11"/>
                <w:color w:val="auto"/>
              </w:rPr>
            </w:pPr>
          </w:p>
        </w:tc>
        <w:tc>
          <w:tcPr>
            <w:tcW w:w="60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86</w:t>
            </w:r>
          </w:p>
        </w:tc>
        <w:tc>
          <w:tcPr>
            <w:tcW w:w="280" w:type="dxa"/>
            <w:vAlign w:val="bottom"/>
          </w:tcPr>
          <w:p>
            <w:pPr>
              <w:spacing w:after="0"/>
              <w:rPr>
                <w:sz w:val="11"/>
                <w:szCs w:val="11"/>
                <w:color w:val="auto"/>
              </w:rPr>
            </w:pPr>
          </w:p>
        </w:tc>
        <w:tc>
          <w:tcPr>
            <w:tcW w:w="88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73</w:t>
            </w:r>
          </w:p>
        </w:tc>
        <w:tc>
          <w:tcPr>
            <w:tcW w:w="380" w:type="dxa"/>
            <w:vAlign w:val="bottom"/>
          </w:tcPr>
          <w:p>
            <w:pPr>
              <w:spacing w:after="0"/>
              <w:rPr>
                <w:sz w:val="11"/>
                <w:szCs w:val="11"/>
                <w:color w:val="auto"/>
              </w:rPr>
            </w:pPr>
          </w:p>
        </w:tc>
        <w:tc>
          <w:tcPr>
            <w:tcW w:w="64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222</w:t>
            </w:r>
          </w:p>
        </w:tc>
        <w:tc>
          <w:tcPr>
            <w:tcW w:w="36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rPr>
              <w:t>1,188</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1"/>
                <w:szCs w:val="11"/>
                <w:color w:val="auto"/>
              </w:rPr>
            </w:pPr>
          </w:p>
        </w:tc>
        <w:tc>
          <w:tcPr>
            <w:tcW w:w="680" w:type="dxa"/>
            <w:vAlign w:val="bottom"/>
            <w:gridSpan w:val="2"/>
          </w:tcPr>
          <w:p>
            <w:pPr>
              <w:jc w:val="right"/>
              <w:ind w:right="220"/>
              <w:spacing w:after="0" w:line="13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8"/>
              <w:spacing w:after="0" w:line="137"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w w:val="95"/>
              </w:rPr>
              <w:t>Proved producing properties – depreciation and depletion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25,844</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3,020</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4,802</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4,736</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38,402</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212</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38,617</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Future abandonment and restoration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1,016</w:t>
            </w:r>
          </w:p>
        </w:tc>
        <w:tc>
          <w:tcPr>
            <w:tcW w:w="32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449</w:t>
            </w:r>
          </w:p>
        </w:tc>
        <w:tc>
          <w:tcPr>
            <w:tcW w:w="28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281</w:t>
            </w:r>
          </w:p>
        </w:tc>
        <w:tc>
          <w:tcPr>
            <w:tcW w:w="380" w:type="dxa"/>
            <w:vAlign w:val="bottom"/>
          </w:tcPr>
          <w:p>
            <w:pPr>
              <w:spacing w:after="0"/>
              <w:rPr>
                <w:sz w:val="12"/>
                <w:szCs w:val="12"/>
                <w:color w:val="auto"/>
              </w:rPr>
            </w:pPr>
          </w:p>
        </w:tc>
        <w:tc>
          <w:tcPr>
            <w:tcW w:w="6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342</w:t>
            </w: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2,088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w:t>
            </w:r>
          </w:p>
        </w:tc>
        <w:tc>
          <w:tcPr>
            <w:tcW w:w="3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2,107</w:t>
            </w:r>
          </w:p>
        </w:tc>
        <w:tc>
          <w:tcPr>
            <w:tcW w:w="0" w:type="dxa"/>
            <w:vAlign w:val="bottom"/>
          </w:tcPr>
          <w:p>
            <w:pPr>
              <w:spacing w:after="0"/>
              <w:rPr>
                <w:sz w:val="1"/>
                <w:szCs w:val="1"/>
                <w:color w:val="auto"/>
              </w:rPr>
            </w:pPr>
          </w:p>
        </w:tc>
      </w:tr>
      <w:tr>
        <w:trPr>
          <w:trHeight w:val="167"/>
        </w:trPr>
        <w:tc>
          <w:tcPr>
            <w:tcW w:w="342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Support equipment depreciation</w:t>
            </w:r>
          </w:p>
        </w:tc>
        <w:tc>
          <w:tcPr>
            <w:tcW w:w="8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452</w:t>
            </w:r>
          </w:p>
        </w:tc>
        <w:tc>
          <w:tcPr>
            <w:tcW w:w="32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160</w:t>
            </w:r>
          </w:p>
        </w:tc>
        <w:tc>
          <w:tcPr>
            <w:tcW w:w="280" w:type="dxa"/>
            <w:vAlign w:val="bottom"/>
            <w:tcBorders>
              <w:bottom w:val="single" w:sz="8" w:color="0070FF"/>
            </w:tcBorders>
          </w:tcPr>
          <w:p>
            <w:pPr>
              <w:spacing w:after="0"/>
              <w:rPr>
                <w:sz w:val="14"/>
                <w:szCs w:val="14"/>
                <w:color w:val="auto"/>
              </w:rPr>
            </w:pPr>
          </w:p>
        </w:tc>
        <w:tc>
          <w:tcPr>
            <w:tcW w:w="88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1,122</w:t>
            </w:r>
          </w:p>
        </w:tc>
        <w:tc>
          <w:tcPr>
            <w:tcW w:w="38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162</w:t>
            </w:r>
          </w:p>
        </w:tc>
        <w:tc>
          <w:tcPr>
            <w:tcW w:w="360" w:type="dxa"/>
            <w:vAlign w:val="bottom"/>
            <w:tcBorders>
              <w:bottom w:val="single" w:sz="8" w:color="0070FF"/>
            </w:tcBorders>
          </w:tcPr>
          <w:p>
            <w:pPr>
              <w:spacing w:after="0"/>
              <w:rPr>
                <w:sz w:val="14"/>
                <w:szCs w:val="14"/>
                <w:color w:val="auto"/>
              </w:rPr>
            </w:pPr>
          </w:p>
        </w:tc>
        <w:tc>
          <w:tcPr>
            <w:tcW w:w="4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1,896</w:t>
            </w:r>
          </w:p>
        </w:tc>
        <w:tc>
          <w:tcPr>
            <w:tcW w:w="4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123</w:t>
            </w:r>
          </w:p>
        </w:tc>
        <w:tc>
          <w:tcPr>
            <w:tcW w:w="30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Accumulated provisions</w:t>
            </w:r>
          </w:p>
        </w:tc>
        <w:tc>
          <w:tcPr>
            <w:tcW w:w="8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28,119</w:t>
            </w:r>
          </w:p>
        </w:tc>
        <w:tc>
          <w:tcPr>
            <w:tcW w:w="320" w:type="dxa"/>
            <w:vAlign w:val="bottom"/>
            <w:tcBorders>
              <w:bottom w:val="single" w:sz="8" w:color="0070FF"/>
            </w:tcBorders>
          </w:tcPr>
          <w:p>
            <w:pPr>
              <w:spacing w:after="0"/>
              <w:rPr>
                <w:sz w:val="13"/>
                <w:szCs w:val="13"/>
                <w:color w:val="auto"/>
              </w:rPr>
            </w:pP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3,715</w:t>
            </w:r>
          </w:p>
        </w:tc>
        <w:tc>
          <w:tcPr>
            <w:tcW w:w="280" w:type="dxa"/>
            <w:vAlign w:val="bottom"/>
            <w:tcBorders>
              <w:bottom w:val="single" w:sz="8" w:color="0070FF"/>
            </w:tcBorders>
          </w:tcPr>
          <w:p>
            <w:pPr>
              <w:spacing w:after="0"/>
              <w:rPr>
                <w:sz w:val="13"/>
                <w:szCs w:val="13"/>
                <w:color w:val="auto"/>
              </w:rPr>
            </w:pP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6,278</w:t>
            </w:r>
          </w:p>
        </w:tc>
        <w:tc>
          <w:tcPr>
            <w:tcW w:w="38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5,462</w:t>
            </w:r>
          </w:p>
        </w:tc>
        <w:tc>
          <w:tcPr>
            <w:tcW w:w="360" w:type="dxa"/>
            <w:vAlign w:val="bottom"/>
            <w:tcBorders>
              <w:bottom w:val="single" w:sz="8" w:color="0070FF"/>
            </w:tcBorders>
          </w:tcPr>
          <w:p>
            <w:pPr>
              <w:spacing w:after="0"/>
              <w:rPr>
                <w:sz w:val="13"/>
                <w:szCs w:val="13"/>
                <w:color w:val="auto"/>
              </w:rPr>
            </w:pP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43,574</w:t>
            </w:r>
          </w:p>
        </w:tc>
        <w:tc>
          <w:tcPr>
            <w:tcW w:w="4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361</w:t>
            </w:r>
          </w:p>
        </w:tc>
        <w:tc>
          <w:tcPr>
            <w:tcW w:w="30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color w:val="auto"/>
              </w:rPr>
              <w:t>3</w:t>
            </w:r>
          </w:p>
        </w:tc>
        <w:tc>
          <w:tcPr>
            <w:tcW w:w="200" w:type="dxa"/>
            <w:vAlign w:val="bottom"/>
            <w:tcBorders>
              <w:bottom w:val="single" w:sz="8" w:color="0070FF"/>
            </w:tcBorders>
          </w:tcPr>
          <w:p>
            <w:pPr>
              <w:spacing w:after="0"/>
              <w:rPr>
                <w:sz w:val="13"/>
                <w:szCs w:val="13"/>
                <w:color w:val="auto"/>
              </w:rPr>
            </w:pPr>
          </w:p>
        </w:tc>
        <w:tc>
          <w:tcPr>
            <w:tcW w:w="10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43,938</w:t>
            </w:r>
          </w:p>
        </w:tc>
        <w:tc>
          <w:tcPr>
            <w:tcW w:w="0" w:type="dxa"/>
            <w:vAlign w:val="bottom"/>
          </w:tcPr>
          <w:p>
            <w:pPr>
              <w:spacing w:after="0"/>
              <w:rPr>
                <w:sz w:val="1"/>
                <w:szCs w:val="1"/>
                <w:color w:val="auto"/>
              </w:rPr>
            </w:pPr>
          </w:p>
        </w:tc>
      </w:tr>
      <w:tr>
        <w:trPr>
          <w:trHeight w:val="176"/>
        </w:trPr>
        <w:tc>
          <w:tcPr>
            <w:tcW w:w="342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NET CAPITALIZED COSTS</w:t>
            </w:r>
          </w:p>
        </w:tc>
        <w:tc>
          <w:tcPr>
            <w:tcW w:w="220" w:type="dxa"/>
            <w:vAlign w:val="bottom"/>
            <w:tcBorders>
              <w:bottom w:val="single" w:sz="8" w:color="0070FF"/>
            </w:tcBorders>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10,661</w:t>
            </w:r>
          </w:p>
        </w:tc>
        <w:tc>
          <w:tcPr>
            <w:tcW w:w="32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3,653</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7,868</w:t>
            </w:r>
          </w:p>
        </w:tc>
        <w:tc>
          <w:tcPr>
            <w:tcW w:w="38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5,643</w:t>
            </w:r>
          </w:p>
        </w:tc>
        <w:tc>
          <w:tcPr>
            <w:tcW w:w="360" w:type="dxa"/>
            <w:vAlign w:val="bottom"/>
            <w:tcBorders>
              <w:bottom w:val="single" w:sz="8" w:color="0070FF"/>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27,825</w:t>
            </w:r>
          </w:p>
        </w:tc>
        <w:tc>
          <w:tcPr>
            <w:tcW w:w="560" w:type="dxa"/>
            <w:vAlign w:val="bottom"/>
            <w:tcBorders>
              <w:bottom w:val="single" w:sz="8" w:color="0070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2,163</w:t>
            </w:r>
          </w:p>
        </w:tc>
        <w:tc>
          <w:tcPr>
            <w:tcW w:w="30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gridSpan w:val="2"/>
          </w:tcPr>
          <w:p>
            <w:pPr>
              <w:jc w:val="right"/>
              <w:ind w:right="220"/>
              <w:spacing w:after="0" w:line="155" w:lineRule="exact"/>
              <w:rPr>
                <w:sz w:val="20"/>
                <w:szCs w:val="20"/>
                <w:color w:val="auto"/>
              </w:rPr>
            </w:pPr>
            <w:r>
              <w:rPr>
                <w:rFonts w:ascii="Arial" w:cs="Arial" w:eastAsia="Arial" w:hAnsi="Arial"/>
                <w:sz w:val="14"/>
                <w:szCs w:val="14"/>
                <w:color w:val="auto"/>
              </w:rPr>
              <w:t>469</w:t>
            </w:r>
          </w:p>
        </w:tc>
        <w:tc>
          <w:tcPr>
            <w:tcW w:w="300" w:type="dxa"/>
            <w:vAlign w:val="bottom"/>
            <w:tcBorders>
              <w:bottom w:val="single" w:sz="8" w:color="0070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30,457</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40" w:hanging="232"/>
        <w:spacing w:after="0"/>
        <w:tabs>
          <w:tab w:leader="none" w:pos="240" w:val="left"/>
        </w:tabs>
        <w:numPr>
          <w:ilvl w:val="0"/>
          <w:numId w:val="72"/>
        </w:numPr>
        <w:rPr>
          <w:rFonts w:ascii="Arial" w:cs="Arial" w:eastAsia="Arial" w:hAnsi="Arial"/>
          <w:sz w:val="10"/>
          <w:szCs w:val="10"/>
          <w:color w:val="auto"/>
        </w:rPr>
      </w:pPr>
      <w:r>
        <w:rPr>
          <w:rFonts w:ascii="Arial" w:cs="Arial" w:eastAsia="Arial" w:hAnsi="Arial"/>
          <w:sz w:val="12"/>
          <w:szCs w:val="12"/>
          <w:color w:val="auto"/>
        </w:rPr>
        <w:t>Includes assets held for sale.</w:t>
      </w:r>
    </w:p>
    <w:p>
      <w:pPr>
        <w:spacing w:after="0" w:line="11" w:lineRule="exact"/>
        <w:rPr>
          <w:sz w:val="20"/>
          <w:szCs w:val="20"/>
          <w:color w:val="auto"/>
        </w:rPr>
      </w:pPr>
    </w:p>
    <w:p>
      <w:pPr>
        <w:ind w:left="240" w:hanging="232"/>
        <w:spacing w:after="0"/>
        <w:tabs>
          <w:tab w:leader="none" w:pos="240" w:val="left"/>
        </w:tabs>
        <w:numPr>
          <w:ilvl w:val="0"/>
          <w:numId w:val="73"/>
        </w:numPr>
        <w:rPr>
          <w:rFonts w:ascii="Arial" w:cs="Arial" w:eastAsia="Arial" w:hAnsi="Arial"/>
          <w:sz w:val="10"/>
          <w:szCs w:val="10"/>
          <w:color w:val="auto"/>
        </w:rPr>
      </w:pPr>
      <w:r>
        <w:rPr>
          <w:rFonts w:ascii="Arial" w:cs="Arial" w:eastAsia="Arial" w:hAnsi="Arial"/>
          <w:sz w:val="12"/>
          <w:szCs w:val="12"/>
          <w:color w:val="auto"/>
        </w:rPr>
        <w:t>See Note 25, FAS 143 “Asset Retirement Obligations,” on page FS-50.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80"/>
        <w:spacing w:after="0" w:line="284" w:lineRule="auto"/>
        <w:rPr>
          <w:sz w:val="20"/>
          <w:szCs w:val="20"/>
          <w:color w:val="auto"/>
        </w:rPr>
      </w:pPr>
      <w:r>
        <w:rPr>
          <w:rFonts w:ascii="Arial" w:cs="Arial" w:eastAsia="Arial" w:hAnsi="Arial"/>
          <w:sz w:val="16"/>
          <w:szCs w:val="16"/>
          <w:b w:val="1"/>
          <w:bCs w:val="1"/>
          <w:color w:val="0070FF"/>
        </w:rPr>
        <w:t>TABLE III — RESULTS OF OPERATIONS FOR OIL AND GAS PRODUCING ACTIVITIES</w:t>
      </w:r>
      <w:r>
        <w:rPr>
          <w:rFonts w:ascii="Arial" w:cs="Arial" w:eastAsia="Arial" w:hAnsi="Arial"/>
          <w:sz w:val="27"/>
          <w:szCs w:val="27"/>
          <w:b w:val="1"/>
          <w:bCs w:val="1"/>
          <w:color w:val="0070FF"/>
          <w:vertAlign w:val="superscript"/>
        </w:rPr>
        <w:t>1</w:t>
      </w:r>
    </w:p>
    <w:p>
      <w:pPr>
        <w:spacing w:after="0" w:line="206"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The company’s results of operations from oil and gas producing activities for the years 2003, 2002 and 2001 are shown in the following table. Net income from exploration and production activities as reported on pages FS-6 and FS-7 reflects income taxes computed on an effective rate basis. In accordance with FAS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No. 69, income taxes in Table III are based on statutory tax rates, reflecting allowable deductions and tax credits. Interest income and expense are excluded from the results reported in Table III and from the net income amounts on pages FS-6 and FS-7.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-953770</wp:posOffset>
            </wp:positionV>
            <wp:extent cx="8890" cy="9861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986155"/>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5260" w:space="620"/>
            <w:col w:w="5540"/>
          </w:cols>
          <w:pgMar w:left="240" w:top="419" w:right="239" w:bottom="1440" w:gutter="0" w:footer="0" w:header="0"/>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w:t>
            </w:r>
          </w:p>
        </w:tc>
        <w:tc>
          <w:tcPr>
            <w:tcW w:w="460" w:type="dxa"/>
            <w:vAlign w:val="bottom"/>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spacing w:after="0"/>
              <w:rPr>
                <w:sz w:val="14"/>
                <w:szCs w:val="14"/>
                <w:color w:val="auto"/>
              </w:rPr>
            </w:pPr>
          </w:p>
        </w:tc>
        <w:tc>
          <w:tcPr>
            <w:tcW w:w="26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spacing w:after="0"/>
              <w:rPr>
                <w:sz w:val="14"/>
                <w:szCs w:val="14"/>
                <w:color w:val="auto"/>
              </w:rPr>
            </w:pPr>
          </w:p>
        </w:tc>
        <w:tc>
          <w:tcPr>
            <w:tcW w:w="1680" w:type="dxa"/>
            <w:vAlign w:val="bottom"/>
            <w:tcBorders>
              <w:bottom w:val="single" w:sz="8" w:color="0070FF"/>
            </w:tcBorders>
            <w:gridSpan w:val="4"/>
          </w:tcPr>
          <w:p>
            <w:pPr>
              <w:ind w:left="140"/>
              <w:spacing w:after="0"/>
              <w:rPr>
                <w:sz w:val="20"/>
                <w:szCs w:val="20"/>
                <w:color w:val="auto"/>
              </w:rPr>
            </w:pPr>
            <w:r>
              <w:rPr>
                <w:rFonts w:ascii="Arial" w:cs="Arial" w:eastAsia="Arial" w:hAnsi="Arial"/>
                <w:sz w:val="14"/>
                <w:szCs w:val="14"/>
                <w:color w:val="auto"/>
                <w:w w:val="97"/>
              </w:rPr>
              <w:t>Consolidated Companies</w:t>
            </w:r>
          </w:p>
        </w:tc>
        <w:tc>
          <w:tcPr>
            <w:tcW w:w="160" w:type="dxa"/>
            <w:vAlign w:val="bottom"/>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1320" w:type="dxa"/>
            <w:vAlign w:val="bottom"/>
            <w:tcBorders>
              <w:bottom w:val="single" w:sz="8" w:color="0070FF"/>
            </w:tcBorders>
            <w:gridSpan w:val="3"/>
          </w:tcPr>
          <w:p>
            <w:pPr>
              <w:jc w:val="right"/>
              <w:ind w:right="28"/>
              <w:spacing w:after="0"/>
              <w:rPr>
                <w:sz w:val="20"/>
                <w:szCs w:val="20"/>
                <w:color w:val="auto"/>
              </w:rPr>
            </w:pPr>
            <w:r>
              <w:rPr>
                <w:rFonts w:ascii="Arial" w:cs="Arial" w:eastAsia="Arial" w:hAnsi="Arial"/>
                <w:sz w:val="14"/>
                <w:szCs w:val="14"/>
                <w:color w:val="auto"/>
                <w:w w:val="93"/>
              </w:rPr>
              <w:t>Affiliated Companies</w:t>
            </w:r>
          </w:p>
        </w:tc>
        <w:tc>
          <w:tcPr>
            <w:tcW w:w="160" w:type="dxa"/>
            <w:vAlign w:val="bottom"/>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840" w:type="dxa"/>
            <w:vAlign w:val="bottom"/>
            <w:tcBorders>
              <w:bottom w:val="single" w:sz="8" w:color="0070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U.S.</w:t>
            </w:r>
          </w:p>
        </w:tc>
        <w:tc>
          <w:tcPr>
            <w:tcW w:w="280" w:type="dxa"/>
            <w:vAlign w:val="bottom"/>
          </w:tcPr>
          <w:p>
            <w:pPr>
              <w:spacing w:after="0"/>
              <w:rPr>
                <w:sz w:val="12"/>
                <w:szCs w:val="12"/>
                <w:color w:val="auto"/>
              </w:rPr>
            </w:pPr>
          </w:p>
        </w:tc>
        <w:tc>
          <w:tcPr>
            <w:tcW w:w="62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Africa</w:t>
            </w:r>
          </w:p>
        </w:tc>
        <w:tc>
          <w:tcPr>
            <w:tcW w:w="260" w:type="dxa"/>
            <w:vAlign w:val="bottom"/>
          </w:tcPr>
          <w:p>
            <w:pPr>
              <w:spacing w:after="0"/>
              <w:rPr>
                <w:sz w:val="12"/>
                <w:szCs w:val="12"/>
                <w:color w:val="auto"/>
              </w:rPr>
            </w:pPr>
          </w:p>
        </w:tc>
        <w:tc>
          <w:tcPr>
            <w:tcW w:w="90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92"/>
              </w:rPr>
              <w:t>Asia-Pacific</w:t>
            </w:r>
          </w:p>
        </w:tc>
        <w:tc>
          <w:tcPr>
            <w:tcW w:w="240" w:type="dxa"/>
            <w:vAlign w:val="bottom"/>
          </w:tcPr>
          <w:p>
            <w:pPr>
              <w:spacing w:after="0"/>
              <w:rPr>
                <w:sz w:val="12"/>
                <w:szCs w:val="12"/>
                <w:color w:val="auto"/>
              </w:rPr>
            </w:pPr>
          </w:p>
        </w:tc>
        <w:tc>
          <w:tcPr>
            <w:tcW w:w="54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91"/>
              </w:rPr>
              <w:t>Other</w:t>
            </w:r>
          </w:p>
        </w:tc>
        <w:tc>
          <w:tcPr>
            <w:tcW w:w="26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TCO</w:t>
            </w:r>
          </w:p>
        </w:tc>
        <w:tc>
          <w:tcPr>
            <w:tcW w:w="700" w:type="dxa"/>
            <w:vAlign w:val="bottom"/>
            <w:gridSpan w:val="2"/>
          </w:tcPr>
          <w:p>
            <w:pPr>
              <w:ind w:left="160"/>
              <w:spacing w:after="0" w:line="142" w:lineRule="exact"/>
              <w:rPr>
                <w:sz w:val="20"/>
                <w:szCs w:val="20"/>
                <w:color w:val="auto"/>
              </w:rPr>
            </w:pPr>
            <w:r>
              <w:rPr>
                <w:rFonts w:ascii="Arial" w:cs="Arial" w:eastAsia="Arial" w:hAnsi="Arial"/>
                <w:sz w:val="14"/>
                <w:szCs w:val="14"/>
                <w:color w:val="auto"/>
                <w:w w:val="99"/>
              </w:rPr>
              <w:t>Hamaca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97"/>
              </w:rPr>
              <w:t>Worldwide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40" w:type="dxa"/>
            <w:vAlign w:val="bottom"/>
            <w:tcBorders>
              <w:top w:val="single" w:sz="8" w:color="0070FF"/>
            </w:tcBorders>
          </w:tcPr>
          <w:p>
            <w:pPr>
              <w:spacing w:after="0" w:line="123" w:lineRule="exact"/>
              <w:rPr>
                <w:sz w:val="20"/>
                <w:szCs w:val="20"/>
                <w:color w:val="auto"/>
              </w:rPr>
            </w:pPr>
            <w:r>
              <w:rPr>
                <w:rFonts w:ascii="Arial" w:cs="Arial" w:eastAsia="Arial" w:hAnsi="Arial"/>
                <w:sz w:val="14"/>
                <w:szCs w:val="14"/>
                <w:b w:val="1"/>
                <w:bCs w:val="1"/>
                <w:color w:val="0070FF"/>
              </w:rPr>
              <w:t>YEAR ENDED DECEMBER 31, 2003</w:t>
            </w:r>
          </w:p>
        </w:tc>
        <w:tc>
          <w:tcPr>
            <w:tcW w:w="460" w:type="dxa"/>
            <w:vAlign w:val="bottom"/>
            <w:tcBorders>
              <w:top w:val="single" w:sz="8" w:color="0070FF"/>
            </w:tcBorders>
          </w:tcPr>
          <w:p>
            <w:pPr>
              <w:spacing w:after="0"/>
              <w:rPr>
                <w:sz w:val="10"/>
                <w:szCs w:val="10"/>
                <w:color w:val="auto"/>
              </w:rPr>
            </w:pPr>
          </w:p>
        </w:tc>
        <w:tc>
          <w:tcPr>
            <w:tcW w:w="120" w:type="dxa"/>
            <w:vAlign w:val="bottom"/>
            <w:tcBorders>
              <w:top w:val="single" w:sz="8" w:color="0070FF"/>
            </w:tcBorders>
          </w:tcPr>
          <w:p>
            <w:pPr>
              <w:spacing w:after="0"/>
              <w:rPr>
                <w:sz w:val="10"/>
                <w:szCs w:val="10"/>
                <w:color w:val="auto"/>
              </w:rPr>
            </w:pPr>
          </w:p>
        </w:tc>
        <w:tc>
          <w:tcPr>
            <w:tcW w:w="620" w:type="dxa"/>
            <w:vAlign w:val="bottom"/>
            <w:tcBorders>
              <w:top w:val="single" w:sz="8" w:color="0070FF"/>
            </w:tcBorders>
          </w:tcPr>
          <w:p>
            <w:pPr>
              <w:spacing w:after="0"/>
              <w:rPr>
                <w:sz w:val="10"/>
                <w:szCs w:val="10"/>
                <w:color w:val="auto"/>
              </w:rPr>
            </w:pPr>
          </w:p>
        </w:tc>
        <w:tc>
          <w:tcPr>
            <w:tcW w:w="280" w:type="dxa"/>
            <w:vAlign w:val="bottom"/>
            <w:tcBorders>
              <w:top w:val="single" w:sz="8" w:color="0070FF"/>
            </w:tcBorders>
          </w:tcPr>
          <w:p>
            <w:pPr>
              <w:spacing w:after="0"/>
              <w:rPr>
                <w:sz w:val="10"/>
                <w:szCs w:val="10"/>
                <w:color w:val="auto"/>
              </w:rPr>
            </w:pPr>
          </w:p>
        </w:tc>
        <w:tc>
          <w:tcPr>
            <w:tcW w:w="620" w:type="dxa"/>
            <w:vAlign w:val="bottom"/>
            <w:tcBorders>
              <w:top w:val="single" w:sz="8" w:color="0070FF"/>
            </w:tcBorders>
          </w:tcPr>
          <w:p>
            <w:pPr>
              <w:spacing w:after="0"/>
              <w:rPr>
                <w:sz w:val="10"/>
                <w:szCs w:val="10"/>
                <w:color w:val="auto"/>
              </w:rPr>
            </w:pPr>
          </w:p>
        </w:tc>
        <w:tc>
          <w:tcPr>
            <w:tcW w:w="260" w:type="dxa"/>
            <w:vAlign w:val="bottom"/>
            <w:tcBorders>
              <w:top w:val="single" w:sz="8" w:color="0070FF"/>
            </w:tcBorders>
          </w:tcPr>
          <w:p>
            <w:pPr>
              <w:spacing w:after="0"/>
              <w:rPr>
                <w:sz w:val="10"/>
                <w:szCs w:val="10"/>
                <w:color w:val="auto"/>
              </w:rPr>
            </w:pPr>
          </w:p>
        </w:tc>
        <w:tc>
          <w:tcPr>
            <w:tcW w:w="900" w:type="dxa"/>
            <w:vAlign w:val="bottom"/>
            <w:tcBorders>
              <w:top w:val="single" w:sz="8" w:color="0070FF"/>
            </w:tcBorders>
          </w:tcPr>
          <w:p>
            <w:pPr>
              <w:spacing w:after="0"/>
              <w:rPr>
                <w:sz w:val="10"/>
                <w:szCs w:val="10"/>
                <w:color w:val="auto"/>
              </w:rPr>
            </w:pPr>
          </w:p>
        </w:tc>
        <w:tc>
          <w:tcPr>
            <w:tcW w:w="240" w:type="dxa"/>
            <w:vAlign w:val="bottom"/>
            <w:tcBorders>
              <w:top w:val="single" w:sz="8" w:color="0070FF"/>
            </w:tcBorders>
          </w:tcPr>
          <w:p>
            <w:pPr>
              <w:spacing w:after="0"/>
              <w:rPr>
                <w:sz w:val="10"/>
                <w:szCs w:val="10"/>
                <w:color w:val="auto"/>
              </w:rPr>
            </w:pPr>
          </w:p>
        </w:tc>
        <w:tc>
          <w:tcPr>
            <w:tcW w:w="540" w:type="dxa"/>
            <w:vAlign w:val="bottom"/>
            <w:tcBorders>
              <w:top w:val="single" w:sz="8" w:color="0070FF"/>
            </w:tcBorders>
          </w:tcPr>
          <w:p>
            <w:pPr>
              <w:spacing w:after="0"/>
              <w:rPr>
                <w:sz w:val="10"/>
                <w:szCs w:val="10"/>
                <w:color w:val="auto"/>
              </w:rPr>
            </w:pPr>
          </w:p>
        </w:tc>
        <w:tc>
          <w:tcPr>
            <w:tcW w:w="260" w:type="dxa"/>
            <w:vAlign w:val="bottom"/>
            <w:tcBorders>
              <w:top w:val="single" w:sz="8" w:color="0070FF"/>
            </w:tcBorders>
          </w:tcPr>
          <w:p>
            <w:pPr>
              <w:spacing w:after="0"/>
              <w:rPr>
                <w:sz w:val="10"/>
                <w:szCs w:val="10"/>
                <w:color w:val="auto"/>
              </w:rPr>
            </w:pPr>
          </w:p>
        </w:tc>
        <w:tc>
          <w:tcPr>
            <w:tcW w:w="640" w:type="dxa"/>
            <w:vAlign w:val="bottom"/>
            <w:tcBorders>
              <w:top w:val="single" w:sz="8" w:color="0070FF"/>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0070FF"/>
            </w:tcBorders>
          </w:tcPr>
          <w:p>
            <w:pPr>
              <w:spacing w:after="0"/>
              <w:rPr>
                <w:sz w:val="10"/>
                <w:szCs w:val="10"/>
                <w:color w:val="auto"/>
              </w:rPr>
            </w:pPr>
          </w:p>
        </w:tc>
        <w:tc>
          <w:tcPr>
            <w:tcW w:w="620" w:type="dxa"/>
            <w:vAlign w:val="bottom"/>
            <w:tcBorders>
              <w:top w:val="single" w:sz="8" w:color="0070FF"/>
            </w:tcBorders>
          </w:tcPr>
          <w:p>
            <w:pPr>
              <w:spacing w:after="0"/>
              <w:rPr>
                <w:sz w:val="10"/>
                <w:szCs w:val="10"/>
                <w:color w:val="auto"/>
              </w:rPr>
            </w:pPr>
          </w:p>
        </w:tc>
        <w:tc>
          <w:tcPr>
            <w:tcW w:w="300" w:type="dxa"/>
            <w:vAlign w:val="bottom"/>
            <w:tcBorders>
              <w:top w:val="single" w:sz="8" w:color="0070FF"/>
            </w:tcBorders>
          </w:tcPr>
          <w:p>
            <w:pPr>
              <w:spacing w:after="0"/>
              <w:rPr>
                <w:sz w:val="10"/>
                <w:szCs w:val="10"/>
                <w:color w:val="auto"/>
              </w:rPr>
            </w:pPr>
          </w:p>
        </w:tc>
        <w:tc>
          <w:tcPr>
            <w:tcW w:w="400" w:type="dxa"/>
            <w:vAlign w:val="bottom"/>
            <w:tcBorders>
              <w:top w:val="single" w:sz="8" w:color="0070FF"/>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0070FF"/>
            </w:tcBorders>
          </w:tcPr>
          <w:p>
            <w:pPr>
              <w:spacing w:after="0"/>
              <w:rPr>
                <w:sz w:val="10"/>
                <w:szCs w:val="10"/>
                <w:color w:val="auto"/>
              </w:rPr>
            </w:pPr>
          </w:p>
        </w:tc>
        <w:tc>
          <w:tcPr>
            <w:tcW w:w="840" w:type="dxa"/>
            <w:vAlign w:val="bottom"/>
            <w:tcBorders>
              <w:top w:val="single" w:sz="8" w:color="0070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Revenues from net production</w:t>
            </w: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4,507</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1,339</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1,497</w:t>
            </w:r>
          </w:p>
        </w:tc>
        <w:tc>
          <w:tcPr>
            <w:tcW w:w="2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1"/>
              </w:rPr>
              <w:t>2,556</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9,899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1,116</w:t>
            </w:r>
          </w:p>
        </w:tc>
        <w:tc>
          <w:tcPr>
            <w:tcW w:w="3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104</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11,119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40" w:type="dxa"/>
            <w:vAlign w:val="bottom"/>
          </w:tcPr>
          <w:p>
            <w:pPr>
              <w:ind w:left="120"/>
              <w:spacing w:after="0" w:line="145" w:lineRule="exact"/>
              <w:rPr>
                <w:sz w:val="20"/>
                <w:szCs w:val="20"/>
                <w:color w:val="auto"/>
              </w:rPr>
            </w:pPr>
            <w:r>
              <w:rPr>
                <w:rFonts w:ascii="Arial" w:cs="Arial" w:eastAsia="Arial" w:hAnsi="Arial"/>
                <w:sz w:val="14"/>
                <w:szCs w:val="14"/>
                <w:color w:val="auto"/>
              </w:rPr>
              <w:t>Sales</w:t>
            </w:r>
          </w:p>
        </w:tc>
        <w:tc>
          <w:tcPr>
            <w:tcW w:w="5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Transfers</w:t>
            </w:r>
          </w:p>
        </w:tc>
        <w:tc>
          <w:tcPr>
            <w:tcW w:w="46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4,921</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1,835</w:t>
            </w:r>
          </w:p>
        </w:tc>
        <w:tc>
          <w:tcPr>
            <w:tcW w:w="26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rPr>
              <w:t>3,304</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b w:val="1"/>
                <w:bCs w:val="1"/>
                <w:color w:val="auto"/>
                <w:w w:val="91"/>
              </w:rPr>
              <w:t>1,356</w:t>
            </w:r>
          </w:p>
        </w:tc>
        <w:tc>
          <w:tcPr>
            <w:tcW w:w="2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11,416</w:t>
            </w:r>
          </w:p>
        </w:tc>
        <w:tc>
          <w:tcPr>
            <w:tcW w:w="16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8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11,416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40" w:type="dxa"/>
            <w:vAlign w:val="bottom"/>
          </w:tcPr>
          <w:p>
            <w:pPr>
              <w:ind w:left="120"/>
              <w:spacing w:after="0" w:line="133" w:lineRule="exact"/>
              <w:rPr>
                <w:sz w:val="20"/>
                <w:szCs w:val="20"/>
                <w:color w:val="auto"/>
              </w:rPr>
            </w:pPr>
            <w:r>
              <w:rPr>
                <w:rFonts w:ascii="Arial" w:cs="Arial" w:eastAsia="Arial" w:hAnsi="Arial"/>
                <w:sz w:val="14"/>
                <w:szCs w:val="14"/>
                <w:color w:val="auto"/>
              </w:rPr>
              <w:t>Total</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9,428</w:t>
            </w:r>
          </w:p>
        </w:tc>
        <w:tc>
          <w:tcPr>
            <w:tcW w:w="280" w:type="dxa"/>
            <w:vAlign w:val="bottom"/>
          </w:tcPr>
          <w:p>
            <w:pPr>
              <w:spacing w:after="0"/>
              <w:rPr>
                <w:sz w:val="11"/>
                <w:szCs w:val="11"/>
                <w:color w:val="auto"/>
              </w:rPr>
            </w:pPr>
          </w:p>
        </w:tc>
        <w:tc>
          <w:tcPr>
            <w:tcW w:w="62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3,174</w:t>
            </w:r>
          </w:p>
        </w:tc>
        <w:tc>
          <w:tcPr>
            <w:tcW w:w="260" w:type="dxa"/>
            <w:vAlign w:val="bottom"/>
          </w:tcPr>
          <w:p>
            <w:pPr>
              <w:spacing w:after="0"/>
              <w:rPr>
                <w:sz w:val="11"/>
                <w:szCs w:val="11"/>
                <w:color w:val="auto"/>
              </w:rPr>
            </w:pPr>
          </w:p>
        </w:tc>
        <w:tc>
          <w:tcPr>
            <w:tcW w:w="90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4,801</w:t>
            </w:r>
          </w:p>
        </w:tc>
        <w:tc>
          <w:tcPr>
            <w:tcW w:w="240" w:type="dxa"/>
            <w:vAlign w:val="bottom"/>
          </w:tcPr>
          <w:p>
            <w:pPr>
              <w:spacing w:after="0"/>
              <w:rPr>
                <w:sz w:val="11"/>
                <w:szCs w:val="11"/>
                <w:color w:val="auto"/>
              </w:rPr>
            </w:pPr>
          </w:p>
        </w:tc>
        <w:tc>
          <w:tcPr>
            <w:tcW w:w="54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w w:val="91"/>
              </w:rPr>
              <w:t>3,912</w:t>
            </w:r>
          </w:p>
        </w:tc>
        <w:tc>
          <w:tcPr>
            <w:tcW w:w="260" w:type="dxa"/>
            <w:vAlign w:val="bottom"/>
          </w:tcPr>
          <w:p>
            <w:pPr>
              <w:spacing w:after="0"/>
              <w:rPr>
                <w:sz w:val="11"/>
                <w:szCs w:val="11"/>
                <w:color w:val="auto"/>
              </w:rPr>
            </w:pPr>
          </w:p>
        </w:tc>
        <w:tc>
          <w:tcPr>
            <w:tcW w:w="64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21,315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48"/>
              <w:spacing w:after="0" w:line="133" w:lineRule="exact"/>
              <w:rPr>
                <w:sz w:val="20"/>
                <w:szCs w:val="20"/>
                <w:color w:val="auto"/>
              </w:rPr>
            </w:pPr>
            <w:r>
              <w:rPr>
                <w:rFonts w:ascii="Arial" w:cs="Arial" w:eastAsia="Arial" w:hAnsi="Arial"/>
                <w:sz w:val="14"/>
                <w:szCs w:val="14"/>
                <w:b w:val="1"/>
                <w:bCs w:val="1"/>
                <w:color w:val="auto"/>
              </w:rPr>
              <w:t>1,116</w:t>
            </w:r>
          </w:p>
        </w:tc>
        <w:tc>
          <w:tcPr>
            <w:tcW w:w="300" w:type="dxa"/>
            <w:vAlign w:val="bottom"/>
          </w:tcPr>
          <w:p>
            <w:pPr>
              <w:spacing w:after="0"/>
              <w:rPr>
                <w:sz w:val="11"/>
                <w:szCs w:val="11"/>
                <w:color w:val="auto"/>
              </w:rPr>
            </w:pPr>
          </w:p>
        </w:tc>
        <w:tc>
          <w:tcPr>
            <w:tcW w:w="40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104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22,535</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Production expenses excluding taxes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(1,959)</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(505)</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(783)</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(669)</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(3,916)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(117)</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(4,053)</w:t>
            </w:r>
          </w:p>
        </w:tc>
        <w:tc>
          <w:tcPr>
            <w:tcW w:w="0" w:type="dxa"/>
            <w:vAlign w:val="bottom"/>
          </w:tcPr>
          <w:p>
            <w:pPr>
              <w:spacing w:after="0"/>
              <w:rPr>
                <w:sz w:val="1"/>
                <w:szCs w:val="1"/>
                <w:color w:val="auto"/>
              </w:rPr>
            </w:pPr>
          </w:p>
        </w:tc>
      </w:tr>
      <w:tr>
        <w:trPr>
          <w:trHeight w:val="153"/>
        </w:trPr>
        <w:tc>
          <w:tcPr>
            <w:tcW w:w="3760" w:type="dxa"/>
            <w:vAlign w:val="bottom"/>
            <w:gridSpan w:val="2"/>
          </w:tcPr>
          <w:p>
            <w:pPr>
              <w:spacing w:after="0" w:line="153" w:lineRule="exact"/>
              <w:rPr>
                <w:sz w:val="20"/>
                <w:szCs w:val="20"/>
                <w:color w:val="auto"/>
              </w:rPr>
            </w:pPr>
            <w:r>
              <w:rPr>
                <w:rFonts w:ascii="Arial" w:cs="Arial" w:eastAsia="Arial" w:hAnsi="Arial"/>
                <w:sz w:val="14"/>
                <w:szCs w:val="14"/>
                <w:color w:val="auto"/>
              </w:rPr>
              <w:t>Taxes other than on income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(356)</w:t>
            </w:r>
          </w:p>
        </w:tc>
        <w:tc>
          <w:tcPr>
            <w:tcW w:w="280" w:type="dxa"/>
            <w:vAlign w:val="bottom"/>
          </w:tcPr>
          <w:p>
            <w:pPr>
              <w:spacing w:after="0"/>
              <w:rPr>
                <w:sz w:val="13"/>
                <w:szCs w:val="13"/>
                <w:color w:val="auto"/>
              </w:rPr>
            </w:pPr>
          </w:p>
        </w:tc>
        <w:tc>
          <w:tcPr>
            <w:tcW w:w="62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(22)</w:t>
            </w:r>
          </w:p>
        </w:tc>
        <w:tc>
          <w:tcPr>
            <w:tcW w:w="260" w:type="dxa"/>
            <w:vAlign w:val="bottom"/>
          </w:tcPr>
          <w:p>
            <w:pPr>
              <w:spacing w:after="0"/>
              <w:rPr>
                <w:sz w:val="13"/>
                <w:szCs w:val="13"/>
                <w:color w:val="auto"/>
              </w:rPr>
            </w:pPr>
          </w:p>
        </w:tc>
        <w:tc>
          <w:tcPr>
            <w:tcW w:w="9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(127)</w:t>
            </w:r>
          </w:p>
        </w:tc>
        <w:tc>
          <w:tcPr>
            <w:tcW w:w="240" w:type="dxa"/>
            <w:vAlign w:val="bottom"/>
          </w:tcPr>
          <w:p>
            <w:pPr>
              <w:spacing w:after="0"/>
              <w:rPr>
                <w:sz w:val="13"/>
                <w:szCs w:val="13"/>
                <w:color w:val="auto"/>
              </w:rPr>
            </w:pPr>
          </w:p>
        </w:tc>
        <w:tc>
          <w:tcPr>
            <w:tcW w:w="54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spacing w:after="0"/>
              <w:rPr>
                <w:sz w:val="13"/>
                <w:szCs w:val="13"/>
                <w:color w:val="auto"/>
              </w:rPr>
            </w:pPr>
          </w:p>
        </w:tc>
        <w:tc>
          <w:tcPr>
            <w:tcW w:w="64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(605)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(29)</w:t>
            </w:r>
          </w:p>
        </w:tc>
        <w:tc>
          <w:tcPr>
            <w:tcW w:w="300" w:type="dxa"/>
            <w:vAlign w:val="bottom"/>
          </w:tcPr>
          <w:p>
            <w:pPr>
              <w:spacing w:after="0"/>
              <w:rPr>
                <w:sz w:val="13"/>
                <w:szCs w:val="13"/>
                <w:color w:val="auto"/>
              </w:rPr>
            </w:pPr>
          </w:p>
        </w:tc>
        <w:tc>
          <w:tcPr>
            <w:tcW w:w="4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(634)</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Proved producing properties: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(1,532)</w:t>
            </w:r>
          </w:p>
        </w:tc>
        <w:tc>
          <w:tcPr>
            <w:tcW w:w="280" w:type="dxa"/>
            <w:vAlign w:val="bottom"/>
          </w:tcPr>
          <w:p>
            <w:pPr>
              <w:spacing w:after="0"/>
              <w:rPr>
                <w:sz w:val="12"/>
                <w:szCs w:val="12"/>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(327)</w:t>
            </w:r>
          </w:p>
        </w:tc>
        <w:tc>
          <w:tcPr>
            <w:tcW w:w="260" w:type="dxa"/>
            <w:vAlign w:val="bottom"/>
          </w:tcPr>
          <w:p>
            <w:pPr>
              <w:spacing w:after="0"/>
              <w:rPr>
                <w:sz w:val="12"/>
                <w:szCs w:val="12"/>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(712)</w:t>
            </w:r>
          </w:p>
        </w:tc>
        <w:tc>
          <w:tcPr>
            <w:tcW w:w="24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(846)</w:t>
            </w:r>
          </w:p>
        </w:tc>
        <w:tc>
          <w:tcPr>
            <w:tcW w:w="260" w:type="dxa"/>
            <w:vAlign w:val="bottom"/>
          </w:tcPr>
          <w:p>
            <w:pPr>
              <w:spacing w:after="0"/>
              <w:rPr>
                <w:sz w:val="12"/>
                <w:szCs w:val="12"/>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(3,417)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(97)</w:t>
            </w:r>
          </w:p>
        </w:tc>
        <w:tc>
          <w:tcPr>
            <w:tcW w:w="3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(3,518)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40" w:type="dxa"/>
            <w:vAlign w:val="bottom"/>
          </w:tcPr>
          <w:p>
            <w:pPr>
              <w:ind w:left="120"/>
              <w:spacing w:after="0" w:line="159" w:lineRule="exact"/>
              <w:rPr>
                <w:sz w:val="20"/>
                <w:szCs w:val="20"/>
                <w:color w:val="auto"/>
              </w:rPr>
            </w:pPr>
            <w:r>
              <w:rPr>
                <w:rFonts w:ascii="Arial" w:cs="Arial" w:eastAsia="Arial" w:hAnsi="Arial"/>
                <w:sz w:val="14"/>
                <w:szCs w:val="14"/>
                <w:color w:val="auto"/>
              </w:rPr>
              <w:t>depreciation and depletion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spacing w:after="0" w:line="175" w:lineRule="exact"/>
              <w:rPr>
                <w:sz w:val="20"/>
                <w:szCs w:val="20"/>
                <w:color w:val="auto"/>
              </w:rPr>
            </w:pPr>
            <w:r>
              <w:rPr>
                <w:rFonts w:ascii="Arial" w:cs="Arial" w:eastAsia="Arial" w:hAnsi="Arial"/>
                <w:sz w:val="13"/>
                <w:szCs w:val="13"/>
                <w:color w:val="auto"/>
              </w:rPr>
              <w:t>Accretion expense</w:t>
            </w:r>
            <w:r>
              <w:rPr>
                <w:rFonts w:ascii="Arial" w:cs="Arial" w:eastAsia="Arial" w:hAnsi="Arial"/>
                <w:sz w:val="20"/>
                <w:szCs w:val="20"/>
                <w:color w:val="auto"/>
                <w:vertAlign w:val="superscript"/>
              </w:rPr>
              <w:t>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(69)</w:t>
            </w:r>
          </w:p>
        </w:tc>
        <w:tc>
          <w:tcPr>
            <w:tcW w:w="28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5"/>
                <w:szCs w:val="15"/>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rPr>
              <w:t>(26)</w:t>
            </w:r>
          </w:p>
        </w:tc>
        <w:tc>
          <w:tcPr>
            <w:tcW w:w="26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Exploration expenses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(193)</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(123)</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(138)</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(117)</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(571)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(571)</w:t>
            </w: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Arial" w:cs="Arial" w:eastAsia="Arial" w:hAnsi="Arial"/>
                <w:sz w:val="14"/>
                <w:szCs w:val="14"/>
                <w:color w:val="auto"/>
              </w:rPr>
              <w:t>Unproved properties valuation</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(20)</w:t>
            </w:r>
          </w:p>
        </w:tc>
        <w:tc>
          <w:tcPr>
            <w:tcW w:w="2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rPr>
              <w:t>(41)</w:t>
            </w:r>
          </w:p>
        </w:tc>
        <w:tc>
          <w:tcPr>
            <w:tcW w:w="2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(90)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Arial" w:cs="Arial" w:eastAsia="Arial" w:hAnsi="Arial"/>
                <w:sz w:val="14"/>
                <w:szCs w:val="14"/>
                <w:color w:val="auto"/>
              </w:rPr>
              <w:t>Other (expense) income</w:t>
            </w:r>
            <w:r>
              <w:rPr>
                <w:rFonts w:ascii="Arial" w:cs="Arial" w:eastAsia="Arial" w:hAnsi="Arial"/>
                <w:sz w:val="22"/>
                <w:szCs w:val="22"/>
                <w:color w:val="auto"/>
                <w:vertAlign w:val="superscript"/>
              </w:rPr>
              <w:t>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(173)</w:t>
            </w:r>
          </w:p>
        </w:tc>
        <w:tc>
          <w:tcPr>
            <w:tcW w:w="28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(173)</w:t>
            </w:r>
          </w:p>
        </w:tc>
        <w:tc>
          <w:tcPr>
            <w:tcW w:w="2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(504)</w:t>
            </w:r>
          </w:p>
        </w:tc>
        <w:tc>
          <w:tcPr>
            <w:tcW w:w="240" w:type="dxa"/>
            <w:vAlign w:val="bottom"/>
          </w:tcPr>
          <w:p>
            <w:pPr>
              <w:spacing w:after="0"/>
              <w:rPr>
                <w:sz w:val="17"/>
                <w:szCs w:val="17"/>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rPr>
              <w:t>(175)</w:t>
            </w:r>
          </w:p>
        </w:tc>
        <w:tc>
          <w:tcPr>
            <w:tcW w:w="2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(4)</w:t>
            </w:r>
          </w:p>
        </w:tc>
        <w:tc>
          <w:tcPr>
            <w:tcW w:w="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(1,064)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40" w:type="dxa"/>
            <w:vAlign w:val="bottom"/>
            <w:tcBorders>
              <w:top w:val="single" w:sz="8" w:color="0070FF"/>
            </w:tcBorders>
          </w:tcPr>
          <w:p>
            <w:pPr>
              <w:ind w:left="120"/>
              <w:spacing w:after="0" w:line="133" w:lineRule="exact"/>
              <w:rPr>
                <w:sz w:val="20"/>
                <w:szCs w:val="20"/>
                <w:color w:val="auto"/>
              </w:rPr>
            </w:pPr>
            <w:r>
              <w:rPr>
                <w:rFonts w:ascii="Arial" w:cs="Arial" w:eastAsia="Arial" w:hAnsi="Arial"/>
                <w:sz w:val="14"/>
                <w:szCs w:val="14"/>
                <w:color w:val="auto"/>
              </w:rPr>
              <w:t>Results before income taxes</w:t>
            </w:r>
          </w:p>
        </w:tc>
        <w:tc>
          <w:tcPr>
            <w:tcW w:w="460" w:type="dxa"/>
            <w:vAlign w:val="bottom"/>
            <w:tcBorders>
              <w:top w:val="single" w:sz="8" w:color="0070FF"/>
            </w:tcBorders>
          </w:tcPr>
          <w:p>
            <w:pPr>
              <w:spacing w:after="0"/>
              <w:rPr>
                <w:sz w:val="11"/>
                <w:szCs w:val="11"/>
                <w:color w:val="auto"/>
              </w:rPr>
            </w:pPr>
          </w:p>
        </w:tc>
        <w:tc>
          <w:tcPr>
            <w:tcW w:w="12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08"/>
              <w:spacing w:after="0" w:line="133" w:lineRule="exact"/>
              <w:rPr>
                <w:sz w:val="20"/>
                <w:szCs w:val="20"/>
                <w:color w:val="auto"/>
              </w:rPr>
            </w:pPr>
            <w:r>
              <w:rPr>
                <w:rFonts w:ascii="Arial" w:cs="Arial" w:eastAsia="Arial" w:hAnsi="Arial"/>
                <w:sz w:val="14"/>
                <w:szCs w:val="14"/>
                <w:b w:val="1"/>
                <w:bCs w:val="1"/>
                <w:color w:val="auto"/>
              </w:rPr>
              <w:t>5,126</w:t>
            </w:r>
          </w:p>
        </w:tc>
        <w:tc>
          <w:tcPr>
            <w:tcW w:w="28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28"/>
              <w:spacing w:after="0" w:line="133" w:lineRule="exact"/>
              <w:rPr>
                <w:sz w:val="20"/>
                <w:szCs w:val="20"/>
                <w:color w:val="auto"/>
              </w:rPr>
            </w:pPr>
            <w:r>
              <w:rPr>
                <w:rFonts w:ascii="Arial" w:cs="Arial" w:eastAsia="Arial" w:hAnsi="Arial"/>
                <w:sz w:val="14"/>
                <w:szCs w:val="14"/>
                <w:b w:val="1"/>
                <w:bCs w:val="1"/>
                <w:color w:val="auto"/>
              </w:rPr>
              <w:t>1,984</w:t>
            </w:r>
          </w:p>
        </w:tc>
        <w:tc>
          <w:tcPr>
            <w:tcW w:w="260" w:type="dxa"/>
            <w:vAlign w:val="bottom"/>
            <w:tcBorders>
              <w:top w:val="single" w:sz="8" w:color="0070FF"/>
            </w:tcBorders>
          </w:tcPr>
          <w:p>
            <w:pPr>
              <w:spacing w:after="0"/>
              <w:rPr>
                <w:sz w:val="11"/>
                <w:szCs w:val="11"/>
                <w:color w:val="auto"/>
              </w:rPr>
            </w:pPr>
          </w:p>
        </w:tc>
        <w:tc>
          <w:tcPr>
            <w:tcW w:w="900" w:type="dxa"/>
            <w:vAlign w:val="bottom"/>
            <w:tcBorders>
              <w:top w:val="single" w:sz="8" w:color="0070FF"/>
            </w:tcBorders>
          </w:tcPr>
          <w:p>
            <w:pPr>
              <w:jc w:val="right"/>
              <w:ind w:right="128"/>
              <w:spacing w:after="0" w:line="133" w:lineRule="exact"/>
              <w:rPr>
                <w:sz w:val="20"/>
                <w:szCs w:val="20"/>
                <w:color w:val="auto"/>
              </w:rPr>
            </w:pPr>
            <w:r>
              <w:rPr>
                <w:rFonts w:ascii="Arial" w:cs="Arial" w:eastAsia="Arial" w:hAnsi="Arial"/>
                <w:sz w:val="14"/>
                <w:szCs w:val="14"/>
                <w:b w:val="1"/>
                <w:bCs w:val="1"/>
                <w:color w:val="auto"/>
              </w:rPr>
              <w:t>2,515</w:t>
            </w:r>
          </w:p>
        </w:tc>
        <w:tc>
          <w:tcPr>
            <w:tcW w:w="240" w:type="dxa"/>
            <w:vAlign w:val="bottom"/>
            <w:tcBorders>
              <w:top w:val="single" w:sz="8" w:color="0070FF"/>
            </w:tcBorders>
          </w:tcPr>
          <w:p>
            <w:pPr>
              <w:spacing w:after="0"/>
              <w:rPr>
                <w:sz w:val="11"/>
                <w:szCs w:val="11"/>
                <w:color w:val="auto"/>
              </w:rPr>
            </w:pPr>
          </w:p>
        </w:tc>
        <w:tc>
          <w:tcPr>
            <w:tcW w:w="540" w:type="dxa"/>
            <w:vAlign w:val="bottom"/>
            <w:tcBorders>
              <w:top w:val="single" w:sz="8" w:color="0070FF"/>
            </w:tcBorders>
          </w:tcPr>
          <w:p>
            <w:pPr>
              <w:jc w:val="right"/>
              <w:ind w:right="128"/>
              <w:spacing w:after="0" w:line="133" w:lineRule="exact"/>
              <w:rPr>
                <w:sz w:val="20"/>
                <w:szCs w:val="20"/>
                <w:color w:val="auto"/>
              </w:rPr>
            </w:pPr>
            <w:r>
              <w:rPr>
                <w:rFonts w:ascii="Arial" w:cs="Arial" w:eastAsia="Arial" w:hAnsi="Arial"/>
                <w:sz w:val="14"/>
                <w:szCs w:val="14"/>
                <w:b w:val="1"/>
                <w:bCs w:val="1"/>
                <w:color w:val="auto"/>
                <w:w w:val="91"/>
              </w:rPr>
              <w:t>1,938</w:t>
            </w:r>
          </w:p>
        </w:tc>
        <w:tc>
          <w:tcPr>
            <w:tcW w:w="260" w:type="dxa"/>
            <w:vAlign w:val="bottom"/>
            <w:tcBorders>
              <w:top w:val="single" w:sz="8" w:color="0070FF"/>
            </w:tcBorders>
          </w:tcPr>
          <w:p>
            <w:pPr>
              <w:spacing w:after="0"/>
              <w:rPr>
                <w:sz w:val="11"/>
                <w:szCs w:val="11"/>
                <w:color w:val="auto"/>
              </w:rPr>
            </w:pPr>
          </w:p>
        </w:tc>
        <w:tc>
          <w:tcPr>
            <w:tcW w:w="640" w:type="dxa"/>
            <w:vAlign w:val="bottom"/>
            <w:tcBorders>
              <w:top w:val="single" w:sz="8" w:color="0070FF"/>
            </w:tcBorders>
          </w:tcPr>
          <w:p>
            <w:pPr>
              <w:jc w:val="right"/>
              <w:ind w:right="108"/>
              <w:spacing w:after="0" w:line="133" w:lineRule="exact"/>
              <w:rPr>
                <w:sz w:val="20"/>
                <w:szCs w:val="20"/>
                <w:color w:val="auto"/>
              </w:rPr>
            </w:pPr>
            <w:r>
              <w:rPr>
                <w:rFonts w:ascii="Arial" w:cs="Arial" w:eastAsia="Arial" w:hAnsi="Arial"/>
                <w:sz w:val="14"/>
                <w:szCs w:val="14"/>
                <w:b w:val="1"/>
                <w:bCs w:val="1"/>
                <w:color w:val="auto"/>
              </w:rPr>
              <w:t>11,563</w:t>
            </w:r>
          </w:p>
        </w:tc>
        <w:tc>
          <w:tcPr>
            <w:tcW w:w="160" w:type="dxa"/>
            <w:vAlign w:val="bottom"/>
            <w:tcBorders>
              <w:top w:val="single" w:sz="8" w:color="0070FF"/>
            </w:tcBorders>
          </w:tcPr>
          <w:p>
            <w:pPr>
              <w:spacing w:after="0"/>
              <w:rPr>
                <w:sz w:val="11"/>
                <w:szCs w:val="11"/>
                <w:color w:val="auto"/>
              </w:rPr>
            </w:pPr>
          </w:p>
        </w:tc>
        <w:tc>
          <w:tcPr>
            <w:tcW w:w="10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48"/>
              <w:spacing w:after="0" w:line="133" w:lineRule="exact"/>
              <w:rPr>
                <w:sz w:val="20"/>
                <w:szCs w:val="20"/>
                <w:color w:val="auto"/>
              </w:rPr>
            </w:pPr>
            <w:r>
              <w:rPr>
                <w:rFonts w:ascii="Arial" w:cs="Arial" w:eastAsia="Arial" w:hAnsi="Arial"/>
                <w:sz w:val="14"/>
                <w:szCs w:val="14"/>
                <w:b w:val="1"/>
                <w:bCs w:val="1"/>
                <w:color w:val="auto"/>
              </w:rPr>
              <w:t>867</w:t>
            </w:r>
          </w:p>
        </w:tc>
        <w:tc>
          <w:tcPr>
            <w:tcW w:w="300" w:type="dxa"/>
            <w:vAlign w:val="bottom"/>
            <w:tcBorders>
              <w:top w:val="single" w:sz="8" w:color="0070FF"/>
            </w:tcBorders>
          </w:tcPr>
          <w:p>
            <w:pPr>
              <w:spacing w:after="0"/>
              <w:rPr>
                <w:sz w:val="11"/>
                <w:szCs w:val="11"/>
                <w:color w:val="auto"/>
              </w:rPr>
            </w:pPr>
          </w:p>
        </w:tc>
        <w:tc>
          <w:tcPr>
            <w:tcW w:w="400" w:type="dxa"/>
            <w:vAlign w:val="bottom"/>
            <w:tcBorders>
              <w:top w:val="single" w:sz="8" w:color="0070FF"/>
            </w:tcBorders>
          </w:tcPr>
          <w:p>
            <w:pPr>
              <w:jc w:val="right"/>
              <w:ind w:right="28"/>
              <w:spacing w:after="0" w:line="133" w:lineRule="exact"/>
              <w:rPr>
                <w:sz w:val="20"/>
                <w:szCs w:val="20"/>
                <w:color w:val="auto"/>
              </w:rPr>
            </w:pPr>
            <w:r>
              <w:rPr>
                <w:rFonts w:ascii="Arial" w:cs="Arial" w:eastAsia="Arial" w:hAnsi="Arial"/>
                <w:sz w:val="14"/>
                <w:szCs w:val="14"/>
                <w:b w:val="1"/>
                <w:bCs w:val="1"/>
                <w:color w:val="auto"/>
              </w:rPr>
              <w:t>45</w:t>
            </w:r>
          </w:p>
        </w:tc>
        <w:tc>
          <w:tcPr>
            <w:tcW w:w="160" w:type="dxa"/>
            <w:vAlign w:val="bottom"/>
            <w:tcBorders>
              <w:top w:val="single" w:sz="8" w:color="0070FF"/>
            </w:tcBorders>
          </w:tcPr>
          <w:p>
            <w:pPr>
              <w:spacing w:after="0"/>
              <w:rPr>
                <w:sz w:val="11"/>
                <w:szCs w:val="11"/>
                <w:color w:val="auto"/>
              </w:rPr>
            </w:pPr>
          </w:p>
        </w:tc>
        <w:tc>
          <w:tcPr>
            <w:tcW w:w="140" w:type="dxa"/>
            <w:vAlign w:val="bottom"/>
            <w:tcBorders>
              <w:top w:val="single" w:sz="8" w:color="0070FF"/>
            </w:tcBorders>
          </w:tcPr>
          <w:p>
            <w:pPr>
              <w:spacing w:after="0"/>
              <w:rPr>
                <w:sz w:val="11"/>
                <w:szCs w:val="11"/>
                <w:color w:val="auto"/>
              </w:rPr>
            </w:pPr>
          </w:p>
        </w:tc>
        <w:tc>
          <w:tcPr>
            <w:tcW w:w="840" w:type="dxa"/>
            <w:vAlign w:val="bottom"/>
            <w:tcBorders>
              <w:top w:val="single" w:sz="8" w:color="0070FF"/>
            </w:tcBorders>
          </w:tcPr>
          <w:p>
            <w:pPr>
              <w:jc w:val="right"/>
              <w:ind w:right="108"/>
              <w:spacing w:after="0" w:line="133" w:lineRule="exact"/>
              <w:rPr>
                <w:sz w:val="20"/>
                <w:szCs w:val="20"/>
                <w:color w:val="auto"/>
              </w:rPr>
            </w:pPr>
            <w:r>
              <w:rPr>
                <w:rFonts w:ascii="Arial" w:cs="Arial" w:eastAsia="Arial" w:hAnsi="Arial"/>
                <w:sz w:val="14"/>
                <w:szCs w:val="14"/>
                <w:b w:val="1"/>
                <w:bCs w:val="1"/>
                <w:color w:val="auto"/>
              </w:rPr>
              <w:t>12,475</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Income tax expense</w:t>
            </w:r>
          </w:p>
        </w:tc>
        <w:tc>
          <w:tcPr>
            <w:tcW w:w="46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(1,890)</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(1,410)</w:t>
            </w:r>
          </w:p>
        </w:tc>
        <w:tc>
          <w:tcPr>
            <w:tcW w:w="26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(1,447)</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(831)</w:t>
            </w:r>
          </w:p>
        </w:tc>
        <w:tc>
          <w:tcPr>
            <w:tcW w:w="2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(5,578)</w:t>
            </w:r>
          </w:p>
        </w:tc>
        <w:tc>
          <w:tcPr>
            <w:tcW w:w="16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(260)</w:t>
            </w:r>
          </w:p>
        </w:tc>
        <w:tc>
          <w:tcPr>
            <w:tcW w:w="30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8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b w:val="1"/>
                <w:bCs w:val="1"/>
                <w:color w:val="auto"/>
              </w:rPr>
              <w:t>(5,838</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6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RESULTS OF PRODUCING OPERATIONS</w:t>
            </w:r>
          </w:p>
        </w:tc>
        <w:tc>
          <w:tcPr>
            <w:tcW w:w="58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3,236</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574</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1,068</w:t>
            </w:r>
          </w:p>
        </w:tc>
        <w:tc>
          <w:tcPr>
            <w:tcW w:w="24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w w:val="91"/>
              </w:rPr>
              <w:t>1,107</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5,985</w:t>
            </w:r>
          </w:p>
        </w:tc>
        <w:tc>
          <w:tcPr>
            <w:tcW w:w="26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607</w:t>
            </w:r>
          </w:p>
        </w:tc>
        <w:tc>
          <w:tcPr>
            <w:tcW w:w="300" w:type="dxa"/>
            <w:vAlign w:val="bottom"/>
            <w:tcBorders>
              <w:bottom w:val="single" w:sz="8" w:color="0070FF"/>
            </w:tcBorders>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45</w:t>
            </w:r>
          </w:p>
        </w:tc>
        <w:tc>
          <w:tcPr>
            <w:tcW w:w="300" w:type="dxa"/>
            <w:vAlign w:val="bottom"/>
            <w:tcBorders>
              <w:bottom w:val="single" w:sz="8" w:color="0070FF"/>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6,637</w:t>
            </w:r>
          </w:p>
        </w:tc>
        <w:tc>
          <w:tcPr>
            <w:tcW w:w="0" w:type="dxa"/>
            <w:vAlign w:val="bottom"/>
          </w:tcPr>
          <w:p>
            <w:pPr>
              <w:spacing w:after="0"/>
              <w:rPr>
                <w:sz w:val="1"/>
                <w:szCs w:val="1"/>
                <w:color w:val="auto"/>
              </w:rPr>
            </w:pPr>
          </w:p>
        </w:tc>
      </w:tr>
      <w:tr>
        <w:trPr>
          <w:trHeight w:val="184"/>
        </w:trPr>
        <w:tc>
          <w:tcPr>
            <w:tcW w:w="3760" w:type="dxa"/>
            <w:vAlign w:val="bottom"/>
            <w:gridSpan w:val="2"/>
          </w:tcPr>
          <w:p>
            <w:pPr>
              <w:spacing w:after="0" w:line="184" w:lineRule="exact"/>
              <w:rPr>
                <w:sz w:val="20"/>
                <w:szCs w:val="20"/>
                <w:color w:val="auto"/>
              </w:rPr>
            </w:pPr>
            <w:r>
              <w:rPr>
                <w:rFonts w:ascii="Arial" w:cs="Arial" w:eastAsia="Arial" w:hAnsi="Arial"/>
                <w:sz w:val="13"/>
                <w:szCs w:val="13"/>
                <w:b w:val="1"/>
                <w:bCs w:val="1"/>
                <w:color w:val="0070FF"/>
              </w:rPr>
              <w:t>YEAR ENDED DECEMBER 31, 2002</w:t>
            </w:r>
            <w:r>
              <w:rPr>
                <w:rFonts w:ascii="Arial" w:cs="Arial" w:eastAsia="Arial" w:hAnsi="Arial"/>
                <w:sz w:val="21"/>
                <w:szCs w:val="21"/>
                <w:b w:val="1"/>
                <w:bCs w:val="1"/>
                <w:color w:val="0070FF"/>
                <w:vertAlign w:val="superscript"/>
              </w:rPr>
              <w:t>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Revenues from net production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20"/>
              <w:spacing w:after="0" w:line="149" w:lineRule="exact"/>
              <w:rPr>
                <w:sz w:val="20"/>
                <w:szCs w:val="20"/>
                <w:color w:val="auto"/>
              </w:rPr>
            </w:pPr>
            <w:r>
              <w:rPr>
                <w:rFonts w:ascii="Arial" w:cs="Arial" w:eastAsia="Arial" w:hAnsi="Arial"/>
                <w:sz w:val="14"/>
                <w:szCs w:val="14"/>
                <w:color w:val="auto"/>
              </w:rPr>
              <w:t>Sales</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2,737</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1,121</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1,410</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1"/>
              </w:rPr>
              <w:t>2,080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7,348</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955</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44</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8,347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Transfers</w:t>
            </w:r>
          </w:p>
        </w:tc>
        <w:tc>
          <w:tcPr>
            <w:tcW w:w="46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4,425</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1,663</w:t>
            </w:r>
          </w:p>
        </w:tc>
        <w:tc>
          <w:tcPr>
            <w:tcW w:w="26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3,090</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w w:val="91"/>
              </w:rPr>
              <w:t>1,202</w:t>
            </w:r>
          </w:p>
        </w:tc>
        <w:tc>
          <w:tcPr>
            <w:tcW w:w="2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10,380</w:t>
            </w:r>
          </w:p>
        </w:tc>
        <w:tc>
          <w:tcPr>
            <w:tcW w:w="16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8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10,380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40" w:type="dxa"/>
            <w:vAlign w:val="bottom"/>
          </w:tcPr>
          <w:p>
            <w:pPr>
              <w:ind w:left="120"/>
              <w:spacing w:after="0" w:line="137" w:lineRule="exact"/>
              <w:rPr>
                <w:sz w:val="20"/>
                <w:szCs w:val="20"/>
                <w:color w:val="auto"/>
              </w:rPr>
            </w:pPr>
            <w:r>
              <w:rPr>
                <w:rFonts w:ascii="Arial" w:cs="Arial" w:eastAsia="Arial" w:hAnsi="Arial"/>
                <w:sz w:val="14"/>
                <w:szCs w:val="14"/>
                <w:color w:val="auto"/>
              </w:rPr>
              <w:t>Total</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7,162</w:t>
            </w:r>
          </w:p>
        </w:tc>
        <w:tc>
          <w:tcPr>
            <w:tcW w:w="280" w:type="dxa"/>
            <w:vAlign w:val="bottom"/>
          </w:tcPr>
          <w:p>
            <w:pPr>
              <w:spacing w:after="0"/>
              <w:rPr>
                <w:sz w:val="11"/>
                <w:szCs w:val="11"/>
                <w:color w:val="auto"/>
              </w:rPr>
            </w:pPr>
          </w:p>
        </w:tc>
        <w:tc>
          <w:tcPr>
            <w:tcW w:w="62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2,784</w:t>
            </w:r>
          </w:p>
        </w:tc>
        <w:tc>
          <w:tcPr>
            <w:tcW w:w="260" w:type="dxa"/>
            <w:vAlign w:val="bottom"/>
          </w:tcPr>
          <w:p>
            <w:pPr>
              <w:spacing w:after="0"/>
              <w:rPr>
                <w:sz w:val="11"/>
                <w:szCs w:val="11"/>
                <w:color w:val="auto"/>
              </w:rPr>
            </w:pPr>
          </w:p>
        </w:tc>
        <w:tc>
          <w:tcPr>
            <w:tcW w:w="90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4,500</w:t>
            </w:r>
          </w:p>
        </w:tc>
        <w:tc>
          <w:tcPr>
            <w:tcW w:w="240" w:type="dxa"/>
            <w:vAlign w:val="bottom"/>
          </w:tcPr>
          <w:p>
            <w:pPr>
              <w:spacing w:after="0"/>
              <w:rPr>
                <w:sz w:val="11"/>
                <w:szCs w:val="11"/>
                <w:color w:val="auto"/>
              </w:rPr>
            </w:pPr>
          </w:p>
        </w:tc>
        <w:tc>
          <w:tcPr>
            <w:tcW w:w="540" w:type="dxa"/>
            <w:vAlign w:val="bottom"/>
          </w:tcPr>
          <w:p>
            <w:pPr>
              <w:jc w:val="right"/>
              <w:ind w:right="128"/>
              <w:spacing w:after="0" w:line="137" w:lineRule="exact"/>
              <w:rPr>
                <w:sz w:val="20"/>
                <w:szCs w:val="20"/>
                <w:color w:val="auto"/>
              </w:rPr>
            </w:pPr>
            <w:r>
              <w:rPr>
                <w:rFonts w:ascii="Arial" w:cs="Arial" w:eastAsia="Arial" w:hAnsi="Arial"/>
                <w:sz w:val="14"/>
                <w:szCs w:val="14"/>
                <w:color w:val="auto"/>
                <w:w w:val="91"/>
              </w:rPr>
              <w:t>3,282</w:t>
            </w:r>
          </w:p>
        </w:tc>
        <w:tc>
          <w:tcPr>
            <w:tcW w:w="260" w:type="dxa"/>
            <w:vAlign w:val="bottom"/>
          </w:tcPr>
          <w:p>
            <w:pPr>
              <w:spacing w:after="0"/>
              <w:rPr>
                <w:sz w:val="11"/>
                <w:szCs w:val="11"/>
                <w:color w:val="auto"/>
              </w:rPr>
            </w:pPr>
          </w:p>
        </w:tc>
        <w:tc>
          <w:tcPr>
            <w:tcW w:w="64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17,728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955</w:t>
            </w:r>
          </w:p>
        </w:tc>
        <w:tc>
          <w:tcPr>
            <w:tcW w:w="300" w:type="dxa"/>
            <w:vAlign w:val="bottom"/>
          </w:tcPr>
          <w:p>
            <w:pPr>
              <w:spacing w:after="0"/>
              <w:rPr>
                <w:sz w:val="11"/>
                <w:szCs w:val="11"/>
                <w:color w:val="auto"/>
              </w:rPr>
            </w:pPr>
          </w:p>
        </w:tc>
        <w:tc>
          <w:tcPr>
            <w:tcW w:w="400" w:type="dxa"/>
            <w:vAlign w:val="bottom"/>
          </w:tcPr>
          <w:p>
            <w:pPr>
              <w:jc w:val="right"/>
              <w:ind w:right="28"/>
              <w:spacing w:after="0" w:line="137" w:lineRule="exact"/>
              <w:rPr>
                <w:sz w:val="20"/>
                <w:szCs w:val="20"/>
                <w:color w:val="auto"/>
              </w:rPr>
            </w:pPr>
            <w:r>
              <w:rPr>
                <w:rFonts w:ascii="Arial" w:cs="Arial" w:eastAsia="Arial" w:hAnsi="Arial"/>
                <w:sz w:val="14"/>
                <w:szCs w:val="14"/>
                <w:color w:val="auto"/>
              </w:rPr>
              <w:t>44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18,727</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Production expenses excluding taxes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(1,982)</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(415)</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(844)</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(606)</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(3,847)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(130)</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(3,981)</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Taxes other than on income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(339)</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(114)</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(77)</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(554)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(36)</w:t>
            </w:r>
          </w:p>
        </w:tc>
        <w:tc>
          <w:tcPr>
            <w:tcW w:w="30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Proved producing properties: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40" w:type="dxa"/>
            <w:vAlign w:val="bottom"/>
          </w:tcPr>
          <w:p>
            <w:pPr>
              <w:ind w:left="120"/>
              <w:spacing w:after="0" w:line="159" w:lineRule="exact"/>
              <w:rPr>
                <w:sz w:val="20"/>
                <w:szCs w:val="20"/>
                <w:color w:val="auto"/>
              </w:rPr>
            </w:pPr>
            <w:r>
              <w:rPr>
                <w:rFonts w:ascii="Arial" w:cs="Arial" w:eastAsia="Arial" w:hAnsi="Arial"/>
                <w:sz w:val="14"/>
                <w:szCs w:val="14"/>
                <w:color w:val="auto"/>
              </w:rPr>
              <w:t>depreciation and depletion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68"/>
              <w:spacing w:after="0" w:line="159" w:lineRule="exact"/>
              <w:rPr>
                <w:sz w:val="20"/>
                <w:szCs w:val="20"/>
                <w:color w:val="auto"/>
              </w:rPr>
            </w:pPr>
            <w:r>
              <w:rPr>
                <w:rFonts w:ascii="Arial" w:cs="Arial" w:eastAsia="Arial" w:hAnsi="Arial"/>
                <w:sz w:val="14"/>
                <w:szCs w:val="14"/>
                <w:color w:val="auto"/>
              </w:rPr>
              <w:t>(1,483)</w:t>
            </w:r>
          </w:p>
        </w:tc>
        <w:tc>
          <w:tcPr>
            <w:tcW w:w="280" w:type="dxa"/>
            <w:vAlign w:val="bottom"/>
          </w:tcPr>
          <w:p>
            <w:pPr>
              <w:spacing w:after="0"/>
              <w:rPr>
                <w:sz w:val="13"/>
                <w:szCs w:val="13"/>
                <w:color w:val="auto"/>
              </w:rPr>
            </w:pPr>
          </w:p>
        </w:tc>
        <w:tc>
          <w:tcPr>
            <w:tcW w:w="620" w:type="dxa"/>
            <w:vAlign w:val="bottom"/>
          </w:tcPr>
          <w:p>
            <w:pPr>
              <w:jc w:val="right"/>
              <w:ind w:right="68"/>
              <w:spacing w:after="0" w:line="159" w:lineRule="exact"/>
              <w:rPr>
                <w:sz w:val="20"/>
                <w:szCs w:val="20"/>
                <w:color w:val="auto"/>
              </w:rPr>
            </w:pPr>
            <w:r>
              <w:rPr>
                <w:rFonts w:ascii="Arial" w:cs="Arial" w:eastAsia="Arial" w:hAnsi="Arial"/>
                <w:sz w:val="14"/>
                <w:szCs w:val="14"/>
                <w:color w:val="auto"/>
              </w:rPr>
              <w:t>(314)</w:t>
            </w:r>
          </w:p>
        </w:tc>
        <w:tc>
          <w:tcPr>
            <w:tcW w:w="260" w:type="dxa"/>
            <w:vAlign w:val="bottom"/>
          </w:tcPr>
          <w:p>
            <w:pPr>
              <w:spacing w:after="0"/>
              <w:rPr>
                <w:sz w:val="13"/>
                <w:szCs w:val="13"/>
                <w:color w:val="auto"/>
              </w:rPr>
            </w:pPr>
          </w:p>
        </w:tc>
        <w:tc>
          <w:tcPr>
            <w:tcW w:w="900" w:type="dxa"/>
            <w:vAlign w:val="bottom"/>
          </w:tcPr>
          <w:p>
            <w:pPr>
              <w:jc w:val="right"/>
              <w:ind w:right="68"/>
              <w:spacing w:after="0" w:line="159" w:lineRule="exact"/>
              <w:rPr>
                <w:sz w:val="20"/>
                <w:szCs w:val="20"/>
                <w:color w:val="auto"/>
              </w:rPr>
            </w:pPr>
            <w:r>
              <w:rPr>
                <w:rFonts w:ascii="Arial" w:cs="Arial" w:eastAsia="Arial" w:hAnsi="Arial"/>
                <w:sz w:val="14"/>
                <w:szCs w:val="14"/>
                <w:color w:val="auto"/>
              </w:rPr>
              <w:t>(660)</w:t>
            </w:r>
          </w:p>
        </w:tc>
        <w:tc>
          <w:tcPr>
            <w:tcW w:w="240" w:type="dxa"/>
            <w:vAlign w:val="bottom"/>
          </w:tcPr>
          <w:p>
            <w:pPr>
              <w:spacing w:after="0"/>
              <w:rPr>
                <w:sz w:val="13"/>
                <w:szCs w:val="13"/>
                <w:color w:val="auto"/>
              </w:rPr>
            </w:pPr>
          </w:p>
        </w:tc>
        <w:tc>
          <w:tcPr>
            <w:tcW w:w="540" w:type="dxa"/>
            <w:vAlign w:val="bottom"/>
          </w:tcPr>
          <w:p>
            <w:pPr>
              <w:jc w:val="right"/>
              <w:ind w:right="88"/>
              <w:spacing w:after="0" w:line="159" w:lineRule="exact"/>
              <w:rPr>
                <w:sz w:val="20"/>
                <w:szCs w:val="20"/>
                <w:color w:val="auto"/>
              </w:rPr>
            </w:pPr>
            <w:r>
              <w:rPr>
                <w:rFonts w:ascii="Arial" w:cs="Arial" w:eastAsia="Arial" w:hAnsi="Arial"/>
                <w:sz w:val="14"/>
                <w:szCs w:val="14"/>
                <w:color w:val="auto"/>
              </w:rPr>
              <w:t>(654)</w:t>
            </w:r>
          </w:p>
        </w:tc>
        <w:tc>
          <w:tcPr>
            <w:tcW w:w="260" w:type="dxa"/>
            <w:vAlign w:val="bottom"/>
          </w:tcPr>
          <w:p>
            <w:pPr>
              <w:spacing w:after="0"/>
              <w:rPr>
                <w:sz w:val="13"/>
                <w:szCs w:val="13"/>
                <w:color w:val="auto"/>
              </w:rPr>
            </w:pPr>
          </w:p>
        </w:tc>
        <w:tc>
          <w:tcPr>
            <w:tcW w:w="640" w:type="dxa"/>
            <w:vAlign w:val="bottom"/>
          </w:tcPr>
          <w:p>
            <w:pPr>
              <w:jc w:val="right"/>
              <w:ind w:right="68"/>
              <w:spacing w:after="0" w:line="159" w:lineRule="exact"/>
              <w:rPr>
                <w:sz w:val="20"/>
                <w:szCs w:val="20"/>
                <w:color w:val="auto"/>
              </w:rPr>
            </w:pPr>
            <w:r>
              <w:rPr>
                <w:rFonts w:ascii="Arial" w:cs="Arial" w:eastAsia="Arial" w:hAnsi="Arial"/>
                <w:sz w:val="14"/>
                <w:szCs w:val="14"/>
                <w:color w:val="auto"/>
              </w:rPr>
              <w:t>(3,111)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8"/>
              <w:spacing w:after="0" w:line="159" w:lineRule="exact"/>
              <w:rPr>
                <w:sz w:val="20"/>
                <w:szCs w:val="20"/>
                <w:color w:val="auto"/>
              </w:rPr>
            </w:pPr>
            <w:r>
              <w:rPr>
                <w:rFonts w:ascii="Arial" w:cs="Arial" w:eastAsia="Arial" w:hAnsi="Arial"/>
                <w:sz w:val="14"/>
                <w:szCs w:val="14"/>
                <w:color w:val="auto"/>
              </w:rPr>
              <w:t>(86)</w:t>
            </w:r>
          </w:p>
        </w:tc>
        <w:tc>
          <w:tcPr>
            <w:tcW w:w="3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48"/>
              <w:spacing w:after="0" w:line="159" w:lineRule="exact"/>
              <w:rPr>
                <w:sz w:val="20"/>
                <w:szCs w:val="20"/>
                <w:color w:val="auto"/>
              </w:rPr>
            </w:pPr>
            <w:r>
              <w:rPr>
                <w:rFonts w:ascii="Arial" w:cs="Arial" w:eastAsia="Arial" w:hAnsi="Arial"/>
                <w:sz w:val="14"/>
                <w:szCs w:val="14"/>
                <w:color w:val="auto"/>
              </w:rPr>
              <w:t>(3,202)</w:t>
            </w:r>
          </w:p>
        </w:tc>
        <w:tc>
          <w:tcPr>
            <w:tcW w:w="0" w:type="dxa"/>
            <w:vAlign w:val="bottom"/>
          </w:tcPr>
          <w:p>
            <w:pPr>
              <w:spacing w:after="0"/>
              <w:rPr>
                <w:sz w:val="1"/>
                <w:szCs w:val="1"/>
                <w:color w:val="auto"/>
              </w:rPr>
            </w:pPr>
          </w:p>
        </w:tc>
      </w:tr>
      <w:tr>
        <w:trPr>
          <w:trHeight w:val="179"/>
        </w:trPr>
        <w:tc>
          <w:tcPr>
            <w:tcW w:w="3760" w:type="dxa"/>
            <w:vAlign w:val="bottom"/>
            <w:gridSpan w:val="2"/>
          </w:tcPr>
          <w:p>
            <w:pPr>
              <w:spacing w:after="0" w:line="179" w:lineRule="exact"/>
              <w:rPr>
                <w:sz w:val="20"/>
                <w:szCs w:val="20"/>
                <w:color w:val="auto"/>
              </w:rPr>
            </w:pPr>
            <w:r>
              <w:rPr>
                <w:rFonts w:ascii="Arial" w:cs="Arial" w:eastAsia="Arial" w:hAnsi="Arial"/>
                <w:sz w:val="13"/>
                <w:szCs w:val="13"/>
                <w:color w:val="auto"/>
              </w:rPr>
              <w:t>FAS 19 abandonment provision</w:t>
            </w:r>
            <w:r>
              <w:rPr>
                <w:rFonts w:ascii="Arial" w:cs="Arial" w:eastAsia="Arial" w:hAnsi="Arial"/>
                <w:sz w:val="20"/>
                <w:szCs w:val="20"/>
                <w:color w:val="auto"/>
                <w:vertAlign w:val="superscript"/>
              </w:rPr>
              <w:t>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28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26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(185)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Exploration expenses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(216)</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(106)</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(109)</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(160)</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(591)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58"/>
        </w:trPr>
        <w:tc>
          <w:tcPr>
            <w:tcW w:w="3760" w:type="dxa"/>
            <w:vAlign w:val="bottom"/>
            <w:gridSpan w:val="2"/>
          </w:tcPr>
          <w:p>
            <w:pPr>
              <w:spacing w:after="0" w:line="159" w:lineRule="exact"/>
              <w:rPr>
                <w:sz w:val="20"/>
                <w:szCs w:val="20"/>
                <w:color w:val="auto"/>
              </w:rPr>
            </w:pPr>
            <w:r>
              <w:rPr>
                <w:rFonts w:ascii="Arial" w:cs="Arial" w:eastAsia="Arial" w:hAnsi="Arial"/>
                <w:sz w:val="14"/>
                <w:szCs w:val="14"/>
                <w:color w:val="auto"/>
              </w:rPr>
              <w:t>Unproved properties valuation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68"/>
              <w:spacing w:after="0" w:line="159" w:lineRule="exact"/>
              <w:rPr>
                <w:sz w:val="20"/>
                <w:szCs w:val="20"/>
                <w:color w:val="auto"/>
              </w:rPr>
            </w:pPr>
            <w:r>
              <w:rPr>
                <w:rFonts w:ascii="Arial" w:cs="Arial" w:eastAsia="Arial" w:hAnsi="Arial"/>
                <w:sz w:val="14"/>
                <w:szCs w:val="14"/>
                <w:color w:val="auto"/>
              </w:rPr>
              <w:t>(35)</w:t>
            </w:r>
          </w:p>
        </w:tc>
        <w:tc>
          <w:tcPr>
            <w:tcW w:w="280" w:type="dxa"/>
            <w:vAlign w:val="bottom"/>
          </w:tcPr>
          <w:p>
            <w:pPr>
              <w:spacing w:after="0"/>
              <w:rPr>
                <w:sz w:val="13"/>
                <w:szCs w:val="13"/>
                <w:color w:val="auto"/>
              </w:rPr>
            </w:pPr>
          </w:p>
        </w:tc>
        <w:tc>
          <w:tcPr>
            <w:tcW w:w="620" w:type="dxa"/>
            <w:vAlign w:val="bottom"/>
          </w:tcPr>
          <w:p>
            <w:pPr>
              <w:jc w:val="right"/>
              <w:ind w:right="68"/>
              <w:spacing w:after="0" w:line="15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3"/>
                <w:szCs w:val="13"/>
                <w:color w:val="auto"/>
              </w:rPr>
            </w:pPr>
          </w:p>
        </w:tc>
        <w:tc>
          <w:tcPr>
            <w:tcW w:w="900" w:type="dxa"/>
            <w:vAlign w:val="bottom"/>
          </w:tcPr>
          <w:p>
            <w:pPr>
              <w:jc w:val="right"/>
              <w:ind w:right="68"/>
              <w:spacing w:after="0" w:line="15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540" w:type="dxa"/>
            <w:vAlign w:val="bottom"/>
          </w:tcPr>
          <w:p>
            <w:pPr>
              <w:jc w:val="right"/>
              <w:ind w:right="88"/>
              <w:spacing w:after="0" w:line="159" w:lineRule="exact"/>
              <w:rPr>
                <w:sz w:val="20"/>
                <w:szCs w:val="20"/>
                <w:color w:val="auto"/>
              </w:rPr>
            </w:pPr>
            <w:r>
              <w:rPr>
                <w:rFonts w:ascii="Arial" w:cs="Arial" w:eastAsia="Arial" w:hAnsi="Arial"/>
                <w:sz w:val="14"/>
                <w:szCs w:val="14"/>
                <w:color w:val="auto"/>
              </w:rPr>
              <w:t>(67)</w:t>
            </w:r>
          </w:p>
        </w:tc>
        <w:tc>
          <w:tcPr>
            <w:tcW w:w="260" w:type="dxa"/>
            <w:vAlign w:val="bottom"/>
          </w:tcPr>
          <w:p>
            <w:pPr>
              <w:spacing w:after="0"/>
              <w:rPr>
                <w:sz w:val="13"/>
                <w:szCs w:val="13"/>
                <w:color w:val="auto"/>
              </w:rPr>
            </w:pPr>
          </w:p>
        </w:tc>
        <w:tc>
          <w:tcPr>
            <w:tcW w:w="640" w:type="dxa"/>
            <w:vAlign w:val="bottom"/>
          </w:tcPr>
          <w:p>
            <w:pPr>
              <w:jc w:val="right"/>
              <w:ind w:right="68"/>
              <w:spacing w:after="0" w:line="15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00" w:type="dxa"/>
            <w:vAlign w:val="bottom"/>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48"/>
              <w:spacing w:after="0" w:line="15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Arial" w:cs="Arial" w:eastAsia="Arial" w:hAnsi="Arial"/>
                <w:sz w:val="14"/>
                <w:szCs w:val="14"/>
                <w:color w:val="auto"/>
              </w:rPr>
              <w:t>Other (expense) income</w:t>
            </w:r>
            <w:r>
              <w:rPr>
                <w:rFonts w:ascii="Arial" w:cs="Arial" w:eastAsia="Arial" w:hAnsi="Arial"/>
                <w:sz w:val="22"/>
                <w:szCs w:val="22"/>
                <w:color w:val="auto"/>
                <w:vertAlign w:val="superscript"/>
              </w:rPr>
              <w:t>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(359)</w:t>
            </w:r>
          </w:p>
        </w:tc>
        <w:tc>
          <w:tcPr>
            <w:tcW w:w="28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(179)</w:t>
            </w:r>
          </w:p>
        </w:tc>
        <w:tc>
          <w:tcPr>
            <w:tcW w:w="2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(399)</w:t>
            </w:r>
          </w:p>
        </w:tc>
        <w:tc>
          <w:tcPr>
            <w:tcW w:w="240" w:type="dxa"/>
            <w:vAlign w:val="bottom"/>
          </w:tcPr>
          <w:p>
            <w:pPr>
              <w:spacing w:after="0"/>
              <w:rPr>
                <w:sz w:val="17"/>
                <w:szCs w:val="17"/>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40" w:type="dxa"/>
            <w:vAlign w:val="bottom"/>
            <w:tcBorders>
              <w:top w:val="single" w:sz="8" w:color="0070FF"/>
            </w:tcBorders>
          </w:tcPr>
          <w:p>
            <w:pPr>
              <w:ind w:left="120"/>
              <w:spacing w:after="0" w:line="137" w:lineRule="exact"/>
              <w:rPr>
                <w:sz w:val="20"/>
                <w:szCs w:val="20"/>
                <w:color w:val="auto"/>
              </w:rPr>
            </w:pPr>
            <w:r>
              <w:rPr>
                <w:rFonts w:ascii="Arial" w:cs="Arial" w:eastAsia="Arial" w:hAnsi="Arial"/>
                <w:sz w:val="14"/>
                <w:szCs w:val="14"/>
                <w:color w:val="auto"/>
              </w:rPr>
              <w:t>Results before income taxes</w:t>
            </w:r>
          </w:p>
        </w:tc>
        <w:tc>
          <w:tcPr>
            <w:tcW w:w="460" w:type="dxa"/>
            <w:vAlign w:val="bottom"/>
            <w:tcBorders>
              <w:top w:val="single" w:sz="8" w:color="0070FF"/>
            </w:tcBorders>
          </w:tcPr>
          <w:p>
            <w:pPr>
              <w:spacing w:after="0"/>
              <w:rPr>
                <w:sz w:val="11"/>
                <w:szCs w:val="11"/>
                <w:color w:val="auto"/>
              </w:rPr>
            </w:pPr>
          </w:p>
        </w:tc>
        <w:tc>
          <w:tcPr>
            <w:tcW w:w="12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08"/>
              <w:spacing w:after="0" w:line="137" w:lineRule="exact"/>
              <w:rPr>
                <w:sz w:val="20"/>
                <w:szCs w:val="20"/>
                <w:color w:val="auto"/>
              </w:rPr>
            </w:pPr>
            <w:r>
              <w:rPr>
                <w:rFonts w:ascii="Arial" w:cs="Arial" w:eastAsia="Arial" w:hAnsi="Arial"/>
                <w:sz w:val="14"/>
                <w:szCs w:val="14"/>
                <w:color w:val="auto"/>
              </w:rPr>
              <w:t>2,654</w:t>
            </w:r>
          </w:p>
        </w:tc>
        <w:tc>
          <w:tcPr>
            <w:tcW w:w="28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color w:val="auto"/>
              </w:rPr>
              <w:t>1,694</w:t>
            </w:r>
          </w:p>
        </w:tc>
        <w:tc>
          <w:tcPr>
            <w:tcW w:w="260" w:type="dxa"/>
            <w:vAlign w:val="bottom"/>
            <w:tcBorders>
              <w:top w:val="single" w:sz="8" w:color="0070FF"/>
            </w:tcBorders>
          </w:tcPr>
          <w:p>
            <w:pPr>
              <w:spacing w:after="0"/>
              <w:rPr>
                <w:sz w:val="11"/>
                <w:szCs w:val="11"/>
                <w:color w:val="auto"/>
              </w:rPr>
            </w:pPr>
          </w:p>
        </w:tc>
        <w:tc>
          <w:tcPr>
            <w:tcW w:w="90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color w:val="auto"/>
              </w:rPr>
              <w:t>2,352</w:t>
            </w:r>
          </w:p>
        </w:tc>
        <w:tc>
          <w:tcPr>
            <w:tcW w:w="240" w:type="dxa"/>
            <w:vAlign w:val="bottom"/>
            <w:tcBorders>
              <w:top w:val="single" w:sz="8" w:color="0070FF"/>
            </w:tcBorders>
          </w:tcPr>
          <w:p>
            <w:pPr>
              <w:spacing w:after="0"/>
              <w:rPr>
                <w:sz w:val="11"/>
                <w:szCs w:val="11"/>
                <w:color w:val="auto"/>
              </w:rPr>
            </w:pPr>
          </w:p>
        </w:tc>
        <w:tc>
          <w:tcPr>
            <w:tcW w:w="54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color w:val="auto"/>
                <w:w w:val="91"/>
              </w:rPr>
              <w:t>1,737</w:t>
            </w:r>
          </w:p>
        </w:tc>
        <w:tc>
          <w:tcPr>
            <w:tcW w:w="260" w:type="dxa"/>
            <w:vAlign w:val="bottom"/>
            <w:tcBorders>
              <w:top w:val="single" w:sz="8" w:color="0070FF"/>
            </w:tcBorders>
          </w:tcPr>
          <w:p>
            <w:pPr>
              <w:spacing w:after="0"/>
              <w:rPr>
                <w:sz w:val="11"/>
                <w:szCs w:val="11"/>
                <w:color w:val="auto"/>
              </w:rPr>
            </w:pPr>
          </w:p>
        </w:tc>
        <w:tc>
          <w:tcPr>
            <w:tcW w:w="640" w:type="dxa"/>
            <w:vAlign w:val="bottom"/>
            <w:tcBorders>
              <w:top w:val="single" w:sz="8" w:color="0070FF"/>
            </w:tcBorders>
          </w:tcPr>
          <w:p>
            <w:pPr>
              <w:jc w:val="right"/>
              <w:ind w:right="108"/>
              <w:spacing w:after="0" w:line="137" w:lineRule="exact"/>
              <w:rPr>
                <w:sz w:val="20"/>
                <w:szCs w:val="20"/>
                <w:color w:val="auto"/>
              </w:rPr>
            </w:pPr>
            <w:r>
              <w:rPr>
                <w:rFonts w:ascii="Arial" w:cs="Arial" w:eastAsia="Arial" w:hAnsi="Arial"/>
                <w:sz w:val="14"/>
                <w:szCs w:val="14"/>
                <w:color w:val="auto"/>
              </w:rPr>
              <w:t>8,437</w:t>
            </w:r>
          </w:p>
        </w:tc>
        <w:tc>
          <w:tcPr>
            <w:tcW w:w="160" w:type="dxa"/>
            <w:vAlign w:val="bottom"/>
            <w:tcBorders>
              <w:top w:val="single" w:sz="8" w:color="0070FF"/>
            </w:tcBorders>
          </w:tcPr>
          <w:p>
            <w:pPr>
              <w:spacing w:after="0"/>
              <w:rPr>
                <w:sz w:val="11"/>
                <w:szCs w:val="11"/>
                <w:color w:val="auto"/>
              </w:rPr>
            </w:pPr>
          </w:p>
        </w:tc>
        <w:tc>
          <w:tcPr>
            <w:tcW w:w="10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48"/>
              <w:spacing w:after="0" w:line="137" w:lineRule="exact"/>
              <w:rPr>
                <w:sz w:val="20"/>
                <w:szCs w:val="20"/>
                <w:color w:val="auto"/>
              </w:rPr>
            </w:pPr>
            <w:r>
              <w:rPr>
                <w:rFonts w:ascii="Arial" w:cs="Arial" w:eastAsia="Arial" w:hAnsi="Arial"/>
                <w:sz w:val="14"/>
                <w:szCs w:val="14"/>
                <w:color w:val="auto"/>
              </w:rPr>
              <w:t>693</w:t>
            </w:r>
          </w:p>
        </w:tc>
        <w:tc>
          <w:tcPr>
            <w:tcW w:w="300" w:type="dxa"/>
            <w:vAlign w:val="bottom"/>
            <w:tcBorders>
              <w:top w:val="single" w:sz="8" w:color="0070FF"/>
            </w:tcBorders>
          </w:tcPr>
          <w:p>
            <w:pPr>
              <w:spacing w:after="0"/>
              <w:rPr>
                <w:sz w:val="11"/>
                <w:szCs w:val="11"/>
                <w:color w:val="auto"/>
              </w:rPr>
            </w:pPr>
          </w:p>
        </w:tc>
        <w:tc>
          <w:tcPr>
            <w:tcW w:w="400" w:type="dxa"/>
            <w:vAlign w:val="bottom"/>
            <w:tcBorders>
              <w:top w:val="single" w:sz="8" w:color="0070FF"/>
            </w:tcBorders>
          </w:tcPr>
          <w:p>
            <w:pPr>
              <w:jc w:val="right"/>
              <w:ind w:right="28"/>
              <w:spacing w:after="0" w:line="137" w:lineRule="exact"/>
              <w:rPr>
                <w:sz w:val="20"/>
                <w:szCs w:val="20"/>
                <w:color w:val="auto"/>
              </w:rPr>
            </w:pPr>
            <w:r>
              <w:rPr>
                <w:rFonts w:ascii="Arial" w:cs="Arial" w:eastAsia="Arial" w:hAnsi="Arial"/>
                <w:sz w:val="14"/>
                <w:szCs w:val="14"/>
                <w:color w:val="auto"/>
              </w:rPr>
              <w:t>23</w:t>
            </w:r>
          </w:p>
        </w:tc>
        <w:tc>
          <w:tcPr>
            <w:tcW w:w="160" w:type="dxa"/>
            <w:vAlign w:val="bottom"/>
            <w:tcBorders>
              <w:top w:val="single" w:sz="8" w:color="0070FF"/>
            </w:tcBorders>
          </w:tcPr>
          <w:p>
            <w:pPr>
              <w:spacing w:after="0"/>
              <w:rPr>
                <w:sz w:val="11"/>
                <w:szCs w:val="11"/>
                <w:color w:val="auto"/>
              </w:rPr>
            </w:pPr>
          </w:p>
        </w:tc>
        <w:tc>
          <w:tcPr>
            <w:tcW w:w="140" w:type="dxa"/>
            <w:vAlign w:val="bottom"/>
            <w:tcBorders>
              <w:top w:val="single" w:sz="8" w:color="0070FF"/>
            </w:tcBorders>
          </w:tcPr>
          <w:p>
            <w:pPr>
              <w:spacing w:after="0"/>
              <w:rPr>
                <w:sz w:val="11"/>
                <w:szCs w:val="11"/>
                <w:color w:val="auto"/>
              </w:rPr>
            </w:pPr>
          </w:p>
        </w:tc>
        <w:tc>
          <w:tcPr>
            <w:tcW w:w="840" w:type="dxa"/>
            <w:vAlign w:val="bottom"/>
            <w:tcBorders>
              <w:top w:val="single" w:sz="8" w:color="0070FF"/>
            </w:tcBorders>
          </w:tcPr>
          <w:p>
            <w:pPr>
              <w:jc w:val="right"/>
              <w:ind w:right="108"/>
              <w:spacing w:after="0" w:line="137" w:lineRule="exact"/>
              <w:rPr>
                <w:sz w:val="20"/>
                <w:szCs w:val="20"/>
                <w:color w:val="auto"/>
              </w:rPr>
            </w:pPr>
            <w:r>
              <w:rPr>
                <w:rFonts w:ascii="Arial" w:cs="Arial" w:eastAsia="Arial" w:hAnsi="Arial"/>
                <w:sz w:val="14"/>
                <w:szCs w:val="14"/>
                <w:color w:val="auto"/>
              </w:rPr>
              <w:t>9,153</w:t>
            </w:r>
          </w:p>
        </w:tc>
        <w:tc>
          <w:tcPr>
            <w:tcW w:w="0" w:type="dxa"/>
            <w:vAlign w:val="bottom"/>
          </w:tcPr>
          <w:p>
            <w:pPr>
              <w:spacing w:after="0"/>
              <w:rPr>
                <w:sz w:val="1"/>
                <w:szCs w:val="1"/>
                <w:color w:val="auto"/>
              </w:rPr>
            </w:pPr>
          </w:p>
        </w:tc>
      </w:tr>
      <w:tr>
        <w:trPr>
          <w:trHeight w:val="167"/>
        </w:trPr>
        <w:tc>
          <w:tcPr>
            <w:tcW w:w="37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Income tax expense</w:t>
            </w:r>
          </w:p>
        </w:tc>
        <w:tc>
          <w:tcPr>
            <w:tcW w:w="46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(933)</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(1,202)</w:t>
            </w:r>
          </w:p>
        </w:tc>
        <w:tc>
          <w:tcPr>
            <w:tcW w:w="26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(1,434)</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(677)</w:t>
            </w:r>
          </w:p>
        </w:tc>
        <w:tc>
          <w:tcPr>
            <w:tcW w:w="2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(4,246)</w:t>
            </w:r>
          </w:p>
        </w:tc>
        <w:tc>
          <w:tcPr>
            <w:tcW w:w="16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(208)</w:t>
            </w:r>
          </w:p>
        </w:tc>
        <w:tc>
          <w:tcPr>
            <w:tcW w:w="30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8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76"/>
        </w:trPr>
        <w:tc>
          <w:tcPr>
            <w:tcW w:w="376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RESULTS OF PRODUCING OPERATIONS</w:t>
            </w:r>
          </w:p>
        </w:tc>
        <w:tc>
          <w:tcPr>
            <w:tcW w:w="58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color w:val="auto"/>
              </w:rPr>
              <w:t>1,721</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492</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918</w:t>
            </w:r>
          </w:p>
        </w:tc>
        <w:tc>
          <w:tcPr>
            <w:tcW w:w="24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w w:val="91"/>
              </w:rPr>
              <w:t>1,060</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color w:val="auto"/>
              </w:rPr>
              <w:t>4,191</w:t>
            </w:r>
          </w:p>
        </w:tc>
        <w:tc>
          <w:tcPr>
            <w:tcW w:w="26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485</w:t>
            </w:r>
          </w:p>
        </w:tc>
        <w:tc>
          <w:tcPr>
            <w:tcW w:w="300" w:type="dxa"/>
            <w:vAlign w:val="bottom"/>
            <w:tcBorders>
              <w:bottom w:val="single" w:sz="8" w:color="0070FF"/>
            </w:tcBorders>
          </w:tcPr>
          <w:p>
            <w:pPr>
              <w:ind w:left="160"/>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23</w:t>
            </w:r>
          </w:p>
        </w:tc>
        <w:tc>
          <w:tcPr>
            <w:tcW w:w="300" w:type="dxa"/>
            <w:vAlign w:val="bottom"/>
            <w:tcBorders>
              <w:bottom w:val="single" w:sz="8" w:color="0070FF"/>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color w:val="auto"/>
              </w:rPr>
              <w:t>4,699</w:t>
            </w:r>
          </w:p>
        </w:tc>
        <w:tc>
          <w:tcPr>
            <w:tcW w:w="0" w:type="dxa"/>
            <w:vAlign w:val="bottom"/>
          </w:tcPr>
          <w:p>
            <w:pPr>
              <w:spacing w:after="0"/>
              <w:rPr>
                <w:sz w:val="1"/>
                <w:szCs w:val="1"/>
                <w:color w:val="auto"/>
              </w:rPr>
            </w:pPr>
          </w:p>
        </w:tc>
      </w:tr>
      <w:tr>
        <w:trPr>
          <w:trHeight w:val="184"/>
        </w:trPr>
        <w:tc>
          <w:tcPr>
            <w:tcW w:w="3760" w:type="dxa"/>
            <w:vAlign w:val="bottom"/>
            <w:gridSpan w:val="2"/>
          </w:tcPr>
          <w:p>
            <w:pPr>
              <w:spacing w:after="0" w:line="184" w:lineRule="exact"/>
              <w:rPr>
                <w:sz w:val="20"/>
                <w:szCs w:val="20"/>
                <w:color w:val="auto"/>
              </w:rPr>
            </w:pPr>
            <w:r>
              <w:rPr>
                <w:rFonts w:ascii="Arial" w:cs="Arial" w:eastAsia="Arial" w:hAnsi="Arial"/>
                <w:sz w:val="13"/>
                <w:szCs w:val="13"/>
                <w:b w:val="1"/>
                <w:bCs w:val="1"/>
                <w:color w:val="0070FF"/>
              </w:rPr>
              <w:t>YEAR ENDED DECEMBER 31, 2001</w:t>
            </w:r>
            <w:r>
              <w:rPr>
                <w:rFonts w:ascii="Arial" w:cs="Arial" w:eastAsia="Arial" w:hAnsi="Arial"/>
                <w:sz w:val="21"/>
                <w:szCs w:val="21"/>
                <w:b w:val="1"/>
                <w:bCs w:val="1"/>
                <w:color w:val="0070FF"/>
                <w:vertAlign w:val="superscript"/>
              </w:rPr>
              <w:t>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Revenues from net production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20"/>
              <w:spacing w:after="0" w:line="149" w:lineRule="exact"/>
              <w:rPr>
                <w:sz w:val="20"/>
                <w:szCs w:val="20"/>
                <w:color w:val="auto"/>
              </w:rPr>
            </w:pPr>
            <w:r>
              <w:rPr>
                <w:rFonts w:ascii="Arial" w:cs="Arial" w:eastAsia="Arial" w:hAnsi="Arial"/>
                <w:sz w:val="14"/>
                <w:szCs w:val="14"/>
                <w:color w:val="auto"/>
              </w:rPr>
              <w:t>Sales</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6,557</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1,147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1,264</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1"/>
              </w:rPr>
              <w:t>2,181</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11,149</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673</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Transfers</w:t>
            </w:r>
          </w:p>
        </w:tc>
        <w:tc>
          <w:tcPr>
            <w:tcW w:w="46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2,458</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1,913</w:t>
            </w:r>
          </w:p>
        </w:tc>
        <w:tc>
          <w:tcPr>
            <w:tcW w:w="26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rPr>
              <w:t>2,796</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128"/>
              <w:spacing w:after="0"/>
              <w:rPr>
                <w:sz w:val="20"/>
                <w:szCs w:val="20"/>
                <w:color w:val="auto"/>
              </w:rPr>
            </w:pPr>
            <w:r>
              <w:rPr>
                <w:rFonts w:ascii="Arial" w:cs="Arial" w:eastAsia="Arial" w:hAnsi="Arial"/>
                <w:sz w:val="14"/>
                <w:szCs w:val="14"/>
                <w:color w:val="auto"/>
                <w:w w:val="91"/>
              </w:rPr>
              <w:t>1,107</w:t>
            </w:r>
          </w:p>
        </w:tc>
        <w:tc>
          <w:tcPr>
            <w:tcW w:w="2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8,274</w:t>
            </w:r>
          </w:p>
        </w:tc>
        <w:tc>
          <w:tcPr>
            <w:tcW w:w="16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84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8,274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40" w:type="dxa"/>
            <w:vAlign w:val="bottom"/>
          </w:tcPr>
          <w:p>
            <w:pPr>
              <w:ind w:left="120"/>
              <w:spacing w:after="0" w:line="137" w:lineRule="exact"/>
              <w:rPr>
                <w:sz w:val="20"/>
                <w:szCs w:val="20"/>
                <w:color w:val="auto"/>
              </w:rPr>
            </w:pPr>
            <w:r>
              <w:rPr>
                <w:rFonts w:ascii="Arial" w:cs="Arial" w:eastAsia="Arial" w:hAnsi="Arial"/>
                <w:sz w:val="14"/>
                <w:szCs w:val="14"/>
                <w:color w:val="auto"/>
              </w:rPr>
              <w:t>Total</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9,015</w:t>
            </w:r>
          </w:p>
        </w:tc>
        <w:tc>
          <w:tcPr>
            <w:tcW w:w="280" w:type="dxa"/>
            <w:vAlign w:val="bottom"/>
          </w:tcPr>
          <w:p>
            <w:pPr>
              <w:spacing w:after="0"/>
              <w:rPr>
                <w:sz w:val="11"/>
                <w:szCs w:val="11"/>
                <w:color w:val="auto"/>
              </w:rPr>
            </w:pPr>
          </w:p>
        </w:tc>
        <w:tc>
          <w:tcPr>
            <w:tcW w:w="62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3,060</w:t>
            </w:r>
          </w:p>
        </w:tc>
        <w:tc>
          <w:tcPr>
            <w:tcW w:w="260" w:type="dxa"/>
            <w:vAlign w:val="bottom"/>
          </w:tcPr>
          <w:p>
            <w:pPr>
              <w:spacing w:after="0"/>
              <w:rPr>
                <w:sz w:val="11"/>
                <w:szCs w:val="11"/>
                <w:color w:val="auto"/>
              </w:rPr>
            </w:pPr>
          </w:p>
        </w:tc>
        <w:tc>
          <w:tcPr>
            <w:tcW w:w="900" w:type="dxa"/>
            <w:vAlign w:val="bottom"/>
          </w:tcPr>
          <w:p>
            <w:pPr>
              <w:jc w:val="right"/>
              <w:ind w:right="128"/>
              <w:spacing w:after="0" w:line="137" w:lineRule="exact"/>
              <w:rPr>
                <w:sz w:val="20"/>
                <w:szCs w:val="20"/>
                <w:color w:val="auto"/>
              </w:rPr>
            </w:pPr>
            <w:r>
              <w:rPr>
                <w:rFonts w:ascii="Arial" w:cs="Arial" w:eastAsia="Arial" w:hAnsi="Arial"/>
                <w:sz w:val="14"/>
                <w:szCs w:val="14"/>
                <w:color w:val="auto"/>
              </w:rPr>
              <w:t>4,060</w:t>
            </w:r>
          </w:p>
        </w:tc>
        <w:tc>
          <w:tcPr>
            <w:tcW w:w="240" w:type="dxa"/>
            <w:vAlign w:val="bottom"/>
          </w:tcPr>
          <w:p>
            <w:pPr>
              <w:spacing w:after="0"/>
              <w:rPr>
                <w:sz w:val="11"/>
                <w:szCs w:val="11"/>
                <w:color w:val="auto"/>
              </w:rPr>
            </w:pPr>
          </w:p>
        </w:tc>
        <w:tc>
          <w:tcPr>
            <w:tcW w:w="540" w:type="dxa"/>
            <w:vAlign w:val="bottom"/>
          </w:tcPr>
          <w:p>
            <w:pPr>
              <w:jc w:val="right"/>
              <w:ind w:right="128"/>
              <w:spacing w:after="0" w:line="137" w:lineRule="exact"/>
              <w:rPr>
                <w:sz w:val="20"/>
                <w:szCs w:val="20"/>
                <w:color w:val="auto"/>
              </w:rPr>
            </w:pPr>
            <w:r>
              <w:rPr>
                <w:rFonts w:ascii="Arial" w:cs="Arial" w:eastAsia="Arial" w:hAnsi="Arial"/>
                <w:sz w:val="14"/>
                <w:szCs w:val="14"/>
                <w:color w:val="auto"/>
                <w:w w:val="91"/>
              </w:rPr>
              <w:t>3,288</w:t>
            </w:r>
          </w:p>
        </w:tc>
        <w:tc>
          <w:tcPr>
            <w:tcW w:w="260" w:type="dxa"/>
            <w:vAlign w:val="bottom"/>
          </w:tcPr>
          <w:p>
            <w:pPr>
              <w:spacing w:after="0"/>
              <w:rPr>
                <w:sz w:val="11"/>
                <w:szCs w:val="11"/>
                <w:color w:val="auto"/>
              </w:rPr>
            </w:pPr>
          </w:p>
        </w:tc>
        <w:tc>
          <w:tcPr>
            <w:tcW w:w="64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19,423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673</w:t>
            </w:r>
          </w:p>
        </w:tc>
        <w:tc>
          <w:tcPr>
            <w:tcW w:w="300" w:type="dxa"/>
            <w:vAlign w:val="bottom"/>
          </w:tcPr>
          <w:p>
            <w:pPr>
              <w:spacing w:after="0"/>
              <w:rPr>
                <w:sz w:val="11"/>
                <w:szCs w:val="11"/>
                <w:color w:val="auto"/>
              </w:rPr>
            </w:pPr>
          </w:p>
        </w:tc>
        <w:tc>
          <w:tcPr>
            <w:tcW w:w="400" w:type="dxa"/>
            <w:vAlign w:val="bottom"/>
          </w:tcPr>
          <w:p>
            <w:pPr>
              <w:jc w:val="right"/>
              <w:ind w:right="28"/>
              <w:spacing w:after="0" w:line="137"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20,102</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Production expenses excluding taxes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(2,047)</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(425)</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(804)</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(664)</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(3,940)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(114)</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(4,060)</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Taxes other than on income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(395)</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(52)</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(28)</w:t>
            </w:r>
          </w:p>
        </w:tc>
        <w:tc>
          <w:tcPr>
            <w:tcW w:w="30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Proved producing properties: depreciation, depletion and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20"/>
              <w:spacing w:after="0" w:line="149" w:lineRule="exact"/>
              <w:rPr>
                <w:sz w:val="20"/>
                <w:szCs w:val="20"/>
                <w:color w:val="auto"/>
              </w:rPr>
            </w:pPr>
            <w:r>
              <w:rPr>
                <w:rFonts w:ascii="Arial" w:cs="Arial" w:eastAsia="Arial" w:hAnsi="Arial"/>
                <w:sz w:val="14"/>
                <w:szCs w:val="14"/>
                <w:color w:val="auto"/>
              </w:rPr>
              <w:t>abandonment provision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(1,614)</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(344)</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(498)</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(658)</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(3,114)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(80)</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Exploration expenses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(424)</w:t>
            </w:r>
          </w:p>
        </w:tc>
        <w:tc>
          <w:tcPr>
            <w:tcW w:w="2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(132)</w:t>
            </w:r>
          </w:p>
        </w:tc>
        <w:tc>
          <w:tcPr>
            <w:tcW w:w="26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(234)</w:t>
            </w:r>
          </w:p>
        </w:tc>
        <w:tc>
          <w:tcPr>
            <w:tcW w:w="240" w:type="dxa"/>
            <w:vAlign w:val="bottom"/>
          </w:tcPr>
          <w:p>
            <w:pPr>
              <w:spacing w:after="0"/>
              <w:rPr>
                <w:sz w:val="12"/>
                <w:szCs w:val="12"/>
                <w:color w:val="auto"/>
              </w:rPr>
            </w:pP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(298)</w:t>
            </w:r>
          </w:p>
        </w:tc>
        <w:tc>
          <w:tcPr>
            <w:tcW w:w="26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58"/>
        </w:trPr>
        <w:tc>
          <w:tcPr>
            <w:tcW w:w="3760" w:type="dxa"/>
            <w:vAlign w:val="bottom"/>
            <w:gridSpan w:val="2"/>
          </w:tcPr>
          <w:p>
            <w:pPr>
              <w:spacing w:after="0" w:line="159" w:lineRule="exact"/>
              <w:rPr>
                <w:sz w:val="20"/>
                <w:szCs w:val="20"/>
                <w:color w:val="auto"/>
              </w:rPr>
            </w:pPr>
            <w:r>
              <w:rPr>
                <w:rFonts w:ascii="Arial" w:cs="Arial" w:eastAsia="Arial" w:hAnsi="Arial"/>
                <w:sz w:val="14"/>
                <w:szCs w:val="14"/>
                <w:color w:val="auto"/>
              </w:rPr>
              <w:t>Unproved properties valuation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68"/>
              <w:spacing w:after="0" w:line="159" w:lineRule="exact"/>
              <w:rPr>
                <w:sz w:val="20"/>
                <w:szCs w:val="20"/>
                <w:color w:val="auto"/>
              </w:rPr>
            </w:pPr>
            <w:r>
              <w:rPr>
                <w:rFonts w:ascii="Arial" w:cs="Arial" w:eastAsia="Arial" w:hAnsi="Arial"/>
                <w:sz w:val="14"/>
                <w:szCs w:val="14"/>
                <w:color w:val="auto"/>
              </w:rPr>
              <w:t>(38)</w:t>
            </w:r>
          </w:p>
        </w:tc>
        <w:tc>
          <w:tcPr>
            <w:tcW w:w="280" w:type="dxa"/>
            <w:vAlign w:val="bottom"/>
          </w:tcPr>
          <w:p>
            <w:pPr>
              <w:spacing w:after="0"/>
              <w:rPr>
                <w:sz w:val="13"/>
                <w:szCs w:val="13"/>
                <w:color w:val="auto"/>
              </w:rPr>
            </w:pPr>
          </w:p>
        </w:tc>
        <w:tc>
          <w:tcPr>
            <w:tcW w:w="620" w:type="dxa"/>
            <w:vAlign w:val="bottom"/>
          </w:tcPr>
          <w:p>
            <w:pPr>
              <w:jc w:val="right"/>
              <w:ind w:right="68"/>
              <w:spacing w:after="0" w:line="159"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3"/>
                <w:szCs w:val="13"/>
                <w:color w:val="auto"/>
              </w:rPr>
            </w:pPr>
          </w:p>
        </w:tc>
        <w:tc>
          <w:tcPr>
            <w:tcW w:w="900" w:type="dxa"/>
            <w:vAlign w:val="bottom"/>
          </w:tcPr>
          <w:p>
            <w:pPr>
              <w:jc w:val="right"/>
              <w:ind w:right="68"/>
              <w:spacing w:after="0" w:line="15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540" w:type="dxa"/>
            <w:vAlign w:val="bottom"/>
          </w:tcPr>
          <w:p>
            <w:pPr>
              <w:jc w:val="right"/>
              <w:ind w:right="88"/>
              <w:spacing w:after="0" w:line="159" w:lineRule="exact"/>
              <w:rPr>
                <w:sz w:val="20"/>
                <w:szCs w:val="20"/>
                <w:color w:val="auto"/>
              </w:rPr>
            </w:pPr>
            <w:r>
              <w:rPr>
                <w:rFonts w:ascii="Arial" w:cs="Arial" w:eastAsia="Arial" w:hAnsi="Arial"/>
                <w:sz w:val="14"/>
                <w:szCs w:val="14"/>
                <w:color w:val="auto"/>
              </w:rPr>
              <w:t>(77)</w:t>
            </w:r>
          </w:p>
        </w:tc>
        <w:tc>
          <w:tcPr>
            <w:tcW w:w="260" w:type="dxa"/>
            <w:vAlign w:val="bottom"/>
          </w:tcPr>
          <w:p>
            <w:pPr>
              <w:spacing w:after="0"/>
              <w:rPr>
                <w:sz w:val="13"/>
                <w:szCs w:val="13"/>
                <w:color w:val="auto"/>
              </w:rPr>
            </w:pPr>
          </w:p>
        </w:tc>
        <w:tc>
          <w:tcPr>
            <w:tcW w:w="640" w:type="dxa"/>
            <w:vAlign w:val="bottom"/>
          </w:tcPr>
          <w:p>
            <w:pPr>
              <w:jc w:val="right"/>
              <w:ind w:right="68"/>
              <w:spacing w:after="0" w:line="159" w:lineRule="exact"/>
              <w:rPr>
                <w:sz w:val="20"/>
                <w:szCs w:val="20"/>
                <w:color w:val="auto"/>
              </w:rPr>
            </w:pPr>
            <w:r>
              <w:rPr>
                <w:rFonts w:ascii="Arial" w:cs="Arial" w:eastAsia="Arial" w:hAnsi="Arial"/>
                <w:sz w:val="14"/>
                <w:szCs w:val="14"/>
                <w:color w:val="auto"/>
              </w:rPr>
              <w:t>(157)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400" w:type="dxa"/>
            <w:vAlign w:val="bottom"/>
          </w:tcPr>
          <w:p>
            <w:pPr>
              <w:jc w:val="right"/>
              <w:ind w:right="28"/>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48"/>
              <w:spacing w:after="0" w:line="15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Arial" w:cs="Arial" w:eastAsia="Arial" w:hAnsi="Arial"/>
                <w:sz w:val="14"/>
                <w:szCs w:val="14"/>
                <w:color w:val="auto"/>
              </w:rPr>
              <w:t>Other (expense) income</w:t>
            </w:r>
            <w:r>
              <w:rPr>
                <w:rFonts w:ascii="Arial" w:cs="Arial" w:eastAsia="Arial" w:hAnsi="Arial"/>
                <w:sz w:val="22"/>
                <w:szCs w:val="22"/>
                <w:color w:val="auto"/>
                <w:vertAlign w:val="superscript"/>
              </w:rPr>
              <w:t>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(1,653)</w:t>
            </w:r>
          </w:p>
        </w:tc>
        <w:tc>
          <w:tcPr>
            <w:tcW w:w="28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2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240" w:type="dxa"/>
            <w:vAlign w:val="bottom"/>
          </w:tcPr>
          <w:p>
            <w:pPr>
              <w:spacing w:after="0"/>
              <w:rPr>
                <w:sz w:val="17"/>
                <w:szCs w:val="17"/>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(1,977)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7"/>
                <w:szCs w:val="17"/>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(1,966)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40" w:type="dxa"/>
            <w:vAlign w:val="bottom"/>
            <w:tcBorders>
              <w:top w:val="single" w:sz="8" w:color="0070FF"/>
            </w:tcBorders>
          </w:tcPr>
          <w:p>
            <w:pPr>
              <w:ind w:left="120"/>
              <w:spacing w:after="0" w:line="137" w:lineRule="exact"/>
              <w:rPr>
                <w:sz w:val="20"/>
                <w:szCs w:val="20"/>
                <w:color w:val="auto"/>
              </w:rPr>
            </w:pPr>
            <w:r>
              <w:rPr>
                <w:rFonts w:ascii="Arial" w:cs="Arial" w:eastAsia="Arial" w:hAnsi="Arial"/>
                <w:sz w:val="14"/>
                <w:szCs w:val="14"/>
                <w:color w:val="auto"/>
              </w:rPr>
              <w:t>Results before income taxes</w:t>
            </w:r>
          </w:p>
        </w:tc>
        <w:tc>
          <w:tcPr>
            <w:tcW w:w="460" w:type="dxa"/>
            <w:vAlign w:val="bottom"/>
            <w:tcBorders>
              <w:top w:val="single" w:sz="8" w:color="0070FF"/>
            </w:tcBorders>
          </w:tcPr>
          <w:p>
            <w:pPr>
              <w:spacing w:after="0"/>
              <w:rPr>
                <w:sz w:val="11"/>
                <w:szCs w:val="11"/>
                <w:color w:val="auto"/>
              </w:rPr>
            </w:pPr>
          </w:p>
        </w:tc>
        <w:tc>
          <w:tcPr>
            <w:tcW w:w="12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08"/>
              <w:spacing w:after="0" w:line="137" w:lineRule="exact"/>
              <w:rPr>
                <w:sz w:val="20"/>
                <w:szCs w:val="20"/>
                <w:color w:val="auto"/>
              </w:rPr>
            </w:pPr>
            <w:r>
              <w:rPr>
                <w:rFonts w:ascii="Arial" w:cs="Arial" w:eastAsia="Arial" w:hAnsi="Arial"/>
                <w:sz w:val="14"/>
                <w:szCs w:val="14"/>
                <w:color w:val="auto"/>
              </w:rPr>
              <w:t>2,844</w:t>
            </w:r>
          </w:p>
        </w:tc>
        <w:tc>
          <w:tcPr>
            <w:tcW w:w="28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color w:val="auto"/>
              </w:rPr>
              <w:t>1,994</w:t>
            </w:r>
          </w:p>
        </w:tc>
        <w:tc>
          <w:tcPr>
            <w:tcW w:w="260" w:type="dxa"/>
            <w:vAlign w:val="bottom"/>
            <w:tcBorders>
              <w:top w:val="single" w:sz="8" w:color="0070FF"/>
            </w:tcBorders>
          </w:tcPr>
          <w:p>
            <w:pPr>
              <w:spacing w:after="0"/>
              <w:rPr>
                <w:sz w:val="11"/>
                <w:szCs w:val="11"/>
                <w:color w:val="auto"/>
              </w:rPr>
            </w:pPr>
          </w:p>
        </w:tc>
        <w:tc>
          <w:tcPr>
            <w:tcW w:w="90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color w:val="auto"/>
              </w:rPr>
              <w:t>2,254</w:t>
            </w:r>
          </w:p>
        </w:tc>
        <w:tc>
          <w:tcPr>
            <w:tcW w:w="240" w:type="dxa"/>
            <w:vAlign w:val="bottom"/>
            <w:tcBorders>
              <w:top w:val="single" w:sz="8" w:color="0070FF"/>
            </w:tcBorders>
          </w:tcPr>
          <w:p>
            <w:pPr>
              <w:spacing w:after="0"/>
              <w:rPr>
                <w:sz w:val="11"/>
                <w:szCs w:val="11"/>
                <w:color w:val="auto"/>
              </w:rPr>
            </w:pPr>
          </w:p>
        </w:tc>
        <w:tc>
          <w:tcPr>
            <w:tcW w:w="54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color w:val="auto"/>
                <w:w w:val="91"/>
              </w:rPr>
              <w:t>1,563</w:t>
            </w:r>
          </w:p>
        </w:tc>
        <w:tc>
          <w:tcPr>
            <w:tcW w:w="260" w:type="dxa"/>
            <w:vAlign w:val="bottom"/>
            <w:tcBorders>
              <w:top w:val="single" w:sz="8" w:color="0070FF"/>
            </w:tcBorders>
          </w:tcPr>
          <w:p>
            <w:pPr>
              <w:spacing w:after="0"/>
              <w:rPr>
                <w:sz w:val="11"/>
                <w:szCs w:val="11"/>
                <w:color w:val="auto"/>
              </w:rPr>
            </w:pPr>
          </w:p>
        </w:tc>
        <w:tc>
          <w:tcPr>
            <w:tcW w:w="640" w:type="dxa"/>
            <w:vAlign w:val="bottom"/>
            <w:tcBorders>
              <w:top w:val="single" w:sz="8" w:color="0070FF"/>
            </w:tcBorders>
          </w:tcPr>
          <w:p>
            <w:pPr>
              <w:jc w:val="right"/>
              <w:ind w:right="108"/>
              <w:spacing w:after="0" w:line="137" w:lineRule="exact"/>
              <w:rPr>
                <w:sz w:val="20"/>
                <w:szCs w:val="20"/>
                <w:color w:val="auto"/>
              </w:rPr>
            </w:pPr>
            <w:r>
              <w:rPr>
                <w:rFonts w:ascii="Arial" w:cs="Arial" w:eastAsia="Arial" w:hAnsi="Arial"/>
                <w:sz w:val="14"/>
                <w:szCs w:val="14"/>
                <w:color w:val="auto"/>
              </w:rPr>
              <w:t>8,655</w:t>
            </w:r>
          </w:p>
        </w:tc>
        <w:tc>
          <w:tcPr>
            <w:tcW w:w="160" w:type="dxa"/>
            <w:vAlign w:val="bottom"/>
            <w:tcBorders>
              <w:top w:val="single" w:sz="8" w:color="0070FF"/>
            </w:tcBorders>
          </w:tcPr>
          <w:p>
            <w:pPr>
              <w:spacing w:after="0"/>
              <w:rPr>
                <w:sz w:val="11"/>
                <w:szCs w:val="11"/>
                <w:color w:val="auto"/>
              </w:rPr>
            </w:pPr>
          </w:p>
        </w:tc>
        <w:tc>
          <w:tcPr>
            <w:tcW w:w="100" w:type="dxa"/>
            <w:vAlign w:val="bottom"/>
            <w:tcBorders>
              <w:top w:val="single" w:sz="8" w:color="0070FF"/>
            </w:tcBorders>
          </w:tcPr>
          <w:p>
            <w:pPr>
              <w:spacing w:after="0"/>
              <w:rPr>
                <w:sz w:val="11"/>
                <w:szCs w:val="11"/>
                <w:color w:val="auto"/>
              </w:rPr>
            </w:pPr>
          </w:p>
        </w:tc>
        <w:tc>
          <w:tcPr>
            <w:tcW w:w="620" w:type="dxa"/>
            <w:vAlign w:val="bottom"/>
            <w:tcBorders>
              <w:top w:val="single" w:sz="8" w:color="0070FF"/>
            </w:tcBorders>
          </w:tcPr>
          <w:p>
            <w:pPr>
              <w:jc w:val="right"/>
              <w:ind w:right="148"/>
              <w:spacing w:after="0" w:line="137" w:lineRule="exact"/>
              <w:rPr>
                <w:sz w:val="20"/>
                <w:szCs w:val="20"/>
                <w:color w:val="auto"/>
              </w:rPr>
            </w:pPr>
            <w:r>
              <w:rPr>
                <w:rFonts w:ascii="Arial" w:cs="Arial" w:eastAsia="Arial" w:hAnsi="Arial"/>
                <w:sz w:val="14"/>
                <w:szCs w:val="14"/>
                <w:color w:val="auto"/>
              </w:rPr>
              <w:t>460</w:t>
            </w:r>
          </w:p>
        </w:tc>
        <w:tc>
          <w:tcPr>
            <w:tcW w:w="300" w:type="dxa"/>
            <w:vAlign w:val="bottom"/>
            <w:tcBorders>
              <w:top w:val="single" w:sz="8" w:color="0070FF"/>
            </w:tcBorders>
          </w:tcPr>
          <w:p>
            <w:pPr>
              <w:spacing w:after="0"/>
              <w:rPr>
                <w:sz w:val="11"/>
                <w:szCs w:val="11"/>
                <w:color w:val="auto"/>
              </w:rPr>
            </w:pPr>
          </w:p>
        </w:tc>
        <w:tc>
          <w:tcPr>
            <w:tcW w:w="400" w:type="dxa"/>
            <w:vAlign w:val="bottom"/>
            <w:tcBorders>
              <w:top w:val="single" w:sz="8" w:color="0070FF"/>
            </w:tcBorders>
          </w:tcPr>
          <w:p>
            <w:pPr>
              <w:jc w:val="right"/>
              <w:ind w:right="28"/>
              <w:spacing w:after="0" w:line="137"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0070FF"/>
            </w:tcBorders>
          </w:tcPr>
          <w:p>
            <w:pPr>
              <w:spacing w:after="0"/>
              <w:rPr>
                <w:sz w:val="11"/>
                <w:szCs w:val="11"/>
                <w:color w:val="auto"/>
              </w:rPr>
            </w:pPr>
          </w:p>
        </w:tc>
        <w:tc>
          <w:tcPr>
            <w:tcW w:w="140" w:type="dxa"/>
            <w:vAlign w:val="bottom"/>
            <w:tcBorders>
              <w:top w:val="single" w:sz="8" w:color="0070FF"/>
            </w:tcBorders>
          </w:tcPr>
          <w:p>
            <w:pPr>
              <w:spacing w:after="0"/>
              <w:rPr>
                <w:sz w:val="11"/>
                <w:szCs w:val="11"/>
                <w:color w:val="auto"/>
              </w:rPr>
            </w:pPr>
          </w:p>
        </w:tc>
        <w:tc>
          <w:tcPr>
            <w:tcW w:w="840" w:type="dxa"/>
            <w:vAlign w:val="bottom"/>
            <w:tcBorders>
              <w:top w:val="single" w:sz="8" w:color="0070FF"/>
            </w:tcBorders>
          </w:tcPr>
          <w:p>
            <w:pPr>
              <w:jc w:val="right"/>
              <w:ind w:right="108"/>
              <w:spacing w:after="0" w:line="137" w:lineRule="exact"/>
              <w:rPr>
                <w:sz w:val="20"/>
                <w:szCs w:val="20"/>
                <w:color w:val="auto"/>
              </w:rPr>
            </w:pPr>
            <w:r>
              <w:rPr>
                <w:rFonts w:ascii="Arial" w:cs="Arial" w:eastAsia="Arial" w:hAnsi="Arial"/>
                <w:sz w:val="14"/>
                <w:szCs w:val="14"/>
                <w:color w:val="auto"/>
              </w:rPr>
              <w:t>9,116</w:t>
            </w:r>
          </w:p>
        </w:tc>
        <w:tc>
          <w:tcPr>
            <w:tcW w:w="0" w:type="dxa"/>
            <w:vAlign w:val="bottom"/>
          </w:tcPr>
          <w:p>
            <w:pPr>
              <w:spacing w:after="0"/>
              <w:rPr>
                <w:sz w:val="1"/>
                <w:szCs w:val="1"/>
                <w:color w:val="auto"/>
              </w:rPr>
            </w:pPr>
          </w:p>
        </w:tc>
      </w:tr>
      <w:tr>
        <w:trPr>
          <w:trHeight w:val="167"/>
        </w:trPr>
        <w:tc>
          <w:tcPr>
            <w:tcW w:w="37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Income tax expense</w:t>
            </w:r>
          </w:p>
        </w:tc>
        <w:tc>
          <w:tcPr>
            <w:tcW w:w="46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(1,074)</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(1,455)</w:t>
            </w:r>
          </w:p>
        </w:tc>
        <w:tc>
          <w:tcPr>
            <w:tcW w:w="260" w:type="dxa"/>
            <w:vAlign w:val="bottom"/>
            <w:tcBorders>
              <w:bottom w:val="single" w:sz="8" w:color="0070FF"/>
            </w:tcBorders>
          </w:tcPr>
          <w:p>
            <w:pPr>
              <w:spacing w:after="0"/>
              <w:rPr>
                <w:sz w:val="14"/>
                <w:szCs w:val="14"/>
                <w:color w:val="auto"/>
              </w:rPr>
            </w:pPr>
          </w:p>
        </w:tc>
        <w:tc>
          <w:tcPr>
            <w:tcW w:w="90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(1,432)</w:t>
            </w:r>
          </w:p>
        </w:tc>
        <w:tc>
          <w:tcPr>
            <w:tcW w:w="240" w:type="dxa"/>
            <w:vAlign w:val="bottom"/>
            <w:tcBorders>
              <w:bottom w:val="single" w:sz="8" w:color="0070FF"/>
            </w:tcBorders>
          </w:tcPr>
          <w:p>
            <w:pPr>
              <w:spacing w:after="0"/>
              <w:rPr>
                <w:sz w:val="14"/>
                <w:szCs w:val="14"/>
                <w:color w:val="auto"/>
              </w:rPr>
            </w:pPr>
          </w:p>
        </w:tc>
        <w:tc>
          <w:tcPr>
            <w:tcW w:w="54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(620)</w:t>
            </w:r>
          </w:p>
        </w:tc>
        <w:tc>
          <w:tcPr>
            <w:tcW w:w="2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color w:val="auto"/>
              </w:rPr>
              <w:t>(4,581)</w:t>
            </w:r>
          </w:p>
        </w:tc>
        <w:tc>
          <w:tcPr>
            <w:tcW w:w="160" w:type="dxa"/>
            <w:vAlign w:val="bottom"/>
            <w:tcBorders>
              <w:bottom w:val="single" w:sz="8" w:color="0070FF"/>
            </w:tcBorders>
          </w:tcPr>
          <w:p>
            <w:pPr>
              <w:spacing w:after="0"/>
              <w:rPr>
                <w:sz w:val="14"/>
                <w:szCs w:val="14"/>
                <w:color w:val="auto"/>
              </w:rPr>
            </w:pPr>
          </w:p>
        </w:tc>
        <w:tc>
          <w:tcPr>
            <w:tcW w:w="10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(138)</w:t>
            </w:r>
          </w:p>
        </w:tc>
        <w:tc>
          <w:tcPr>
            <w:tcW w:w="300" w:type="dxa"/>
            <w:vAlign w:val="bottom"/>
            <w:tcBorders>
              <w:bottom w:val="single" w:sz="8" w:color="0070FF"/>
            </w:tcBorders>
          </w:tcPr>
          <w:p>
            <w:pPr>
              <w:spacing w:after="0"/>
              <w:rPr>
                <w:sz w:val="14"/>
                <w:szCs w:val="14"/>
                <w:color w:val="auto"/>
              </w:rPr>
            </w:pPr>
          </w:p>
        </w:tc>
        <w:tc>
          <w:tcPr>
            <w:tcW w:w="400" w:type="dxa"/>
            <w:vAlign w:val="bottom"/>
            <w:tcBorders>
              <w:bottom w:val="single" w:sz="8" w:color="0070FF"/>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840" w:type="dxa"/>
            <w:vAlign w:val="bottom"/>
            <w:tcBorders>
              <w:bottom w:val="single" w:sz="8" w:color="0070FF"/>
            </w:tcBorders>
          </w:tcPr>
          <w:p>
            <w:pPr>
              <w:jc w:val="right"/>
              <w:ind w:right="48"/>
              <w:spacing w:after="0"/>
              <w:rPr>
                <w:sz w:val="20"/>
                <w:szCs w:val="20"/>
                <w:color w:val="auto"/>
              </w:rPr>
            </w:pPr>
            <w:r>
              <w:rPr>
                <w:rFonts w:ascii="Arial" w:cs="Arial" w:eastAsia="Arial" w:hAnsi="Arial"/>
                <w:sz w:val="14"/>
                <w:szCs w:val="14"/>
                <w:color w:val="auto"/>
              </w:rPr>
              <w:t>(4,719)</w:t>
            </w:r>
          </w:p>
        </w:tc>
        <w:tc>
          <w:tcPr>
            <w:tcW w:w="0" w:type="dxa"/>
            <w:vAlign w:val="bottom"/>
          </w:tcPr>
          <w:p>
            <w:pPr>
              <w:spacing w:after="0"/>
              <w:rPr>
                <w:sz w:val="1"/>
                <w:szCs w:val="1"/>
                <w:color w:val="auto"/>
              </w:rPr>
            </w:pPr>
          </w:p>
        </w:tc>
      </w:tr>
      <w:tr>
        <w:trPr>
          <w:trHeight w:val="176"/>
        </w:trPr>
        <w:tc>
          <w:tcPr>
            <w:tcW w:w="376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b w:val="1"/>
                <w:bCs w:val="1"/>
                <w:color w:val="0070FF"/>
              </w:rPr>
              <w:t>RESULTS OF PRODUCING OPERATIONS</w:t>
            </w:r>
          </w:p>
        </w:tc>
        <w:tc>
          <w:tcPr>
            <w:tcW w:w="58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color w:val="auto"/>
              </w:rPr>
              <w:t>1,770</w:t>
            </w:r>
          </w:p>
        </w:tc>
        <w:tc>
          <w:tcPr>
            <w:tcW w:w="28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539</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822</w:t>
            </w:r>
          </w:p>
        </w:tc>
        <w:tc>
          <w:tcPr>
            <w:tcW w:w="240" w:type="dxa"/>
            <w:vAlign w:val="bottom"/>
            <w:tcBorders>
              <w:bottom w:val="single" w:sz="8" w:color="0070FF"/>
            </w:tcBorders>
          </w:tcPr>
          <w:p>
            <w:pPr>
              <w:ind w:left="140"/>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rPr>
              <w:t>943</w:t>
            </w:r>
          </w:p>
        </w:tc>
        <w:tc>
          <w:tcPr>
            <w:tcW w:w="260" w:type="dxa"/>
            <w:vAlign w:val="bottom"/>
            <w:tcBorders>
              <w:bottom w:val="single" w:sz="8" w:color="0070FF"/>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color w:val="auto"/>
              </w:rPr>
              <w:t>4,074</w:t>
            </w:r>
          </w:p>
        </w:tc>
        <w:tc>
          <w:tcPr>
            <w:tcW w:w="260" w:type="dxa"/>
            <w:vAlign w:val="bottom"/>
            <w:tcBorders>
              <w:bottom w:val="single" w:sz="8" w:color="0070FF"/>
            </w:tcBorders>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322</w:t>
            </w:r>
          </w:p>
        </w:tc>
        <w:tc>
          <w:tcPr>
            <w:tcW w:w="300" w:type="dxa"/>
            <w:vAlign w:val="bottom"/>
            <w:tcBorders>
              <w:bottom w:val="single" w:sz="8" w:color="0070FF"/>
            </w:tcBorders>
          </w:tcPr>
          <w:p>
            <w:pPr>
              <w:ind w:left="160"/>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70FF"/>
            </w:tcBorders>
          </w:tcPr>
          <w:p>
            <w:pPr>
              <w:jc w:val="right"/>
              <w:ind w:right="28"/>
              <w:spacing w:after="0" w:line="155"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0070FF"/>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0070FF"/>
            </w:tcBorders>
          </w:tcPr>
          <w:p>
            <w:pPr>
              <w:jc w:val="right"/>
              <w:ind w:right="108"/>
              <w:spacing w:after="0" w:line="155" w:lineRule="exact"/>
              <w:rPr>
                <w:sz w:val="20"/>
                <w:szCs w:val="20"/>
                <w:color w:val="auto"/>
              </w:rPr>
            </w:pPr>
            <w:r>
              <w:rPr>
                <w:rFonts w:ascii="Arial" w:cs="Arial" w:eastAsia="Arial" w:hAnsi="Arial"/>
                <w:sz w:val="14"/>
                <w:szCs w:val="14"/>
                <w:color w:val="auto"/>
              </w:rPr>
              <w:t>4,397</w:t>
            </w:r>
          </w:p>
        </w:tc>
        <w:tc>
          <w:tcPr>
            <w:tcW w:w="0" w:type="dxa"/>
            <w:vAlign w:val="bottom"/>
          </w:tcPr>
          <w:p>
            <w:pPr>
              <w:spacing w:after="0"/>
              <w:rPr>
                <w:sz w:val="1"/>
                <w:szCs w:val="1"/>
                <w:color w:val="auto"/>
              </w:rPr>
            </w:pPr>
          </w:p>
        </w:tc>
      </w:tr>
    </w:tbl>
    <w:p>
      <w:pPr>
        <w:ind w:left="220" w:right="60" w:hanging="212"/>
        <w:spacing w:after="0" w:line="224" w:lineRule="auto"/>
        <w:tabs>
          <w:tab w:leader="none" w:pos="220" w:val="left"/>
        </w:tabs>
        <w:numPr>
          <w:ilvl w:val="0"/>
          <w:numId w:val="74"/>
        </w:numPr>
        <w:rPr>
          <w:rFonts w:ascii="Arial" w:cs="Arial" w:eastAsia="Arial" w:hAnsi="Arial"/>
          <w:sz w:val="10"/>
          <w:szCs w:val="10"/>
          <w:color w:val="auto"/>
        </w:rPr>
      </w:pPr>
      <w:r>
        <w:rPr>
          <w:rFonts w:ascii="Arial" w:cs="Arial" w:eastAsia="Arial" w:hAnsi="Arial"/>
          <w:sz w:val="13"/>
          <w:szCs w:val="13"/>
          <w:color w:val="auto"/>
        </w:rPr>
        <w:t>The value of owned production consumed on lease as fuel has been eliminated from revenues and production expenses, and the related volumes have been deducted from net production in calculating the unit average sales price and production cost. This has no effect on the results of producing operations.</w:t>
      </w:r>
    </w:p>
    <w:p>
      <w:pPr>
        <w:ind w:left="220" w:hanging="212"/>
        <w:spacing w:after="0"/>
        <w:tabs>
          <w:tab w:leader="none" w:pos="220" w:val="left"/>
        </w:tabs>
        <w:numPr>
          <w:ilvl w:val="0"/>
          <w:numId w:val="75"/>
        </w:numPr>
        <w:rPr>
          <w:rFonts w:ascii="Arial" w:cs="Arial" w:eastAsia="Arial" w:hAnsi="Arial"/>
          <w:sz w:val="10"/>
          <w:szCs w:val="10"/>
          <w:color w:val="auto"/>
        </w:rPr>
      </w:pPr>
      <w:r>
        <w:rPr>
          <w:rFonts w:ascii="Arial" w:cs="Arial" w:eastAsia="Arial" w:hAnsi="Arial"/>
          <w:sz w:val="13"/>
          <w:szCs w:val="13"/>
          <w:color w:val="auto"/>
        </w:rPr>
        <w:t>See Note 25 on page FS-50, FAS 143 “Asset Retirement Obligations.”</w:t>
      </w:r>
    </w:p>
    <w:p>
      <w:pPr>
        <w:ind w:left="220" w:right="180" w:hanging="212"/>
        <w:spacing w:after="0" w:line="281" w:lineRule="auto"/>
        <w:tabs>
          <w:tab w:leader="none" w:pos="220" w:val="left"/>
        </w:tabs>
        <w:numPr>
          <w:ilvl w:val="0"/>
          <w:numId w:val="76"/>
        </w:numPr>
        <w:rPr>
          <w:rFonts w:ascii="Arial" w:cs="Arial" w:eastAsia="Arial" w:hAnsi="Arial"/>
          <w:sz w:val="9"/>
          <w:szCs w:val="9"/>
          <w:color w:val="auto"/>
        </w:rPr>
      </w:pPr>
      <w:r>
        <w:rPr>
          <w:rFonts w:ascii="Arial" w:cs="Arial" w:eastAsia="Arial" w:hAnsi="Arial"/>
          <w:sz w:val="10"/>
          <w:szCs w:val="10"/>
          <w:color w:val="auto"/>
        </w:rPr>
        <w:t>Includes net sulfur income, foreign currency transaction gains and losses, certain significant impairment write-downs, miscellaneous expenses, etc. Also includes net income from related oil and gas activities that do not have oil and gas reserves attributed to them (for example, net income from technical and operating service agreements) and items identified in the Management’s Discussion and Analysis on pages FS-6 and FS-7.</w:t>
      </w:r>
    </w:p>
    <w:p>
      <w:pPr>
        <w:spacing w:after="0" w:line="1"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0"/>
          <w:szCs w:val="10"/>
          <w:color w:val="auto"/>
        </w:rPr>
      </w:pPr>
      <w:r>
        <w:rPr>
          <w:rFonts w:ascii="Arial" w:cs="Arial" w:eastAsia="Arial" w:hAnsi="Arial"/>
          <w:sz w:val="13"/>
          <w:szCs w:val="13"/>
          <w:color w:val="auto"/>
        </w:rPr>
        <w:t>2002 and 2001 include certain reclassifications to conform to 2003 presentation.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584"/>
        <w:spacing w:after="0"/>
        <w:tabs>
          <w:tab w:leader="none" w:pos="700" w:val="left"/>
        </w:tabs>
        <w:numPr>
          <w:ilvl w:val="0"/>
          <w:numId w:val="78"/>
        </w:numPr>
        <w:rPr>
          <w:rFonts w:ascii="Arial" w:cs="Arial" w:eastAsia="Arial" w:hAnsi="Arial"/>
          <w:sz w:val="27"/>
          <w:szCs w:val="27"/>
          <w:b w:val="1"/>
          <w:bCs w:val="1"/>
          <w:color w:val="0070FF"/>
        </w:rPr>
      </w:pPr>
      <w:r>
        <w:rPr>
          <w:rFonts w:ascii="Arial" w:cs="Arial" w:eastAsia="Arial" w:hAnsi="Arial"/>
          <w:sz w:val="22"/>
          <w:szCs w:val="22"/>
          <w:color w:val="0070FF"/>
        </w:rPr>
        <w:t xml:space="preserve">Supplemental Information on Oil and Gas Producing Activities – </w:t>
      </w:r>
      <w:r>
        <w:rPr>
          <w:rFonts w:ascii="Arial" w:cs="Arial" w:eastAsia="Arial" w:hAnsi="Arial"/>
          <w:sz w:val="22"/>
          <w:szCs w:val="22"/>
          <w:i w:val="1"/>
          <w:iCs w:val="1"/>
          <w:color w:val="0070FF"/>
        </w:rPr>
        <w:t>Continued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0070FF"/>
              </w:rPr>
              <w:t>Unaudited</w:t>
            </w:r>
          </w:p>
        </w:tc>
        <w:tc>
          <w:tcPr>
            <w:tcW w:w="0" w:type="dxa"/>
            <w:vAlign w:val="bottom"/>
          </w:tcPr>
          <w:p>
            <w:pPr>
              <w:spacing w:after="0"/>
              <w:rPr>
                <w:sz w:val="1"/>
                <w:szCs w:val="1"/>
                <w:color w:val="auto"/>
              </w:rPr>
            </w:pPr>
          </w:p>
        </w:tc>
      </w:tr>
      <w:tr>
        <w:trPr>
          <w:trHeight w:val="507"/>
        </w:trPr>
        <w:tc>
          <w:tcPr>
            <w:tcW w:w="9380" w:type="dxa"/>
            <w:vAlign w:val="bottom"/>
            <w:gridSpan w:val="14"/>
          </w:tcPr>
          <w:p>
            <w:pPr>
              <w:spacing w:after="0"/>
              <w:rPr>
                <w:sz w:val="20"/>
                <w:szCs w:val="20"/>
                <w:color w:val="auto"/>
              </w:rPr>
            </w:pPr>
            <w:r>
              <w:rPr>
                <w:rFonts w:ascii="Arial" w:cs="Arial" w:eastAsia="Arial" w:hAnsi="Arial"/>
                <w:sz w:val="16"/>
                <w:szCs w:val="16"/>
                <w:b w:val="1"/>
                <w:bCs w:val="1"/>
                <w:color w:val="0070FF"/>
              </w:rPr>
              <w:t>TABLE IV – RESULTS OF OPERATIONS FOR OIL AND GAS PRODUCING ACTIVITIES – UNIT PRICES AND COSTS</w:t>
            </w:r>
            <w:r>
              <w:rPr>
                <w:rFonts w:ascii="Arial" w:cs="Arial" w:eastAsia="Arial" w:hAnsi="Arial"/>
                <w:sz w:val="27"/>
                <w:szCs w:val="27"/>
                <w:color w:val="0070FF"/>
                <w:vertAlign w:val="superscript"/>
              </w:rPr>
              <w:t>1,2</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0070FF"/>
            </w:tcBorders>
          </w:tcPr>
          <w:p>
            <w:pPr>
              <w:spacing w:after="0"/>
              <w:rPr>
                <w:sz w:val="24"/>
                <w:szCs w:val="24"/>
                <w:color w:val="auto"/>
              </w:rPr>
            </w:pPr>
          </w:p>
        </w:tc>
        <w:tc>
          <w:tcPr>
            <w:tcW w:w="560" w:type="dxa"/>
            <w:vAlign w:val="bottom"/>
            <w:tcBorders>
              <w:bottom w:val="single" w:sz="8" w:color="0070FF"/>
            </w:tcBorders>
          </w:tcPr>
          <w:p>
            <w:pPr>
              <w:spacing w:after="0"/>
              <w:rPr>
                <w:sz w:val="24"/>
                <w:szCs w:val="24"/>
                <w:color w:val="auto"/>
              </w:rPr>
            </w:pPr>
          </w:p>
        </w:tc>
        <w:tc>
          <w:tcPr>
            <w:tcW w:w="300" w:type="dxa"/>
            <w:vAlign w:val="bottom"/>
            <w:tcBorders>
              <w:bottom w:val="single" w:sz="8" w:color="0070FF"/>
            </w:tcBorders>
          </w:tcPr>
          <w:p>
            <w:pPr>
              <w:spacing w:after="0"/>
              <w:rPr>
                <w:sz w:val="24"/>
                <w:szCs w:val="24"/>
                <w:color w:val="auto"/>
              </w:rPr>
            </w:pPr>
          </w:p>
        </w:tc>
        <w:tc>
          <w:tcPr>
            <w:tcW w:w="620" w:type="dxa"/>
            <w:vAlign w:val="bottom"/>
            <w:tcBorders>
              <w:bottom w:val="single" w:sz="8" w:color="0070FF"/>
            </w:tcBorders>
          </w:tcPr>
          <w:p>
            <w:pPr>
              <w:spacing w:after="0"/>
              <w:rPr>
                <w:sz w:val="24"/>
                <w:szCs w:val="24"/>
                <w:color w:val="auto"/>
              </w:rPr>
            </w:pPr>
          </w:p>
        </w:tc>
        <w:tc>
          <w:tcPr>
            <w:tcW w:w="1060" w:type="dxa"/>
            <w:vAlign w:val="bottom"/>
            <w:tcBorders>
              <w:bottom w:val="single" w:sz="8" w:color="0070FF"/>
            </w:tcBorders>
          </w:tcPr>
          <w:p>
            <w:pPr>
              <w:spacing w:after="0"/>
              <w:rPr>
                <w:sz w:val="24"/>
                <w:szCs w:val="24"/>
                <w:color w:val="auto"/>
              </w:rPr>
            </w:pPr>
          </w:p>
        </w:tc>
        <w:tc>
          <w:tcPr>
            <w:tcW w:w="1740" w:type="dxa"/>
            <w:vAlign w:val="bottom"/>
            <w:tcBorders>
              <w:bottom w:val="single" w:sz="8" w:color="0070FF"/>
            </w:tcBorders>
            <w:gridSpan w:val="4"/>
          </w:tcPr>
          <w:p>
            <w:pPr>
              <w:ind w:left="200"/>
              <w:spacing w:after="0"/>
              <w:rPr>
                <w:sz w:val="20"/>
                <w:szCs w:val="20"/>
                <w:color w:val="auto"/>
              </w:rPr>
            </w:pPr>
            <w:r>
              <w:rPr>
                <w:rFonts w:ascii="Arial" w:cs="Arial" w:eastAsia="Arial" w:hAnsi="Arial"/>
                <w:sz w:val="14"/>
                <w:szCs w:val="14"/>
                <w:color w:val="auto"/>
                <w:w w:val="97"/>
              </w:rPr>
              <w:t>Consolidated Companies</w:t>
            </w:r>
          </w:p>
        </w:tc>
        <w:tc>
          <w:tcPr>
            <w:tcW w:w="160" w:type="dxa"/>
            <w:vAlign w:val="bottom"/>
          </w:tcPr>
          <w:p>
            <w:pPr>
              <w:spacing w:after="0"/>
              <w:rPr>
                <w:sz w:val="24"/>
                <w:szCs w:val="24"/>
                <w:color w:val="auto"/>
              </w:rPr>
            </w:pPr>
          </w:p>
        </w:tc>
        <w:tc>
          <w:tcPr>
            <w:tcW w:w="1820" w:type="dxa"/>
            <w:vAlign w:val="bottom"/>
            <w:tcBorders>
              <w:bottom w:val="single" w:sz="8" w:color="0070FF"/>
            </w:tcBorders>
            <w:gridSpan w:val="2"/>
          </w:tcPr>
          <w:p>
            <w:pPr>
              <w:jc w:val="right"/>
              <w:ind w:right="248"/>
              <w:spacing w:after="0"/>
              <w:rPr>
                <w:sz w:val="20"/>
                <w:szCs w:val="20"/>
                <w:color w:val="auto"/>
              </w:rPr>
            </w:pPr>
            <w:r>
              <w:rPr>
                <w:rFonts w:ascii="Arial" w:cs="Arial" w:eastAsia="Arial" w:hAnsi="Arial"/>
                <w:sz w:val="14"/>
                <w:szCs w:val="14"/>
                <w:color w:val="auto"/>
              </w:rPr>
              <w:t>Affiliated Companies</w:t>
            </w:r>
          </w:p>
        </w:tc>
        <w:tc>
          <w:tcPr>
            <w:tcW w:w="180" w:type="dxa"/>
            <w:vAlign w:val="bottom"/>
          </w:tcPr>
          <w:p>
            <w:pPr>
              <w:spacing w:after="0"/>
              <w:rPr>
                <w:sz w:val="24"/>
                <w:szCs w:val="24"/>
                <w:color w:val="auto"/>
              </w:rPr>
            </w:pPr>
          </w:p>
        </w:tc>
        <w:tc>
          <w:tcPr>
            <w:tcW w:w="900" w:type="dxa"/>
            <w:vAlign w:val="bottom"/>
            <w:vMerge w:val="restart"/>
          </w:tcPr>
          <w:p>
            <w:pPr>
              <w:jc w:val="right"/>
              <w:ind w:right="101"/>
              <w:spacing w:after="0"/>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bottom w:val="single" w:sz="8" w:color="0070FF"/>
            </w:tcBorders>
          </w:tcPr>
          <w:p>
            <w:pPr>
              <w:spacing w:after="0"/>
              <w:rPr>
                <w:sz w:val="12"/>
                <w:szCs w:val="12"/>
                <w:color w:val="auto"/>
              </w:rPr>
            </w:pPr>
          </w:p>
        </w:tc>
        <w:tc>
          <w:tcPr>
            <w:tcW w:w="800" w:type="dxa"/>
            <w:vAlign w:val="bottom"/>
            <w:tcBorders>
              <w:bottom w:val="single" w:sz="8" w:color="0070FF"/>
            </w:tcBorders>
          </w:tcPr>
          <w:p>
            <w:pPr>
              <w:spacing w:after="0"/>
              <w:rPr>
                <w:sz w:val="12"/>
                <w:szCs w:val="12"/>
                <w:color w:val="auto"/>
              </w:rPr>
            </w:pPr>
          </w:p>
        </w:tc>
        <w:tc>
          <w:tcPr>
            <w:tcW w:w="120" w:type="dxa"/>
            <w:vAlign w:val="bottom"/>
            <w:tcBorders>
              <w:bottom w:val="single" w:sz="8" w:color="0070FF"/>
            </w:tcBorders>
          </w:tcPr>
          <w:p>
            <w:pPr>
              <w:spacing w:after="0"/>
              <w:rPr>
                <w:sz w:val="12"/>
                <w:szCs w:val="12"/>
                <w:color w:val="auto"/>
              </w:rPr>
            </w:pPr>
          </w:p>
        </w:tc>
        <w:tc>
          <w:tcPr>
            <w:tcW w:w="560" w:type="dxa"/>
            <w:vAlign w:val="bottom"/>
            <w:tcBorders>
              <w:bottom w:val="single" w:sz="8" w:color="0070FF"/>
            </w:tcBorders>
          </w:tcPr>
          <w:p>
            <w:pPr>
              <w:jc w:val="right"/>
              <w:ind w:right="108"/>
              <w:spacing w:after="0" w:line="142" w:lineRule="exact"/>
              <w:rPr>
                <w:sz w:val="20"/>
                <w:szCs w:val="20"/>
                <w:color w:val="auto"/>
              </w:rPr>
            </w:pPr>
            <w:r>
              <w:rPr>
                <w:rFonts w:ascii="Arial" w:cs="Arial" w:eastAsia="Arial" w:hAnsi="Arial"/>
                <w:sz w:val="14"/>
                <w:szCs w:val="14"/>
                <w:color w:val="auto"/>
              </w:rPr>
              <w:t>U.S.</w:t>
            </w:r>
          </w:p>
        </w:tc>
        <w:tc>
          <w:tcPr>
            <w:tcW w:w="300" w:type="dxa"/>
            <w:vAlign w:val="bottom"/>
            <w:tcBorders>
              <w:bottom w:val="single" w:sz="8" w:color="0070FF"/>
            </w:tcBorders>
          </w:tcPr>
          <w:p>
            <w:pPr>
              <w:spacing w:after="0"/>
              <w:rPr>
                <w:sz w:val="12"/>
                <w:szCs w:val="12"/>
                <w:color w:val="auto"/>
              </w:rPr>
            </w:pPr>
          </w:p>
        </w:tc>
        <w:tc>
          <w:tcPr>
            <w:tcW w:w="620" w:type="dxa"/>
            <w:vAlign w:val="bottom"/>
            <w:tcBorders>
              <w:bottom w:val="single" w:sz="8" w:color="0070FF"/>
            </w:tcBorders>
          </w:tcPr>
          <w:p>
            <w:pPr>
              <w:jc w:val="right"/>
              <w:ind w:right="168"/>
              <w:spacing w:after="0" w:line="142" w:lineRule="exact"/>
              <w:rPr>
                <w:sz w:val="20"/>
                <w:szCs w:val="20"/>
                <w:color w:val="auto"/>
              </w:rPr>
            </w:pPr>
            <w:r>
              <w:rPr>
                <w:rFonts w:ascii="Arial" w:cs="Arial" w:eastAsia="Arial" w:hAnsi="Arial"/>
                <w:sz w:val="14"/>
                <w:szCs w:val="14"/>
                <w:color w:val="auto"/>
              </w:rPr>
              <w:t>Africa</w:t>
            </w:r>
          </w:p>
        </w:tc>
        <w:tc>
          <w:tcPr>
            <w:tcW w:w="1060" w:type="dxa"/>
            <w:vAlign w:val="bottom"/>
            <w:tcBorders>
              <w:bottom w:val="single" w:sz="8" w:color="0070FF"/>
            </w:tcBorders>
          </w:tcPr>
          <w:p>
            <w:pPr>
              <w:jc w:val="right"/>
              <w:ind w:right="88"/>
              <w:spacing w:after="0" w:line="142" w:lineRule="exact"/>
              <w:rPr>
                <w:sz w:val="20"/>
                <w:szCs w:val="20"/>
                <w:color w:val="auto"/>
              </w:rPr>
            </w:pPr>
            <w:r>
              <w:rPr>
                <w:rFonts w:ascii="Arial" w:cs="Arial" w:eastAsia="Arial" w:hAnsi="Arial"/>
                <w:sz w:val="14"/>
                <w:szCs w:val="14"/>
                <w:color w:val="auto"/>
              </w:rPr>
              <w:t>Asia-Pacific</w:t>
            </w:r>
          </w:p>
        </w:tc>
        <w:tc>
          <w:tcPr>
            <w:tcW w:w="320" w:type="dxa"/>
            <w:vAlign w:val="bottom"/>
            <w:tcBorders>
              <w:bottom w:val="single" w:sz="8" w:color="0070FF"/>
            </w:tcBorders>
          </w:tcPr>
          <w:p>
            <w:pPr>
              <w:spacing w:after="0"/>
              <w:rPr>
                <w:sz w:val="12"/>
                <w:szCs w:val="12"/>
                <w:color w:val="auto"/>
              </w:rPr>
            </w:pPr>
          </w:p>
        </w:tc>
        <w:tc>
          <w:tcPr>
            <w:tcW w:w="560" w:type="dxa"/>
            <w:vAlign w:val="bottom"/>
            <w:tcBorders>
              <w:bottom w:val="single" w:sz="8" w:color="0070FF"/>
            </w:tcBorders>
          </w:tcPr>
          <w:p>
            <w:pPr>
              <w:jc w:val="right"/>
              <w:ind w:right="108"/>
              <w:spacing w:after="0" w:line="142" w:lineRule="exact"/>
              <w:rPr>
                <w:sz w:val="20"/>
                <w:szCs w:val="20"/>
                <w:color w:val="auto"/>
              </w:rPr>
            </w:pPr>
            <w:r>
              <w:rPr>
                <w:rFonts w:ascii="Arial" w:cs="Arial" w:eastAsia="Arial" w:hAnsi="Arial"/>
                <w:sz w:val="14"/>
                <w:szCs w:val="14"/>
                <w:color w:val="auto"/>
              </w:rPr>
              <w:t>Other</w:t>
            </w:r>
          </w:p>
        </w:tc>
        <w:tc>
          <w:tcPr>
            <w:tcW w:w="300" w:type="dxa"/>
            <w:vAlign w:val="bottom"/>
            <w:tcBorders>
              <w:bottom w:val="single" w:sz="8" w:color="0070FF"/>
            </w:tcBorders>
          </w:tcPr>
          <w:p>
            <w:pPr>
              <w:spacing w:after="0"/>
              <w:rPr>
                <w:sz w:val="12"/>
                <w:szCs w:val="12"/>
                <w:color w:val="auto"/>
              </w:rPr>
            </w:pPr>
          </w:p>
        </w:tc>
        <w:tc>
          <w:tcPr>
            <w:tcW w:w="560" w:type="dxa"/>
            <w:vAlign w:val="bottom"/>
            <w:tcBorders>
              <w:bottom w:val="single" w:sz="8" w:color="0070FF"/>
            </w:tcBorders>
          </w:tcPr>
          <w:p>
            <w:pPr>
              <w:jc w:val="right"/>
              <w:ind w:right="108"/>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860" w:type="dxa"/>
            <w:vAlign w:val="bottom"/>
            <w:tcBorders>
              <w:bottom w:val="single" w:sz="8" w:color="0070FF"/>
            </w:tcBorders>
          </w:tcPr>
          <w:p>
            <w:pPr>
              <w:jc w:val="right"/>
              <w:ind w:right="232"/>
              <w:spacing w:after="0" w:line="142" w:lineRule="exact"/>
              <w:rPr>
                <w:sz w:val="20"/>
                <w:szCs w:val="20"/>
                <w:color w:val="auto"/>
              </w:rPr>
            </w:pPr>
            <w:r>
              <w:rPr>
                <w:rFonts w:ascii="Arial" w:cs="Arial" w:eastAsia="Arial" w:hAnsi="Arial"/>
                <w:sz w:val="14"/>
                <w:szCs w:val="14"/>
                <w:color w:val="auto"/>
              </w:rPr>
              <w:t>TCO</w:t>
            </w:r>
          </w:p>
        </w:tc>
        <w:tc>
          <w:tcPr>
            <w:tcW w:w="960" w:type="dxa"/>
            <w:vAlign w:val="bottom"/>
            <w:tcBorders>
              <w:bottom w:val="single" w:sz="8" w:color="0070FF"/>
            </w:tcBorders>
          </w:tcPr>
          <w:p>
            <w:pPr>
              <w:jc w:val="right"/>
              <w:ind w:right="148"/>
              <w:spacing w:after="0" w:line="142" w:lineRule="exact"/>
              <w:rPr>
                <w:sz w:val="20"/>
                <w:szCs w:val="20"/>
                <w:color w:val="auto"/>
              </w:rPr>
            </w:pPr>
            <w:r>
              <w:rPr>
                <w:rFonts w:ascii="Arial" w:cs="Arial" w:eastAsia="Arial" w:hAnsi="Arial"/>
                <w:sz w:val="14"/>
                <w:szCs w:val="14"/>
                <w:color w:val="auto"/>
              </w:rPr>
              <w:t>Hamaca</w:t>
            </w:r>
          </w:p>
        </w:tc>
        <w:tc>
          <w:tcPr>
            <w:tcW w:w="180" w:type="dxa"/>
            <w:vAlign w:val="bottom"/>
          </w:tcPr>
          <w:p>
            <w:pPr>
              <w:spacing w:after="0"/>
              <w:rPr>
                <w:sz w:val="12"/>
                <w:szCs w:val="12"/>
                <w:color w:val="auto"/>
              </w:rPr>
            </w:pPr>
          </w:p>
        </w:tc>
        <w:tc>
          <w:tcPr>
            <w:tcW w:w="900" w:type="dxa"/>
            <w:vAlign w:val="bottom"/>
            <w:tcBorders>
              <w:bottom w:val="single" w:sz="8" w:color="007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40" w:type="dxa"/>
            <w:vAlign w:val="bottom"/>
          </w:tcPr>
          <w:p>
            <w:pPr>
              <w:spacing w:after="0" w:line="137" w:lineRule="exact"/>
              <w:rPr>
                <w:sz w:val="20"/>
                <w:szCs w:val="20"/>
                <w:color w:val="auto"/>
              </w:rPr>
            </w:pPr>
            <w:r>
              <w:rPr>
                <w:rFonts w:ascii="Arial" w:cs="Arial" w:eastAsia="Arial" w:hAnsi="Arial"/>
                <w:sz w:val="14"/>
                <w:szCs w:val="14"/>
                <w:b w:val="1"/>
                <w:bCs w:val="1"/>
                <w:color w:val="0070FF"/>
              </w:rPr>
              <w:t>YEAR ENDED DECEMBER 31, 2003</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120"/>
              <w:spacing w:after="0" w:line="149" w:lineRule="exact"/>
              <w:rPr>
                <w:sz w:val="20"/>
                <w:szCs w:val="20"/>
                <w:color w:val="auto"/>
              </w:rPr>
            </w:pPr>
            <w:r>
              <w:rPr>
                <w:rFonts w:ascii="Arial" w:cs="Arial" w:eastAsia="Arial" w:hAnsi="Arial"/>
                <w:sz w:val="14"/>
                <w:szCs w:val="14"/>
                <w:color w:val="auto"/>
              </w:rPr>
              <w:t>Average sales prices</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26.66</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28.54</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$ 24.83</w:t>
            </w:r>
          </w:p>
        </w:tc>
        <w:tc>
          <w:tcPr>
            <w:tcW w:w="3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27.56</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26.69</w:t>
            </w:r>
          </w:p>
        </w:tc>
        <w:tc>
          <w:tcPr>
            <w:tcW w:w="102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$ 22.07</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$ 17.06</w:t>
            </w:r>
          </w:p>
        </w:tc>
        <w:tc>
          <w:tcPr>
            <w:tcW w:w="108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$ 26.24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ind w:left="120"/>
              <w:spacing w:after="0" w:line="145" w:lineRule="exact"/>
              <w:rPr>
                <w:sz w:val="20"/>
                <w:szCs w:val="20"/>
                <w:color w:val="auto"/>
              </w:rPr>
            </w:pPr>
            <w:r>
              <w:rPr>
                <w:rFonts w:ascii="Arial" w:cs="Arial" w:eastAsia="Arial" w:hAnsi="Arial"/>
                <w:sz w:val="14"/>
                <w:szCs w:val="14"/>
                <w:color w:val="auto"/>
              </w:rPr>
              <w:t>Liquids, per barrel</w:t>
            </w:r>
          </w:p>
        </w:tc>
        <w:tc>
          <w:tcPr>
            <w:tcW w:w="9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120"/>
              <w:spacing w:after="0" w:line="149" w:lineRule="exact"/>
              <w:rPr>
                <w:sz w:val="20"/>
                <w:szCs w:val="20"/>
                <w:color w:val="auto"/>
              </w:rPr>
            </w:pPr>
            <w:r>
              <w:rPr>
                <w:rFonts w:ascii="Arial" w:cs="Arial" w:eastAsia="Arial" w:hAnsi="Arial"/>
                <w:sz w:val="14"/>
                <w:szCs w:val="14"/>
                <w:color w:val="auto"/>
              </w:rPr>
              <w:t>Natural gas, per thousand cubic feet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5.01</w:t>
            </w:r>
          </w:p>
        </w:tc>
        <w:tc>
          <w:tcPr>
            <w:tcW w:w="300" w:type="dxa"/>
            <w:vAlign w:val="bottom"/>
          </w:tcPr>
          <w:p>
            <w:pPr>
              <w:spacing w:after="0"/>
              <w:rPr>
                <w:sz w:val="12"/>
                <w:szCs w:val="12"/>
                <w:color w:val="auto"/>
              </w:rPr>
            </w:pPr>
          </w:p>
        </w:tc>
        <w:tc>
          <w:tcPr>
            <w:tcW w:w="6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0.04</w:t>
            </w:r>
          </w:p>
        </w:tc>
        <w:tc>
          <w:tcPr>
            <w:tcW w:w="10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3.51</w:t>
            </w:r>
          </w:p>
        </w:tc>
        <w:tc>
          <w:tcPr>
            <w:tcW w:w="320" w:type="dxa"/>
            <w:vAlign w:val="bottom"/>
          </w:tcPr>
          <w:p>
            <w:pPr>
              <w:spacing w:after="0"/>
              <w:rPr>
                <w:sz w:val="12"/>
                <w:szCs w:val="12"/>
                <w:color w:val="auto"/>
              </w:rPr>
            </w:pP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2.58</w:t>
            </w:r>
          </w:p>
        </w:tc>
        <w:tc>
          <w:tcPr>
            <w:tcW w:w="300" w:type="dxa"/>
            <w:vAlign w:val="bottom"/>
          </w:tcPr>
          <w:p>
            <w:pPr>
              <w:spacing w:after="0"/>
              <w:rPr>
                <w:sz w:val="12"/>
                <w:szCs w:val="12"/>
                <w:color w:val="auto"/>
              </w:rPr>
            </w:pP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4.08</w:t>
            </w:r>
          </w:p>
        </w:tc>
        <w:tc>
          <w:tcPr>
            <w:tcW w:w="1020" w:type="dxa"/>
            <w:vAlign w:val="bottom"/>
            <w:gridSpan w:val="2"/>
          </w:tcPr>
          <w:p>
            <w:pPr>
              <w:jc w:val="right"/>
              <w:ind w:right="232"/>
              <w:spacing w:after="0" w:line="149" w:lineRule="exact"/>
              <w:rPr>
                <w:sz w:val="20"/>
                <w:szCs w:val="20"/>
                <w:color w:val="auto"/>
              </w:rPr>
            </w:pPr>
            <w:r>
              <w:rPr>
                <w:rFonts w:ascii="Arial" w:cs="Arial" w:eastAsia="Arial" w:hAnsi="Arial"/>
                <w:sz w:val="14"/>
                <w:szCs w:val="14"/>
                <w:b w:val="1"/>
                <w:bCs w:val="1"/>
                <w:color w:val="auto"/>
              </w:rPr>
              <w:t>0.68</w:t>
            </w:r>
          </w:p>
        </w:tc>
        <w:tc>
          <w:tcPr>
            <w:tcW w:w="9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0.33</w:t>
            </w:r>
          </w:p>
        </w:tc>
        <w:tc>
          <w:tcPr>
            <w:tcW w:w="1080" w:type="dxa"/>
            <w:vAlign w:val="bottom"/>
            <w:gridSpan w:val="2"/>
          </w:tcPr>
          <w:p>
            <w:pPr>
              <w:jc w:val="right"/>
              <w:ind w:right="101"/>
              <w:spacing w:after="0" w:line="149" w:lineRule="exact"/>
              <w:rPr>
                <w:sz w:val="20"/>
                <w:szCs w:val="20"/>
                <w:color w:val="auto"/>
              </w:rPr>
            </w:pPr>
            <w:r>
              <w:rPr>
                <w:rFonts w:ascii="Arial" w:cs="Arial" w:eastAsia="Arial" w:hAnsi="Arial"/>
                <w:sz w:val="14"/>
                <w:szCs w:val="14"/>
                <w:b w:val="1"/>
                <w:bCs w:val="1"/>
                <w:color w:val="auto"/>
              </w:rPr>
              <w:t>3.96</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Average production costs, per barrel</w:t>
            </w:r>
          </w:p>
        </w:tc>
        <w:tc>
          <w:tcPr>
            <w:tcW w:w="800" w:type="dxa"/>
            <w:vAlign w:val="bottom"/>
            <w:tcBorders>
              <w:bottom w:val="single" w:sz="8" w:color="0070FF"/>
            </w:tcBorders>
          </w:tcPr>
          <w:p>
            <w:pPr>
              <w:spacing w:after="0"/>
              <w:rPr>
                <w:sz w:val="16"/>
                <w:szCs w:val="16"/>
                <w:color w:val="auto"/>
              </w:rPr>
            </w:pPr>
          </w:p>
        </w:tc>
        <w:tc>
          <w:tcPr>
            <w:tcW w:w="120" w:type="dxa"/>
            <w:vAlign w:val="bottom"/>
            <w:tcBorders>
              <w:bottom w:val="single" w:sz="8" w:color="0070FF"/>
            </w:tcBorders>
          </w:tcPr>
          <w:p>
            <w:pPr>
              <w:spacing w:after="0"/>
              <w:rPr>
                <w:sz w:val="16"/>
                <w:szCs w:val="16"/>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5.82</w:t>
            </w:r>
          </w:p>
        </w:tc>
        <w:tc>
          <w:tcPr>
            <w:tcW w:w="300" w:type="dxa"/>
            <w:vAlign w:val="bottom"/>
            <w:tcBorders>
              <w:bottom w:val="single" w:sz="8" w:color="0070FF"/>
            </w:tcBorders>
          </w:tcPr>
          <w:p>
            <w:pPr>
              <w:spacing w:after="0"/>
              <w:rPr>
                <w:sz w:val="16"/>
                <w:szCs w:val="16"/>
                <w:color w:val="auto"/>
              </w:rPr>
            </w:pPr>
          </w:p>
        </w:tc>
        <w:tc>
          <w:tcPr>
            <w:tcW w:w="62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b w:val="1"/>
                <w:bCs w:val="1"/>
                <w:color w:val="auto"/>
              </w:rPr>
              <w:t>4.42</w:t>
            </w:r>
          </w:p>
        </w:tc>
        <w:tc>
          <w:tcPr>
            <w:tcW w:w="10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rPr>
              <w:t>3.93</w:t>
            </w:r>
          </w:p>
        </w:tc>
        <w:tc>
          <w:tcPr>
            <w:tcW w:w="320" w:type="dxa"/>
            <w:vAlign w:val="bottom"/>
            <w:tcBorders>
              <w:bottom w:val="single" w:sz="8" w:color="0070FF"/>
            </w:tcBorders>
          </w:tcPr>
          <w:p>
            <w:pPr>
              <w:spacing w:after="0"/>
              <w:rPr>
                <w:sz w:val="16"/>
                <w:szCs w:val="16"/>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3.99</w:t>
            </w:r>
          </w:p>
        </w:tc>
        <w:tc>
          <w:tcPr>
            <w:tcW w:w="300" w:type="dxa"/>
            <w:vAlign w:val="bottom"/>
            <w:tcBorders>
              <w:bottom w:val="single" w:sz="8" w:color="0070FF"/>
            </w:tcBorders>
          </w:tcPr>
          <w:p>
            <w:pPr>
              <w:spacing w:after="0"/>
              <w:rPr>
                <w:sz w:val="16"/>
                <w:szCs w:val="16"/>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rPr>
              <w:t>4.79</w:t>
            </w:r>
          </w:p>
        </w:tc>
        <w:tc>
          <w:tcPr>
            <w:tcW w:w="1020" w:type="dxa"/>
            <w:vAlign w:val="bottom"/>
            <w:tcBorders>
              <w:bottom w:val="single" w:sz="8" w:color="0070FF"/>
            </w:tcBorders>
            <w:gridSpan w:val="2"/>
          </w:tcPr>
          <w:p>
            <w:pPr>
              <w:jc w:val="right"/>
              <w:ind w:right="232"/>
              <w:spacing w:after="0"/>
              <w:rPr>
                <w:sz w:val="20"/>
                <w:szCs w:val="20"/>
                <w:color w:val="auto"/>
              </w:rPr>
            </w:pPr>
            <w:r>
              <w:rPr>
                <w:rFonts w:ascii="Arial" w:cs="Arial" w:eastAsia="Arial" w:hAnsi="Arial"/>
                <w:sz w:val="14"/>
                <w:szCs w:val="14"/>
                <w:b w:val="1"/>
                <w:bCs w:val="1"/>
                <w:color w:val="auto"/>
              </w:rPr>
              <w:t>2.04</w:t>
            </w:r>
          </w:p>
        </w:tc>
        <w:tc>
          <w:tcPr>
            <w:tcW w:w="9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rPr>
              <w:t>3.24</w:t>
            </w:r>
          </w:p>
        </w:tc>
        <w:tc>
          <w:tcPr>
            <w:tcW w:w="1080" w:type="dxa"/>
            <w:vAlign w:val="bottom"/>
            <w:tcBorders>
              <w:bottom w:val="single" w:sz="8" w:color="0070FF"/>
            </w:tcBorders>
            <w:gridSpan w:val="2"/>
          </w:tcPr>
          <w:p>
            <w:pPr>
              <w:jc w:val="right"/>
              <w:ind w:right="101"/>
              <w:spacing w:after="0"/>
              <w:rPr>
                <w:sz w:val="20"/>
                <w:szCs w:val="20"/>
                <w:color w:val="auto"/>
              </w:rPr>
            </w:pPr>
            <w:r>
              <w:rPr>
                <w:rFonts w:ascii="Arial" w:cs="Arial" w:eastAsia="Arial" w:hAnsi="Arial"/>
                <w:sz w:val="14"/>
                <w:szCs w:val="14"/>
                <w:b w:val="1"/>
                <w:bCs w:val="1"/>
                <w:color w:val="auto"/>
              </w:rPr>
              <w:t>4.60</w:t>
            </w:r>
          </w:p>
        </w:tc>
        <w:tc>
          <w:tcPr>
            <w:tcW w:w="0" w:type="dxa"/>
            <w:vAlign w:val="bottom"/>
          </w:tcPr>
          <w:p>
            <w:pPr>
              <w:spacing w:after="0"/>
              <w:rPr>
                <w:sz w:val="1"/>
                <w:szCs w:val="1"/>
                <w:color w:val="auto"/>
              </w:rPr>
            </w:pPr>
          </w:p>
        </w:tc>
      </w:tr>
      <w:tr>
        <w:trPr>
          <w:trHeight w:val="143"/>
        </w:trPr>
        <w:tc>
          <w:tcPr>
            <w:tcW w:w="3160" w:type="dxa"/>
            <w:vAlign w:val="bottom"/>
            <w:gridSpan w:val="2"/>
          </w:tcPr>
          <w:p>
            <w:pPr>
              <w:spacing w:after="0" w:line="143" w:lineRule="exact"/>
              <w:rPr>
                <w:sz w:val="20"/>
                <w:szCs w:val="20"/>
                <w:color w:val="auto"/>
              </w:rPr>
            </w:pPr>
            <w:r>
              <w:rPr>
                <w:rFonts w:ascii="Arial" w:cs="Arial" w:eastAsia="Arial" w:hAnsi="Arial"/>
                <w:sz w:val="14"/>
                <w:szCs w:val="14"/>
                <w:b w:val="1"/>
                <w:bCs w:val="1"/>
                <w:color w:val="0070FF"/>
              </w:rPr>
              <w:t>YEAR ENDED DECEMBER 31, 2002</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120"/>
              <w:spacing w:after="0" w:line="149" w:lineRule="exact"/>
              <w:rPr>
                <w:sz w:val="20"/>
                <w:szCs w:val="20"/>
                <w:color w:val="auto"/>
              </w:rPr>
            </w:pPr>
            <w:r>
              <w:rPr>
                <w:rFonts w:ascii="Arial" w:cs="Arial" w:eastAsia="Arial" w:hAnsi="Arial"/>
                <w:sz w:val="14"/>
                <w:szCs w:val="14"/>
                <w:color w:val="auto"/>
              </w:rPr>
              <w:t>Average sales prices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120"/>
              <w:spacing w:after="0" w:line="149" w:lineRule="exact"/>
              <w:rPr>
                <w:sz w:val="20"/>
                <w:szCs w:val="20"/>
                <w:color w:val="auto"/>
              </w:rPr>
            </w:pPr>
            <w:r>
              <w:rPr>
                <w:rFonts w:ascii="Arial" w:cs="Arial" w:eastAsia="Arial" w:hAnsi="Arial"/>
                <w:sz w:val="14"/>
                <w:szCs w:val="14"/>
                <w:color w:val="auto"/>
              </w:rPr>
              <w:t>Liquids, per barrel</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21.34</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24.33</w:t>
            </w:r>
          </w:p>
        </w:tc>
        <w:tc>
          <w:tcPr>
            <w:tcW w:w="10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$21.76</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23.31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22.36</w:t>
            </w:r>
          </w:p>
        </w:tc>
        <w:tc>
          <w:tcPr>
            <w:tcW w:w="10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$18.16</w:t>
            </w:r>
          </w:p>
        </w:tc>
        <w:tc>
          <w:tcPr>
            <w:tcW w:w="9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$18.91</w:t>
            </w:r>
          </w:p>
        </w:tc>
        <w:tc>
          <w:tcPr>
            <w:tcW w:w="1080" w:type="dxa"/>
            <w:vAlign w:val="bottom"/>
            <w:gridSpan w:val="2"/>
          </w:tcPr>
          <w:p>
            <w:pPr>
              <w:jc w:val="right"/>
              <w:ind w:right="101"/>
              <w:spacing w:after="0" w:line="149"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Pr>
          <w:p>
            <w:pPr>
              <w:ind w:left="120"/>
              <w:spacing w:after="0" w:line="159" w:lineRule="exact"/>
              <w:rPr>
                <w:sz w:val="20"/>
                <w:szCs w:val="20"/>
                <w:color w:val="auto"/>
              </w:rPr>
            </w:pPr>
            <w:r>
              <w:rPr>
                <w:rFonts w:ascii="Arial" w:cs="Arial" w:eastAsia="Arial" w:hAnsi="Arial"/>
                <w:sz w:val="14"/>
                <w:szCs w:val="14"/>
                <w:color w:val="auto"/>
              </w:rPr>
              <w:t>Natural gas, per thousand cubic feet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2.89</w:t>
            </w:r>
          </w:p>
        </w:tc>
        <w:tc>
          <w:tcPr>
            <w:tcW w:w="300" w:type="dxa"/>
            <w:vAlign w:val="bottom"/>
          </w:tcPr>
          <w:p>
            <w:pPr>
              <w:spacing w:after="0"/>
              <w:rPr>
                <w:sz w:val="13"/>
                <w:szCs w:val="13"/>
                <w:color w:val="auto"/>
              </w:rPr>
            </w:pPr>
          </w:p>
        </w:tc>
        <w:tc>
          <w:tcPr>
            <w:tcW w:w="620" w:type="dxa"/>
            <w:vAlign w:val="bottom"/>
          </w:tcPr>
          <w:p>
            <w:pPr>
              <w:jc w:val="right"/>
              <w:ind w:right="168"/>
              <w:spacing w:after="0" w:line="159" w:lineRule="exact"/>
              <w:rPr>
                <w:sz w:val="20"/>
                <w:szCs w:val="20"/>
                <w:color w:val="auto"/>
              </w:rPr>
            </w:pPr>
            <w:r>
              <w:rPr>
                <w:rFonts w:ascii="Arial" w:cs="Arial" w:eastAsia="Arial" w:hAnsi="Arial"/>
                <w:sz w:val="14"/>
                <w:szCs w:val="14"/>
                <w:color w:val="auto"/>
              </w:rPr>
              <w:t>0.04</w:t>
            </w:r>
          </w:p>
        </w:tc>
        <w:tc>
          <w:tcPr>
            <w:tcW w:w="1060" w:type="dxa"/>
            <w:vAlign w:val="bottom"/>
          </w:tcPr>
          <w:p>
            <w:pPr>
              <w:jc w:val="right"/>
              <w:ind w:right="88"/>
              <w:spacing w:after="0" w:line="159" w:lineRule="exact"/>
              <w:rPr>
                <w:sz w:val="20"/>
                <w:szCs w:val="20"/>
                <w:color w:val="auto"/>
              </w:rPr>
            </w:pPr>
            <w:r>
              <w:rPr>
                <w:rFonts w:ascii="Arial" w:cs="Arial" w:eastAsia="Arial" w:hAnsi="Arial"/>
                <w:sz w:val="14"/>
                <w:szCs w:val="14"/>
                <w:color w:val="auto"/>
              </w:rPr>
              <w:t>2.67</w:t>
            </w:r>
          </w:p>
        </w:tc>
        <w:tc>
          <w:tcPr>
            <w:tcW w:w="320" w:type="dxa"/>
            <w:vAlign w:val="bottom"/>
          </w:tcPr>
          <w:p>
            <w:pPr>
              <w:spacing w:after="0"/>
              <w:rPr>
                <w:sz w:val="13"/>
                <w:szCs w:val="13"/>
                <w:color w:val="auto"/>
              </w:rPr>
            </w:pPr>
          </w:p>
        </w:tc>
        <w:tc>
          <w:tcPr>
            <w:tcW w:w="56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2.11</w:t>
            </w:r>
          </w:p>
        </w:tc>
        <w:tc>
          <w:tcPr>
            <w:tcW w:w="300" w:type="dxa"/>
            <w:vAlign w:val="bottom"/>
          </w:tcPr>
          <w:p>
            <w:pPr>
              <w:spacing w:after="0"/>
              <w:rPr>
                <w:sz w:val="13"/>
                <w:szCs w:val="13"/>
                <w:color w:val="auto"/>
              </w:rPr>
            </w:pPr>
          </w:p>
        </w:tc>
        <w:tc>
          <w:tcPr>
            <w:tcW w:w="56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2.62</w:t>
            </w:r>
          </w:p>
        </w:tc>
        <w:tc>
          <w:tcPr>
            <w:tcW w:w="102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0.57</w:t>
            </w:r>
          </w:p>
        </w:tc>
        <w:tc>
          <w:tcPr>
            <w:tcW w:w="96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1"/>
              <w:spacing w:after="0" w:line="15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18"/>
        </w:trPr>
        <w:tc>
          <w:tcPr>
            <w:tcW w:w="3160" w:type="dxa"/>
            <w:vAlign w:val="bottom"/>
            <w:tcBorders>
              <w:bottom w:val="single" w:sz="8" w:color="0070FF"/>
            </w:tcBorders>
            <w:gridSpan w:val="2"/>
          </w:tcPr>
          <w:p>
            <w:pPr>
              <w:spacing w:after="0" w:line="198" w:lineRule="exact"/>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22"/>
                <w:szCs w:val="22"/>
                <w:color w:val="auto"/>
                <w:vertAlign w:val="superscript"/>
              </w:rPr>
              <w:t>3</w:t>
            </w:r>
          </w:p>
        </w:tc>
        <w:tc>
          <w:tcPr>
            <w:tcW w:w="800" w:type="dxa"/>
            <w:vAlign w:val="bottom"/>
            <w:tcBorders>
              <w:bottom w:val="single" w:sz="8" w:color="0070FF"/>
            </w:tcBorders>
          </w:tcPr>
          <w:p>
            <w:pPr>
              <w:spacing w:after="0"/>
              <w:rPr>
                <w:sz w:val="18"/>
                <w:szCs w:val="18"/>
                <w:color w:val="auto"/>
              </w:rPr>
            </w:pPr>
          </w:p>
        </w:tc>
        <w:tc>
          <w:tcPr>
            <w:tcW w:w="120" w:type="dxa"/>
            <w:vAlign w:val="bottom"/>
            <w:tcBorders>
              <w:bottom w:val="single" w:sz="8" w:color="0070FF"/>
            </w:tcBorders>
          </w:tcPr>
          <w:p>
            <w:pPr>
              <w:spacing w:after="0"/>
              <w:rPr>
                <w:sz w:val="18"/>
                <w:szCs w:val="18"/>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5.48</w:t>
            </w:r>
          </w:p>
        </w:tc>
        <w:tc>
          <w:tcPr>
            <w:tcW w:w="300" w:type="dxa"/>
            <w:vAlign w:val="bottom"/>
            <w:tcBorders>
              <w:bottom w:val="single" w:sz="8" w:color="0070FF"/>
            </w:tcBorders>
          </w:tcPr>
          <w:p>
            <w:pPr>
              <w:spacing w:after="0"/>
              <w:rPr>
                <w:sz w:val="18"/>
                <w:szCs w:val="18"/>
                <w:color w:val="auto"/>
              </w:rPr>
            </w:pPr>
          </w:p>
        </w:tc>
        <w:tc>
          <w:tcPr>
            <w:tcW w:w="62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3.49</w:t>
            </w:r>
          </w:p>
        </w:tc>
        <w:tc>
          <w:tcPr>
            <w:tcW w:w="10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3.88</w:t>
            </w:r>
          </w:p>
        </w:tc>
        <w:tc>
          <w:tcPr>
            <w:tcW w:w="320" w:type="dxa"/>
            <w:vAlign w:val="bottom"/>
            <w:tcBorders>
              <w:bottom w:val="single" w:sz="8" w:color="0070FF"/>
            </w:tcBorders>
          </w:tcPr>
          <w:p>
            <w:pPr>
              <w:spacing w:after="0"/>
              <w:rPr>
                <w:sz w:val="18"/>
                <w:szCs w:val="18"/>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3.59</w:t>
            </w:r>
          </w:p>
        </w:tc>
        <w:tc>
          <w:tcPr>
            <w:tcW w:w="300" w:type="dxa"/>
            <w:vAlign w:val="bottom"/>
            <w:tcBorders>
              <w:bottom w:val="single" w:sz="8" w:color="0070FF"/>
            </w:tcBorders>
          </w:tcPr>
          <w:p>
            <w:pPr>
              <w:spacing w:after="0"/>
              <w:rPr>
                <w:sz w:val="18"/>
                <w:szCs w:val="18"/>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4.44</w:t>
            </w:r>
          </w:p>
        </w:tc>
        <w:tc>
          <w:tcPr>
            <w:tcW w:w="1020" w:type="dxa"/>
            <w:vAlign w:val="bottom"/>
            <w:tcBorders>
              <w:bottom w:val="single" w:sz="8" w:color="0070FF"/>
            </w:tcBorders>
            <w:gridSpan w:val="2"/>
          </w:tcPr>
          <w:p>
            <w:pPr>
              <w:jc w:val="right"/>
              <w:ind w:right="232"/>
              <w:spacing w:after="0"/>
              <w:rPr>
                <w:sz w:val="20"/>
                <w:szCs w:val="20"/>
                <w:color w:val="auto"/>
              </w:rPr>
            </w:pPr>
            <w:r>
              <w:rPr>
                <w:rFonts w:ascii="Arial" w:cs="Arial" w:eastAsia="Arial" w:hAnsi="Arial"/>
                <w:sz w:val="14"/>
                <w:szCs w:val="14"/>
                <w:color w:val="auto"/>
              </w:rPr>
              <w:t>2.19</w:t>
            </w:r>
          </w:p>
        </w:tc>
        <w:tc>
          <w:tcPr>
            <w:tcW w:w="9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1.58</w:t>
            </w:r>
          </w:p>
        </w:tc>
        <w:tc>
          <w:tcPr>
            <w:tcW w:w="1080" w:type="dxa"/>
            <w:vAlign w:val="bottom"/>
            <w:tcBorders>
              <w:bottom w:val="single" w:sz="8" w:color="0070FF"/>
            </w:tcBorders>
            <w:gridSpan w:val="2"/>
          </w:tcPr>
          <w:p>
            <w:pPr>
              <w:jc w:val="right"/>
              <w:ind w:right="101"/>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43"/>
        </w:trPr>
        <w:tc>
          <w:tcPr>
            <w:tcW w:w="3160" w:type="dxa"/>
            <w:vAlign w:val="bottom"/>
            <w:gridSpan w:val="2"/>
          </w:tcPr>
          <w:p>
            <w:pPr>
              <w:spacing w:after="0" w:line="143" w:lineRule="exact"/>
              <w:rPr>
                <w:sz w:val="20"/>
                <w:szCs w:val="20"/>
                <w:color w:val="auto"/>
              </w:rPr>
            </w:pPr>
            <w:r>
              <w:rPr>
                <w:rFonts w:ascii="Arial" w:cs="Arial" w:eastAsia="Arial" w:hAnsi="Arial"/>
                <w:sz w:val="14"/>
                <w:szCs w:val="14"/>
                <w:b w:val="1"/>
                <w:bCs w:val="1"/>
                <w:color w:val="0070FF"/>
              </w:rPr>
              <w:t>YEAR ENDED DECEMBER 31, 2001</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120"/>
              <w:spacing w:after="0" w:line="149" w:lineRule="exact"/>
              <w:rPr>
                <w:sz w:val="20"/>
                <w:szCs w:val="20"/>
                <w:color w:val="auto"/>
              </w:rPr>
            </w:pPr>
            <w:r>
              <w:rPr>
                <w:rFonts w:ascii="Arial" w:cs="Arial" w:eastAsia="Arial" w:hAnsi="Arial"/>
                <w:sz w:val="14"/>
                <w:szCs w:val="14"/>
                <w:color w:val="auto"/>
              </w:rPr>
              <w:t>Average sales prices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120"/>
              <w:spacing w:after="0" w:line="149" w:lineRule="exact"/>
              <w:rPr>
                <w:sz w:val="20"/>
                <w:szCs w:val="20"/>
                <w:color w:val="auto"/>
              </w:rPr>
            </w:pPr>
            <w:r>
              <w:rPr>
                <w:rFonts w:ascii="Arial" w:cs="Arial" w:eastAsia="Arial" w:hAnsi="Arial"/>
                <w:sz w:val="14"/>
                <w:szCs w:val="14"/>
                <w:color w:val="auto"/>
              </w:rPr>
              <w:t>Liquids, per barrel</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23.70</w:t>
            </w:r>
          </w:p>
        </w:tc>
        <w:tc>
          <w:tcPr>
            <w:tcW w:w="10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$20.11</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22.59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21.68</w:t>
            </w:r>
          </w:p>
        </w:tc>
        <w:tc>
          <w:tcPr>
            <w:tcW w:w="10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$13.31</w:t>
            </w:r>
          </w:p>
        </w:tc>
        <w:tc>
          <w:tcPr>
            <w:tcW w:w="9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$12.45</w:t>
            </w:r>
          </w:p>
        </w:tc>
        <w:tc>
          <w:tcPr>
            <w:tcW w:w="1080" w:type="dxa"/>
            <w:vAlign w:val="bottom"/>
            <w:gridSpan w:val="2"/>
          </w:tcPr>
          <w:p>
            <w:pPr>
              <w:jc w:val="right"/>
              <w:ind w:right="101"/>
              <w:spacing w:after="0" w:line="149" w:lineRule="exact"/>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Pr>
          <w:p>
            <w:pPr>
              <w:ind w:left="120"/>
              <w:spacing w:after="0" w:line="159" w:lineRule="exact"/>
              <w:rPr>
                <w:sz w:val="20"/>
                <w:szCs w:val="20"/>
                <w:color w:val="auto"/>
              </w:rPr>
            </w:pPr>
            <w:r>
              <w:rPr>
                <w:rFonts w:ascii="Arial" w:cs="Arial" w:eastAsia="Arial" w:hAnsi="Arial"/>
                <w:sz w:val="14"/>
                <w:szCs w:val="14"/>
                <w:color w:val="auto"/>
              </w:rPr>
              <w:t>Natural gas, per thousand cubic feet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4.38</w:t>
            </w:r>
          </w:p>
        </w:tc>
        <w:tc>
          <w:tcPr>
            <w:tcW w:w="300" w:type="dxa"/>
            <w:vAlign w:val="bottom"/>
          </w:tcPr>
          <w:p>
            <w:pPr>
              <w:spacing w:after="0"/>
              <w:rPr>
                <w:sz w:val="13"/>
                <w:szCs w:val="13"/>
                <w:color w:val="auto"/>
              </w:rPr>
            </w:pPr>
          </w:p>
        </w:tc>
        <w:tc>
          <w:tcPr>
            <w:tcW w:w="620" w:type="dxa"/>
            <w:vAlign w:val="bottom"/>
          </w:tcPr>
          <w:p>
            <w:pPr>
              <w:jc w:val="right"/>
              <w:ind w:right="168"/>
              <w:spacing w:after="0" w:line="159" w:lineRule="exact"/>
              <w:rPr>
                <w:sz w:val="20"/>
                <w:szCs w:val="20"/>
                <w:color w:val="auto"/>
              </w:rPr>
            </w:pPr>
            <w:r>
              <w:rPr>
                <w:rFonts w:ascii="Arial" w:cs="Arial" w:eastAsia="Arial" w:hAnsi="Arial"/>
                <w:sz w:val="14"/>
                <w:szCs w:val="14"/>
                <w:color w:val="auto"/>
              </w:rPr>
              <w:t>0.04</w:t>
            </w:r>
          </w:p>
        </w:tc>
        <w:tc>
          <w:tcPr>
            <w:tcW w:w="1060" w:type="dxa"/>
            <w:vAlign w:val="bottom"/>
          </w:tcPr>
          <w:p>
            <w:pPr>
              <w:jc w:val="right"/>
              <w:ind w:right="88"/>
              <w:spacing w:after="0" w:line="159" w:lineRule="exact"/>
              <w:rPr>
                <w:sz w:val="20"/>
                <w:szCs w:val="20"/>
                <w:color w:val="auto"/>
              </w:rPr>
            </w:pPr>
            <w:r>
              <w:rPr>
                <w:rFonts w:ascii="Arial" w:cs="Arial" w:eastAsia="Arial" w:hAnsi="Arial"/>
                <w:sz w:val="14"/>
                <w:szCs w:val="14"/>
                <w:color w:val="auto"/>
              </w:rPr>
              <w:t>3.04</w:t>
            </w:r>
          </w:p>
        </w:tc>
        <w:tc>
          <w:tcPr>
            <w:tcW w:w="320" w:type="dxa"/>
            <w:vAlign w:val="bottom"/>
          </w:tcPr>
          <w:p>
            <w:pPr>
              <w:spacing w:after="0"/>
              <w:rPr>
                <w:sz w:val="13"/>
                <w:szCs w:val="13"/>
                <w:color w:val="auto"/>
              </w:rPr>
            </w:pPr>
          </w:p>
        </w:tc>
        <w:tc>
          <w:tcPr>
            <w:tcW w:w="56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2.51</w:t>
            </w:r>
          </w:p>
        </w:tc>
        <w:tc>
          <w:tcPr>
            <w:tcW w:w="300" w:type="dxa"/>
            <w:vAlign w:val="bottom"/>
          </w:tcPr>
          <w:p>
            <w:pPr>
              <w:spacing w:after="0"/>
              <w:rPr>
                <w:sz w:val="13"/>
                <w:szCs w:val="13"/>
                <w:color w:val="auto"/>
              </w:rPr>
            </w:pPr>
          </w:p>
        </w:tc>
        <w:tc>
          <w:tcPr>
            <w:tcW w:w="56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3.78</w:t>
            </w:r>
          </w:p>
        </w:tc>
        <w:tc>
          <w:tcPr>
            <w:tcW w:w="102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0.47</w:t>
            </w:r>
          </w:p>
        </w:tc>
        <w:tc>
          <w:tcPr>
            <w:tcW w:w="96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1"/>
              <w:spacing w:after="0" w:line="15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18"/>
        </w:trPr>
        <w:tc>
          <w:tcPr>
            <w:tcW w:w="3160" w:type="dxa"/>
            <w:vAlign w:val="bottom"/>
            <w:tcBorders>
              <w:bottom w:val="single" w:sz="8" w:color="0070FF"/>
            </w:tcBorders>
            <w:gridSpan w:val="2"/>
          </w:tcPr>
          <w:p>
            <w:pPr>
              <w:spacing w:after="0" w:line="198" w:lineRule="exact"/>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22"/>
                <w:szCs w:val="22"/>
                <w:color w:val="auto"/>
                <w:vertAlign w:val="superscript"/>
              </w:rPr>
              <w:t>3</w:t>
            </w:r>
          </w:p>
        </w:tc>
        <w:tc>
          <w:tcPr>
            <w:tcW w:w="800" w:type="dxa"/>
            <w:vAlign w:val="bottom"/>
            <w:tcBorders>
              <w:bottom w:val="single" w:sz="8" w:color="0070FF"/>
            </w:tcBorders>
          </w:tcPr>
          <w:p>
            <w:pPr>
              <w:spacing w:after="0"/>
              <w:rPr>
                <w:sz w:val="18"/>
                <w:szCs w:val="18"/>
                <w:color w:val="auto"/>
              </w:rPr>
            </w:pPr>
          </w:p>
        </w:tc>
        <w:tc>
          <w:tcPr>
            <w:tcW w:w="120" w:type="dxa"/>
            <w:vAlign w:val="bottom"/>
            <w:tcBorders>
              <w:bottom w:val="single" w:sz="8" w:color="0070FF"/>
            </w:tcBorders>
          </w:tcPr>
          <w:p>
            <w:pPr>
              <w:spacing w:after="0"/>
              <w:rPr>
                <w:sz w:val="18"/>
                <w:szCs w:val="18"/>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5.32</w:t>
            </w:r>
          </w:p>
        </w:tc>
        <w:tc>
          <w:tcPr>
            <w:tcW w:w="300" w:type="dxa"/>
            <w:vAlign w:val="bottom"/>
            <w:tcBorders>
              <w:bottom w:val="single" w:sz="8" w:color="0070FF"/>
            </w:tcBorders>
          </w:tcPr>
          <w:p>
            <w:pPr>
              <w:spacing w:after="0"/>
              <w:rPr>
                <w:sz w:val="18"/>
                <w:szCs w:val="18"/>
                <w:color w:val="auto"/>
              </w:rPr>
            </w:pPr>
          </w:p>
        </w:tc>
        <w:tc>
          <w:tcPr>
            <w:tcW w:w="62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3.23</w:t>
            </w:r>
          </w:p>
        </w:tc>
        <w:tc>
          <w:tcPr>
            <w:tcW w:w="106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3.94</w:t>
            </w:r>
          </w:p>
        </w:tc>
        <w:tc>
          <w:tcPr>
            <w:tcW w:w="320" w:type="dxa"/>
            <w:vAlign w:val="bottom"/>
            <w:tcBorders>
              <w:bottom w:val="single" w:sz="8" w:color="0070FF"/>
            </w:tcBorders>
          </w:tcPr>
          <w:p>
            <w:pPr>
              <w:spacing w:after="0"/>
              <w:rPr>
                <w:sz w:val="18"/>
                <w:szCs w:val="18"/>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4.03</w:t>
            </w:r>
          </w:p>
        </w:tc>
        <w:tc>
          <w:tcPr>
            <w:tcW w:w="300" w:type="dxa"/>
            <w:vAlign w:val="bottom"/>
            <w:tcBorders>
              <w:bottom w:val="single" w:sz="8" w:color="0070FF"/>
            </w:tcBorders>
          </w:tcPr>
          <w:p>
            <w:pPr>
              <w:spacing w:after="0"/>
              <w:rPr>
                <w:sz w:val="18"/>
                <w:szCs w:val="18"/>
                <w:color w:val="auto"/>
              </w:rPr>
            </w:pPr>
          </w:p>
        </w:tc>
        <w:tc>
          <w:tcPr>
            <w:tcW w:w="56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rPr>
              <w:t>4.45</w:t>
            </w:r>
          </w:p>
        </w:tc>
        <w:tc>
          <w:tcPr>
            <w:tcW w:w="1020" w:type="dxa"/>
            <w:vAlign w:val="bottom"/>
            <w:tcBorders>
              <w:bottom w:val="single" w:sz="8" w:color="0070FF"/>
            </w:tcBorders>
            <w:gridSpan w:val="2"/>
          </w:tcPr>
          <w:p>
            <w:pPr>
              <w:jc w:val="right"/>
              <w:ind w:right="232"/>
              <w:spacing w:after="0"/>
              <w:rPr>
                <w:sz w:val="20"/>
                <w:szCs w:val="20"/>
                <w:color w:val="auto"/>
              </w:rPr>
            </w:pPr>
            <w:r>
              <w:rPr>
                <w:rFonts w:ascii="Arial" w:cs="Arial" w:eastAsia="Arial" w:hAnsi="Arial"/>
                <w:sz w:val="14"/>
                <w:szCs w:val="14"/>
                <w:color w:val="auto"/>
              </w:rPr>
              <w:t>2.04</w:t>
            </w:r>
          </w:p>
        </w:tc>
        <w:tc>
          <w:tcPr>
            <w:tcW w:w="96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13.09</w:t>
            </w:r>
          </w:p>
        </w:tc>
        <w:tc>
          <w:tcPr>
            <w:tcW w:w="1080" w:type="dxa"/>
            <w:vAlign w:val="bottom"/>
            <w:tcBorders>
              <w:bottom w:val="single" w:sz="8" w:color="0070FF"/>
            </w:tcBorders>
            <w:gridSpan w:val="2"/>
          </w:tcPr>
          <w:p>
            <w:pPr>
              <w:jc w:val="right"/>
              <w:ind w:right="101"/>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bl>
    <w:p>
      <w:pPr>
        <w:ind w:left="220" w:hanging="153"/>
        <w:spacing w:after="0" w:line="198" w:lineRule="auto"/>
        <w:tabs>
          <w:tab w:leader="none" w:pos="220" w:val="left"/>
        </w:tabs>
        <w:numPr>
          <w:ilvl w:val="0"/>
          <w:numId w:val="79"/>
        </w:numPr>
        <w:rPr>
          <w:rFonts w:ascii="Arial" w:cs="Arial" w:eastAsia="Arial" w:hAnsi="Arial"/>
          <w:sz w:val="16"/>
          <w:szCs w:val="16"/>
          <w:color w:val="auto"/>
          <w:vertAlign w:val="superscript"/>
        </w:rPr>
      </w:pPr>
      <w:r>
        <w:rPr>
          <w:rFonts w:ascii="Arial" w:cs="Arial" w:eastAsia="Arial" w:hAnsi="Arial"/>
          <w:sz w:val="10"/>
          <w:szCs w:val="10"/>
          <w:color w:val="auto"/>
        </w:rPr>
        <w:t>The value of owned production consumed on lease as fuel has been eliminated from revenues and production expenses, and the related volumes have been deducted from net production in calculating the unit average sales price and</w:t>
      </w:r>
    </w:p>
    <w:p>
      <w:pPr>
        <w:ind w:left="220"/>
        <w:spacing w:after="0" w:line="219" w:lineRule="auto"/>
        <w:rPr>
          <w:sz w:val="20"/>
          <w:szCs w:val="20"/>
          <w:color w:val="auto"/>
        </w:rPr>
      </w:pPr>
      <w:r>
        <w:rPr>
          <w:rFonts w:ascii="Arial" w:cs="Arial" w:eastAsia="Arial" w:hAnsi="Arial"/>
          <w:sz w:val="12"/>
          <w:szCs w:val="12"/>
          <w:color w:val="auto"/>
        </w:rPr>
        <w:t>production cost. This has no effect on the results of producing operations.</w:t>
      </w:r>
    </w:p>
    <w:p>
      <w:pPr>
        <w:ind w:left="220" w:hanging="153"/>
        <w:spacing w:after="0" w:line="187" w:lineRule="auto"/>
        <w:tabs>
          <w:tab w:leader="none" w:pos="220" w:val="left"/>
        </w:tabs>
        <w:numPr>
          <w:ilvl w:val="0"/>
          <w:numId w:val="80"/>
        </w:numPr>
        <w:rPr>
          <w:rFonts w:ascii="Arial" w:cs="Arial" w:eastAsia="Arial" w:hAnsi="Arial"/>
          <w:sz w:val="15"/>
          <w:szCs w:val="15"/>
          <w:color w:val="auto"/>
          <w:vertAlign w:val="superscript"/>
        </w:rPr>
      </w:pPr>
      <w:r>
        <w:rPr>
          <w:rFonts w:ascii="Arial" w:cs="Arial" w:eastAsia="Arial" w:hAnsi="Arial"/>
          <w:sz w:val="9"/>
          <w:szCs w:val="9"/>
          <w:color w:val="auto"/>
        </w:rPr>
        <w:t>Natural gas converted to oil-equivalent gas (OEG) barrels at a rate of 6 MCF = 1 OEG barrel.</w:t>
      </w:r>
    </w:p>
    <w:p>
      <w:pPr>
        <w:ind w:left="220" w:hanging="153"/>
        <w:spacing w:after="0" w:line="182" w:lineRule="auto"/>
        <w:tabs>
          <w:tab w:leader="none" w:pos="220" w:val="left"/>
        </w:tabs>
        <w:numPr>
          <w:ilvl w:val="0"/>
          <w:numId w:val="81"/>
        </w:numPr>
        <w:rPr>
          <w:rFonts w:ascii="Arial" w:cs="Arial" w:eastAsia="Arial" w:hAnsi="Arial"/>
          <w:sz w:val="17"/>
          <w:szCs w:val="17"/>
          <w:color w:val="auto"/>
          <w:vertAlign w:val="superscript"/>
        </w:rPr>
      </w:pPr>
      <w:r>
        <w:rPr>
          <w:rFonts w:ascii="Arial" w:cs="Arial" w:eastAsia="Arial" w:hAnsi="Arial"/>
          <w:sz w:val="11"/>
          <w:szCs w:val="11"/>
          <w:color w:val="auto"/>
        </w:rPr>
        <w:t>Conformed to 2003 presentation to exclude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132715</wp:posOffset>
            </wp:positionV>
            <wp:extent cx="8890" cy="2126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212661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TABLE V – RESERVE QUANTITY INFORMATION</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The company’s estimated net proved underground oil and gas reserves and changes thereto for the years 2003, 2002 and 2001 are shown in the following table. Proved reserves are estimated by company asset teams composed of earth scientists and reservoir engineers. These proved reserve estimates are reviewed annually by the company’s Reserves Advisory Committee to ensure that rigorous professional standards and the reserves definitions prescribed by the U.S. Securities and Exchange Commission are consistently applied throughout the company.</w:t>
      </w:r>
    </w:p>
    <w:p>
      <w:pPr>
        <w:spacing w:after="0" w:line="4" w:lineRule="exact"/>
        <w:rPr>
          <w:sz w:val="20"/>
          <w:szCs w:val="20"/>
          <w:color w:val="auto"/>
        </w:rPr>
      </w:pPr>
    </w:p>
    <w:p>
      <w:pPr>
        <w:ind w:firstLine="203"/>
        <w:spacing w:after="0" w:line="317" w:lineRule="auto"/>
        <w:rPr>
          <w:sz w:val="20"/>
          <w:szCs w:val="20"/>
          <w:color w:val="auto"/>
        </w:rPr>
      </w:pPr>
      <w:r>
        <w:rPr>
          <w:rFonts w:ascii="Arial" w:cs="Arial" w:eastAsia="Arial" w:hAnsi="Arial"/>
          <w:sz w:val="14"/>
          <w:szCs w:val="14"/>
          <w:color w:val="auto"/>
        </w:rPr>
        <w:t>Proved reserves are the estimated quantities that geologic and engineering data demonstrate with reasonable certainty to be recoverable in future years from known reservoirs under existing economic and operating conditions. Due to the inherent uncertainties and the limited nature of reservoir data, estimates of underground reserves are subject to change as additional information becomes available.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60" w:firstLine="203"/>
        <w:spacing w:after="0" w:line="265" w:lineRule="auto"/>
        <w:rPr>
          <w:sz w:val="20"/>
          <w:szCs w:val="20"/>
          <w:color w:val="auto"/>
        </w:rPr>
      </w:pPr>
      <w:r>
        <w:rPr>
          <w:rFonts w:ascii="Arial" w:cs="Arial" w:eastAsia="Arial" w:hAnsi="Arial"/>
          <w:sz w:val="16"/>
          <w:szCs w:val="16"/>
          <w:color w:val="auto"/>
        </w:rPr>
        <w:t>Proved reserves do not include additional quantities that may result from extensions of currently proved areas or from applying secondary or tertiary recovery processes not yet tested and determined to be economic.</w:t>
      </w:r>
    </w:p>
    <w:p>
      <w:pPr>
        <w:spacing w:after="0" w:line="2" w:lineRule="exact"/>
        <w:rPr>
          <w:sz w:val="20"/>
          <w:szCs w:val="20"/>
          <w:color w:val="auto"/>
        </w:rPr>
      </w:pPr>
    </w:p>
    <w:p>
      <w:pPr>
        <w:ind w:right="260" w:firstLine="203"/>
        <w:spacing w:after="0" w:line="264" w:lineRule="auto"/>
        <w:rPr>
          <w:sz w:val="20"/>
          <w:szCs w:val="20"/>
          <w:color w:val="auto"/>
        </w:rPr>
      </w:pPr>
      <w:r>
        <w:rPr>
          <w:rFonts w:ascii="Arial" w:cs="Arial" w:eastAsia="Arial" w:hAnsi="Arial"/>
          <w:sz w:val="16"/>
          <w:szCs w:val="16"/>
          <w:color w:val="auto"/>
        </w:rPr>
        <w:t>Proved developed reserves are the quantities expected to be recovered through existing wells with existing equipment and operating methods.</w:t>
      </w:r>
    </w:p>
    <w:p>
      <w:pPr>
        <w:jc w:val="both"/>
        <w:ind w:right="660" w:firstLine="203"/>
        <w:spacing w:after="0" w:line="276" w:lineRule="auto"/>
        <w:rPr>
          <w:sz w:val="20"/>
          <w:szCs w:val="20"/>
          <w:color w:val="auto"/>
        </w:rPr>
      </w:pPr>
      <w:r>
        <w:rPr>
          <w:rFonts w:ascii="Arial" w:cs="Arial" w:eastAsia="Arial" w:hAnsi="Arial"/>
          <w:sz w:val="16"/>
          <w:szCs w:val="16"/>
          <w:color w:val="auto"/>
        </w:rPr>
        <w:t>Net reserves exclude royalties and interests owned by others and reflect contractual arrangements and royalty obligations in effect at the time of the estimate.</w:t>
      </w:r>
    </w:p>
    <w:p>
      <w:pPr>
        <w:spacing w:after="0" w:line="1479" w:lineRule="exact"/>
        <w:rPr>
          <w:sz w:val="20"/>
          <w:szCs w:val="20"/>
          <w:color w:val="auto"/>
        </w:rPr>
      </w:pPr>
    </w:p>
    <w:p>
      <w:pPr>
        <w:sectPr>
          <w:pgSz w:w="11900" w:h="16838" w:orient="portrait"/>
          <w:cols w:equalWidth="0" w:num="2">
            <w:col w:w="5440" w:space="440"/>
            <w:col w:w="5540"/>
          </w:cols>
          <w:pgMar w:left="240" w:top="419" w:right="23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0070FF"/>
        </w:rPr>
        <w:t>TABLE V – RESERVE QUANTITY INFORMATION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34988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firstLine="203"/>
        <w:spacing w:after="0" w:line="293" w:lineRule="auto"/>
        <w:rPr>
          <w:sz w:val="20"/>
          <w:szCs w:val="20"/>
          <w:color w:val="auto"/>
        </w:rPr>
      </w:pPr>
      <w:r>
        <w:rPr>
          <w:rFonts w:ascii="Arial" w:cs="Arial" w:eastAsia="Arial" w:hAnsi="Arial"/>
          <w:sz w:val="15"/>
          <w:szCs w:val="15"/>
          <w:color w:val="auto"/>
        </w:rPr>
        <w:t>ChevronTexaco operates, under a risked service agreement, Venezuela’s Block LL-652, located in the northeast section of Lake Maracaibo. ChevronTexaco is accounting for LL-652 as an oil and gas activity and, at December 31, 2003, had recorded 19 million barrels of proved crude oil reserves and 89 billion cubic feet of proved natural gas reserves.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20" w:firstLine="203"/>
        <w:spacing w:after="0" w:line="273" w:lineRule="auto"/>
        <w:rPr>
          <w:sz w:val="20"/>
          <w:szCs w:val="20"/>
          <w:color w:val="auto"/>
        </w:rPr>
      </w:pPr>
      <w:r>
        <w:rPr>
          <w:rFonts w:ascii="Arial" w:cs="Arial" w:eastAsia="Arial" w:hAnsi="Arial"/>
          <w:sz w:val="16"/>
          <w:szCs w:val="16"/>
          <w:color w:val="auto"/>
        </w:rPr>
        <w:t>No reserve quantities have been recorded for the company’s other service agreement – the Boscan Field in Venezuela. During the year, an agreement was reached that extends production rights on the Chuchupa and other gas fields in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-842010</wp:posOffset>
            </wp:positionV>
            <wp:extent cx="8890" cy="875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75030"/>
                    </a:xfrm>
                    <a:prstGeom prst="rect">
                      <a:avLst/>
                    </a:prstGeom>
                    <a:noFill/>
                  </pic:spPr>
                </pic:pic>
              </a:graphicData>
            </a:graphic>
          </wp:anchor>
        </w:drawing>
      </w:r>
    </w:p>
    <w:p>
      <w:pPr>
        <w:spacing w:after="0" w:line="753" w:lineRule="exact"/>
        <w:rPr>
          <w:sz w:val="20"/>
          <w:szCs w:val="20"/>
          <w:color w:val="auto"/>
        </w:rPr>
      </w:pPr>
    </w:p>
    <w:p>
      <w:pPr>
        <w:sectPr>
          <w:pgSz w:w="11900" w:h="16838" w:orient="portrait"/>
          <w:cols w:equalWidth="0" w:num="2">
            <w:col w:w="5400" w:space="480"/>
            <w:col w:w="5540"/>
          </w:cols>
          <w:pgMar w:left="240" w:top="419" w:right="239" w:bottom="1440" w:gutter="0" w:footer="0" w:header="0"/>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40" w:type="dxa"/>
            <w:vAlign w:val="bottom"/>
            <w:gridSpan w:val="8"/>
          </w:tcPr>
          <w:p>
            <w:pPr>
              <w:jc w:val="right"/>
              <w:ind w:right="26"/>
              <w:spacing w:after="0"/>
              <w:rPr>
                <w:sz w:val="20"/>
                <w:szCs w:val="20"/>
                <w:color w:val="auto"/>
              </w:rPr>
            </w:pPr>
            <w:r>
              <w:rPr>
                <w:rFonts w:ascii="Arial" w:cs="Arial" w:eastAsia="Arial" w:hAnsi="Arial"/>
                <w:sz w:val="11"/>
                <w:szCs w:val="11"/>
                <w:color w:val="auto"/>
                <w:w w:val="95"/>
              </w:rPr>
              <w:t>NET PROVED RESERVES OF CRUDE OIL, CONDENSATE AND NATURAL GAS LIQUIDS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60" w:type="dxa"/>
            <w:vAlign w:val="bottom"/>
            <w:gridSpan w:val="5"/>
          </w:tcPr>
          <w:p>
            <w:pPr>
              <w:jc w:val="right"/>
              <w:ind w:right="86"/>
              <w:spacing w:after="0"/>
              <w:rPr>
                <w:sz w:val="20"/>
                <w:szCs w:val="20"/>
                <w:color w:val="auto"/>
              </w:rPr>
            </w:pPr>
            <w:r>
              <w:rPr>
                <w:rFonts w:ascii="Arial" w:cs="Arial" w:eastAsia="Arial" w:hAnsi="Arial"/>
                <w:sz w:val="11"/>
                <w:szCs w:val="11"/>
                <w:color w:val="auto"/>
                <w:w w:val="98"/>
              </w:rPr>
              <w:t>NET PROVED RESERVES OF NATURAL GAS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Borders>
              <w:bottom w:val="single" w:sz="8" w:color="0070FF"/>
            </w:tcBorders>
          </w:tcPr>
          <w:p>
            <w:pPr>
              <w:spacing w:after="0"/>
              <w:rPr>
                <w:sz w:val="20"/>
                <w:szCs w:val="20"/>
                <w:color w:val="auto"/>
              </w:rPr>
            </w:pPr>
          </w:p>
        </w:tc>
        <w:tc>
          <w:tcPr>
            <w:tcW w:w="720" w:type="dxa"/>
            <w:vAlign w:val="bottom"/>
            <w:tcBorders>
              <w:bottom w:val="single" w:sz="8" w:color="0070FF"/>
            </w:tcBorders>
          </w:tcPr>
          <w:p>
            <w:pPr>
              <w:spacing w:after="0"/>
              <w:rPr>
                <w:sz w:val="20"/>
                <w:szCs w:val="20"/>
                <w:color w:val="auto"/>
              </w:rPr>
            </w:pPr>
          </w:p>
        </w:tc>
        <w:tc>
          <w:tcPr>
            <w:tcW w:w="560" w:type="dxa"/>
            <w:vAlign w:val="bottom"/>
            <w:tcBorders>
              <w:bottom w:val="single" w:sz="8" w:color="0070FF"/>
            </w:tcBorders>
          </w:tcPr>
          <w:p>
            <w:pPr>
              <w:spacing w:after="0"/>
              <w:rPr>
                <w:sz w:val="20"/>
                <w:szCs w:val="20"/>
                <w:color w:val="auto"/>
              </w:rPr>
            </w:pPr>
          </w:p>
        </w:tc>
        <w:tc>
          <w:tcPr>
            <w:tcW w:w="720" w:type="dxa"/>
            <w:vAlign w:val="bottom"/>
            <w:tcBorders>
              <w:bottom w:val="single" w:sz="8" w:color="0070FF"/>
            </w:tcBorders>
          </w:tcPr>
          <w:p>
            <w:pPr>
              <w:spacing w:after="0"/>
              <w:rPr>
                <w:sz w:val="20"/>
                <w:szCs w:val="20"/>
                <w:color w:val="auto"/>
              </w:rPr>
            </w:pPr>
          </w:p>
        </w:tc>
        <w:tc>
          <w:tcPr>
            <w:tcW w:w="520" w:type="dxa"/>
            <w:vAlign w:val="bottom"/>
            <w:tcBorders>
              <w:bottom w:val="single" w:sz="8" w:color="0070FF"/>
            </w:tcBorders>
          </w:tcPr>
          <w:p>
            <w:pPr>
              <w:spacing w:after="0"/>
              <w:rPr>
                <w:sz w:val="20"/>
                <w:szCs w:val="20"/>
                <w:color w:val="auto"/>
              </w:rPr>
            </w:pPr>
          </w:p>
        </w:tc>
        <w:tc>
          <w:tcPr>
            <w:tcW w:w="180" w:type="dxa"/>
            <w:vAlign w:val="bottom"/>
            <w:tcBorders>
              <w:bottom w:val="single" w:sz="8" w:color="0070FF"/>
            </w:tcBorders>
          </w:tcPr>
          <w:p>
            <w:pPr>
              <w:spacing w:after="0"/>
              <w:rPr>
                <w:sz w:val="20"/>
                <w:szCs w:val="20"/>
                <w:color w:val="auto"/>
              </w:rPr>
            </w:pPr>
          </w:p>
        </w:tc>
        <w:tc>
          <w:tcPr>
            <w:tcW w:w="480" w:type="dxa"/>
            <w:vAlign w:val="bottom"/>
            <w:tcBorders>
              <w:bottom w:val="single" w:sz="8" w:color="0070FF"/>
            </w:tcBorders>
          </w:tcPr>
          <w:p>
            <w:pPr>
              <w:spacing w:after="0"/>
              <w:rPr>
                <w:sz w:val="20"/>
                <w:szCs w:val="20"/>
                <w:color w:val="auto"/>
              </w:rPr>
            </w:pPr>
          </w:p>
        </w:tc>
        <w:tc>
          <w:tcPr>
            <w:tcW w:w="1260" w:type="dxa"/>
            <w:vAlign w:val="bottom"/>
            <w:tcBorders>
              <w:bottom w:val="single" w:sz="8" w:color="0070FF"/>
            </w:tcBorders>
            <w:gridSpan w:val="2"/>
          </w:tcPr>
          <w:p>
            <w:pPr>
              <w:jc w:val="right"/>
              <w:ind w:right="26"/>
              <w:spacing w:after="0"/>
              <w:rPr>
                <w:sz w:val="20"/>
                <w:szCs w:val="20"/>
                <w:color w:val="auto"/>
              </w:rPr>
            </w:pPr>
            <w:r>
              <w:rPr>
                <w:rFonts w:ascii="Arial" w:cs="Arial" w:eastAsia="Arial" w:hAnsi="Arial"/>
                <w:sz w:val="11"/>
                <w:szCs w:val="11"/>
                <w:color w:val="auto"/>
              </w:rPr>
              <w:t>Millions of barrels</w:t>
            </w:r>
          </w:p>
        </w:tc>
        <w:tc>
          <w:tcPr>
            <w:tcW w:w="120" w:type="dxa"/>
            <w:vAlign w:val="bottom"/>
          </w:tcPr>
          <w:p>
            <w:pPr>
              <w:spacing w:after="0"/>
              <w:rPr>
                <w:sz w:val="20"/>
                <w:szCs w:val="20"/>
                <w:color w:val="auto"/>
              </w:rPr>
            </w:pPr>
          </w:p>
        </w:tc>
        <w:tc>
          <w:tcPr>
            <w:tcW w:w="500" w:type="dxa"/>
            <w:vAlign w:val="bottom"/>
            <w:tcBorders>
              <w:bottom w:val="single" w:sz="8" w:color="0070FF"/>
            </w:tcBorders>
          </w:tcPr>
          <w:p>
            <w:pPr>
              <w:spacing w:after="0"/>
              <w:rPr>
                <w:sz w:val="20"/>
                <w:szCs w:val="20"/>
                <w:color w:val="auto"/>
              </w:rPr>
            </w:pPr>
          </w:p>
        </w:tc>
        <w:tc>
          <w:tcPr>
            <w:tcW w:w="600" w:type="dxa"/>
            <w:vAlign w:val="bottom"/>
            <w:tcBorders>
              <w:bottom w:val="single" w:sz="8" w:color="0070FF"/>
            </w:tcBorders>
          </w:tcPr>
          <w:p>
            <w:pPr>
              <w:spacing w:after="0"/>
              <w:rPr>
                <w:sz w:val="20"/>
                <w:szCs w:val="20"/>
                <w:color w:val="auto"/>
              </w:rPr>
            </w:pPr>
          </w:p>
        </w:tc>
        <w:tc>
          <w:tcPr>
            <w:tcW w:w="500" w:type="dxa"/>
            <w:vAlign w:val="bottom"/>
            <w:tcBorders>
              <w:bottom w:val="single" w:sz="8" w:color="0070FF"/>
            </w:tcBorders>
          </w:tcPr>
          <w:p>
            <w:pPr>
              <w:spacing w:after="0"/>
              <w:rPr>
                <w:sz w:val="20"/>
                <w:szCs w:val="20"/>
                <w:color w:val="auto"/>
              </w:rPr>
            </w:pPr>
          </w:p>
        </w:tc>
        <w:tc>
          <w:tcPr>
            <w:tcW w:w="660" w:type="dxa"/>
            <w:vAlign w:val="bottom"/>
            <w:tcBorders>
              <w:bottom w:val="single" w:sz="8" w:color="0070FF"/>
            </w:tcBorders>
          </w:tcPr>
          <w:p>
            <w:pPr>
              <w:spacing w:after="0"/>
              <w:rPr>
                <w:sz w:val="20"/>
                <w:szCs w:val="20"/>
                <w:color w:val="auto"/>
              </w:rPr>
            </w:pPr>
          </w:p>
        </w:tc>
        <w:tc>
          <w:tcPr>
            <w:tcW w:w="600" w:type="dxa"/>
            <w:vAlign w:val="bottom"/>
            <w:tcBorders>
              <w:bottom w:val="single" w:sz="8" w:color="0070FF"/>
            </w:tcBorders>
          </w:tcPr>
          <w:p>
            <w:pPr>
              <w:spacing w:after="0"/>
              <w:rPr>
                <w:sz w:val="20"/>
                <w:szCs w:val="20"/>
                <w:color w:val="auto"/>
              </w:rPr>
            </w:pPr>
          </w:p>
        </w:tc>
        <w:tc>
          <w:tcPr>
            <w:tcW w:w="140" w:type="dxa"/>
            <w:vAlign w:val="bottom"/>
            <w:tcBorders>
              <w:bottom w:val="single" w:sz="8" w:color="0070FF"/>
            </w:tcBorders>
          </w:tcPr>
          <w:p>
            <w:pPr>
              <w:spacing w:after="0"/>
              <w:rPr>
                <w:sz w:val="20"/>
                <w:szCs w:val="20"/>
                <w:color w:val="auto"/>
              </w:rPr>
            </w:pPr>
          </w:p>
        </w:tc>
        <w:tc>
          <w:tcPr>
            <w:tcW w:w="420" w:type="dxa"/>
            <w:vAlign w:val="bottom"/>
            <w:tcBorders>
              <w:bottom w:val="single" w:sz="8" w:color="0070FF"/>
            </w:tcBorders>
          </w:tcPr>
          <w:p>
            <w:pPr>
              <w:spacing w:after="0"/>
              <w:rPr>
                <w:sz w:val="20"/>
                <w:szCs w:val="20"/>
                <w:color w:val="auto"/>
              </w:rPr>
            </w:pPr>
          </w:p>
        </w:tc>
        <w:tc>
          <w:tcPr>
            <w:tcW w:w="1300" w:type="dxa"/>
            <w:vAlign w:val="bottom"/>
            <w:tcBorders>
              <w:bottom w:val="single" w:sz="8" w:color="0070FF"/>
            </w:tcBorders>
            <w:gridSpan w:val="2"/>
          </w:tcPr>
          <w:p>
            <w:pPr>
              <w:jc w:val="right"/>
              <w:ind w:right="86"/>
              <w:spacing w:after="0"/>
              <w:rPr>
                <w:sz w:val="20"/>
                <w:szCs w:val="20"/>
                <w:color w:val="auto"/>
              </w:rPr>
            </w:pPr>
            <w:r>
              <w:rPr>
                <w:rFonts w:ascii="Arial" w:cs="Arial" w:eastAsia="Arial" w:hAnsi="Arial"/>
                <w:sz w:val="11"/>
                <w:szCs w:val="11"/>
                <w:color w:val="auto"/>
              </w:rPr>
              <w:t>Billions of cubic feet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80" w:type="dxa"/>
            <w:vAlign w:val="bottom"/>
            <w:tcBorders>
              <w:bottom w:val="single" w:sz="8" w:color="0070FF"/>
            </w:tcBorders>
          </w:tcPr>
          <w:p>
            <w:pPr>
              <w:spacing w:after="0"/>
              <w:rPr>
                <w:sz w:val="10"/>
                <w:szCs w:val="10"/>
                <w:color w:val="auto"/>
              </w:rPr>
            </w:pPr>
          </w:p>
        </w:tc>
        <w:tc>
          <w:tcPr>
            <w:tcW w:w="720" w:type="dxa"/>
            <w:vAlign w:val="bottom"/>
            <w:tcBorders>
              <w:bottom w:val="single" w:sz="8" w:color="0070FF"/>
            </w:tcBorders>
          </w:tcPr>
          <w:p>
            <w:pPr>
              <w:spacing w:after="0"/>
              <w:rPr>
                <w:sz w:val="10"/>
                <w:szCs w:val="10"/>
                <w:color w:val="auto"/>
              </w:rPr>
            </w:pPr>
          </w:p>
        </w:tc>
        <w:tc>
          <w:tcPr>
            <w:tcW w:w="560" w:type="dxa"/>
            <w:vAlign w:val="bottom"/>
            <w:tcBorders>
              <w:bottom w:val="single" w:sz="8" w:color="0070FF"/>
            </w:tcBorders>
          </w:tcPr>
          <w:p>
            <w:pPr>
              <w:spacing w:after="0"/>
              <w:rPr>
                <w:sz w:val="10"/>
                <w:szCs w:val="10"/>
                <w:color w:val="auto"/>
              </w:rPr>
            </w:pPr>
          </w:p>
        </w:tc>
        <w:tc>
          <w:tcPr>
            <w:tcW w:w="1240" w:type="dxa"/>
            <w:vAlign w:val="bottom"/>
            <w:tcBorders>
              <w:bottom w:val="single" w:sz="8" w:color="0070FF"/>
            </w:tcBorders>
            <w:gridSpan w:val="2"/>
          </w:tcPr>
          <w:p>
            <w:pPr>
              <w:jc w:val="right"/>
              <w:ind w:right="46"/>
              <w:spacing w:after="0" w:line="115" w:lineRule="exact"/>
              <w:rPr>
                <w:sz w:val="20"/>
                <w:szCs w:val="20"/>
                <w:color w:val="auto"/>
              </w:rPr>
            </w:pPr>
            <w:r>
              <w:rPr>
                <w:rFonts w:ascii="Arial" w:cs="Arial" w:eastAsia="Arial" w:hAnsi="Arial"/>
                <w:sz w:val="11"/>
                <w:szCs w:val="11"/>
                <w:color w:val="auto"/>
                <w:w w:val="91"/>
              </w:rPr>
              <w:t>Consolidated Companies</w:t>
            </w:r>
          </w:p>
        </w:tc>
        <w:tc>
          <w:tcPr>
            <w:tcW w:w="180" w:type="dxa"/>
            <w:vAlign w:val="bottom"/>
          </w:tcPr>
          <w:p>
            <w:pPr>
              <w:spacing w:after="0"/>
              <w:rPr>
                <w:sz w:val="10"/>
                <w:szCs w:val="10"/>
                <w:color w:val="auto"/>
              </w:rPr>
            </w:pPr>
          </w:p>
        </w:tc>
        <w:tc>
          <w:tcPr>
            <w:tcW w:w="480" w:type="dxa"/>
            <w:vAlign w:val="bottom"/>
            <w:tcBorders>
              <w:bottom w:val="single" w:sz="8" w:color="0070FF"/>
            </w:tcBorders>
          </w:tcPr>
          <w:p>
            <w:pPr>
              <w:spacing w:after="0"/>
              <w:rPr>
                <w:sz w:val="10"/>
                <w:szCs w:val="10"/>
                <w:color w:val="auto"/>
              </w:rPr>
            </w:pPr>
          </w:p>
        </w:tc>
        <w:tc>
          <w:tcPr>
            <w:tcW w:w="580" w:type="dxa"/>
            <w:vAlign w:val="bottom"/>
            <w:tcBorders>
              <w:bottom w:val="single" w:sz="8" w:color="0070FF"/>
            </w:tcBorders>
          </w:tcPr>
          <w:p>
            <w:pPr>
              <w:jc w:val="right"/>
              <w:ind w:right="26"/>
              <w:spacing w:after="0" w:line="115" w:lineRule="exact"/>
              <w:rPr>
                <w:sz w:val="20"/>
                <w:szCs w:val="20"/>
                <w:color w:val="auto"/>
              </w:rPr>
            </w:pPr>
            <w:r>
              <w:rPr>
                <w:rFonts w:ascii="Arial" w:cs="Arial" w:eastAsia="Arial" w:hAnsi="Arial"/>
                <w:sz w:val="11"/>
                <w:szCs w:val="11"/>
                <w:color w:val="auto"/>
              </w:rPr>
              <w:t>Affiliates</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World-</w:t>
            </w:r>
          </w:p>
        </w:tc>
        <w:tc>
          <w:tcPr>
            <w:tcW w:w="120" w:type="dxa"/>
            <w:vAlign w:val="bottom"/>
          </w:tcPr>
          <w:p>
            <w:pPr>
              <w:spacing w:after="0"/>
              <w:rPr>
                <w:sz w:val="10"/>
                <w:szCs w:val="10"/>
                <w:color w:val="auto"/>
              </w:rPr>
            </w:pPr>
          </w:p>
        </w:tc>
        <w:tc>
          <w:tcPr>
            <w:tcW w:w="500" w:type="dxa"/>
            <w:vAlign w:val="bottom"/>
            <w:tcBorders>
              <w:bottom w:val="single" w:sz="8" w:color="0070FF"/>
            </w:tcBorders>
          </w:tcPr>
          <w:p>
            <w:pPr>
              <w:spacing w:after="0"/>
              <w:rPr>
                <w:sz w:val="10"/>
                <w:szCs w:val="10"/>
                <w:color w:val="auto"/>
              </w:rPr>
            </w:pPr>
          </w:p>
        </w:tc>
        <w:tc>
          <w:tcPr>
            <w:tcW w:w="600" w:type="dxa"/>
            <w:vAlign w:val="bottom"/>
            <w:tcBorders>
              <w:bottom w:val="single" w:sz="8" w:color="0070FF"/>
            </w:tcBorders>
          </w:tcPr>
          <w:p>
            <w:pPr>
              <w:spacing w:after="0"/>
              <w:rPr>
                <w:sz w:val="10"/>
                <w:szCs w:val="10"/>
                <w:color w:val="auto"/>
              </w:rPr>
            </w:pPr>
          </w:p>
        </w:tc>
        <w:tc>
          <w:tcPr>
            <w:tcW w:w="500" w:type="dxa"/>
            <w:vAlign w:val="bottom"/>
            <w:tcBorders>
              <w:bottom w:val="single" w:sz="8" w:color="0070FF"/>
            </w:tcBorders>
          </w:tcPr>
          <w:p>
            <w:pPr>
              <w:spacing w:after="0"/>
              <w:rPr>
                <w:sz w:val="10"/>
                <w:szCs w:val="10"/>
                <w:color w:val="auto"/>
              </w:rPr>
            </w:pPr>
          </w:p>
        </w:tc>
        <w:tc>
          <w:tcPr>
            <w:tcW w:w="1260" w:type="dxa"/>
            <w:vAlign w:val="bottom"/>
            <w:tcBorders>
              <w:bottom w:val="single" w:sz="8" w:color="0070FF"/>
            </w:tcBorders>
            <w:gridSpan w:val="2"/>
          </w:tcPr>
          <w:p>
            <w:pPr>
              <w:jc w:val="right"/>
              <w:ind w:right="86"/>
              <w:spacing w:after="0" w:line="115" w:lineRule="exact"/>
              <w:rPr>
                <w:sz w:val="20"/>
                <w:szCs w:val="20"/>
                <w:color w:val="auto"/>
              </w:rPr>
            </w:pPr>
            <w:r>
              <w:rPr>
                <w:rFonts w:ascii="Arial" w:cs="Arial" w:eastAsia="Arial" w:hAnsi="Arial"/>
                <w:sz w:val="11"/>
                <w:szCs w:val="11"/>
                <w:color w:val="auto"/>
                <w:w w:val="89"/>
              </w:rPr>
              <w:t>Consolidated Companies</w:t>
            </w:r>
          </w:p>
        </w:tc>
        <w:tc>
          <w:tcPr>
            <w:tcW w:w="140" w:type="dxa"/>
            <w:vAlign w:val="bottom"/>
          </w:tcPr>
          <w:p>
            <w:pPr>
              <w:spacing w:after="0"/>
              <w:rPr>
                <w:sz w:val="10"/>
                <w:szCs w:val="10"/>
                <w:color w:val="auto"/>
              </w:rPr>
            </w:pPr>
          </w:p>
        </w:tc>
        <w:tc>
          <w:tcPr>
            <w:tcW w:w="420" w:type="dxa"/>
            <w:vAlign w:val="bottom"/>
            <w:tcBorders>
              <w:bottom w:val="single" w:sz="8" w:color="0070FF"/>
            </w:tcBorders>
          </w:tcPr>
          <w:p>
            <w:pPr>
              <w:spacing w:after="0"/>
              <w:rPr>
                <w:sz w:val="10"/>
                <w:szCs w:val="10"/>
                <w:color w:val="auto"/>
              </w:rPr>
            </w:pPr>
          </w:p>
        </w:tc>
        <w:tc>
          <w:tcPr>
            <w:tcW w:w="560" w:type="dxa"/>
            <w:vAlign w:val="bottom"/>
            <w:tcBorders>
              <w:bottom w:val="single" w:sz="8" w:color="0070FF"/>
            </w:tcBorders>
          </w:tcPr>
          <w:p>
            <w:pPr>
              <w:jc w:val="right"/>
              <w:ind w:right="26"/>
              <w:spacing w:after="0" w:line="115" w:lineRule="exact"/>
              <w:rPr>
                <w:sz w:val="20"/>
                <w:szCs w:val="20"/>
                <w:color w:val="auto"/>
              </w:rPr>
            </w:pPr>
            <w:r>
              <w:rPr>
                <w:rFonts w:ascii="Arial" w:cs="Arial" w:eastAsia="Arial" w:hAnsi="Arial"/>
                <w:sz w:val="11"/>
                <w:szCs w:val="11"/>
                <w:color w:val="auto"/>
              </w:rPr>
              <w:t>Affiliates</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World-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jc w:val="right"/>
              <w:ind w:right="26"/>
              <w:spacing w:after="0" w:line="105" w:lineRule="exact"/>
              <w:rPr>
                <w:sz w:val="20"/>
                <w:szCs w:val="20"/>
                <w:color w:val="auto"/>
              </w:rPr>
            </w:pPr>
            <w:r>
              <w:rPr>
                <w:rFonts w:ascii="Arial" w:cs="Arial" w:eastAsia="Arial" w:hAnsi="Arial"/>
                <w:sz w:val="11"/>
                <w:szCs w:val="11"/>
                <w:color w:val="auto"/>
              </w:rPr>
              <w:t>Asia-</w:t>
            </w: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jc w:val="right"/>
              <w:ind w:right="6"/>
              <w:spacing w:after="0" w:line="105" w:lineRule="exact"/>
              <w:rPr>
                <w:sz w:val="20"/>
                <w:szCs w:val="20"/>
                <w:color w:val="auto"/>
              </w:rPr>
            </w:pPr>
            <w:r>
              <w:rPr>
                <w:rFonts w:ascii="Arial" w:cs="Arial" w:eastAsia="Arial" w:hAnsi="Arial"/>
                <w:sz w:val="11"/>
                <w:szCs w:val="11"/>
                <w:color w:val="auto"/>
              </w:rPr>
              <w:t>Asia-</w:t>
            </w: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tcBorders>
              <w:bottom w:val="single" w:sz="8" w:color="0070FF"/>
            </w:tcBorders>
          </w:tcPr>
          <w:p>
            <w:pPr>
              <w:spacing w:after="0"/>
              <w:rPr>
                <w:sz w:val="11"/>
                <w:szCs w:val="11"/>
                <w:color w:val="auto"/>
              </w:rPr>
            </w:pPr>
          </w:p>
        </w:tc>
        <w:tc>
          <w:tcPr>
            <w:tcW w:w="48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color w:val="auto"/>
              </w:rPr>
              <w:t>U.S.</w:t>
            </w:r>
          </w:p>
        </w:tc>
        <w:tc>
          <w:tcPr>
            <w:tcW w:w="720" w:type="dxa"/>
            <w:vAlign w:val="bottom"/>
            <w:tcBorders>
              <w:bottom w:val="single" w:sz="8" w:color="0070FF"/>
            </w:tcBorders>
          </w:tcPr>
          <w:p>
            <w:pPr>
              <w:jc w:val="right"/>
              <w:ind w:right="146"/>
              <w:spacing w:after="0"/>
              <w:rPr>
                <w:sz w:val="20"/>
                <w:szCs w:val="20"/>
                <w:color w:val="auto"/>
              </w:rPr>
            </w:pPr>
            <w:r>
              <w:rPr>
                <w:rFonts w:ascii="Arial" w:cs="Arial" w:eastAsia="Arial" w:hAnsi="Arial"/>
                <w:sz w:val="11"/>
                <w:szCs w:val="11"/>
                <w:color w:val="auto"/>
              </w:rPr>
              <w:t>Africa</w:t>
            </w:r>
          </w:p>
        </w:tc>
        <w:tc>
          <w:tcPr>
            <w:tcW w:w="56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color w:val="auto"/>
              </w:rPr>
              <w:t>Pacific</w:t>
            </w:r>
          </w:p>
        </w:tc>
        <w:tc>
          <w:tcPr>
            <w:tcW w:w="720" w:type="dxa"/>
            <w:vAlign w:val="bottom"/>
            <w:tcBorders>
              <w:bottom w:val="single" w:sz="8" w:color="0070FF"/>
            </w:tcBorders>
          </w:tcPr>
          <w:p>
            <w:pPr>
              <w:jc w:val="right"/>
              <w:ind w:right="146"/>
              <w:spacing w:after="0"/>
              <w:rPr>
                <w:sz w:val="20"/>
                <w:szCs w:val="20"/>
                <w:color w:val="auto"/>
              </w:rPr>
            </w:pPr>
            <w:r>
              <w:rPr>
                <w:rFonts w:ascii="Arial" w:cs="Arial" w:eastAsia="Arial" w:hAnsi="Arial"/>
                <w:sz w:val="11"/>
                <w:szCs w:val="11"/>
                <w:color w:val="auto"/>
              </w:rPr>
              <w:t>Other</w:t>
            </w:r>
          </w:p>
        </w:tc>
        <w:tc>
          <w:tcPr>
            <w:tcW w:w="520" w:type="dxa"/>
            <w:vAlign w:val="bottom"/>
            <w:tcBorders>
              <w:bottom w:val="single" w:sz="8" w:color="0070FF"/>
            </w:tcBorders>
          </w:tcPr>
          <w:p>
            <w:pPr>
              <w:jc w:val="right"/>
              <w:ind w:right="46"/>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0070FF"/>
            </w:tcBorders>
          </w:tcPr>
          <w:p>
            <w:pPr>
              <w:spacing w:after="0"/>
              <w:rPr>
                <w:sz w:val="11"/>
                <w:szCs w:val="11"/>
                <w:color w:val="auto"/>
              </w:rPr>
            </w:pPr>
          </w:p>
        </w:tc>
        <w:tc>
          <w:tcPr>
            <w:tcW w:w="48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color w:val="auto"/>
              </w:rPr>
              <w:t>TCO</w:t>
            </w:r>
          </w:p>
        </w:tc>
        <w:tc>
          <w:tcPr>
            <w:tcW w:w="58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color w:val="auto"/>
              </w:rPr>
              <w:t>Hamaca</w:t>
            </w:r>
          </w:p>
        </w:tc>
        <w:tc>
          <w:tcPr>
            <w:tcW w:w="68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color w:val="auto"/>
              </w:rPr>
              <w:t>wide</w:t>
            </w:r>
          </w:p>
        </w:tc>
        <w:tc>
          <w:tcPr>
            <w:tcW w:w="120" w:type="dxa"/>
            <w:vAlign w:val="bottom"/>
            <w:tcBorders>
              <w:bottom w:val="single" w:sz="8" w:color="0070FF"/>
            </w:tcBorders>
          </w:tcPr>
          <w:p>
            <w:pPr>
              <w:spacing w:after="0"/>
              <w:rPr>
                <w:sz w:val="11"/>
                <w:szCs w:val="11"/>
                <w:color w:val="auto"/>
              </w:rPr>
            </w:pPr>
          </w:p>
        </w:tc>
        <w:tc>
          <w:tcPr>
            <w:tcW w:w="50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color w:val="auto"/>
              </w:rPr>
              <w:t>U.S.</w:t>
            </w:r>
          </w:p>
        </w:tc>
        <w:tc>
          <w:tcPr>
            <w:tcW w:w="600" w:type="dxa"/>
            <w:vAlign w:val="bottom"/>
            <w:tcBorders>
              <w:bottom w:val="single" w:sz="8" w:color="0070FF"/>
            </w:tcBorders>
          </w:tcPr>
          <w:p>
            <w:pPr>
              <w:jc w:val="right"/>
              <w:ind w:right="126"/>
              <w:spacing w:after="0"/>
              <w:rPr>
                <w:sz w:val="20"/>
                <w:szCs w:val="20"/>
                <w:color w:val="auto"/>
              </w:rPr>
            </w:pPr>
            <w:r>
              <w:rPr>
                <w:rFonts w:ascii="Arial" w:cs="Arial" w:eastAsia="Arial" w:hAnsi="Arial"/>
                <w:sz w:val="11"/>
                <w:szCs w:val="11"/>
                <w:color w:val="auto"/>
              </w:rPr>
              <w:t>Africa</w:t>
            </w:r>
          </w:p>
        </w:tc>
        <w:tc>
          <w:tcPr>
            <w:tcW w:w="50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color w:val="auto"/>
              </w:rPr>
              <w:t>Pacific</w:t>
            </w:r>
          </w:p>
        </w:tc>
        <w:tc>
          <w:tcPr>
            <w:tcW w:w="660" w:type="dxa"/>
            <w:vAlign w:val="bottom"/>
            <w:tcBorders>
              <w:bottom w:val="single" w:sz="8" w:color="0070FF"/>
            </w:tcBorders>
          </w:tcPr>
          <w:p>
            <w:pPr>
              <w:jc w:val="right"/>
              <w:ind w:right="126"/>
              <w:spacing w:after="0"/>
              <w:rPr>
                <w:sz w:val="20"/>
                <w:szCs w:val="20"/>
                <w:color w:val="auto"/>
              </w:rPr>
            </w:pPr>
            <w:r>
              <w:rPr>
                <w:rFonts w:ascii="Arial" w:cs="Arial" w:eastAsia="Arial" w:hAnsi="Arial"/>
                <w:sz w:val="11"/>
                <w:szCs w:val="11"/>
                <w:color w:val="auto"/>
              </w:rPr>
              <w:t>Other</w:t>
            </w:r>
          </w:p>
        </w:tc>
        <w:tc>
          <w:tcPr>
            <w:tcW w:w="60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color w:val="auto"/>
              </w:rPr>
              <w:t>Total</w:t>
            </w:r>
          </w:p>
        </w:tc>
        <w:tc>
          <w:tcPr>
            <w:tcW w:w="140" w:type="dxa"/>
            <w:vAlign w:val="bottom"/>
            <w:tcBorders>
              <w:bottom w:val="single" w:sz="8" w:color="0070FF"/>
            </w:tcBorders>
          </w:tcPr>
          <w:p>
            <w:pPr>
              <w:spacing w:after="0"/>
              <w:rPr>
                <w:sz w:val="11"/>
                <w:szCs w:val="11"/>
                <w:color w:val="auto"/>
              </w:rPr>
            </w:pPr>
          </w:p>
        </w:tc>
        <w:tc>
          <w:tcPr>
            <w:tcW w:w="420" w:type="dxa"/>
            <w:vAlign w:val="bottom"/>
            <w:tcBorders>
              <w:bottom w:val="single" w:sz="8" w:color="0070FF"/>
            </w:tcBorders>
          </w:tcPr>
          <w:p>
            <w:pPr>
              <w:jc w:val="right"/>
              <w:ind w:right="46"/>
              <w:spacing w:after="0"/>
              <w:rPr>
                <w:sz w:val="20"/>
                <w:szCs w:val="20"/>
                <w:color w:val="auto"/>
              </w:rPr>
            </w:pPr>
            <w:r>
              <w:rPr>
                <w:rFonts w:ascii="Arial" w:cs="Arial" w:eastAsia="Arial" w:hAnsi="Arial"/>
                <w:sz w:val="11"/>
                <w:szCs w:val="11"/>
                <w:color w:val="auto"/>
              </w:rPr>
              <w:t>TCO</w:t>
            </w:r>
          </w:p>
        </w:tc>
        <w:tc>
          <w:tcPr>
            <w:tcW w:w="56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color w:val="auto"/>
              </w:rPr>
              <w:t>Hamaca</w:t>
            </w:r>
          </w:p>
        </w:tc>
        <w:tc>
          <w:tcPr>
            <w:tcW w:w="74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color w:val="auto"/>
              </w:rPr>
              <w:t>wide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640" w:type="dxa"/>
            <w:vAlign w:val="bottom"/>
          </w:tcPr>
          <w:p>
            <w:pPr>
              <w:spacing w:after="0" w:line="115" w:lineRule="exact"/>
              <w:rPr>
                <w:sz w:val="20"/>
                <w:szCs w:val="20"/>
                <w:color w:val="auto"/>
              </w:rPr>
            </w:pPr>
            <w:r>
              <w:rPr>
                <w:rFonts w:ascii="Arial" w:cs="Arial" w:eastAsia="Arial" w:hAnsi="Arial"/>
                <w:sz w:val="11"/>
                <w:szCs w:val="11"/>
                <w:b w:val="1"/>
                <w:bCs w:val="1"/>
                <w:color w:val="0070FF"/>
              </w:rPr>
              <w:t>RESERVES AT JANUARY 1,</w:t>
            </w: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60" w:type="dxa"/>
            <w:vAlign w:val="bottom"/>
            <w:gridSpan w:val="2"/>
          </w:tcPr>
          <w:p>
            <w:pPr>
              <w:ind w:left="140"/>
              <w:spacing w:after="0"/>
              <w:rPr>
                <w:sz w:val="20"/>
                <w:szCs w:val="20"/>
                <w:color w:val="auto"/>
              </w:rPr>
            </w:pPr>
            <w:r>
              <w:rPr>
                <w:rFonts w:ascii="Arial" w:cs="Arial" w:eastAsia="Arial" w:hAnsi="Arial"/>
                <w:sz w:val="11"/>
                <w:szCs w:val="11"/>
                <w:b w:val="1"/>
                <w:bCs w:val="1"/>
                <w:color w:val="0070FF"/>
              </w:rPr>
              <w:t>2001</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2,614</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1,505</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1,894</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822</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6,835</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color w:val="auto"/>
              </w:rPr>
              <w:t>1,310</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374</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8,519</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color w:val="auto"/>
              </w:rPr>
              <w:t>7,923</w:t>
            </w: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772</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4,442</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2,991</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16,128</w:t>
            </w:r>
          </w:p>
        </w:tc>
        <w:tc>
          <w:tcPr>
            <w:tcW w:w="560" w:type="dxa"/>
            <w:vAlign w:val="bottom"/>
            <w:gridSpan w:val="2"/>
          </w:tcPr>
          <w:p>
            <w:pPr>
              <w:jc w:val="right"/>
              <w:ind w:right="46"/>
              <w:spacing w:after="0"/>
              <w:rPr>
                <w:sz w:val="20"/>
                <w:szCs w:val="20"/>
                <w:color w:val="auto"/>
              </w:rPr>
            </w:pPr>
            <w:r>
              <w:rPr>
                <w:rFonts w:ascii="Arial" w:cs="Arial" w:eastAsia="Arial" w:hAnsi="Arial"/>
                <w:sz w:val="11"/>
                <w:szCs w:val="11"/>
                <w:color w:val="auto"/>
              </w:rPr>
              <w:t>1,683</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33</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17,844</w:t>
            </w:r>
          </w:p>
        </w:tc>
        <w:tc>
          <w:tcPr>
            <w:tcW w:w="0" w:type="dxa"/>
            <w:vAlign w:val="bottom"/>
          </w:tcPr>
          <w:p>
            <w:pPr>
              <w:spacing w:after="0"/>
              <w:rPr>
                <w:sz w:val="1"/>
                <w:szCs w:val="1"/>
                <w:color w:val="auto"/>
              </w:rPr>
            </w:pPr>
          </w:p>
        </w:tc>
      </w:tr>
      <w:tr>
        <w:trPr>
          <w:trHeight w:val="122"/>
        </w:trPr>
        <w:tc>
          <w:tcPr>
            <w:tcW w:w="1660" w:type="dxa"/>
            <w:vAlign w:val="bottom"/>
            <w:gridSpan w:val="2"/>
          </w:tcPr>
          <w:p>
            <w:pPr>
              <w:spacing w:after="0" w:line="122" w:lineRule="exact"/>
              <w:rPr>
                <w:sz w:val="20"/>
                <w:szCs w:val="20"/>
                <w:color w:val="auto"/>
              </w:rPr>
            </w:pPr>
            <w:r>
              <w:rPr>
                <w:rFonts w:ascii="Arial" w:cs="Arial" w:eastAsia="Arial" w:hAnsi="Arial"/>
                <w:sz w:val="11"/>
                <w:szCs w:val="11"/>
                <w:color w:val="auto"/>
              </w:rPr>
              <w:t>Changes attributable to:</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ind w:left="120"/>
              <w:spacing w:after="0" w:line="122" w:lineRule="exact"/>
              <w:rPr>
                <w:sz w:val="20"/>
                <w:szCs w:val="20"/>
                <w:color w:val="auto"/>
              </w:rPr>
            </w:pPr>
            <w:r>
              <w:rPr>
                <w:rFonts w:ascii="Arial" w:cs="Arial" w:eastAsia="Arial" w:hAnsi="Arial"/>
                <w:sz w:val="11"/>
                <w:szCs w:val="11"/>
                <w:color w:val="auto"/>
              </w:rPr>
              <w:t>Revisions</w:t>
            </w:r>
          </w:p>
        </w:tc>
        <w:tc>
          <w:tcPr>
            <w:tcW w:w="4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(225)</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45</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135</w:t>
            </w: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(60)</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(105)</w:t>
            </w:r>
          </w:p>
        </w:tc>
        <w:tc>
          <w:tcPr>
            <w:tcW w:w="66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46</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(61)</w:t>
            </w:r>
          </w:p>
        </w:tc>
        <w:tc>
          <w:tcPr>
            <w:tcW w:w="62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(20)</w:t>
            </w: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780</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330</w:t>
            </w: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(10)</w:t>
            </w:r>
          </w:p>
        </w:tc>
        <w:tc>
          <w:tcPr>
            <w:tcW w:w="6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1,080</w:t>
            </w:r>
          </w:p>
        </w:tc>
        <w:tc>
          <w:tcPr>
            <w:tcW w:w="56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317</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1,397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ind w:left="120"/>
              <w:spacing w:after="0" w:line="122" w:lineRule="exact"/>
              <w:rPr>
                <w:sz w:val="20"/>
                <w:szCs w:val="20"/>
                <w:color w:val="auto"/>
              </w:rPr>
            </w:pPr>
            <w:r>
              <w:rPr>
                <w:rFonts w:ascii="Arial" w:cs="Arial" w:eastAsia="Arial" w:hAnsi="Arial"/>
                <w:sz w:val="11"/>
                <w:szCs w:val="11"/>
                <w:color w:val="auto"/>
              </w:rPr>
              <w:t>Improved recovery</w:t>
            </w: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79</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35</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47</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51</w:t>
            </w:r>
          </w:p>
        </w:tc>
        <w:tc>
          <w:tcPr>
            <w:tcW w:w="5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212</w:t>
            </w:r>
          </w:p>
        </w:tc>
        <w:tc>
          <w:tcPr>
            <w:tcW w:w="180" w:type="dxa"/>
            <w:vAlign w:val="bottom"/>
          </w:tcPr>
          <w:p>
            <w:pPr>
              <w:spacing w:after="0"/>
              <w:rPr>
                <w:sz w:val="10"/>
                <w:szCs w:val="10"/>
                <w:color w:val="auto"/>
              </w:rPr>
            </w:pP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212</w:t>
            </w:r>
          </w:p>
        </w:tc>
        <w:tc>
          <w:tcPr>
            <w:tcW w:w="62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24</w:t>
            </w: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7</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w:t>
            </w:r>
          </w:p>
        </w:tc>
        <w:tc>
          <w:tcPr>
            <w:tcW w:w="66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16</w:t>
            </w:r>
          </w:p>
        </w:tc>
        <w:tc>
          <w:tcPr>
            <w:tcW w:w="6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58</w:t>
            </w:r>
          </w:p>
        </w:tc>
        <w:tc>
          <w:tcPr>
            <w:tcW w:w="140" w:type="dxa"/>
            <w:vAlign w:val="bottom"/>
          </w:tcPr>
          <w:p>
            <w:pPr>
              <w:spacing w:after="0"/>
              <w:rPr>
                <w:sz w:val="10"/>
                <w:szCs w:val="10"/>
                <w:color w:val="auto"/>
              </w:rPr>
            </w:pPr>
          </w:p>
        </w:tc>
        <w:tc>
          <w:tcPr>
            <w:tcW w:w="4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40" w:type="dxa"/>
            <w:vAlign w:val="bottom"/>
          </w:tcPr>
          <w:p>
            <w:pPr>
              <w:ind w:left="120"/>
              <w:spacing w:after="0" w:line="124" w:lineRule="exact"/>
              <w:rPr>
                <w:sz w:val="20"/>
                <w:szCs w:val="20"/>
                <w:color w:val="auto"/>
              </w:rPr>
            </w:pPr>
            <w:r>
              <w:rPr>
                <w:rFonts w:ascii="Arial" w:cs="Arial" w:eastAsia="Arial" w:hAnsi="Arial"/>
                <w:sz w:val="11"/>
                <w:szCs w:val="11"/>
                <w:color w:val="auto"/>
              </w:rPr>
              <w:t>Extensions and discoveries</w:t>
            </w:r>
          </w:p>
        </w:tc>
        <w:tc>
          <w:tcPr>
            <w:tcW w:w="480" w:type="dxa"/>
            <w:vAlign w:val="bottom"/>
          </w:tcPr>
          <w:p>
            <w:pPr>
              <w:jc w:val="right"/>
              <w:ind w:right="86"/>
              <w:spacing w:after="0" w:line="124" w:lineRule="exact"/>
              <w:rPr>
                <w:sz w:val="20"/>
                <w:szCs w:val="20"/>
                <w:color w:val="auto"/>
              </w:rPr>
            </w:pPr>
            <w:r>
              <w:rPr>
                <w:rFonts w:ascii="Arial" w:cs="Arial" w:eastAsia="Arial" w:hAnsi="Arial"/>
                <w:sz w:val="11"/>
                <w:szCs w:val="11"/>
                <w:color w:val="auto"/>
              </w:rPr>
              <w:t>67</w:t>
            </w:r>
          </w:p>
        </w:tc>
        <w:tc>
          <w:tcPr>
            <w:tcW w:w="720" w:type="dxa"/>
            <w:vAlign w:val="bottom"/>
          </w:tcPr>
          <w:p>
            <w:pPr>
              <w:jc w:val="right"/>
              <w:ind w:right="146"/>
              <w:spacing w:after="0" w:line="124" w:lineRule="exact"/>
              <w:rPr>
                <w:sz w:val="20"/>
                <w:szCs w:val="20"/>
                <w:color w:val="auto"/>
              </w:rPr>
            </w:pPr>
            <w:r>
              <w:rPr>
                <w:rFonts w:ascii="Arial" w:cs="Arial" w:eastAsia="Arial" w:hAnsi="Arial"/>
                <w:sz w:val="11"/>
                <w:szCs w:val="11"/>
                <w:color w:val="auto"/>
              </w:rPr>
              <w:t>88</w:t>
            </w:r>
          </w:p>
        </w:tc>
        <w:tc>
          <w:tcPr>
            <w:tcW w:w="560" w:type="dxa"/>
            <w:vAlign w:val="bottom"/>
          </w:tcPr>
          <w:p>
            <w:pPr>
              <w:jc w:val="right"/>
              <w:ind w:right="26"/>
              <w:spacing w:after="0" w:line="124" w:lineRule="exact"/>
              <w:rPr>
                <w:sz w:val="20"/>
                <w:szCs w:val="20"/>
                <w:color w:val="auto"/>
              </w:rPr>
            </w:pPr>
            <w:r>
              <w:rPr>
                <w:rFonts w:ascii="Arial" w:cs="Arial" w:eastAsia="Arial" w:hAnsi="Arial"/>
                <w:sz w:val="11"/>
                <w:szCs w:val="11"/>
                <w:color w:val="auto"/>
              </w:rPr>
              <w:t>34</w:t>
            </w:r>
          </w:p>
        </w:tc>
        <w:tc>
          <w:tcPr>
            <w:tcW w:w="720" w:type="dxa"/>
            <w:vAlign w:val="bottom"/>
          </w:tcPr>
          <w:p>
            <w:pPr>
              <w:jc w:val="right"/>
              <w:ind w:right="146"/>
              <w:spacing w:after="0" w:line="124" w:lineRule="exact"/>
              <w:rPr>
                <w:sz w:val="20"/>
                <w:szCs w:val="20"/>
                <w:color w:val="auto"/>
              </w:rPr>
            </w:pPr>
            <w:r>
              <w:rPr>
                <w:rFonts w:ascii="Arial" w:cs="Arial" w:eastAsia="Arial" w:hAnsi="Arial"/>
                <w:sz w:val="11"/>
                <w:szCs w:val="11"/>
                <w:color w:val="auto"/>
              </w:rPr>
              <w:t>40</w:t>
            </w:r>
          </w:p>
        </w:tc>
        <w:tc>
          <w:tcPr>
            <w:tcW w:w="520" w:type="dxa"/>
            <w:vAlign w:val="bottom"/>
          </w:tcPr>
          <w:p>
            <w:pPr>
              <w:jc w:val="right"/>
              <w:ind w:right="46"/>
              <w:spacing w:after="0" w:line="124" w:lineRule="exact"/>
              <w:rPr>
                <w:sz w:val="20"/>
                <w:szCs w:val="20"/>
                <w:color w:val="auto"/>
              </w:rPr>
            </w:pPr>
            <w:r>
              <w:rPr>
                <w:rFonts w:ascii="Arial" w:cs="Arial" w:eastAsia="Arial" w:hAnsi="Arial"/>
                <w:sz w:val="11"/>
                <w:szCs w:val="11"/>
                <w:color w:val="auto"/>
              </w:rPr>
              <w:t>229</w:t>
            </w:r>
          </w:p>
        </w:tc>
        <w:tc>
          <w:tcPr>
            <w:tcW w:w="660" w:type="dxa"/>
            <w:vAlign w:val="bottom"/>
            <w:gridSpan w:val="2"/>
          </w:tcPr>
          <w:p>
            <w:pPr>
              <w:jc w:val="right"/>
              <w:ind w:right="86"/>
              <w:spacing w:after="0" w:line="124" w:lineRule="exact"/>
              <w:rPr>
                <w:sz w:val="20"/>
                <w:szCs w:val="20"/>
                <w:color w:val="auto"/>
              </w:rPr>
            </w:pPr>
            <w:r>
              <w:rPr>
                <w:rFonts w:ascii="Arial" w:cs="Arial" w:eastAsia="Arial" w:hAnsi="Arial"/>
                <w:sz w:val="11"/>
                <w:szCs w:val="11"/>
                <w:color w:val="auto"/>
              </w:rPr>
              <w:t>88</w:t>
            </w:r>
          </w:p>
        </w:tc>
        <w:tc>
          <w:tcPr>
            <w:tcW w:w="580" w:type="dxa"/>
            <w:vAlign w:val="bottom"/>
          </w:tcPr>
          <w:p>
            <w:pPr>
              <w:jc w:val="right"/>
              <w:ind w:right="26"/>
              <w:spacing w:after="0" w:line="124" w:lineRule="exact"/>
              <w:rPr>
                <w:sz w:val="20"/>
                <w:szCs w:val="20"/>
                <w:color w:val="auto"/>
              </w:rPr>
            </w:pPr>
            <w:r>
              <w:rPr>
                <w:rFonts w:ascii="Arial" w:cs="Arial" w:eastAsia="Arial" w:hAnsi="Arial"/>
                <w:sz w:val="11"/>
                <w:szCs w:val="11"/>
                <w:color w:val="auto"/>
              </w:rPr>
              <w:t>115</w:t>
            </w:r>
          </w:p>
        </w:tc>
        <w:tc>
          <w:tcPr>
            <w:tcW w:w="680" w:type="dxa"/>
            <w:vAlign w:val="bottom"/>
          </w:tcPr>
          <w:p>
            <w:pPr>
              <w:jc w:val="right"/>
              <w:ind w:right="26"/>
              <w:spacing w:after="0" w:line="124" w:lineRule="exact"/>
              <w:rPr>
                <w:sz w:val="20"/>
                <w:szCs w:val="20"/>
                <w:color w:val="auto"/>
              </w:rPr>
            </w:pPr>
            <w:r>
              <w:rPr>
                <w:rFonts w:ascii="Arial" w:cs="Arial" w:eastAsia="Arial" w:hAnsi="Arial"/>
                <w:sz w:val="11"/>
                <w:szCs w:val="11"/>
                <w:color w:val="auto"/>
              </w:rPr>
              <w:t>432</w:t>
            </w:r>
          </w:p>
        </w:tc>
        <w:tc>
          <w:tcPr>
            <w:tcW w:w="620" w:type="dxa"/>
            <w:vAlign w:val="bottom"/>
            <w:gridSpan w:val="2"/>
          </w:tcPr>
          <w:p>
            <w:pPr>
              <w:jc w:val="right"/>
              <w:ind w:right="106"/>
              <w:spacing w:after="0" w:line="124" w:lineRule="exact"/>
              <w:rPr>
                <w:sz w:val="20"/>
                <w:szCs w:val="20"/>
                <w:color w:val="auto"/>
              </w:rPr>
            </w:pPr>
            <w:r>
              <w:rPr>
                <w:rFonts w:ascii="Arial" w:cs="Arial" w:eastAsia="Arial" w:hAnsi="Arial"/>
                <w:sz w:val="11"/>
                <w:szCs w:val="11"/>
                <w:color w:val="auto"/>
              </w:rPr>
              <w:t>587</w:t>
            </w:r>
          </w:p>
        </w:tc>
        <w:tc>
          <w:tcPr>
            <w:tcW w:w="60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329</w:t>
            </w:r>
          </w:p>
        </w:tc>
        <w:tc>
          <w:tcPr>
            <w:tcW w:w="500" w:type="dxa"/>
            <w:vAlign w:val="bottom"/>
          </w:tcPr>
          <w:p>
            <w:pPr>
              <w:jc w:val="right"/>
              <w:ind w:right="6"/>
              <w:spacing w:after="0" w:line="124" w:lineRule="exact"/>
              <w:rPr>
                <w:sz w:val="20"/>
                <w:szCs w:val="20"/>
                <w:color w:val="auto"/>
              </w:rPr>
            </w:pPr>
            <w:r>
              <w:rPr>
                <w:rFonts w:ascii="Arial" w:cs="Arial" w:eastAsia="Arial" w:hAnsi="Arial"/>
                <w:sz w:val="11"/>
                <w:szCs w:val="11"/>
                <w:color w:val="auto"/>
              </w:rPr>
              <w:t>164</w:t>
            </w:r>
          </w:p>
        </w:tc>
        <w:tc>
          <w:tcPr>
            <w:tcW w:w="66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445</w:t>
            </w:r>
          </w:p>
        </w:tc>
        <w:tc>
          <w:tcPr>
            <w:tcW w:w="600" w:type="dxa"/>
            <w:vAlign w:val="bottom"/>
          </w:tcPr>
          <w:p>
            <w:pPr>
              <w:jc w:val="right"/>
              <w:ind w:right="86"/>
              <w:spacing w:after="0" w:line="124" w:lineRule="exact"/>
              <w:rPr>
                <w:sz w:val="20"/>
                <w:szCs w:val="20"/>
                <w:color w:val="auto"/>
              </w:rPr>
            </w:pPr>
            <w:r>
              <w:rPr>
                <w:rFonts w:ascii="Arial" w:cs="Arial" w:eastAsia="Arial" w:hAnsi="Arial"/>
                <w:sz w:val="11"/>
                <w:szCs w:val="11"/>
                <w:color w:val="auto"/>
              </w:rPr>
              <w:t>1,525</w:t>
            </w:r>
          </w:p>
        </w:tc>
        <w:tc>
          <w:tcPr>
            <w:tcW w:w="560" w:type="dxa"/>
            <w:vAlign w:val="bottom"/>
            <w:gridSpan w:val="2"/>
          </w:tcPr>
          <w:p>
            <w:pPr>
              <w:jc w:val="right"/>
              <w:ind w:right="46"/>
              <w:spacing w:after="0" w:line="124" w:lineRule="exact"/>
              <w:rPr>
                <w:sz w:val="20"/>
                <w:szCs w:val="20"/>
                <w:color w:val="auto"/>
              </w:rPr>
            </w:pPr>
            <w:r>
              <w:rPr>
                <w:rFonts w:ascii="Arial" w:cs="Arial" w:eastAsia="Arial" w:hAnsi="Arial"/>
                <w:sz w:val="11"/>
                <w:szCs w:val="11"/>
                <w:color w:val="auto"/>
              </w:rPr>
              <w:t>130</w:t>
            </w:r>
          </w:p>
        </w:tc>
        <w:tc>
          <w:tcPr>
            <w:tcW w:w="560" w:type="dxa"/>
            <w:vAlign w:val="bottom"/>
          </w:tcPr>
          <w:p>
            <w:pPr>
              <w:jc w:val="right"/>
              <w:ind w:right="26"/>
              <w:spacing w:after="0" w:line="124" w:lineRule="exact"/>
              <w:rPr>
                <w:sz w:val="20"/>
                <w:szCs w:val="20"/>
                <w:color w:val="auto"/>
              </w:rPr>
            </w:pPr>
            <w:r>
              <w:rPr>
                <w:rFonts w:ascii="Arial" w:cs="Arial" w:eastAsia="Arial" w:hAnsi="Arial"/>
                <w:sz w:val="11"/>
                <w:szCs w:val="11"/>
                <w:color w:val="auto"/>
              </w:rPr>
              <w:t>9</w:t>
            </w:r>
          </w:p>
        </w:tc>
        <w:tc>
          <w:tcPr>
            <w:tcW w:w="7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1,664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ind w:left="120"/>
              <w:spacing w:after="0" w:line="149" w:lineRule="exact"/>
              <w:rPr>
                <w:sz w:val="20"/>
                <w:szCs w:val="20"/>
                <w:color w:val="auto"/>
              </w:rPr>
            </w:pPr>
            <w:r>
              <w:rPr>
                <w:rFonts w:ascii="Arial" w:cs="Arial" w:eastAsia="Arial" w:hAnsi="Arial"/>
                <w:sz w:val="11"/>
                <w:szCs w:val="11"/>
                <w:color w:val="auto"/>
              </w:rPr>
              <w:t>Purchases</w:t>
            </w:r>
            <w:r>
              <w:rPr>
                <w:rFonts w:ascii="Arial" w:cs="Arial" w:eastAsia="Arial" w:hAnsi="Arial"/>
                <w:sz w:val="17"/>
                <w:szCs w:val="17"/>
                <w:color w:val="auto"/>
                <w:vertAlign w:val="superscript"/>
              </w:rPr>
              <w:t>1</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color w:val="auto"/>
              </w:rPr>
              <w:t>146</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147</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color w:val="auto"/>
              </w:rPr>
              <w:t>41</w:t>
            </w: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6</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53</w:t>
            </w:r>
          </w:p>
        </w:tc>
        <w:tc>
          <w:tcPr>
            <w:tcW w:w="560" w:type="dxa"/>
            <w:vAlign w:val="bottom"/>
            <w:gridSpan w:val="2"/>
          </w:tcPr>
          <w:p>
            <w:pPr>
              <w:jc w:val="right"/>
              <w:ind w:right="46"/>
              <w:spacing w:after="0"/>
              <w:rPr>
                <w:sz w:val="20"/>
                <w:szCs w:val="20"/>
                <w:color w:val="auto"/>
              </w:rPr>
            </w:pPr>
            <w:r>
              <w:rPr>
                <w:rFonts w:ascii="Arial" w:cs="Arial" w:eastAsia="Arial" w:hAnsi="Arial"/>
                <w:sz w:val="11"/>
                <w:szCs w:val="11"/>
                <w:color w:val="auto"/>
              </w:rPr>
              <w:t>187</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ind w:left="120"/>
              <w:spacing w:after="0" w:line="146" w:lineRule="exact"/>
              <w:rPr>
                <w:sz w:val="20"/>
                <w:szCs w:val="20"/>
                <w:color w:val="auto"/>
              </w:rPr>
            </w:pPr>
            <w:r>
              <w:rPr>
                <w:rFonts w:ascii="Arial" w:cs="Arial" w:eastAsia="Arial" w:hAnsi="Arial"/>
                <w:sz w:val="10"/>
                <w:szCs w:val="10"/>
                <w:color w:val="auto"/>
              </w:rPr>
              <w:t>Sales</w:t>
            </w:r>
            <w:r>
              <w:rPr>
                <w:rFonts w:ascii="Arial" w:cs="Arial" w:eastAsia="Arial" w:hAnsi="Arial"/>
                <w:sz w:val="16"/>
                <w:szCs w:val="16"/>
                <w:color w:val="auto"/>
                <w:vertAlign w:val="superscript"/>
              </w:rPr>
              <w:t>2</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(180)</w:t>
            </w: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(180)</w:t>
            </w:r>
          </w:p>
        </w:tc>
        <w:tc>
          <w:tcPr>
            <w:tcW w:w="14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(180)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tcBorders>
              <w:bottom w:val="single" w:sz="8" w:color="0070FF"/>
            </w:tcBorders>
          </w:tcPr>
          <w:p>
            <w:pPr>
              <w:ind w:left="120"/>
              <w:spacing w:after="0"/>
              <w:rPr>
                <w:sz w:val="20"/>
                <w:szCs w:val="20"/>
                <w:color w:val="auto"/>
              </w:rPr>
            </w:pPr>
            <w:r>
              <w:rPr>
                <w:rFonts w:ascii="Arial" w:cs="Arial" w:eastAsia="Arial" w:hAnsi="Arial"/>
                <w:sz w:val="11"/>
                <w:szCs w:val="11"/>
                <w:color w:val="auto"/>
              </w:rPr>
              <w:t>Production</w:t>
            </w:r>
          </w:p>
        </w:tc>
        <w:tc>
          <w:tcPr>
            <w:tcW w:w="480" w:type="dxa"/>
            <w:vAlign w:val="bottom"/>
            <w:tcBorders>
              <w:bottom w:val="single" w:sz="8" w:color="0070FF"/>
            </w:tcBorders>
          </w:tcPr>
          <w:p>
            <w:pPr>
              <w:jc w:val="right"/>
              <w:ind w:right="66"/>
              <w:spacing w:after="0"/>
              <w:rPr>
                <w:sz w:val="20"/>
                <w:szCs w:val="20"/>
                <w:color w:val="auto"/>
              </w:rPr>
            </w:pPr>
            <w:r>
              <w:rPr>
                <w:rFonts w:ascii="Arial" w:cs="Arial" w:eastAsia="Arial" w:hAnsi="Arial"/>
                <w:sz w:val="11"/>
                <w:szCs w:val="11"/>
                <w:color w:val="auto"/>
              </w:rPr>
              <w:t>(224)</w:t>
            </w:r>
          </w:p>
        </w:tc>
        <w:tc>
          <w:tcPr>
            <w:tcW w:w="72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color w:val="auto"/>
              </w:rPr>
              <w:t>(129)</w:t>
            </w:r>
          </w:p>
        </w:tc>
        <w:tc>
          <w:tcPr>
            <w:tcW w:w="56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color w:val="auto"/>
              </w:rPr>
              <w:t>(204)</w:t>
            </w:r>
          </w:p>
        </w:tc>
        <w:tc>
          <w:tcPr>
            <w:tcW w:w="72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color w:val="auto"/>
              </w:rPr>
              <w:t>(108)</w:t>
            </w:r>
          </w:p>
        </w:tc>
        <w:tc>
          <w:tcPr>
            <w:tcW w:w="52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color w:val="auto"/>
              </w:rPr>
              <w:t>(665)</w:t>
            </w:r>
          </w:p>
        </w:tc>
        <w:tc>
          <w:tcPr>
            <w:tcW w:w="660" w:type="dxa"/>
            <w:vAlign w:val="bottom"/>
            <w:tcBorders>
              <w:bottom w:val="single" w:sz="8" w:color="0070FF"/>
            </w:tcBorders>
            <w:gridSpan w:val="2"/>
          </w:tcPr>
          <w:p>
            <w:pPr>
              <w:jc w:val="right"/>
              <w:ind w:right="46"/>
              <w:spacing w:after="0"/>
              <w:rPr>
                <w:sz w:val="20"/>
                <w:szCs w:val="20"/>
                <w:color w:val="auto"/>
              </w:rPr>
            </w:pPr>
            <w:r>
              <w:rPr>
                <w:rFonts w:ascii="Arial" w:cs="Arial" w:eastAsia="Arial" w:hAnsi="Arial"/>
                <w:sz w:val="11"/>
                <w:szCs w:val="11"/>
                <w:color w:val="auto"/>
              </w:rPr>
              <w:t>(49)</w:t>
            </w:r>
          </w:p>
        </w:tc>
        <w:tc>
          <w:tcPr>
            <w:tcW w:w="58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color w:val="auto"/>
              </w:rPr>
              <w:t>(714)</w:t>
            </w:r>
          </w:p>
        </w:tc>
        <w:tc>
          <w:tcPr>
            <w:tcW w:w="620" w:type="dxa"/>
            <w:vAlign w:val="bottom"/>
            <w:tcBorders>
              <w:bottom w:val="single" w:sz="8" w:color="0070FF"/>
            </w:tcBorders>
            <w:gridSpan w:val="2"/>
          </w:tcPr>
          <w:p>
            <w:pPr>
              <w:jc w:val="right"/>
              <w:ind w:right="86"/>
              <w:spacing w:after="0"/>
              <w:rPr>
                <w:sz w:val="20"/>
                <w:szCs w:val="20"/>
                <w:color w:val="auto"/>
              </w:rPr>
            </w:pPr>
            <w:r>
              <w:rPr>
                <w:rFonts w:ascii="Arial" w:cs="Arial" w:eastAsia="Arial" w:hAnsi="Arial"/>
                <w:sz w:val="11"/>
                <w:szCs w:val="11"/>
                <w:color w:val="auto"/>
              </w:rPr>
              <w:t>(988)</w:t>
            </w:r>
          </w:p>
        </w:tc>
        <w:tc>
          <w:tcPr>
            <w:tcW w:w="60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color w:val="auto"/>
              </w:rPr>
              <w:t>(16)</w:t>
            </w: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1"/>
                <w:szCs w:val="11"/>
                <w:color w:val="auto"/>
              </w:rPr>
              <w:t>(194)</w:t>
            </w:r>
          </w:p>
        </w:tc>
        <w:tc>
          <w:tcPr>
            <w:tcW w:w="66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color w:val="auto"/>
              </w:rPr>
              <w:t>(360)</w:t>
            </w:r>
          </w:p>
        </w:tc>
        <w:tc>
          <w:tcPr>
            <w:tcW w:w="600" w:type="dxa"/>
            <w:vAlign w:val="bottom"/>
            <w:tcBorders>
              <w:bottom w:val="single" w:sz="8" w:color="0070FF"/>
            </w:tcBorders>
          </w:tcPr>
          <w:p>
            <w:pPr>
              <w:jc w:val="right"/>
              <w:ind w:right="46"/>
              <w:spacing w:after="0"/>
              <w:rPr>
                <w:sz w:val="20"/>
                <w:szCs w:val="20"/>
                <w:color w:val="auto"/>
              </w:rPr>
            </w:pPr>
            <w:r>
              <w:rPr>
                <w:rFonts w:ascii="Arial" w:cs="Arial" w:eastAsia="Arial" w:hAnsi="Arial"/>
                <w:sz w:val="11"/>
                <w:szCs w:val="11"/>
                <w:color w:val="auto"/>
              </w:rPr>
              <w:t>(1,558)</w:t>
            </w:r>
          </w:p>
        </w:tc>
        <w:tc>
          <w:tcPr>
            <w:tcW w:w="560" w:type="dxa"/>
            <w:vAlign w:val="bottom"/>
            <w:tcBorders>
              <w:bottom w:val="single" w:sz="8" w:color="0070FF"/>
            </w:tcBorders>
            <w:gridSpan w:val="2"/>
          </w:tcPr>
          <w:p>
            <w:pPr>
              <w:jc w:val="right"/>
              <w:ind w:right="6"/>
              <w:spacing w:after="0"/>
              <w:rPr>
                <w:sz w:val="20"/>
                <w:szCs w:val="20"/>
                <w:color w:val="auto"/>
              </w:rPr>
            </w:pPr>
            <w:r>
              <w:rPr>
                <w:rFonts w:ascii="Arial" w:cs="Arial" w:eastAsia="Arial" w:hAnsi="Arial"/>
                <w:sz w:val="11"/>
                <w:szCs w:val="11"/>
                <w:color w:val="auto"/>
              </w:rPr>
              <w:t>(55)</w:t>
            </w:r>
          </w:p>
        </w:tc>
        <w:tc>
          <w:tcPr>
            <w:tcW w:w="56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0070FF"/>
            </w:tcBorders>
          </w:tcPr>
          <w:p>
            <w:pPr>
              <w:jc w:val="right"/>
              <w:ind w:right="66"/>
              <w:spacing w:after="0"/>
              <w:rPr>
                <w:sz w:val="20"/>
                <w:szCs w:val="20"/>
                <w:color w:val="auto"/>
              </w:rPr>
            </w:pPr>
            <w:r>
              <w:rPr>
                <w:rFonts w:ascii="Arial" w:cs="Arial" w:eastAsia="Arial" w:hAnsi="Arial"/>
                <w:sz w:val="11"/>
                <w:szCs w:val="11"/>
                <w:color w:val="auto"/>
              </w:rPr>
              <w:t>(1,613)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640" w:type="dxa"/>
            <w:vAlign w:val="bottom"/>
          </w:tcPr>
          <w:p>
            <w:pPr>
              <w:spacing w:after="0" w:line="115" w:lineRule="exact"/>
              <w:rPr>
                <w:sz w:val="20"/>
                <w:szCs w:val="20"/>
                <w:color w:val="auto"/>
              </w:rPr>
            </w:pPr>
            <w:r>
              <w:rPr>
                <w:rFonts w:ascii="Arial" w:cs="Arial" w:eastAsia="Arial" w:hAnsi="Arial"/>
                <w:sz w:val="11"/>
                <w:szCs w:val="11"/>
                <w:b w:val="1"/>
                <w:bCs w:val="1"/>
                <w:color w:val="0070FF"/>
              </w:rPr>
              <w:t>RESERVES AT DECEMBER</w:t>
            </w: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60" w:type="dxa"/>
            <w:vAlign w:val="bottom"/>
            <w:gridSpan w:val="2"/>
          </w:tcPr>
          <w:p>
            <w:pPr>
              <w:ind w:left="140"/>
              <w:spacing w:after="0"/>
              <w:rPr>
                <w:sz w:val="20"/>
                <w:szCs w:val="20"/>
                <w:color w:val="auto"/>
              </w:rPr>
            </w:pPr>
            <w:r>
              <w:rPr>
                <w:rFonts w:ascii="Arial" w:cs="Arial" w:eastAsia="Arial" w:hAnsi="Arial"/>
                <w:sz w:val="11"/>
                <w:szCs w:val="11"/>
                <w:b w:val="1"/>
                <w:bCs w:val="1"/>
                <w:color w:val="0070FF"/>
              </w:rPr>
              <w:t>31, 2001</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2,301</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1,544</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1,906</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745</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6,496</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color w:val="auto"/>
              </w:rPr>
              <w:t>1,541</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487</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8,524</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color w:val="auto"/>
              </w:rPr>
              <w:t>7,387</w:t>
            </w: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1,872</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4,759</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3,088</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17,106</w:t>
            </w:r>
          </w:p>
        </w:tc>
        <w:tc>
          <w:tcPr>
            <w:tcW w:w="560" w:type="dxa"/>
            <w:vAlign w:val="bottom"/>
            <w:gridSpan w:val="2"/>
          </w:tcPr>
          <w:p>
            <w:pPr>
              <w:jc w:val="right"/>
              <w:ind w:right="46"/>
              <w:spacing w:after="0"/>
              <w:rPr>
                <w:sz w:val="20"/>
                <w:szCs w:val="20"/>
                <w:color w:val="auto"/>
              </w:rPr>
            </w:pPr>
            <w:r>
              <w:rPr>
                <w:rFonts w:ascii="Arial" w:cs="Arial" w:eastAsia="Arial" w:hAnsi="Arial"/>
                <w:sz w:val="11"/>
                <w:szCs w:val="11"/>
                <w:color w:val="auto"/>
              </w:rPr>
              <w:t>2,262</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42</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19,410</w:t>
            </w:r>
          </w:p>
        </w:tc>
        <w:tc>
          <w:tcPr>
            <w:tcW w:w="0" w:type="dxa"/>
            <w:vAlign w:val="bottom"/>
          </w:tcPr>
          <w:p>
            <w:pPr>
              <w:spacing w:after="0"/>
              <w:rPr>
                <w:sz w:val="1"/>
                <w:szCs w:val="1"/>
                <w:color w:val="auto"/>
              </w:rPr>
            </w:pPr>
          </w:p>
        </w:tc>
      </w:tr>
      <w:tr>
        <w:trPr>
          <w:trHeight w:val="122"/>
        </w:trPr>
        <w:tc>
          <w:tcPr>
            <w:tcW w:w="1660" w:type="dxa"/>
            <w:vAlign w:val="bottom"/>
            <w:gridSpan w:val="2"/>
          </w:tcPr>
          <w:p>
            <w:pPr>
              <w:spacing w:after="0" w:line="122" w:lineRule="exact"/>
              <w:rPr>
                <w:sz w:val="20"/>
                <w:szCs w:val="20"/>
                <w:color w:val="auto"/>
              </w:rPr>
            </w:pPr>
            <w:r>
              <w:rPr>
                <w:rFonts w:ascii="Arial" w:cs="Arial" w:eastAsia="Arial" w:hAnsi="Arial"/>
                <w:sz w:val="11"/>
                <w:szCs w:val="11"/>
                <w:color w:val="auto"/>
              </w:rPr>
              <w:t>Changes attributable to:</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ind w:left="120"/>
              <w:spacing w:after="0" w:line="122" w:lineRule="exact"/>
              <w:rPr>
                <w:sz w:val="20"/>
                <w:szCs w:val="20"/>
                <w:color w:val="auto"/>
              </w:rPr>
            </w:pPr>
            <w:r>
              <w:rPr>
                <w:rFonts w:ascii="Arial" w:cs="Arial" w:eastAsia="Arial" w:hAnsi="Arial"/>
                <w:sz w:val="11"/>
                <w:szCs w:val="11"/>
                <w:color w:val="auto"/>
              </w:rPr>
              <w:t>Revisions</w:t>
            </w:r>
          </w:p>
        </w:tc>
        <w:tc>
          <w:tcPr>
            <w:tcW w:w="4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(116)</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164</w:t>
            </w:r>
          </w:p>
        </w:tc>
        <w:tc>
          <w:tcPr>
            <w:tcW w:w="5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(114)</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17</w:t>
            </w:r>
          </w:p>
        </w:tc>
        <w:tc>
          <w:tcPr>
            <w:tcW w:w="520" w:type="dxa"/>
            <w:vAlign w:val="bottom"/>
          </w:tcPr>
          <w:p>
            <w:pPr>
              <w:jc w:val="right"/>
              <w:ind w:right="6"/>
              <w:spacing w:after="0" w:line="122" w:lineRule="exact"/>
              <w:rPr>
                <w:sz w:val="20"/>
                <w:szCs w:val="20"/>
                <w:color w:val="auto"/>
              </w:rPr>
            </w:pPr>
            <w:r>
              <w:rPr>
                <w:rFonts w:ascii="Arial" w:cs="Arial" w:eastAsia="Arial" w:hAnsi="Arial"/>
                <w:sz w:val="11"/>
                <w:szCs w:val="11"/>
                <w:color w:val="auto"/>
              </w:rPr>
              <w:t>(49)</w:t>
            </w:r>
          </w:p>
        </w:tc>
        <w:tc>
          <w:tcPr>
            <w:tcW w:w="66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199</w:t>
            </w:r>
          </w:p>
        </w:tc>
        <w:tc>
          <w:tcPr>
            <w:tcW w:w="5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150</w:t>
            </w:r>
          </w:p>
        </w:tc>
        <w:tc>
          <w:tcPr>
            <w:tcW w:w="62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(598)</w:t>
            </w: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277</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390</w:t>
            </w:r>
          </w:p>
        </w:tc>
        <w:tc>
          <w:tcPr>
            <w:tcW w:w="66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92</w:t>
            </w:r>
          </w:p>
        </w:tc>
        <w:tc>
          <w:tcPr>
            <w:tcW w:w="6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161</w:t>
            </w:r>
          </w:p>
        </w:tc>
        <w:tc>
          <w:tcPr>
            <w:tcW w:w="56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293</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w:t>
            </w: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455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ind w:left="120"/>
              <w:spacing w:after="0" w:line="122" w:lineRule="exact"/>
              <w:rPr>
                <w:sz w:val="20"/>
                <w:szCs w:val="20"/>
                <w:color w:val="auto"/>
              </w:rPr>
            </w:pPr>
            <w:r>
              <w:rPr>
                <w:rFonts w:ascii="Arial" w:cs="Arial" w:eastAsia="Arial" w:hAnsi="Arial"/>
                <w:sz w:val="11"/>
                <w:szCs w:val="11"/>
                <w:color w:val="auto"/>
              </w:rPr>
              <w:t>Improved recovery</w:t>
            </w: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99</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82</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36</w:t>
            </w:r>
          </w:p>
        </w:tc>
        <w:tc>
          <w:tcPr>
            <w:tcW w:w="5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239</w:t>
            </w:r>
          </w:p>
        </w:tc>
        <w:tc>
          <w:tcPr>
            <w:tcW w:w="180" w:type="dxa"/>
            <w:vAlign w:val="bottom"/>
          </w:tcPr>
          <w:p>
            <w:pPr>
              <w:spacing w:after="0"/>
              <w:rPr>
                <w:sz w:val="10"/>
                <w:szCs w:val="10"/>
                <w:color w:val="auto"/>
              </w:rPr>
            </w:pP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239</w:t>
            </w:r>
          </w:p>
        </w:tc>
        <w:tc>
          <w:tcPr>
            <w:tcW w:w="62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21</w:t>
            </w: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42</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4</w:t>
            </w:r>
          </w:p>
        </w:tc>
        <w:tc>
          <w:tcPr>
            <w:tcW w:w="66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10</w:t>
            </w:r>
          </w:p>
        </w:tc>
        <w:tc>
          <w:tcPr>
            <w:tcW w:w="6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77</w:t>
            </w:r>
          </w:p>
        </w:tc>
        <w:tc>
          <w:tcPr>
            <w:tcW w:w="140" w:type="dxa"/>
            <w:vAlign w:val="bottom"/>
          </w:tcPr>
          <w:p>
            <w:pPr>
              <w:spacing w:after="0"/>
              <w:rPr>
                <w:sz w:val="10"/>
                <w:szCs w:val="10"/>
                <w:color w:val="auto"/>
              </w:rPr>
            </w:pPr>
          </w:p>
        </w:tc>
        <w:tc>
          <w:tcPr>
            <w:tcW w:w="4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40" w:type="dxa"/>
            <w:vAlign w:val="bottom"/>
          </w:tcPr>
          <w:p>
            <w:pPr>
              <w:ind w:left="120"/>
              <w:spacing w:after="0" w:line="124" w:lineRule="exact"/>
              <w:rPr>
                <w:sz w:val="20"/>
                <w:szCs w:val="20"/>
                <w:color w:val="auto"/>
              </w:rPr>
            </w:pPr>
            <w:r>
              <w:rPr>
                <w:rFonts w:ascii="Arial" w:cs="Arial" w:eastAsia="Arial" w:hAnsi="Arial"/>
                <w:sz w:val="11"/>
                <w:szCs w:val="11"/>
                <w:color w:val="auto"/>
              </w:rPr>
              <w:t>Extensions and discoveries</w:t>
            </w:r>
          </w:p>
        </w:tc>
        <w:tc>
          <w:tcPr>
            <w:tcW w:w="480" w:type="dxa"/>
            <w:vAlign w:val="bottom"/>
          </w:tcPr>
          <w:p>
            <w:pPr>
              <w:jc w:val="right"/>
              <w:ind w:right="86"/>
              <w:spacing w:after="0" w:line="124" w:lineRule="exact"/>
              <w:rPr>
                <w:sz w:val="20"/>
                <w:szCs w:val="20"/>
                <w:color w:val="auto"/>
              </w:rPr>
            </w:pPr>
            <w:r>
              <w:rPr>
                <w:rFonts w:ascii="Arial" w:cs="Arial" w:eastAsia="Arial" w:hAnsi="Arial"/>
                <w:sz w:val="11"/>
                <w:szCs w:val="11"/>
                <w:color w:val="auto"/>
              </w:rPr>
              <w:t>48</w:t>
            </w:r>
          </w:p>
        </w:tc>
        <w:tc>
          <w:tcPr>
            <w:tcW w:w="720" w:type="dxa"/>
            <w:vAlign w:val="bottom"/>
          </w:tcPr>
          <w:p>
            <w:pPr>
              <w:jc w:val="right"/>
              <w:ind w:right="146"/>
              <w:spacing w:after="0" w:line="124" w:lineRule="exact"/>
              <w:rPr>
                <w:sz w:val="20"/>
                <w:szCs w:val="20"/>
                <w:color w:val="auto"/>
              </w:rPr>
            </w:pPr>
            <w:r>
              <w:rPr>
                <w:rFonts w:ascii="Arial" w:cs="Arial" w:eastAsia="Arial" w:hAnsi="Arial"/>
                <w:sz w:val="11"/>
                <w:szCs w:val="11"/>
                <w:color w:val="auto"/>
              </w:rPr>
              <w:t>301</w:t>
            </w:r>
          </w:p>
        </w:tc>
        <w:tc>
          <w:tcPr>
            <w:tcW w:w="560" w:type="dxa"/>
            <w:vAlign w:val="bottom"/>
          </w:tcPr>
          <w:p>
            <w:pPr>
              <w:jc w:val="right"/>
              <w:ind w:right="26"/>
              <w:spacing w:after="0" w:line="124" w:lineRule="exact"/>
              <w:rPr>
                <w:sz w:val="20"/>
                <w:szCs w:val="20"/>
                <w:color w:val="auto"/>
              </w:rPr>
            </w:pPr>
            <w:r>
              <w:rPr>
                <w:rFonts w:ascii="Arial" w:cs="Arial" w:eastAsia="Arial" w:hAnsi="Arial"/>
                <w:sz w:val="11"/>
                <w:szCs w:val="11"/>
                <w:color w:val="auto"/>
              </w:rPr>
              <w:t>85</w:t>
            </w:r>
          </w:p>
        </w:tc>
        <w:tc>
          <w:tcPr>
            <w:tcW w:w="720" w:type="dxa"/>
            <w:vAlign w:val="bottom"/>
          </w:tcPr>
          <w:p>
            <w:pPr>
              <w:jc w:val="right"/>
              <w:ind w:right="146"/>
              <w:spacing w:after="0" w:line="124" w:lineRule="exact"/>
              <w:rPr>
                <w:sz w:val="20"/>
                <w:szCs w:val="20"/>
                <w:color w:val="auto"/>
              </w:rPr>
            </w:pPr>
            <w:r>
              <w:rPr>
                <w:rFonts w:ascii="Arial" w:cs="Arial" w:eastAsia="Arial" w:hAnsi="Arial"/>
                <w:sz w:val="11"/>
                <w:szCs w:val="11"/>
                <w:color w:val="auto"/>
              </w:rPr>
              <w:t>8</w:t>
            </w:r>
          </w:p>
        </w:tc>
        <w:tc>
          <w:tcPr>
            <w:tcW w:w="520" w:type="dxa"/>
            <w:vAlign w:val="bottom"/>
          </w:tcPr>
          <w:p>
            <w:pPr>
              <w:jc w:val="right"/>
              <w:ind w:right="46"/>
              <w:spacing w:after="0" w:line="124" w:lineRule="exact"/>
              <w:rPr>
                <w:sz w:val="20"/>
                <w:szCs w:val="20"/>
                <w:color w:val="auto"/>
              </w:rPr>
            </w:pPr>
            <w:r>
              <w:rPr>
                <w:rFonts w:ascii="Arial" w:cs="Arial" w:eastAsia="Arial" w:hAnsi="Arial"/>
                <w:sz w:val="11"/>
                <w:szCs w:val="11"/>
                <w:color w:val="auto"/>
              </w:rPr>
              <w:t>442</w:t>
            </w:r>
          </w:p>
        </w:tc>
        <w:tc>
          <w:tcPr>
            <w:tcW w:w="180" w:type="dxa"/>
            <w:vAlign w:val="bottom"/>
          </w:tcPr>
          <w:p>
            <w:pPr>
              <w:spacing w:after="0"/>
              <w:rPr>
                <w:sz w:val="10"/>
                <w:szCs w:val="10"/>
                <w:color w:val="auto"/>
              </w:rPr>
            </w:pPr>
          </w:p>
        </w:tc>
        <w:tc>
          <w:tcPr>
            <w:tcW w:w="480" w:type="dxa"/>
            <w:vAlign w:val="bottom"/>
          </w:tcPr>
          <w:p>
            <w:pPr>
              <w:jc w:val="right"/>
              <w:ind w:right="86"/>
              <w:spacing w:after="0" w:line="124"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line="124"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line="124" w:lineRule="exact"/>
              <w:rPr>
                <w:sz w:val="20"/>
                <w:szCs w:val="20"/>
                <w:color w:val="auto"/>
              </w:rPr>
            </w:pPr>
            <w:r>
              <w:rPr>
                <w:rFonts w:ascii="Arial" w:cs="Arial" w:eastAsia="Arial" w:hAnsi="Arial"/>
                <w:sz w:val="11"/>
                <w:szCs w:val="11"/>
                <w:color w:val="auto"/>
              </w:rPr>
              <w:t>442</w:t>
            </w:r>
          </w:p>
        </w:tc>
        <w:tc>
          <w:tcPr>
            <w:tcW w:w="620" w:type="dxa"/>
            <w:vAlign w:val="bottom"/>
            <w:gridSpan w:val="2"/>
          </w:tcPr>
          <w:p>
            <w:pPr>
              <w:jc w:val="right"/>
              <w:ind w:right="106"/>
              <w:spacing w:after="0" w:line="124" w:lineRule="exact"/>
              <w:rPr>
                <w:sz w:val="20"/>
                <w:szCs w:val="20"/>
                <w:color w:val="auto"/>
              </w:rPr>
            </w:pPr>
            <w:r>
              <w:rPr>
                <w:rFonts w:ascii="Arial" w:cs="Arial" w:eastAsia="Arial" w:hAnsi="Arial"/>
                <w:sz w:val="11"/>
                <w:szCs w:val="11"/>
                <w:color w:val="auto"/>
              </w:rPr>
              <w:t>395</w:t>
            </w:r>
          </w:p>
        </w:tc>
        <w:tc>
          <w:tcPr>
            <w:tcW w:w="60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134</w:t>
            </w:r>
          </w:p>
        </w:tc>
        <w:tc>
          <w:tcPr>
            <w:tcW w:w="500" w:type="dxa"/>
            <w:vAlign w:val="bottom"/>
          </w:tcPr>
          <w:p>
            <w:pPr>
              <w:jc w:val="right"/>
              <w:ind w:right="6"/>
              <w:spacing w:after="0" w:line="124" w:lineRule="exact"/>
              <w:rPr>
                <w:sz w:val="20"/>
                <w:szCs w:val="20"/>
                <w:color w:val="auto"/>
              </w:rPr>
            </w:pPr>
            <w:r>
              <w:rPr>
                <w:rFonts w:ascii="Arial" w:cs="Arial" w:eastAsia="Arial" w:hAnsi="Arial"/>
                <w:sz w:val="11"/>
                <w:szCs w:val="11"/>
                <w:color w:val="auto"/>
              </w:rPr>
              <w:t>260</w:t>
            </w:r>
          </w:p>
        </w:tc>
        <w:tc>
          <w:tcPr>
            <w:tcW w:w="66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103</w:t>
            </w:r>
          </w:p>
        </w:tc>
        <w:tc>
          <w:tcPr>
            <w:tcW w:w="600" w:type="dxa"/>
            <w:vAlign w:val="bottom"/>
          </w:tcPr>
          <w:p>
            <w:pPr>
              <w:jc w:val="right"/>
              <w:ind w:right="86"/>
              <w:spacing w:after="0" w:line="124" w:lineRule="exact"/>
              <w:rPr>
                <w:sz w:val="20"/>
                <w:szCs w:val="20"/>
                <w:color w:val="auto"/>
              </w:rPr>
            </w:pPr>
            <w:r>
              <w:rPr>
                <w:rFonts w:ascii="Arial" w:cs="Arial" w:eastAsia="Arial" w:hAnsi="Arial"/>
                <w:sz w:val="11"/>
                <w:szCs w:val="11"/>
                <w:color w:val="auto"/>
              </w:rPr>
              <w:t>892</w:t>
            </w:r>
          </w:p>
        </w:tc>
        <w:tc>
          <w:tcPr>
            <w:tcW w:w="140" w:type="dxa"/>
            <w:vAlign w:val="bottom"/>
          </w:tcPr>
          <w:p>
            <w:pPr>
              <w:spacing w:after="0"/>
              <w:rPr>
                <w:sz w:val="10"/>
                <w:szCs w:val="10"/>
                <w:color w:val="auto"/>
              </w:rPr>
            </w:pPr>
          </w:p>
        </w:tc>
        <w:tc>
          <w:tcPr>
            <w:tcW w:w="420" w:type="dxa"/>
            <w:vAlign w:val="bottom"/>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line="124"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ind w:left="120"/>
              <w:spacing w:after="0" w:line="149" w:lineRule="exact"/>
              <w:rPr>
                <w:sz w:val="20"/>
                <w:szCs w:val="20"/>
                <w:color w:val="auto"/>
              </w:rPr>
            </w:pPr>
            <w:r>
              <w:rPr>
                <w:rFonts w:ascii="Arial" w:cs="Arial" w:eastAsia="Arial" w:hAnsi="Arial"/>
                <w:sz w:val="11"/>
                <w:szCs w:val="11"/>
                <w:color w:val="auto"/>
              </w:rPr>
              <w:t>Purchases</w:t>
            </w:r>
            <w:r>
              <w:rPr>
                <w:rFonts w:ascii="Arial" w:cs="Arial" w:eastAsia="Arial" w:hAnsi="Arial"/>
                <w:sz w:val="17"/>
                <w:szCs w:val="17"/>
                <w:color w:val="auto"/>
                <w:vertAlign w:val="superscript"/>
              </w:rPr>
              <w:t>1</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color w:val="auto"/>
              </w:rPr>
              <w:t>93</w:t>
            </w: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101</w:t>
            </w:r>
          </w:p>
        </w:tc>
        <w:tc>
          <w:tcPr>
            <w:tcW w:w="14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ind w:left="120"/>
              <w:spacing w:after="0" w:line="146" w:lineRule="exact"/>
              <w:rPr>
                <w:sz w:val="20"/>
                <w:szCs w:val="20"/>
                <w:color w:val="auto"/>
              </w:rPr>
            </w:pPr>
            <w:r>
              <w:rPr>
                <w:rFonts w:ascii="Arial" w:cs="Arial" w:eastAsia="Arial" w:hAnsi="Arial"/>
                <w:sz w:val="10"/>
                <w:szCs w:val="10"/>
                <w:color w:val="auto"/>
              </w:rPr>
              <w:t>Sales</w:t>
            </w:r>
            <w:r>
              <w:rPr>
                <w:rFonts w:ascii="Arial" w:cs="Arial" w:eastAsia="Arial" w:hAnsi="Arial"/>
                <w:sz w:val="16"/>
                <w:szCs w:val="16"/>
                <w:color w:val="auto"/>
                <w:vertAlign w:val="superscript"/>
              </w:rPr>
              <w:t>2</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color w:val="auto"/>
              </w:rPr>
              <w:t>(3)</w:t>
            </w: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tcBorders>
              <w:bottom w:val="single" w:sz="8" w:color="0070FF"/>
            </w:tcBorders>
          </w:tcPr>
          <w:p>
            <w:pPr>
              <w:ind w:left="120"/>
              <w:spacing w:after="0"/>
              <w:rPr>
                <w:sz w:val="20"/>
                <w:szCs w:val="20"/>
                <w:color w:val="auto"/>
              </w:rPr>
            </w:pPr>
            <w:r>
              <w:rPr>
                <w:rFonts w:ascii="Arial" w:cs="Arial" w:eastAsia="Arial" w:hAnsi="Arial"/>
                <w:sz w:val="11"/>
                <w:szCs w:val="11"/>
                <w:color w:val="auto"/>
              </w:rPr>
              <w:t>Production</w:t>
            </w:r>
          </w:p>
        </w:tc>
        <w:tc>
          <w:tcPr>
            <w:tcW w:w="480" w:type="dxa"/>
            <w:vAlign w:val="bottom"/>
            <w:tcBorders>
              <w:bottom w:val="single" w:sz="8" w:color="0070FF"/>
            </w:tcBorders>
          </w:tcPr>
          <w:p>
            <w:pPr>
              <w:jc w:val="right"/>
              <w:ind w:right="66"/>
              <w:spacing w:after="0"/>
              <w:rPr>
                <w:sz w:val="20"/>
                <w:szCs w:val="20"/>
                <w:color w:val="auto"/>
              </w:rPr>
            </w:pPr>
            <w:r>
              <w:rPr>
                <w:rFonts w:ascii="Arial" w:cs="Arial" w:eastAsia="Arial" w:hAnsi="Arial"/>
                <w:sz w:val="11"/>
                <w:szCs w:val="11"/>
                <w:color w:val="auto"/>
              </w:rPr>
              <w:t>(220)</w:t>
            </w:r>
          </w:p>
        </w:tc>
        <w:tc>
          <w:tcPr>
            <w:tcW w:w="72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color w:val="auto"/>
              </w:rPr>
              <w:t>(115)</w:t>
            </w:r>
          </w:p>
        </w:tc>
        <w:tc>
          <w:tcPr>
            <w:tcW w:w="56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color w:val="auto"/>
              </w:rPr>
              <w:t>(195)</w:t>
            </w:r>
          </w:p>
        </w:tc>
        <w:tc>
          <w:tcPr>
            <w:tcW w:w="72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color w:val="auto"/>
              </w:rPr>
              <w:t>(109)</w:t>
            </w:r>
          </w:p>
        </w:tc>
        <w:tc>
          <w:tcPr>
            <w:tcW w:w="52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color w:val="auto"/>
              </w:rPr>
              <w:t>(639)</w:t>
            </w:r>
          </w:p>
        </w:tc>
        <w:tc>
          <w:tcPr>
            <w:tcW w:w="660" w:type="dxa"/>
            <w:vAlign w:val="bottom"/>
            <w:tcBorders>
              <w:bottom w:val="single" w:sz="8" w:color="0070FF"/>
            </w:tcBorders>
            <w:gridSpan w:val="2"/>
          </w:tcPr>
          <w:p>
            <w:pPr>
              <w:jc w:val="right"/>
              <w:ind w:right="46"/>
              <w:spacing w:after="0"/>
              <w:rPr>
                <w:sz w:val="20"/>
                <w:szCs w:val="20"/>
                <w:color w:val="auto"/>
              </w:rPr>
            </w:pPr>
            <w:r>
              <w:rPr>
                <w:rFonts w:ascii="Arial" w:cs="Arial" w:eastAsia="Arial" w:hAnsi="Arial"/>
                <w:sz w:val="11"/>
                <w:szCs w:val="11"/>
                <w:color w:val="auto"/>
              </w:rPr>
              <w:t>(51)</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1"/>
                <w:szCs w:val="11"/>
                <w:color w:val="auto"/>
              </w:rPr>
              <w:t>(2)</w:t>
            </w:r>
          </w:p>
        </w:tc>
        <w:tc>
          <w:tcPr>
            <w:tcW w:w="68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color w:val="auto"/>
              </w:rPr>
              <w:t>(692)</w:t>
            </w:r>
          </w:p>
        </w:tc>
        <w:tc>
          <w:tcPr>
            <w:tcW w:w="620" w:type="dxa"/>
            <w:vAlign w:val="bottom"/>
            <w:tcBorders>
              <w:bottom w:val="single" w:sz="8" w:color="0070FF"/>
            </w:tcBorders>
            <w:gridSpan w:val="2"/>
          </w:tcPr>
          <w:p>
            <w:pPr>
              <w:jc w:val="right"/>
              <w:ind w:right="86"/>
              <w:spacing w:after="0"/>
              <w:rPr>
                <w:sz w:val="20"/>
                <w:szCs w:val="20"/>
                <w:color w:val="auto"/>
              </w:rPr>
            </w:pPr>
            <w:r>
              <w:rPr>
                <w:rFonts w:ascii="Arial" w:cs="Arial" w:eastAsia="Arial" w:hAnsi="Arial"/>
                <w:sz w:val="11"/>
                <w:szCs w:val="11"/>
                <w:color w:val="auto"/>
              </w:rPr>
              <w:t>(878)</w:t>
            </w:r>
          </w:p>
        </w:tc>
        <w:tc>
          <w:tcPr>
            <w:tcW w:w="60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color w:val="auto"/>
              </w:rPr>
              <w:t>(27)</w:t>
            </w: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1"/>
                <w:szCs w:val="11"/>
                <w:color w:val="auto"/>
              </w:rPr>
              <w:t>(257)</w:t>
            </w:r>
          </w:p>
        </w:tc>
        <w:tc>
          <w:tcPr>
            <w:tcW w:w="66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color w:val="auto"/>
              </w:rPr>
              <w:t>(369)</w:t>
            </w:r>
          </w:p>
        </w:tc>
        <w:tc>
          <w:tcPr>
            <w:tcW w:w="600" w:type="dxa"/>
            <w:vAlign w:val="bottom"/>
            <w:tcBorders>
              <w:bottom w:val="single" w:sz="8" w:color="0070FF"/>
            </w:tcBorders>
          </w:tcPr>
          <w:p>
            <w:pPr>
              <w:jc w:val="right"/>
              <w:ind w:right="46"/>
              <w:spacing w:after="0"/>
              <w:rPr>
                <w:sz w:val="20"/>
                <w:szCs w:val="20"/>
                <w:color w:val="auto"/>
              </w:rPr>
            </w:pPr>
            <w:r>
              <w:rPr>
                <w:rFonts w:ascii="Arial" w:cs="Arial" w:eastAsia="Arial" w:hAnsi="Arial"/>
                <w:sz w:val="11"/>
                <w:szCs w:val="11"/>
                <w:color w:val="auto"/>
              </w:rPr>
              <w:t>(1,531)</w:t>
            </w:r>
          </w:p>
        </w:tc>
        <w:tc>
          <w:tcPr>
            <w:tcW w:w="560" w:type="dxa"/>
            <w:vAlign w:val="bottom"/>
            <w:tcBorders>
              <w:bottom w:val="single" w:sz="8" w:color="0070FF"/>
            </w:tcBorders>
            <w:gridSpan w:val="2"/>
          </w:tcPr>
          <w:p>
            <w:pPr>
              <w:jc w:val="right"/>
              <w:ind w:right="6"/>
              <w:spacing w:after="0"/>
              <w:rPr>
                <w:sz w:val="20"/>
                <w:szCs w:val="20"/>
                <w:color w:val="auto"/>
              </w:rPr>
            </w:pPr>
            <w:r>
              <w:rPr>
                <w:rFonts w:ascii="Arial" w:cs="Arial" w:eastAsia="Arial" w:hAnsi="Arial"/>
                <w:sz w:val="11"/>
                <w:szCs w:val="11"/>
                <w:color w:val="auto"/>
              </w:rPr>
              <w:t>(66)</w:t>
            </w:r>
          </w:p>
        </w:tc>
        <w:tc>
          <w:tcPr>
            <w:tcW w:w="56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0070FF"/>
            </w:tcBorders>
          </w:tcPr>
          <w:p>
            <w:pPr>
              <w:jc w:val="right"/>
              <w:ind w:right="66"/>
              <w:spacing w:after="0"/>
              <w:rPr>
                <w:sz w:val="20"/>
                <w:szCs w:val="20"/>
                <w:color w:val="auto"/>
              </w:rPr>
            </w:pPr>
            <w:r>
              <w:rPr>
                <w:rFonts w:ascii="Arial" w:cs="Arial" w:eastAsia="Arial" w:hAnsi="Arial"/>
                <w:sz w:val="11"/>
                <w:szCs w:val="11"/>
                <w:color w:val="auto"/>
              </w:rPr>
              <w:t>(1,597)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640" w:type="dxa"/>
            <w:vAlign w:val="bottom"/>
          </w:tcPr>
          <w:p>
            <w:pPr>
              <w:spacing w:after="0" w:line="115" w:lineRule="exact"/>
              <w:rPr>
                <w:sz w:val="20"/>
                <w:szCs w:val="20"/>
                <w:color w:val="auto"/>
              </w:rPr>
            </w:pPr>
            <w:r>
              <w:rPr>
                <w:rFonts w:ascii="Arial" w:cs="Arial" w:eastAsia="Arial" w:hAnsi="Arial"/>
                <w:sz w:val="11"/>
                <w:szCs w:val="11"/>
                <w:b w:val="1"/>
                <w:bCs w:val="1"/>
                <w:color w:val="0070FF"/>
              </w:rPr>
              <w:t>RESERVES AT DECEMBER</w:t>
            </w: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60" w:type="dxa"/>
            <w:vAlign w:val="bottom"/>
            <w:gridSpan w:val="2"/>
          </w:tcPr>
          <w:p>
            <w:pPr>
              <w:ind w:left="140"/>
              <w:spacing w:after="0"/>
              <w:rPr>
                <w:sz w:val="20"/>
                <w:szCs w:val="20"/>
                <w:color w:val="auto"/>
              </w:rPr>
            </w:pPr>
            <w:r>
              <w:rPr>
                <w:rFonts w:ascii="Arial" w:cs="Arial" w:eastAsia="Arial" w:hAnsi="Arial"/>
                <w:sz w:val="11"/>
                <w:szCs w:val="11"/>
                <w:b w:val="1"/>
                <w:bCs w:val="1"/>
                <w:color w:val="0070FF"/>
              </w:rPr>
              <w:t>31, 2002</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2,117</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1,976</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1,704</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697</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6,494</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color w:val="auto"/>
              </w:rPr>
              <w:t>1,689</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485</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8,668</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color w:val="auto"/>
              </w:rPr>
              <w:t>6,417</w:t>
            </w: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2,298</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5,164</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2,924</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16,803</w:t>
            </w:r>
          </w:p>
        </w:tc>
        <w:tc>
          <w:tcPr>
            <w:tcW w:w="560" w:type="dxa"/>
            <w:vAlign w:val="bottom"/>
            <w:gridSpan w:val="2"/>
          </w:tcPr>
          <w:p>
            <w:pPr>
              <w:jc w:val="right"/>
              <w:ind w:right="46"/>
              <w:spacing w:after="0"/>
              <w:rPr>
                <w:sz w:val="20"/>
                <w:szCs w:val="20"/>
                <w:color w:val="auto"/>
              </w:rPr>
            </w:pPr>
            <w:r>
              <w:rPr>
                <w:rFonts w:ascii="Arial" w:cs="Arial" w:eastAsia="Arial" w:hAnsi="Arial"/>
                <w:sz w:val="11"/>
                <w:szCs w:val="11"/>
                <w:color w:val="auto"/>
              </w:rPr>
              <w:t>2,489</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43</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19,335</w:t>
            </w:r>
          </w:p>
        </w:tc>
        <w:tc>
          <w:tcPr>
            <w:tcW w:w="0" w:type="dxa"/>
            <w:vAlign w:val="bottom"/>
          </w:tcPr>
          <w:p>
            <w:pPr>
              <w:spacing w:after="0"/>
              <w:rPr>
                <w:sz w:val="1"/>
                <w:szCs w:val="1"/>
                <w:color w:val="auto"/>
              </w:rPr>
            </w:pPr>
          </w:p>
        </w:tc>
      </w:tr>
      <w:tr>
        <w:trPr>
          <w:trHeight w:val="122"/>
        </w:trPr>
        <w:tc>
          <w:tcPr>
            <w:tcW w:w="1660" w:type="dxa"/>
            <w:vAlign w:val="bottom"/>
            <w:gridSpan w:val="2"/>
          </w:tcPr>
          <w:p>
            <w:pPr>
              <w:spacing w:after="0" w:line="122" w:lineRule="exact"/>
              <w:rPr>
                <w:sz w:val="20"/>
                <w:szCs w:val="20"/>
                <w:color w:val="auto"/>
              </w:rPr>
            </w:pPr>
            <w:r>
              <w:rPr>
                <w:rFonts w:ascii="Arial" w:cs="Arial" w:eastAsia="Arial" w:hAnsi="Arial"/>
                <w:sz w:val="11"/>
                <w:szCs w:val="11"/>
                <w:color w:val="auto"/>
              </w:rPr>
              <w:t>Changes attributable to:</w:t>
            </w:r>
          </w:p>
        </w:tc>
        <w:tc>
          <w:tcPr>
            <w:tcW w:w="48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(9)</w:t>
            </w: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(1)</w:t>
            </w: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48</w:t>
            </w:r>
          </w:p>
        </w:tc>
        <w:tc>
          <w:tcPr>
            <w:tcW w:w="72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19</w:t>
            </w:r>
          </w:p>
        </w:tc>
        <w:tc>
          <w:tcPr>
            <w:tcW w:w="5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57</w:t>
            </w:r>
          </w:p>
        </w:tc>
        <w:tc>
          <w:tcPr>
            <w:tcW w:w="660" w:type="dxa"/>
            <w:vAlign w:val="bottom"/>
            <w:gridSpan w:val="2"/>
            <w:vMerge w:val="restart"/>
          </w:tcPr>
          <w:p>
            <w:pPr>
              <w:jc w:val="right"/>
              <w:ind w:right="86"/>
              <w:spacing w:after="0"/>
              <w:rPr>
                <w:sz w:val="20"/>
                <w:szCs w:val="20"/>
                <w:color w:val="auto"/>
              </w:rPr>
            </w:pPr>
            <w:r>
              <w:rPr>
                <w:rFonts w:ascii="Arial" w:cs="Arial" w:eastAsia="Arial" w:hAnsi="Arial"/>
                <w:sz w:val="11"/>
                <w:szCs w:val="11"/>
                <w:b w:val="1"/>
                <w:bCs w:val="1"/>
                <w:color w:val="auto"/>
              </w:rPr>
              <w:t>200</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257</w:t>
            </w:r>
          </w:p>
        </w:tc>
        <w:tc>
          <w:tcPr>
            <w:tcW w:w="620" w:type="dxa"/>
            <w:vAlign w:val="bottom"/>
            <w:gridSpan w:val="2"/>
            <w:vMerge w:val="restart"/>
          </w:tcPr>
          <w:p>
            <w:pPr>
              <w:jc w:val="right"/>
              <w:ind w:right="86"/>
              <w:spacing w:after="0"/>
              <w:rPr>
                <w:sz w:val="20"/>
                <w:szCs w:val="20"/>
                <w:color w:val="auto"/>
              </w:rPr>
            </w:pPr>
            <w:r>
              <w:rPr>
                <w:rFonts w:ascii="Arial" w:cs="Arial" w:eastAsia="Arial" w:hAnsi="Arial"/>
                <w:sz w:val="11"/>
                <w:szCs w:val="11"/>
                <w:b w:val="1"/>
                <w:bCs w:val="1"/>
                <w:color w:val="auto"/>
              </w:rPr>
              <w:t>(606)</w:t>
            </w:r>
          </w:p>
        </w:tc>
        <w:tc>
          <w:tcPr>
            <w:tcW w:w="6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342</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915</w:t>
            </w:r>
          </w:p>
        </w:tc>
        <w:tc>
          <w:tcPr>
            <w:tcW w:w="66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976</w:t>
            </w: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1,627</w:t>
            </w:r>
          </w:p>
        </w:tc>
        <w:tc>
          <w:tcPr>
            <w:tcW w:w="56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109</w:t>
            </w: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70</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1,806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ind w:left="120"/>
              <w:spacing w:after="0" w:line="118" w:lineRule="exact"/>
              <w:rPr>
                <w:sz w:val="20"/>
                <w:szCs w:val="20"/>
                <w:color w:val="auto"/>
              </w:rPr>
            </w:pPr>
            <w:r>
              <w:rPr>
                <w:rFonts w:ascii="Arial" w:cs="Arial" w:eastAsia="Arial" w:hAnsi="Arial"/>
                <w:sz w:val="11"/>
                <w:szCs w:val="11"/>
                <w:color w:val="auto"/>
              </w:rPr>
              <w:t>Revisions</w:t>
            </w:r>
          </w:p>
        </w:tc>
        <w:tc>
          <w:tcPr>
            <w:tcW w:w="4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ind w:left="120"/>
              <w:spacing w:after="0" w:line="122" w:lineRule="exact"/>
              <w:rPr>
                <w:sz w:val="20"/>
                <w:szCs w:val="20"/>
                <w:color w:val="auto"/>
              </w:rPr>
            </w:pPr>
            <w:r>
              <w:rPr>
                <w:rFonts w:ascii="Arial" w:cs="Arial" w:eastAsia="Arial" w:hAnsi="Arial"/>
                <w:sz w:val="11"/>
                <w:szCs w:val="11"/>
                <w:color w:val="auto"/>
              </w:rPr>
              <w:t>Improved recovery</w:t>
            </w: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53</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36</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54</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52</w:t>
            </w:r>
          </w:p>
        </w:tc>
        <w:tc>
          <w:tcPr>
            <w:tcW w:w="52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195</w:t>
            </w:r>
          </w:p>
        </w:tc>
        <w:tc>
          <w:tcPr>
            <w:tcW w:w="180" w:type="dxa"/>
            <w:vAlign w:val="bottom"/>
          </w:tcPr>
          <w:p>
            <w:pPr>
              <w:spacing w:after="0"/>
              <w:rPr>
                <w:sz w:val="10"/>
                <w:szCs w:val="10"/>
                <w:color w:val="auto"/>
              </w:rPr>
            </w:pP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195</w:t>
            </w:r>
          </w:p>
        </w:tc>
        <w:tc>
          <w:tcPr>
            <w:tcW w:w="620" w:type="dxa"/>
            <w:vAlign w:val="bottom"/>
            <w:gridSpan w:val="2"/>
          </w:tcPr>
          <w:p>
            <w:pPr>
              <w:jc w:val="right"/>
              <w:ind w:right="106"/>
              <w:spacing w:after="0" w:line="122" w:lineRule="exact"/>
              <w:rPr>
                <w:sz w:val="20"/>
                <w:szCs w:val="20"/>
                <w:color w:val="auto"/>
              </w:rPr>
            </w:pPr>
            <w:r>
              <w:rPr>
                <w:rFonts w:ascii="Arial" w:cs="Arial" w:eastAsia="Arial" w:hAnsi="Arial"/>
                <w:sz w:val="11"/>
                <w:szCs w:val="11"/>
                <w:b w:val="1"/>
                <w:bCs w:val="1"/>
                <w:color w:val="auto"/>
              </w:rPr>
              <w:t>23</w:t>
            </w: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17</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15</w:t>
            </w:r>
          </w:p>
        </w:tc>
        <w:tc>
          <w:tcPr>
            <w:tcW w:w="66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35</w:t>
            </w:r>
          </w:p>
        </w:tc>
        <w:tc>
          <w:tcPr>
            <w:tcW w:w="6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90</w:t>
            </w:r>
          </w:p>
        </w:tc>
        <w:tc>
          <w:tcPr>
            <w:tcW w:w="140" w:type="dxa"/>
            <w:vAlign w:val="bottom"/>
          </w:tcPr>
          <w:p>
            <w:pPr>
              <w:spacing w:after="0"/>
              <w:rPr>
                <w:sz w:val="10"/>
                <w:szCs w:val="10"/>
                <w:color w:val="auto"/>
              </w:rPr>
            </w:pPr>
          </w:p>
        </w:tc>
        <w:tc>
          <w:tcPr>
            <w:tcW w:w="42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640" w:type="dxa"/>
            <w:vAlign w:val="bottom"/>
          </w:tcPr>
          <w:p>
            <w:pPr>
              <w:ind w:left="120"/>
              <w:spacing w:after="0"/>
              <w:rPr>
                <w:sz w:val="20"/>
                <w:szCs w:val="20"/>
                <w:color w:val="auto"/>
              </w:rPr>
            </w:pPr>
            <w:r>
              <w:rPr>
                <w:rFonts w:ascii="Arial" w:cs="Arial" w:eastAsia="Arial" w:hAnsi="Arial"/>
                <w:sz w:val="11"/>
                <w:szCs w:val="11"/>
                <w:color w:val="auto"/>
              </w:rPr>
              <w:t>Extensions and discoveries</w:t>
            </w: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124</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24</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18</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26</w:t>
            </w: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auto"/>
              </w:rPr>
              <w:t>192</w:t>
            </w:r>
          </w:p>
        </w:tc>
        <w:tc>
          <w:tcPr>
            <w:tcW w:w="180" w:type="dxa"/>
            <w:vAlign w:val="bottom"/>
          </w:tcPr>
          <w:p>
            <w:pPr>
              <w:spacing w:after="0"/>
              <w:rPr>
                <w:sz w:val="11"/>
                <w:szCs w:val="11"/>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auto"/>
              </w:rPr>
              <w:t>192</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388</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88</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47</w:t>
            </w: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526</w:t>
            </w:r>
          </w:p>
        </w:tc>
        <w:tc>
          <w:tcPr>
            <w:tcW w:w="140" w:type="dxa"/>
            <w:vAlign w:val="bottom"/>
          </w:tcPr>
          <w:p>
            <w:pPr>
              <w:spacing w:after="0"/>
              <w:rPr>
                <w:sz w:val="11"/>
                <w:szCs w:val="11"/>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auto"/>
              </w:rPr>
              <w:t>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ind w:left="120"/>
              <w:spacing w:after="0" w:line="149" w:lineRule="exact"/>
              <w:rPr>
                <w:sz w:val="20"/>
                <w:szCs w:val="20"/>
                <w:color w:val="auto"/>
              </w:rPr>
            </w:pPr>
            <w:r>
              <w:rPr>
                <w:rFonts w:ascii="Arial" w:cs="Arial" w:eastAsia="Arial" w:hAnsi="Arial"/>
                <w:sz w:val="11"/>
                <w:szCs w:val="11"/>
                <w:color w:val="auto"/>
              </w:rPr>
              <w:t>Purchases</w:t>
            </w:r>
            <w:r>
              <w:rPr>
                <w:rFonts w:ascii="Arial" w:cs="Arial" w:eastAsia="Arial" w:hAnsi="Arial"/>
                <w:sz w:val="17"/>
                <w:szCs w:val="17"/>
                <w:color w:val="auto"/>
                <w:vertAlign w:val="superscript"/>
              </w:rPr>
              <w:t>1</w:t>
            </w: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1</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12</w:t>
            </w: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auto"/>
              </w:rPr>
              <w:t>13</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auto"/>
              </w:rPr>
              <w:t>13</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8</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7</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55</w:t>
            </w: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70</w:t>
            </w:r>
          </w:p>
        </w:tc>
        <w:tc>
          <w:tcPr>
            <w:tcW w:w="14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auto"/>
              </w:rPr>
              <w:t>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Pr>
          <w:p>
            <w:pPr>
              <w:ind w:left="120"/>
              <w:spacing w:after="0" w:line="142" w:lineRule="exact"/>
              <w:rPr>
                <w:sz w:val="20"/>
                <w:szCs w:val="20"/>
                <w:color w:val="auto"/>
              </w:rPr>
            </w:pPr>
            <w:r>
              <w:rPr>
                <w:rFonts w:ascii="Arial" w:cs="Arial" w:eastAsia="Arial" w:hAnsi="Arial"/>
                <w:sz w:val="10"/>
                <w:szCs w:val="10"/>
                <w:color w:val="auto"/>
              </w:rPr>
              <w:t>Sales</w:t>
            </w:r>
            <w:r>
              <w:rPr>
                <w:rFonts w:ascii="Arial" w:cs="Arial" w:eastAsia="Arial" w:hAnsi="Arial"/>
                <w:sz w:val="16"/>
                <w:szCs w:val="16"/>
                <w:color w:val="auto"/>
                <w:vertAlign w:val="superscript"/>
              </w:rPr>
              <w:t>2</w:t>
            </w: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rPr>
              <w:t>(23)</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(42)</w:t>
            </w:r>
          </w:p>
        </w:tc>
        <w:tc>
          <w:tcPr>
            <w:tcW w:w="720" w:type="dxa"/>
            <w:vAlign w:val="bottom"/>
          </w:tcPr>
          <w:p>
            <w:pPr>
              <w:jc w:val="right"/>
              <w:ind w:right="106"/>
              <w:spacing w:after="0"/>
              <w:rPr>
                <w:sz w:val="20"/>
                <w:szCs w:val="20"/>
                <w:color w:val="auto"/>
              </w:rPr>
            </w:pPr>
            <w:r>
              <w:rPr>
                <w:rFonts w:ascii="Arial" w:cs="Arial" w:eastAsia="Arial" w:hAnsi="Arial"/>
                <w:sz w:val="11"/>
                <w:szCs w:val="11"/>
                <w:b w:val="1"/>
                <w:bCs w:val="1"/>
                <w:color w:val="auto"/>
              </w:rPr>
              <w:t>(1)</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(66)</w:t>
            </w:r>
          </w:p>
        </w:tc>
        <w:tc>
          <w:tcPr>
            <w:tcW w:w="1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(66)</w:t>
            </w:r>
          </w:p>
        </w:tc>
        <w:tc>
          <w:tcPr>
            <w:tcW w:w="620" w:type="dxa"/>
            <w:vAlign w:val="bottom"/>
            <w:gridSpan w:val="2"/>
          </w:tcPr>
          <w:p>
            <w:pPr>
              <w:jc w:val="right"/>
              <w:ind w:right="86"/>
              <w:spacing w:after="0"/>
              <w:rPr>
                <w:sz w:val="20"/>
                <w:szCs w:val="20"/>
                <w:color w:val="auto"/>
              </w:rPr>
            </w:pPr>
            <w:r>
              <w:rPr>
                <w:rFonts w:ascii="Arial" w:cs="Arial" w:eastAsia="Arial" w:hAnsi="Arial"/>
                <w:sz w:val="11"/>
                <w:szCs w:val="11"/>
                <w:b w:val="1"/>
                <w:bCs w:val="1"/>
                <w:color w:val="auto"/>
              </w:rPr>
              <w:t>(64)</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(6)</w:t>
            </w: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rPr>
              <w:t>(70)</w:t>
            </w:r>
          </w:p>
        </w:tc>
        <w:tc>
          <w:tcPr>
            <w:tcW w:w="14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b w:val="1"/>
                <w:bCs w:val="1"/>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tcBorders>
              <w:bottom w:val="single" w:sz="8" w:color="0070FF"/>
            </w:tcBorders>
          </w:tcPr>
          <w:p>
            <w:pPr>
              <w:ind w:left="120"/>
              <w:spacing w:after="0"/>
              <w:rPr>
                <w:sz w:val="20"/>
                <w:szCs w:val="20"/>
                <w:color w:val="auto"/>
              </w:rPr>
            </w:pPr>
            <w:r>
              <w:rPr>
                <w:rFonts w:ascii="Arial" w:cs="Arial" w:eastAsia="Arial" w:hAnsi="Arial"/>
                <w:sz w:val="11"/>
                <w:szCs w:val="11"/>
                <w:color w:val="auto"/>
              </w:rPr>
              <w:t>Production</w:t>
            </w:r>
          </w:p>
        </w:tc>
        <w:tc>
          <w:tcPr>
            <w:tcW w:w="480" w:type="dxa"/>
            <w:vAlign w:val="bottom"/>
            <w:tcBorders>
              <w:bottom w:val="single" w:sz="8" w:color="0070FF"/>
            </w:tcBorders>
          </w:tcPr>
          <w:p>
            <w:pPr>
              <w:jc w:val="right"/>
              <w:ind w:right="66"/>
              <w:spacing w:after="0"/>
              <w:rPr>
                <w:sz w:val="20"/>
                <w:szCs w:val="20"/>
                <w:color w:val="auto"/>
              </w:rPr>
            </w:pPr>
            <w:r>
              <w:rPr>
                <w:rFonts w:ascii="Arial" w:cs="Arial" w:eastAsia="Arial" w:hAnsi="Arial"/>
                <w:sz w:val="11"/>
                <w:szCs w:val="11"/>
                <w:b w:val="1"/>
                <w:bCs w:val="1"/>
                <w:color w:val="auto"/>
              </w:rPr>
              <w:t>(205)</w:t>
            </w:r>
          </w:p>
        </w:tc>
        <w:tc>
          <w:tcPr>
            <w:tcW w:w="72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b w:val="1"/>
                <w:bCs w:val="1"/>
                <w:color w:val="auto"/>
              </w:rPr>
              <w:t>(112)</w:t>
            </w:r>
          </w:p>
        </w:tc>
        <w:tc>
          <w:tcPr>
            <w:tcW w:w="56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b w:val="1"/>
                <w:bCs w:val="1"/>
                <w:color w:val="auto"/>
              </w:rPr>
              <w:t>(179)</w:t>
            </w:r>
          </w:p>
        </w:tc>
        <w:tc>
          <w:tcPr>
            <w:tcW w:w="72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b w:val="1"/>
                <w:bCs w:val="1"/>
                <w:color w:val="auto"/>
              </w:rPr>
              <w:t>(109)</w:t>
            </w:r>
          </w:p>
        </w:tc>
        <w:tc>
          <w:tcPr>
            <w:tcW w:w="52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b w:val="1"/>
                <w:bCs w:val="1"/>
                <w:color w:val="auto"/>
              </w:rPr>
              <w:t>(605)</w:t>
            </w:r>
          </w:p>
        </w:tc>
        <w:tc>
          <w:tcPr>
            <w:tcW w:w="660" w:type="dxa"/>
            <w:vAlign w:val="bottom"/>
            <w:tcBorders>
              <w:bottom w:val="single" w:sz="8" w:color="0070FF"/>
            </w:tcBorders>
            <w:gridSpan w:val="2"/>
          </w:tcPr>
          <w:p>
            <w:pPr>
              <w:jc w:val="right"/>
              <w:ind w:right="46"/>
              <w:spacing w:after="0"/>
              <w:rPr>
                <w:sz w:val="20"/>
                <w:szCs w:val="20"/>
                <w:color w:val="auto"/>
              </w:rPr>
            </w:pPr>
            <w:r>
              <w:rPr>
                <w:rFonts w:ascii="Arial" w:cs="Arial" w:eastAsia="Arial" w:hAnsi="Arial"/>
                <w:sz w:val="11"/>
                <w:szCs w:val="11"/>
                <w:b w:val="1"/>
                <w:bCs w:val="1"/>
                <w:color w:val="auto"/>
              </w:rPr>
              <w:t>(49)</w:t>
            </w:r>
          </w:p>
        </w:tc>
        <w:tc>
          <w:tcPr>
            <w:tcW w:w="580" w:type="dxa"/>
            <w:vAlign w:val="bottom"/>
            <w:tcBorders>
              <w:bottom w:val="single" w:sz="8" w:color="0070FF"/>
            </w:tcBorders>
          </w:tcPr>
          <w:p>
            <w:pPr>
              <w:jc w:val="right"/>
              <w:spacing w:after="0"/>
              <w:rPr>
                <w:sz w:val="20"/>
                <w:szCs w:val="20"/>
                <w:color w:val="auto"/>
              </w:rPr>
            </w:pPr>
            <w:r>
              <w:rPr>
                <w:rFonts w:ascii="Arial" w:cs="Arial" w:eastAsia="Arial" w:hAnsi="Arial"/>
                <w:sz w:val="11"/>
                <w:szCs w:val="11"/>
                <w:b w:val="1"/>
                <w:bCs w:val="1"/>
                <w:color w:val="auto"/>
              </w:rPr>
              <w:t>(6)</w:t>
            </w:r>
          </w:p>
        </w:tc>
        <w:tc>
          <w:tcPr>
            <w:tcW w:w="68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b w:val="1"/>
                <w:bCs w:val="1"/>
                <w:color w:val="auto"/>
              </w:rPr>
              <w:t>(660)</w:t>
            </w:r>
          </w:p>
        </w:tc>
        <w:tc>
          <w:tcPr>
            <w:tcW w:w="620" w:type="dxa"/>
            <w:vAlign w:val="bottom"/>
            <w:tcBorders>
              <w:bottom w:val="single" w:sz="8" w:color="0070FF"/>
            </w:tcBorders>
            <w:gridSpan w:val="2"/>
          </w:tcPr>
          <w:p>
            <w:pPr>
              <w:jc w:val="right"/>
              <w:ind w:right="86"/>
              <w:spacing w:after="0"/>
              <w:rPr>
                <w:sz w:val="20"/>
                <w:szCs w:val="20"/>
                <w:color w:val="auto"/>
              </w:rPr>
            </w:pPr>
            <w:r>
              <w:rPr>
                <w:rFonts w:ascii="Arial" w:cs="Arial" w:eastAsia="Arial" w:hAnsi="Arial"/>
                <w:sz w:val="11"/>
                <w:szCs w:val="11"/>
                <w:b w:val="1"/>
                <w:bCs w:val="1"/>
                <w:color w:val="auto"/>
              </w:rPr>
              <w:t>(813)</w:t>
            </w:r>
          </w:p>
        </w:tc>
        <w:tc>
          <w:tcPr>
            <w:tcW w:w="60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b w:val="1"/>
                <w:bCs w:val="1"/>
                <w:color w:val="auto"/>
              </w:rPr>
              <w:t>(18)</w:t>
            </w:r>
          </w:p>
        </w:tc>
        <w:tc>
          <w:tcPr>
            <w:tcW w:w="500" w:type="dxa"/>
            <w:vAlign w:val="bottom"/>
            <w:tcBorders>
              <w:bottom w:val="single" w:sz="8" w:color="0070FF"/>
            </w:tcBorders>
          </w:tcPr>
          <w:p>
            <w:pPr>
              <w:jc w:val="right"/>
              <w:spacing w:after="0"/>
              <w:rPr>
                <w:sz w:val="20"/>
                <w:szCs w:val="20"/>
                <w:color w:val="auto"/>
              </w:rPr>
            </w:pPr>
            <w:r>
              <w:rPr>
                <w:rFonts w:ascii="Arial" w:cs="Arial" w:eastAsia="Arial" w:hAnsi="Arial"/>
                <w:sz w:val="11"/>
                <w:szCs w:val="11"/>
                <w:b w:val="1"/>
                <w:bCs w:val="1"/>
                <w:color w:val="auto"/>
              </w:rPr>
              <w:t>(296)</w:t>
            </w:r>
          </w:p>
        </w:tc>
        <w:tc>
          <w:tcPr>
            <w:tcW w:w="660" w:type="dxa"/>
            <w:vAlign w:val="bottom"/>
            <w:tcBorders>
              <w:bottom w:val="single" w:sz="8" w:color="0070FF"/>
            </w:tcBorders>
          </w:tcPr>
          <w:p>
            <w:pPr>
              <w:jc w:val="right"/>
              <w:ind w:right="106"/>
              <w:spacing w:after="0"/>
              <w:rPr>
                <w:sz w:val="20"/>
                <w:szCs w:val="20"/>
                <w:color w:val="auto"/>
              </w:rPr>
            </w:pPr>
            <w:r>
              <w:rPr>
                <w:rFonts w:ascii="Arial" w:cs="Arial" w:eastAsia="Arial" w:hAnsi="Arial"/>
                <w:sz w:val="11"/>
                <w:szCs w:val="11"/>
                <w:b w:val="1"/>
                <w:bCs w:val="1"/>
                <w:color w:val="auto"/>
              </w:rPr>
              <w:t>(366)</w:t>
            </w:r>
          </w:p>
        </w:tc>
        <w:tc>
          <w:tcPr>
            <w:tcW w:w="600" w:type="dxa"/>
            <w:vAlign w:val="bottom"/>
            <w:tcBorders>
              <w:bottom w:val="single" w:sz="8" w:color="0070FF"/>
            </w:tcBorders>
          </w:tcPr>
          <w:p>
            <w:pPr>
              <w:jc w:val="right"/>
              <w:ind w:right="46"/>
              <w:spacing w:after="0"/>
              <w:rPr>
                <w:sz w:val="20"/>
                <w:szCs w:val="20"/>
                <w:color w:val="auto"/>
              </w:rPr>
            </w:pPr>
            <w:r>
              <w:rPr>
                <w:rFonts w:ascii="Arial" w:cs="Arial" w:eastAsia="Arial" w:hAnsi="Arial"/>
                <w:sz w:val="11"/>
                <w:szCs w:val="11"/>
                <w:b w:val="1"/>
                <w:bCs w:val="1"/>
                <w:color w:val="auto"/>
              </w:rPr>
              <w:t>(1,493)</w:t>
            </w:r>
          </w:p>
        </w:tc>
        <w:tc>
          <w:tcPr>
            <w:tcW w:w="560" w:type="dxa"/>
            <w:vAlign w:val="bottom"/>
            <w:tcBorders>
              <w:bottom w:val="single" w:sz="8" w:color="0070FF"/>
            </w:tcBorders>
            <w:gridSpan w:val="2"/>
          </w:tcPr>
          <w:p>
            <w:pPr>
              <w:jc w:val="right"/>
              <w:ind w:right="6"/>
              <w:spacing w:after="0"/>
              <w:rPr>
                <w:sz w:val="20"/>
                <w:szCs w:val="20"/>
                <w:color w:val="auto"/>
              </w:rPr>
            </w:pPr>
            <w:r>
              <w:rPr>
                <w:rFonts w:ascii="Arial" w:cs="Arial" w:eastAsia="Arial" w:hAnsi="Arial"/>
                <w:sz w:val="11"/>
                <w:szCs w:val="11"/>
                <w:b w:val="1"/>
                <w:bCs w:val="1"/>
                <w:color w:val="auto"/>
              </w:rPr>
              <w:t>(72)</w:t>
            </w:r>
          </w:p>
        </w:tc>
        <w:tc>
          <w:tcPr>
            <w:tcW w:w="560" w:type="dxa"/>
            <w:vAlign w:val="bottom"/>
            <w:tcBorders>
              <w:bottom w:val="single" w:sz="8" w:color="0070FF"/>
            </w:tcBorders>
          </w:tcPr>
          <w:p>
            <w:pPr>
              <w:jc w:val="right"/>
              <w:spacing w:after="0"/>
              <w:rPr>
                <w:sz w:val="20"/>
                <w:szCs w:val="20"/>
                <w:color w:val="auto"/>
              </w:rPr>
            </w:pPr>
            <w:r>
              <w:rPr>
                <w:rFonts w:ascii="Arial" w:cs="Arial" w:eastAsia="Arial" w:hAnsi="Arial"/>
                <w:sz w:val="11"/>
                <w:szCs w:val="11"/>
                <w:b w:val="1"/>
                <w:bCs w:val="1"/>
                <w:color w:val="auto"/>
              </w:rPr>
              <w:t>(1)</w:t>
            </w:r>
          </w:p>
        </w:tc>
        <w:tc>
          <w:tcPr>
            <w:tcW w:w="740" w:type="dxa"/>
            <w:vAlign w:val="bottom"/>
            <w:tcBorders>
              <w:bottom w:val="single" w:sz="8" w:color="0070FF"/>
            </w:tcBorders>
          </w:tcPr>
          <w:p>
            <w:pPr>
              <w:jc w:val="right"/>
              <w:ind w:right="66"/>
              <w:spacing w:after="0"/>
              <w:rPr>
                <w:sz w:val="20"/>
                <w:szCs w:val="20"/>
                <w:color w:val="auto"/>
              </w:rPr>
            </w:pPr>
            <w:r>
              <w:rPr>
                <w:rFonts w:ascii="Arial" w:cs="Arial" w:eastAsia="Arial" w:hAnsi="Arial"/>
                <w:sz w:val="11"/>
                <w:szCs w:val="11"/>
                <w:b w:val="1"/>
                <w:bCs w:val="1"/>
                <w:color w:val="auto"/>
              </w:rPr>
              <w:t>(1,566)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640" w:type="dxa"/>
            <w:vAlign w:val="bottom"/>
          </w:tcPr>
          <w:p>
            <w:pPr>
              <w:spacing w:after="0" w:line="115" w:lineRule="exact"/>
              <w:rPr>
                <w:sz w:val="20"/>
                <w:szCs w:val="20"/>
                <w:color w:val="auto"/>
              </w:rPr>
            </w:pPr>
            <w:r>
              <w:rPr>
                <w:rFonts w:ascii="Arial" w:cs="Arial" w:eastAsia="Arial" w:hAnsi="Arial"/>
                <w:sz w:val="11"/>
                <w:szCs w:val="11"/>
                <w:b w:val="1"/>
                <w:bCs w:val="1"/>
                <w:color w:val="0070FF"/>
              </w:rPr>
              <w:t>RESERVES AT DECEMBER</w:t>
            </w: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660" w:type="dxa"/>
            <w:vAlign w:val="bottom"/>
            <w:gridSpan w:val="2"/>
          </w:tcPr>
          <w:p>
            <w:pPr>
              <w:ind w:left="140"/>
              <w:spacing w:after="0"/>
              <w:rPr>
                <w:sz w:val="20"/>
                <w:szCs w:val="20"/>
                <w:color w:val="auto"/>
              </w:rPr>
            </w:pPr>
            <w:r>
              <w:rPr>
                <w:rFonts w:ascii="Arial" w:cs="Arial" w:eastAsia="Arial" w:hAnsi="Arial"/>
                <w:sz w:val="11"/>
                <w:szCs w:val="11"/>
                <w:b w:val="1"/>
                <w:bCs w:val="1"/>
                <w:color w:val="0070FF"/>
              </w:rPr>
              <w:t>31, 2003</w:t>
            </w: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2,058</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1,923</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1,603</w:t>
            </w: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696</w:t>
            </w: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auto"/>
              </w:rPr>
              <w:t>6,280</w:t>
            </w:r>
          </w:p>
        </w:tc>
        <w:tc>
          <w:tcPr>
            <w:tcW w:w="660" w:type="dxa"/>
            <w:vAlign w:val="bottom"/>
            <w:gridSpan w:val="2"/>
          </w:tcPr>
          <w:p>
            <w:pPr>
              <w:jc w:val="right"/>
              <w:ind w:right="86"/>
              <w:spacing w:after="0"/>
              <w:rPr>
                <w:sz w:val="20"/>
                <w:szCs w:val="20"/>
                <w:color w:val="auto"/>
              </w:rPr>
            </w:pPr>
            <w:r>
              <w:rPr>
                <w:rFonts w:ascii="Arial" w:cs="Arial" w:eastAsia="Arial" w:hAnsi="Arial"/>
                <w:sz w:val="11"/>
                <w:szCs w:val="11"/>
                <w:b w:val="1"/>
                <w:bCs w:val="1"/>
                <w:color w:val="auto"/>
              </w:rPr>
              <w:t>1,840</w:t>
            </w: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479</w:t>
            </w: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auto"/>
              </w:rPr>
              <w:t>8,599</w:t>
            </w:r>
          </w:p>
        </w:tc>
        <w:tc>
          <w:tcPr>
            <w:tcW w:w="62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5,353</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2,642</w:t>
            </w: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5,893</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3,665</w:t>
            </w:r>
          </w:p>
        </w:tc>
        <w:tc>
          <w:tcPr>
            <w:tcW w:w="600" w:type="dxa"/>
            <w:vAlign w:val="bottom"/>
          </w:tcPr>
          <w:p>
            <w:pPr>
              <w:jc w:val="right"/>
              <w:ind w:right="86"/>
              <w:spacing w:after="0"/>
              <w:rPr>
                <w:sz w:val="20"/>
                <w:szCs w:val="20"/>
                <w:color w:val="auto"/>
              </w:rPr>
            </w:pPr>
            <w:r>
              <w:rPr>
                <w:rFonts w:ascii="Arial" w:cs="Arial" w:eastAsia="Arial" w:hAnsi="Arial"/>
                <w:sz w:val="11"/>
                <w:szCs w:val="11"/>
                <w:b w:val="1"/>
                <w:bCs w:val="1"/>
                <w:color w:val="auto"/>
              </w:rPr>
              <w:t>17,553</w:t>
            </w:r>
          </w:p>
        </w:tc>
        <w:tc>
          <w:tcPr>
            <w:tcW w:w="56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2,526</w:t>
            </w:r>
          </w:p>
        </w:tc>
        <w:tc>
          <w:tcPr>
            <w:tcW w:w="560" w:type="dxa"/>
            <w:vAlign w:val="bottom"/>
          </w:tcPr>
          <w:p>
            <w:pPr>
              <w:jc w:val="right"/>
              <w:ind w:right="26"/>
              <w:spacing w:after="0"/>
              <w:rPr>
                <w:sz w:val="20"/>
                <w:szCs w:val="20"/>
                <w:color w:val="auto"/>
              </w:rPr>
            </w:pPr>
            <w:r>
              <w:rPr>
                <w:rFonts w:ascii="Arial" w:cs="Arial" w:eastAsia="Arial" w:hAnsi="Arial"/>
                <w:sz w:val="11"/>
                <w:szCs w:val="11"/>
                <w:b w:val="1"/>
                <w:bCs w:val="1"/>
                <w:color w:val="auto"/>
              </w:rPr>
              <w:t>112</w:t>
            </w:r>
          </w:p>
        </w:tc>
        <w:tc>
          <w:tcPr>
            <w:tcW w:w="740" w:type="dxa"/>
            <w:vAlign w:val="bottom"/>
          </w:tcPr>
          <w:p>
            <w:pPr>
              <w:jc w:val="right"/>
              <w:ind w:right="86"/>
              <w:spacing w:after="0"/>
              <w:rPr>
                <w:sz w:val="20"/>
                <w:szCs w:val="20"/>
                <w:color w:val="auto"/>
              </w:rPr>
            </w:pPr>
            <w:r>
              <w:rPr>
                <w:rFonts w:ascii="Arial" w:cs="Arial" w:eastAsia="Arial" w:hAnsi="Arial"/>
                <w:sz w:val="11"/>
                <w:szCs w:val="11"/>
                <w:b w:val="1"/>
                <w:bCs w:val="1"/>
                <w:color w:val="auto"/>
              </w:rPr>
              <w:t>20,191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tcBorders>
              <w:top w:val="single" w:sz="8" w:color="0070FF"/>
              <w:bottom w:val="single" w:sz="8" w:color="0070FF"/>
            </w:tcBorders>
          </w:tcPr>
          <w:p>
            <w:pPr>
              <w:spacing w:after="0"/>
              <w:rPr>
                <w:sz w:val="20"/>
                <w:szCs w:val="20"/>
                <w:color w:val="auto"/>
              </w:rPr>
            </w:pPr>
            <w:r>
              <w:rPr>
                <w:rFonts w:ascii="Arial" w:cs="Arial" w:eastAsia="Arial" w:hAnsi="Arial"/>
                <w:sz w:val="11"/>
                <w:szCs w:val="11"/>
                <w:b w:val="1"/>
                <w:bCs w:val="1"/>
                <w:color w:val="0070FF"/>
              </w:rPr>
              <w:t>DEVELOPED RESERVES</w:t>
            </w:r>
          </w:p>
        </w:tc>
        <w:tc>
          <w:tcPr>
            <w:tcW w:w="480" w:type="dxa"/>
            <w:vAlign w:val="bottom"/>
            <w:tcBorders>
              <w:top w:val="single" w:sz="8" w:color="0070FF"/>
              <w:bottom w:val="single" w:sz="8" w:color="0070FF"/>
            </w:tcBorders>
          </w:tcPr>
          <w:p>
            <w:pPr>
              <w:spacing w:after="0"/>
              <w:rPr>
                <w:sz w:val="11"/>
                <w:szCs w:val="11"/>
                <w:color w:val="auto"/>
              </w:rPr>
            </w:pPr>
          </w:p>
        </w:tc>
        <w:tc>
          <w:tcPr>
            <w:tcW w:w="720" w:type="dxa"/>
            <w:vAlign w:val="bottom"/>
            <w:tcBorders>
              <w:top w:val="single" w:sz="8" w:color="0070FF"/>
              <w:bottom w:val="single" w:sz="8" w:color="0070FF"/>
            </w:tcBorders>
          </w:tcPr>
          <w:p>
            <w:pPr>
              <w:spacing w:after="0"/>
              <w:rPr>
                <w:sz w:val="11"/>
                <w:szCs w:val="11"/>
                <w:color w:val="auto"/>
              </w:rPr>
            </w:pPr>
          </w:p>
        </w:tc>
        <w:tc>
          <w:tcPr>
            <w:tcW w:w="560" w:type="dxa"/>
            <w:vAlign w:val="bottom"/>
            <w:tcBorders>
              <w:top w:val="single" w:sz="8" w:color="0070FF"/>
              <w:bottom w:val="single" w:sz="8" w:color="0070FF"/>
            </w:tcBorders>
          </w:tcPr>
          <w:p>
            <w:pPr>
              <w:spacing w:after="0"/>
              <w:rPr>
                <w:sz w:val="11"/>
                <w:szCs w:val="11"/>
                <w:color w:val="auto"/>
              </w:rPr>
            </w:pPr>
          </w:p>
        </w:tc>
        <w:tc>
          <w:tcPr>
            <w:tcW w:w="720" w:type="dxa"/>
            <w:vAlign w:val="bottom"/>
            <w:tcBorders>
              <w:top w:val="single" w:sz="8" w:color="0070FF"/>
              <w:bottom w:val="single" w:sz="8" w:color="0070FF"/>
            </w:tcBorders>
          </w:tcPr>
          <w:p>
            <w:pPr>
              <w:spacing w:after="0"/>
              <w:rPr>
                <w:sz w:val="11"/>
                <w:szCs w:val="11"/>
                <w:color w:val="auto"/>
              </w:rPr>
            </w:pPr>
          </w:p>
        </w:tc>
        <w:tc>
          <w:tcPr>
            <w:tcW w:w="520" w:type="dxa"/>
            <w:vAlign w:val="bottom"/>
            <w:tcBorders>
              <w:top w:val="single" w:sz="8" w:color="0070FF"/>
              <w:bottom w:val="single" w:sz="8" w:color="0070FF"/>
            </w:tcBorders>
          </w:tcPr>
          <w:p>
            <w:pPr>
              <w:spacing w:after="0"/>
              <w:rPr>
                <w:sz w:val="11"/>
                <w:szCs w:val="11"/>
                <w:color w:val="auto"/>
              </w:rPr>
            </w:pPr>
          </w:p>
        </w:tc>
        <w:tc>
          <w:tcPr>
            <w:tcW w:w="180" w:type="dxa"/>
            <w:vAlign w:val="bottom"/>
            <w:tcBorders>
              <w:top w:val="single" w:sz="8" w:color="0070FF"/>
              <w:bottom w:val="single" w:sz="8" w:color="0070FF"/>
            </w:tcBorders>
          </w:tcPr>
          <w:p>
            <w:pPr>
              <w:spacing w:after="0"/>
              <w:rPr>
                <w:sz w:val="11"/>
                <w:szCs w:val="11"/>
                <w:color w:val="auto"/>
              </w:rPr>
            </w:pPr>
          </w:p>
        </w:tc>
        <w:tc>
          <w:tcPr>
            <w:tcW w:w="480" w:type="dxa"/>
            <w:vAlign w:val="bottom"/>
            <w:tcBorders>
              <w:top w:val="single" w:sz="8" w:color="0070FF"/>
              <w:bottom w:val="single" w:sz="8" w:color="0070FF"/>
            </w:tcBorders>
          </w:tcPr>
          <w:p>
            <w:pPr>
              <w:spacing w:after="0"/>
              <w:rPr>
                <w:sz w:val="11"/>
                <w:szCs w:val="11"/>
                <w:color w:val="auto"/>
              </w:rPr>
            </w:pPr>
          </w:p>
        </w:tc>
        <w:tc>
          <w:tcPr>
            <w:tcW w:w="580" w:type="dxa"/>
            <w:vAlign w:val="bottom"/>
            <w:tcBorders>
              <w:top w:val="single" w:sz="8" w:color="0070FF"/>
              <w:bottom w:val="single" w:sz="8" w:color="0070FF"/>
            </w:tcBorders>
          </w:tcPr>
          <w:p>
            <w:pPr>
              <w:spacing w:after="0"/>
              <w:rPr>
                <w:sz w:val="11"/>
                <w:szCs w:val="11"/>
                <w:color w:val="auto"/>
              </w:rPr>
            </w:pPr>
          </w:p>
        </w:tc>
        <w:tc>
          <w:tcPr>
            <w:tcW w:w="680" w:type="dxa"/>
            <w:vAlign w:val="bottom"/>
            <w:tcBorders>
              <w:top w:val="single" w:sz="8" w:color="0070FF"/>
              <w:bottom w:val="single" w:sz="8" w:color="0070FF"/>
            </w:tcBorders>
          </w:tcPr>
          <w:p>
            <w:pPr>
              <w:spacing w:after="0"/>
              <w:rPr>
                <w:sz w:val="11"/>
                <w:szCs w:val="11"/>
                <w:color w:val="auto"/>
              </w:rPr>
            </w:pPr>
          </w:p>
        </w:tc>
        <w:tc>
          <w:tcPr>
            <w:tcW w:w="120" w:type="dxa"/>
            <w:vAlign w:val="bottom"/>
            <w:tcBorders>
              <w:top w:val="single" w:sz="8" w:color="0070FF"/>
              <w:bottom w:val="single" w:sz="8" w:color="0070FF"/>
            </w:tcBorders>
          </w:tcPr>
          <w:p>
            <w:pPr>
              <w:spacing w:after="0"/>
              <w:rPr>
                <w:sz w:val="11"/>
                <w:szCs w:val="11"/>
                <w:color w:val="auto"/>
              </w:rPr>
            </w:pPr>
          </w:p>
        </w:tc>
        <w:tc>
          <w:tcPr>
            <w:tcW w:w="500" w:type="dxa"/>
            <w:vAlign w:val="bottom"/>
            <w:tcBorders>
              <w:top w:val="single" w:sz="8" w:color="0070FF"/>
              <w:bottom w:val="single" w:sz="8" w:color="0070FF"/>
            </w:tcBorders>
          </w:tcPr>
          <w:p>
            <w:pPr>
              <w:spacing w:after="0"/>
              <w:rPr>
                <w:sz w:val="11"/>
                <w:szCs w:val="11"/>
                <w:color w:val="auto"/>
              </w:rPr>
            </w:pPr>
          </w:p>
        </w:tc>
        <w:tc>
          <w:tcPr>
            <w:tcW w:w="600" w:type="dxa"/>
            <w:vAlign w:val="bottom"/>
            <w:tcBorders>
              <w:top w:val="single" w:sz="8" w:color="0070FF"/>
              <w:bottom w:val="single" w:sz="8" w:color="0070FF"/>
            </w:tcBorders>
          </w:tcPr>
          <w:p>
            <w:pPr>
              <w:spacing w:after="0"/>
              <w:rPr>
                <w:sz w:val="11"/>
                <w:szCs w:val="11"/>
                <w:color w:val="auto"/>
              </w:rPr>
            </w:pPr>
          </w:p>
        </w:tc>
        <w:tc>
          <w:tcPr>
            <w:tcW w:w="500" w:type="dxa"/>
            <w:vAlign w:val="bottom"/>
            <w:tcBorders>
              <w:top w:val="single" w:sz="8" w:color="0070FF"/>
              <w:bottom w:val="single" w:sz="8" w:color="0070FF"/>
            </w:tcBorders>
          </w:tcPr>
          <w:p>
            <w:pPr>
              <w:spacing w:after="0"/>
              <w:rPr>
                <w:sz w:val="11"/>
                <w:szCs w:val="11"/>
                <w:color w:val="auto"/>
              </w:rPr>
            </w:pPr>
          </w:p>
        </w:tc>
        <w:tc>
          <w:tcPr>
            <w:tcW w:w="660" w:type="dxa"/>
            <w:vAlign w:val="bottom"/>
            <w:tcBorders>
              <w:top w:val="single" w:sz="8" w:color="0070FF"/>
              <w:bottom w:val="single" w:sz="8" w:color="0070FF"/>
            </w:tcBorders>
          </w:tcPr>
          <w:p>
            <w:pPr>
              <w:spacing w:after="0"/>
              <w:rPr>
                <w:sz w:val="11"/>
                <w:szCs w:val="11"/>
                <w:color w:val="auto"/>
              </w:rPr>
            </w:pPr>
          </w:p>
        </w:tc>
        <w:tc>
          <w:tcPr>
            <w:tcW w:w="600" w:type="dxa"/>
            <w:vAlign w:val="bottom"/>
            <w:tcBorders>
              <w:top w:val="single" w:sz="8" w:color="0070FF"/>
              <w:bottom w:val="single" w:sz="8" w:color="0070FF"/>
            </w:tcBorders>
          </w:tcPr>
          <w:p>
            <w:pPr>
              <w:spacing w:after="0"/>
              <w:rPr>
                <w:sz w:val="11"/>
                <w:szCs w:val="11"/>
                <w:color w:val="auto"/>
              </w:rPr>
            </w:pPr>
          </w:p>
        </w:tc>
        <w:tc>
          <w:tcPr>
            <w:tcW w:w="140" w:type="dxa"/>
            <w:vAlign w:val="bottom"/>
            <w:tcBorders>
              <w:top w:val="single" w:sz="8" w:color="0070FF"/>
              <w:bottom w:val="single" w:sz="8" w:color="0070FF"/>
            </w:tcBorders>
          </w:tcPr>
          <w:p>
            <w:pPr>
              <w:spacing w:after="0"/>
              <w:rPr>
                <w:sz w:val="11"/>
                <w:szCs w:val="11"/>
                <w:color w:val="auto"/>
              </w:rPr>
            </w:pPr>
          </w:p>
        </w:tc>
        <w:tc>
          <w:tcPr>
            <w:tcW w:w="420" w:type="dxa"/>
            <w:vAlign w:val="bottom"/>
            <w:tcBorders>
              <w:top w:val="single" w:sz="8" w:color="0070FF"/>
              <w:bottom w:val="single" w:sz="8" w:color="0070FF"/>
            </w:tcBorders>
          </w:tcPr>
          <w:p>
            <w:pPr>
              <w:spacing w:after="0"/>
              <w:rPr>
                <w:sz w:val="11"/>
                <w:szCs w:val="11"/>
                <w:color w:val="auto"/>
              </w:rPr>
            </w:pPr>
          </w:p>
        </w:tc>
        <w:tc>
          <w:tcPr>
            <w:tcW w:w="560" w:type="dxa"/>
            <w:vAlign w:val="bottom"/>
            <w:tcBorders>
              <w:top w:val="single" w:sz="8" w:color="0070FF"/>
              <w:bottom w:val="single" w:sz="8" w:color="0070FF"/>
            </w:tcBorders>
          </w:tcPr>
          <w:p>
            <w:pPr>
              <w:spacing w:after="0"/>
              <w:rPr>
                <w:sz w:val="11"/>
                <w:szCs w:val="11"/>
                <w:color w:val="auto"/>
              </w:rPr>
            </w:pPr>
          </w:p>
        </w:tc>
        <w:tc>
          <w:tcPr>
            <w:tcW w:w="740" w:type="dxa"/>
            <w:vAlign w:val="bottom"/>
            <w:tcBorders>
              <w:top w:val="single" w:sz="8" w:color="0070FF"/>
              <w:bottom w:val="single" w:sz="8" w:color="0070FF"/>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40" w:type="dxa"/>
            <w:vAlign w:val="bottom"/>
          </w:tcPr>
          <w:p>
            <w:pPr>
              <w:ind w:left="120"/>
              <w:spacing w:after="0" w:line="119" w:lineRule="exact"/>
              <w:rPr>
                <w:sz w:val="20"/>
                <w:szCs w:val="20"/>
                <w:color w:val="auto"/>
              </w:rPr>
            </w:pPr>
            <w:r>
              <w:rPr>
                <w:rFonts w:ascii="Arial" w:cs="Arial" w:eastAsia="Arial" w:hAnsi="Arial"/>
                <w:sz w:val="11"/>
                <w:szCs w:val="11"/>
                <w:color w:val="auto"/>
              </w:rPr>
              <w:t>At January 1, 2001</w:t>
            </w:r>
          </w:p>
        </w:tc>
        <w:tc>
          <w:tcPr>
            <w:tcW w:w="480" w:type="dxa"/>
            <w:vAlign w:val="bottom"/>
          </w:tcPr>
          <w:p>
            <w:pPr>
              <w:jc w:val="right"/>
              <w:ind w:right="86"/>
              <w:spacing w:after="0" w:line="119" w:lineRule="exact"/>
              <w:rPr>
                <w:sz w:val="20"/>
                <w:szCs w:val="20"/>
                <w:color w:val="auto"/>
              </w:rPr>
            </w:pPr>
            <w:r>
              <w:rPr>
                <w:rFonts w:ascii="Arial" w:cs="Arial" w:eastAsia="Arial" w:hAnsi="Arial"/>
                <w:sz w:val="11"/>
                <w:szCs w:val="11"/>
                <w:color w:val="auto"/>
              </w:rPr>
              <w:t>2,083</w:t>
            </w:r>
          </w:p>
        </w:tc>
        <w:tc>
          <w:tcPr>
            <w:tcW w:w="720" w:type="dxa"/>
            <w:vAlign w:val="bottom"/>
          </w:tcPr>
          <w:p>
            <w:pPr>
              <w:jc w:val="right"/>
              <w:ind w:right="146"/>
              <w:spacing w:after="0" w:line="119" w:lineRule="exact"/>
              <w:rPr>
                <w:sz w:val="20"/>
                <w:szCs w:val="20"/>
                <w:color w:val="auto"/>
              </w:rPr>
            </w:pPr>
            <w:r>
              <w:rPr>
                <w:rFonts w:ascii="Arial" w:cs="Arial" w:eastAsia="Arial" w:hAnsi="Arial"/>
                <w:sz w:val="11"/>
                <w:szCs w:val="11"/>
                <w:color w:val="auto"/>
              </w:rPr>
              <w:t>976</w:t>
            </w:r>
          </w:p>
        </w:tc>
        <w:tc>
          <w:tcPr>
            <w:tcW w:w="560" w:type="dxa"/>
            <w:vAlign w:val="bottom"/>
          </w:tcPr>
          <w:p>
            <w:pPr>
              <w:jc w:val="right"/>
              <w:ind w:right="26"/>
              <w:spacing w:after="0" w:line="119" w:lineRule="exact"/>
              <w:rPr>
                <w:sz w:val="20"/>
                <w:szCs w:val="20"/>
                <w:color w:val="auto"/>
              </w:rPr>
            </w:pPr>
            <w:r>
              <w:rPr>
                <w:rFonts w:ascii="Arial" w:cs="Arial" w:eastAsia="Arial" w:hAnsi="Arial"/>
                <w:sz w:val="11"/>
                <w:szCs w:val="11"/>
                <w:color w:val="auto"/>
              </w:rPr>
              <w:t>1,276</w:t>
            </w:r>
          </w:p>
        </w:tc>
        <w:tc>
          <w:tcPr>
            <w:tcW w:w="720" w:type="dxa"/>
            <w:vAlign w:val="bottom"/>
          </w:tcPr>
          <w:p>
            <w:pPr>
              <w:jc w:val="right"/>
              <w:ind w:right="146"/>
              <w:spacing w:after="0" w:line="119" w:lineRule="exact"/>
              <w:rPr>
                <w:sz w:val="20"/>
                <w:szCs w:val="20"/>
                <w:color w:val="auto"/>
              </w:rPr>
            </w:pPr>
            <w:r>
              <w:rPr>
                <w:rFonts w:ascii="Arial" w:cs="Arial" w:eastAsia="Arial" w:hAnsi="Arial"/>
                <w:sz w:val="11"/>
                <w:szCs w:val="11"/>
                <w:color w:val="auto"/>
              </w:rPr>
              <w:t>538</w:t>
            </w:r>
          </w:p>
        </w:tc>
        <w:tc>
          <w:tcPr>
            <w:tcW w:w="520" w:type="dxa"/>
            <w:vAlign w:val="bottom"/>
          </w:tcPr>
          <w:p>
            <w:pPr>
              <w:jc w:val="right"/>
              <w:ind w:right="46"/>
              <w:spacing w:after="0" w:line="119" w:lineRule="exact"/>
              <w:rPr>
                <w:sz w:val="20"/>
                <w:szCs w:val="20"/>
                <w:color w:val="auto"/>
              </w:rPr>
            </w:pPr>
            <w:r>
              <w:rPr>
                <w:rFonts w:ascii="Arial" w:cs="Arial" w:eastAsia="Arial" w:hAnsi="Arial"/>
                <w:sz w:val="11"/>
                <w:szCs w:val="11"/>
                <w:color w:val="auto"/>
              </w:rPr>
              <w:t>4,873</w:t>
            </w:r>
          </w:p>
        </w:tc>
        <w:tc>
          <w:tcPr>
            <w:tcW w:w="660" w:type="dxa"/>
            <w:vAlign w:val="bottom"/>
            <w:gridSpan w:val="2"/>
          </w:tcPr>
          <w:p>
            <w:pPr>
              <w:jc w:val="right"/>
              <w:ind w:right="86"/>
              <w:spacing w:after="0" w:line="119" w:lineRule="exact"/>
              <w:rPr>
                <w:sz w:val="20"/>
                <w:szCs w:val="20"/>
                <w:color w:val="auto"/>
              </w:rPr>
            </w:pPr>
            <w:r>
              <w:rPr>
                <w:rFonts w:ascii="Arial" w:cs="Arial" w:eastAsia="Arial" w:hAnsi="Arial"/>
                <w:sz w:val="11"/>
                <w:szCs w:val="11"/>
                <w:color w:val="auto"/>
              </w:rPr>
              <w:t>795</w:t>
            </w:r>
          </w:p>
        </w:tc>
        <w:tc>
          <w:tcPr>
            <w:tcW w:w="580" w:type="dxa"/>
            <w:vAlign w:val="bottom"/>
          </w:tcPr>
          <w:p>
            <w:pPr>
              <w:jc w:val="right"/>
              <w:ind w:right="26"/>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line="119" w:lineRule="exact"/>
              <w:rPr>
                <w:sz w:val="20"/>
                <w:szCs w:val="20"/>
                <w:color w:val="auto"/>
              </w:rPr>
            </w:pPr>
            <w:r>
              <w:rPr>
                <w:rFonts w:ascii="Arial" w:cs="Arial" w:eastAsia="Arial" w:hAnsi="Arial"/>
                <w:sz w:val="11"/>
                <w:szCs w:val="11"/>
                <w:color w:val="auto"/>
              </w:rPr>
              <w:t>5,668</w:t>
            </w:r>
          </w:p>
        </w:tc>
        <w:tc>
          <w:tcPr>
            <w:tcW w:w="620" w:type="dxa"/>
            <w:vAlign w:val="bottom"/>
            <w:gridSpan w:val="2"/>
          </w:tcPr>
          <w:p>
            <w:pPr>
              <w:jc w:val="right"/>
              <w:ind w:right="106"/>
              <w:spacing w:after="0" w:line="119" w:lineRule="exact"/>
              <w:rPr>
                <w:sz w:val="20"/>
                <w:szCs w:val="20"/>
                <w:color w:val="auto"/>
              </w:rPr>
            </w:pPr>
            <w:r>
              <w:rPr>
                <w:rFonts w:ascii="Arial" w:cs="Arial" w:eastAsia="Arial" w:hAnsi="Arial"/>
                <w:sz w:val="11"/>
                <w:szCs w:val="11"/>
                <w:color w:val="auto"/>
              </w:rPr>
              <w:t>6,408</w:t>
            </w:r>
          </w:p>
        </w:tc>
        <w:tc>
          <w:tcPr>
            <w:tcW w:w="600" w:type="dxa"/>
            <w:vAlign w:val="bottom"/>
          </w:tcPr>
          <w:p>
            <w:pPr>
              <w:jc w:val="right"/>
              <w:ind w:right="126"/>
              <w:spacing w:after="0" w:line="119" w:lineRule="exact"/>
              <w:rPr>
                <w:sz w:val="20"/>
                <w:szCs w:val="20"/>
                <w:color w:val="auto"/>
              </w:rPr>
            </w:pPr>
            <w:r>
              <w:rPr>
                <w:rFonts w:ascii="Arial" w:cs="Arial" w:eastAsia="Arial" w:hAnsi="Arial"/>
                <w:sz w:val="11"/>
                <w:szCs w:val="11"/>
                <w:color w:val="auto"/>
              </w:rPr>
              <w:t>294</w:t>
            </w:r>
          </w:p>
        </w:tc>
        <w:tc>
          <w:tcPr>
            <w:tcW w:w="500" w:type="dxa"/>
            <w:vAlign w:val="bottom"/>
          </w:tcPr>
          <w:p>
            <w:pPr>
              <w:jc w:val="right"/>
              <w:ind w:right="6"/>
              <w:spacing w:after="0" w:line="119" w:lineRule="exact"/>
              <w:rPr>
                <w:sz w:val="20"/>
                <w:szCs w:val="20"/>
                <w:color w:val="auto"/>
              </w:rPr>
            </w:pPr>
            <w:r>
              <w:rPr>
                <w:rFonts w:ascii="Arial" w:cs="Arial" w:eastAsia="Arial" w:hAnsi="Arial"/>
                <w:sz w:val="11"/>
                <w:szCs w:val="11"/>
                <w:color w:val="auto"/>
              </w:rPr>
              <w:t>3,108</w:t>
            </w:r>
          </w:p>
        </w:tc>
        <w:tc>
          <w:tcPr>
            <w:tcW w:w="660" w:type="dxa"/>
            <w:vAlign w:val="bottom"/>
          </w:tcPr>
          <w:p>
            <w:pPr>
              <w:jc w:val="right"/>
              <w:ind w:right="126"/>
              <w:spacing w:after="0" w:line="119" w:lineRule="exact"/>
              <w:rPr>
                <w:sz w:val="20"/>
                <w:szCs w:val="20"/>
                <w:color w:val="auto"/>
              </w:rPr>
            </w:pPr>
            <w:r>
              <w:rPr>
                <w:rFonts w:ascii="Arial" w:cs="Arial" w:eastAsia="Arial" w:hAnsi="Arial"/>
                <w:sz w:val="11"/>
                <w:szCs w:val="11"/>
                <w:color w:val="auto"/>
              </w:rPr>
              <w:t>2,347</w:t>
            </w:r>
          </w:p>
        </w:tc>
        <w:tc>
          <w:tcPr>
            <w:tcW w:w="600" w:type="dxa"/>
            <w:vAlign w:val="bottom"/>
          </w:tcPr>
          <w:p>
            <w:pPr>
              <w:jc w:val="right"/>
              <w:ind w:right="86"/>
              <w:spacing w:after="0" w:line="119" w:lineRule="exact"/>
              <w:rPr>
                <w:sz w:val="20"/>
                <w:szCs w:val="20"/>
                <w:color w:val="auto"/>
              </w:rPr>
            </w:pPr>
            <w:r>
              <w:rPr>
                <w:rFonts w:ascii="Arial" w:cs="Arial" w:eastAsia="Arial" w:hAnsi="Arial"/>
                <w:sz w:val="11"/>
                <w:szCs w:val="11"/>
                <w:color w:val="auto"/>
              </w:rPr>
              <w:t>12,157</w:t>
            </w:r>
          </w:p>
        </w:tc>
        <w:tc>
          <w:tcPr>
            <w:tcW w:w="560" w:type="dxa"/>
            <w:vAlign w:val="bottom"/>
            <w:gridSpan w:val="2"/>
          </w:tcPr>
          <w:p>
            <w:pPr>
              <w:jc w:val="right"/>
              <w:ind w:right="46"/>
              <w:spacing w:after="0" w:line="119" w:lineRule="exact"/>
              <w:rPr>
                <w:sz w:val="20"/>
                <w:szCs w:val="20"/>
                <w:color w:val="auto"/>
              </w:rPr>
            </w:pPr>
            <w:r>
              <w:rPr>
                <w:rFonts w:ascii="Arial" w:cs="Arial" w:eastAsia="Arial" w:hAnsi="Arial"/>
                <w:sz w:val="11"/>
                <w:szCs w:val="11"/>
                <w:color w:val="auto"/>
              </w:rPr>
              <w:t>1,019</w:t>
            </w:r>
          </w:p>
        </w:tc>
        <w:tc>
          <w:tcPr>
            <w:tcW w:w="560" w:type="dxa"/>
            <w:vAlign w:val="bottom"/>
          </w:tcPr>
          <w:p>
            <w:pPr>
              <w:jc w:val="right"/>
              <w:ind w:right="26"/>
              <w:spacing w:after="0" w:line="119"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line="119" w:lineRule="exact"/>
              <w:rPr>
                <w:sz w:val="20"/>
                <w:szCs w:val="20"/>
                <w:color w:val="auto"/>
              </w:rPr>
            </w:pPr>
            <w:r>
              <w:rPr>
                <w:rFonts w:ascii="Arial" w:cs="Arial" w:eastAsia="Arial" w:hAnsi="Arial"/>
                <w:sz w:val="11"/>
                <w:szCs w:val="11"/>
                <w:color w:val="auto"/>
              </w:rPr>
              <w:t>13,176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ind w:left="120"/>
              <w:spacing w:after="0" w:line="122" w:lineRule="exact"/>
              <w:rPr>
                <w:sz w:val="20"/>
                <w:szCs w:val="20"/>
                <w:color w:val="auto"/>
              </w:rPr>
            </w:pPr>
            <w:r>
              <w:rPr>
                <w:rFonts w:ascii="Arial" w:cs="Arial" w:eastAsia="Arial" w:hAnsi="Arial"/>
                <w:sz w:val="11"/>
                <w:szCs w:val="11"/>
                <w:color w:val="auto"/>
              </w:rPr>
              <w:t>At December 31, 2001</w:t>
            </w:r>
          </w:p>
        </w:tc>
        <w:tc>
          <w:tcPr>
            <w:tcW w:w="4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1,887</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923</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1,491</w:t>
            </w:r>
          </w:p>
        </w:tc>
        <w:tc>
          <w:tcPr>
            <w:tcW w:w="7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517</w:t>
            </w:r>
          </w:p>
        </w:tc>
        <w:tc>
          <w:tcPr>
            <w:tcW w:w="5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4,818</w:t>
            </w:r>
          </w:p>
        </w:tc>
        <w:tc>
          <w:tcPr>
            <w:tcW w:w="66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1,007</w:t>
            </w:r>
          </w:p>
        </w:tc>
        <w:tc>
          <w:tcPr>
            <w:tcW w:w="5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38</w:t>
            </w:r>
          </w:p>
        </w:tc>
        <w:tc>
          <w:tcPr>
            <w:tcW w:w="6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5,863</w:t>
            </w:r>
          </w:p>
        </w:tc>
        <w:tc>
          <w:tcPr>
            <w:tcW w:w="62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6,246</w:t>
            </w: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444</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3,170</w:t>
            </w:r>
          </w:p>
        </w:tc>
        <w:tc>
          <w:tcPr>
            <w:tcW w:w="66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2,231</w:t>
            </w:r>
          </w:p>
        </w:tc>
        <w:tc>
          <w:tcPr>
            <w:tcW w:w="6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12,091</w:t>
            </w:r>
          </w:p>
        </w:tc>
        <w:tc>
          <w:tcPr>
            <w:tcW w:w="56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1,477</w:t>
            </w: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w:t>
            </w: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13,574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ind w:left="120"/>
              <w:spacing w:after="0" w:line="118" w:lineRule="exact"/>
              <w:rPr>
                <w:sz w:val="20"/>
                <w:szCs w:val="20"/>
                <w:color w:val="auto"/>
              </w:rPr>
            </w:pPr>
            <w:r>
              <w:rPr>
                <w:rFonts w:ascii="Arial" w:cs="Arial" w:eastAsia="Arial" w:hAnsi="Arial"/>
                <w:sz w:val="11"/>
                <w:szCs w:val="11"/>
                <w:color w:val="auto"/>
              </w:rPr>
              <w:t>At December 31, 2002</w:t>
            </w:r>
          </w:p>
        </w:tc>
        <w:tc>
          <w:tcPr>
            <w:tcW w:w="480" w:type="dxa"/>
            <w:vAlign w:val="bottom"/>
          </w:tcPr>
          <w:p>
            <w:pPr>
              <w:jc w:val="right"/>
              <w:ind w:right="86"/>
              <w:spacing w:after="0" w:line="118" w:lineRule="exact"/>
              <w:rPr>
                <w:sz w:val="20"/>
                <w:szCs w:val="20"/>
                <w:color w:val="auto"/>
              </w:rPr>
            </w:pPr>
            <w:r>
              <w:rPr>
                <w:rFonts w:ascii="Arial" w:cs="Arial" w:eastAsia="Arial" w:hAnsi="Arial"/>
                <w:sz w:val="11"/>
                <w:szCs w:val="11"/>
                <w:color w:val="auto"/>
              </w:rPr>
              <w:t>1,766</w:t>
            </w:r>
          </w:p>
        </w:tc>
        <w:tc>
          <w:tcPr>
            <w:tcW w:w="720" w:type="dxa"/>
            <w:vAlign w:val="bottom"/>
          </w:tcPr>
          <w:p>
            <w:pPr>
              <w:jc w:val="right"/>
              <w:ind w:right="146"/>
              <w:spacing w:after="0" w:line="118" w:lineRule="exact"/>
              <w:rPr>
                <w:sz w:val="20"/>
                <w:szCs w:val="20"/>
                <w:color w:val="auto"/>
              </w:rPr>
            </w:pPr>
            <w:r>
              <w:rPr>
                <w:rFonts w:ascii="Arial" w:cs="Arial" w:eastAsia="Arial" w:hAnsi="Arial"/>
                <w:sz w:val="11"/>
                <w:szCs w:val="11"/>
                <w:color w:val="auto"/>
              </w:rPr>
              <w:t>1,042</w:t>
            </w:r>
          </w:p>
        </w:tc>
        <w:tc>
          <w:tcPr>
            <w:tcW w:w="560" w:type="dxa"/>
            <w:vAlign w:val="bottom"/>
          </w:tcPr>
          <w:p>
            <w:pPr>
              <w:jc w:val="right"/>
              <w:ind w:right="26"/>
              <w:spacing w:after="0" w:line="118" w:lineRule="exact"/>
              <w:rPr>
                <w:sz w:val="20"/>
                <w:szCs w:val="20"/>
                <w:color w:val="auto"/>
              </w:rPr>
            </w:pPr>
            <w:r>
              <w:rPr>
                <w:rFonts w:ascii="Arial" w:cs="Arial" w:eastAsia="Arial" w:hAnsi="Arial"/>
                <w:sz w:val="11"/>
                <w:szCs w:val="11"/>
                <w:color w:val="auto"/>
              </w:rPr>
              <w:t>1,297</w:t>
            </w:r>
          </w:p>
        </w:tc>
        <w:tc>
          <w:tcPr>
            <w:tcW w:w="720" w:type="dxa"/>
            <w:vAlign w:val="bottom"/>
          </w:tcPr>
          <w:p>
            <w:pPr>
              <w:jc w:val="right"/>
              <w:ind w:right="146"/>
              <w:spacing w:after="0" w:line="118" w:lineRule="exact"/>
              <w:rPr>
                <w:sz w:val="20"/>
                <w:szCs w:val="20"/>
                <w:color w:val="auto"/>
              </w:rPr>
            </w:pPr>
            <w:r>
              <w:rPr>
                <w:rFonts w:ascii="Arial" w:cs="Arial" w:eastAsia="Arial" w:hAnsi="Arial"/>
                <w:sz w:val="11"/>
                <w:szCs w:val="11"/>
                <w:color w:val="auto"/>
              </w:rPr>
              <w:t>529</w:t>
            </w:r>
          </w:p>
        </w:tc>
        <w:tc>
          <w:tcPr>
            <w:tcW w:w="520" w:type="dxa"/>
            <w:vAlign w:val="bottom"/>
          </w:tcPr>
          <w:p>
            <w:pPr>
              <w:jc w:val="right"/>
              <w:ind w:right="46"/>
              <w:spacing w:after="0" w:line="118" w:lineRule="exact"/>
              <w:rPr>
                <w:sz w:val="20"/>
                <w:szCs w:val="20"/>
                <w:color w:val="auto"/>
              </w:rPr>
            </w:pPr>
            <w:r>
              <w:rPr>
                <w:rFonts w:ascii="Arial" w:cs="Arial" w:eastAsia="Arial" w:hAnsi="Arial"/>
                <w:sz w:val="11"/>
                <w:szCs w:val="11"/>
                <w:color w:val="auto"/>
              </w:rPr>
              <w:t>4,634</w:t>
            </w:r>
          </w:p>
        </w:tc>
        <w:tc>
          <w:tcPr>
            <w:tcW w:w="660" w:type="dxa"/>
            <w:vAlign w:val="bottom"/>
            <w:gridSpan w:val="2"/>
          </w:tcPr>
          <w:p>
            <w:pPr>
              <w:jc w:val="right"/>
              <w:ind w:right="86"/>
              <w:spacing w:after="0" w:line="118" w:lineRule="exact"/>
              <w:rPr>
                <w:sz w:val="20"/>
                <w:szCs w:val="20"/>
                <w:color w:val="auto"/>
              </w:rPr>
            </w:pPr>
            <w:r>
              <w:rPr>
                <w:rFonts w:ascii="Arial" w:cs="Arial" w:eastAsia="Arial" w:hAnsi="Arial"/>
                <w:sz w:val="11"/>
                <w:szCs w:val="11"/>
                <w:color w:val="auto"/>
              </w:rPr>
              <w:t>999</w:t>
            </w:r>
          </w:p>
        </w:tc>
        <w:tc>
          <w:tcPr>
            <w:tcW w:w="580" w:type="dxa"/>
            <w:vAlign w:val="bottom"/>
          </w:tcPr>
          <w:p>
            <w:pPr>
              <w:jc w:val="right"/>
              <w:ind w:right="26"/>
              <w:spacing w:after="0" w:line="118" w:lineRule="exact"/>
              <w:rPr>
                <w:sz w:val="20"/>
                <w:szCs w:val="20"/>
                <w:color w:val="auto"/>
              </w:rPr>
            </w:pPr>
            <w:r>
              <w:rPr>
                <w:rFonts w:ascii="Arial" w:cs="Arial" w:eastAsia="Arial" w:hAnsi="Arial"/>
                <w:sz w:val="11"/>
                <w:szCs w:val="11"/>
                <w:color w:val="auto"/>
              </w:rPr>
              <w:t>63</w:t>
            </w:r>
          </w:p>
        </w:tc>
        <w:tc>
          <w:tcPr>
            <w:tcW w:w="680" w:type="dxa"/>
            <w:vAlign w:val="bottom"/>
          </w:tcPr>
          <w:p>
            <w:pPr>
              <w:jc w:val="right"/>
              <w:ind w:right="26"/>
              <w:spacing w:after="0" w:line="118" w:lineRule="exact"/>
              <w:rPr>
                <w:sz w:val="20"/>
                <w:szCs w:val="20"/>
                <w:color w:val="auto"/>
              </w:rPr>
            </w:pPr>
            <w:r>
              <w:rPr>
                <w:rFonts w:ascii="Arial" w:cs="Arial" w:eastAsia="Arial" w:hAnsi="Arial"/>
                <w:sz w:val="11"/>
                <w:szCs w:val="11"/>
                <w:color w:val="auto"/>
              </w:rPr>
              <w:t>5,696</w:t>
            </w:r>
          </w:p>
        </w:tc>
        <w:tc>
          <w:tcPr>
            <w:tcW w:w="620" w:type="dxa"/>
            <w:vAlign w:val="bottom"/>
            <w:gridSpan w:val="2"/>
          </w:tcPr>
          <w:p>
            <w:pPr>
              <w:jc w:val="right"/>
              <w:ind w:right="106"/>
              <w:spacing w:after="0" w:line="118" w:lineRule="exact"/>
              <w:rPr>
                <w:sz w:val="20"/>
                <w:szCs w:val="20"/>
                <w:color w:val="auto"/>
              </w:rPr>
            </w:pPr>
            <w:r>
              <w:rPr>
                <w:rFonts w:ascii="Arial" w:cs="Arial" w:eastAsia="Arial" w:hAnsi="Arial"/>
                <w:sz w:val="11"/>
                <w:szCs w:val="11"/>
                <w:color w:val="auto"/>
              </w:rPr>
              <w:t>5,636</w:t>
            </w:r>
          </w:p>
        </w:tc>
        <w:tc>
          <w:tcPr>
            <w:tcW w:w="600" w:type="dxa"/>
            <w:vAlign w:val="bottom"/>
          </w:tcPr>
          <w:p>
            <w:pPr>
              <w:jc w:val="right"/>
              <w:ind w:right="126"/>
              <w:spacing w:after="0" w:line="118" w:lineRule="exact"/>
              <w:rPr>
                <w:sz w:val="20"/>
                <w:szCs w:val="20"/>
                <w:color w:val="auto"/>
              </w:rPr>
            </w:pPr>
            <w:r>
              <w:rPr>
                <w:rFonts w:ascii="Arial" w:cs="Arial" w:eastAsia="Arial" w:hAnsi="Arial"/>
                <w:sz w:val="11"/>
                <w:szCs w:val="11"/>
                <w:color w:val="auto"/>
              </w:rPr>
              <w:t>582</w:t>
            </w:r>
          </w:p>
        </w:tc>
        <w:tc>
          <w:tcPr>
            <w:tcW w:w="500" w:type="dxa"/>
            <w:vAlign w:val="bottom"/>
          </w:tcPr>
          <w:p>
            <w:pPr>
              <w:jc w:val="right"/>
              <w:ind w:right="6"/>
              <w:spacing w:after="0" w:line="118" w:lineRule="exact"/>
              <w:rPr>
                <w:sz w:val="20"/>
                <w:szCs w:val="20"/>
                <w:color w:val="auto"/>
              </w:rPr>
            </w:pPr>
            <w:r>
              <w:rPr>
                <w:rFonts w:ascii="Arial" w:cs="Arial" w:eastAsia="Arial" w:hAnsi="Arial"/>
                <w:sz w:val="11"/>
                <w:szCs w:val="11"/>
                <w:color w:val="auto"/>
              </w:rPr>
              <w:t>3,196</w:t>
            </w:r>
          </w:p>
        </w:tc>
        <w:tc>
          <w:tcPr>
            <w:tcW w:w="660" w:type="dxa"/>
            <w:vAlign w:val="bottom"/>
          </w:tcPr>
          <w:p>
            <w:pPr>
              <w:jc w:val="right"/>
              <w:ind w:right="126"/>
              <w:spacing w:after="0" w:line="118" w:lineRule="exact"/>
              <w:rPr>
                <w:sz w:val="20"/>
                <w:szCs w:val="20"/>
                <w:color w:val="auto"/>
              </w:rPr>
            </w:pPr>
            <w:r>
              <w:rPr>
                <w:rFonts w:ascii="Arial" w:cs="Arial" w:eastAsia="Arial" w:hAnsi="Arial"/>
                <w:sz w:val="11"/>
                <w:szCs w:val="11"/>
                <w:color w:val="auto"/>
              </w:rPr>
              <w:t>2,157</w:t>
            </w:r>
          </w:p>
        </w:tc>
        <w:tc>
          <w:tcPr>
            <w:tcW w:w="600" w:type="dxa"/>
            <w:vAlign w:val="bottom"/>
          </w:tcPr>
          <w:p>
            <w:pPr>
              <w:jc w:val="right"/>
              <w:ind w:right="86"/>
              <w:spacing w:after="0" w:line="118" w:lineRule="exact"/>
              <w:rPr>
                <w:sz w:val="20"/>
                <w:szCs w:val="20"/>
                <w:color w:val="auto"/>
              </w:rPr>
            </w:pPr>
            <w:r>
              <w:rPr>
                <w:rFonts w:ascii="Arial" w:cs="Arial" w:eastAsia="Arial" w:hAnsi="Arial"/>
                <w:sz w:val="11"/>
                <w:szCs w:val="11"/>
                <w:color w:val="auto"/>
              </w:rPr>
              <w:t>11,571</w:t>
            </w:r>
          </w:p>
        </w:tc>
        <w:tc>
          <w:tcPr>
            <w:tcW w:w="560" w:type="dxa"/>
            <w:vAlign w:val="bottom"/>
            <w:gridSpan w:val="2"/>
          </w:tcPr>
          <w:p>
            <w:pPr>
              <w:jc w:val="right"/>
              <w:ind w:right="46"/>
              <w:spacing w:after="0" w:line="118" w:lineRule="exact"/>
              <w:rPr>
                <w:sz w:val="20"/>
                <w:szCs w:val="20"/>
                <w:color w:val="auto"/>
              </w:rPr>
            </w:pPr>
            <w:r>
              <w:rPr>
                <w:rFonts w:ascii="Arial" w:cs="Arial" w:eastAsia="Arial" w:hAnsi="Arial"/>
                <w:sz w:val="11"/>
                <w:szCs w:val="11"/>
                <w:color w:val="auto"/>
              </w:rPr>
              <w:t>1,474</w:t>
            </w:r>
          </w:p>
        </w:tc>
        <w:tc>
          <w:tcPr>
            <w:tcW w:w="560" w:type="dxa"/>
            <w:vAlign w:val="bottom"/>
          </w:tcPr>
          <w:p>
            <w:pPr>
              <w:jc w:val="right"/>
              <w:ind w:right="26"/>
              <w:spacing w:after="0" w:line="118" w:lineRule="exact"/>
              <w:rPr>
                <w:sz w:val="20"/>
                <w:szCs w:val="20"/>
                <w:color w:val="auto"/>
              </w:rPr>
            </w:pPr>
            <w:r>
              <w:rPr>
                <w:rFonts w:ascii="Arial" w:cs="Arial" w:eastAsia="Arial" w:hAnsi="Arial"/>
                <w:sz w:val="11"/>
                <w:szCs w:val="11"/>
                <w:color w:val="auto"/>
              </w:rPr>
              <w:t>6</w:t>
            </w:r>
          </w:p>
        </w:tc>
        <w:tc>
          <w:tcPr>
            <w:tcW w:w="740" w:type="dxa"/>
            <w:vAlign w:val="bottom"/>
          </w:tcPr>
          <w:p>
            <w:pPr>
              <w:jc w:val="right"/>
              <w:ind w:right="86"/>
              <w:spacing w:after="0" w:line="118" w:lineRule="exact"/>
              <w:rPr>
                <w:sz w:val="20"/>
                <w:szCs w:val="20"/>
                <w:color w:val="auto"/>
              </w:rPr>
            </w:pPr>
            <w:r>
              <w:rPr>
                <w:rFonts w:ascii="Arial" w:cs="Arial" w:eastAsia="Arial" w:hAnsi="Arial"/>
                <w:sz w:val="11"/>
                <w:szCs w:val="11"/>
                <w:color w:val="auto"/>
              </w:rPr>
              <w:t>13,051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40" w:type="dxa"/>
            <w:vAlign w:val="bottom"/>
            <w:tcBorders>
              <w:bottom w:val="single" w:sz="8" w:color="0070FF"/>
            </w:tcBorders>
          </w:tcPr>
          <w:p>
            <w:pPr>
              <w:ind w:left="120"/>
              <w:spacing w:after="0"/>
              <w:rPr>
                <w:sz w:val="20"/>
                <w:szCs w:val="20"/>
                <w:color w:val="auto"/>
              </w:rPr>
            </w:pPr>
            <w:r>
              <w:rPr>
                <w:rFonts w:ascii="Arial" w:cs="Arial" w:eastAsia="Arial" w:hAnsi="Arial"/>
                <w:sz w:val="11"/>
                <w:szCs w:val="11"/>
                <w:b w:val="1"/>
                <w:bCs w:val="1"/>
                <w:color w:val="auto"/>
              </w:rPr>
              <w:t>At December 31, 2003</w:t>
            </w:r>
          </w:p>
        </w:tc>
        <w:tc>
          <w:tcPr>
            <w:tcW w:w="48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b w:val="1"/>
                <w:bCs w:val="1"/>
                <w:color w:val="auto"/>
              </w:rPr>
              <w:t>1,651</w:t>
            </w:r>
          </w:p>
        </w:tc>
        <w:tc>
          <w:tcPr>
            <w:tcW w:w="720" w:type="dxa"/>
            <w:vAlign w:val="bottom"/>
            <w:tcBorders>
              <w:bottom w:val="single" w:sz="8" w:color="0070FF"/>
            </w:tcBorders>
          </w:tcPr>
          <w:p>
            <w:pPr>
              <w:jc w:val="right"/>
              <w:ind w:right="146"/>
              <w:spacing w:after="0"/>
              <w:rPr>
                <w:sz w:val="20"/>
                <w:szCs w:val="20"/>
                <w:color w:val="auto"/>
              </w:rPr>
            </w:pPr>
            <w:r>
              <w:rPr>
                <w:rFonts w:ascii="Arial" w:cs="Arial" w:eastAsia="Arial" w:hAnsi="Arial"/>
                <w:sz w:val="11"/>
                <w:szCs w:val="11"/>
                <w:b w:val="1"/>
                <w:bCs w:val="1"/>
                <w:color w:val="auto"/>
              </w:rPr>
              <w:t>1,059</w:t>
            </w:r>
          </w:p>
        </w:tc>
        <w:tc>
          <w:tcPr>
            <w:tcW w:w="56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b w:val="1"/>
                <w:bCs w:val="1"/>
                <w:color w:val="auto"/>
              </w:rPr>
              <w:t>1,229</w:t>
            </w:r>
          </w:p>
        </w:tc>
        <w:tc>
          <w:tcPr>
            <w:tcW w:w="720" w:type="dxa"/>
            <w:vAlign w:val="bottom"/>
            <w:tcBorders>
              <w:bottom w:val="single" w:sz="8" w:color="0070FF"/>
            </w:tcBorders>
          </w:tcPr>
          <w:p>
            <w:pPr>
              <w:jc w:val="right"/>
              <w:ind w:right="146"/>
              <w:spacing w:after="0"/>
              <w:rPr>
                <w:sz w:val="20"/>
                <w:szCs w:val="20"/>
                <w:color w:val="auto"/>
              </w:rPr>
            </w:pPr>
            <w:r>
              <w:rPr>
                <w:rFonts w:ascii="Arial" w:cs="Arial" w:eastAsia="Arial" w:hAnsi="Arial"/>
                <w:sz w:val="11"/>
                <w:szCs w:val="11"/>
                <w:b w:val="1"/>
                <w:bCs w:val="1"/>
                <w:color w:val="auto"/>
              </w:rPr>
              <w:t>522</w:t>
            </w:r>
          </w:p>
        </w:tc>
        <w:tc>
          <w:tcPr>
            <w:tcW w:w="520" w:type="dxa"/>
            <w:vAlign w:val="bottom"/>
            <w:tcBorders>
              <w:bottom w:val="single" w:sz="8" w:color="0070FF"/>
            </w:tcBorders>
          </w:tcPr>
          <w:p>
            <w:pPr>
              <w:jc w:val="right"/>
              <w:ind w:right="46"/>
              <w:spacing w:after="0"/>
              <w:rPr>
                <w:sz w:val="20"/>
                <w:szCs w:val="20"/>
                <w:color w:val="auto"/>
              </w:rPr>
            </w:pPr>
            <w:r>
              <w:rPr>
                <w:rFonts w:ascii="Arial" w:cs="Arial" w:eastAsia="Arial" w:hAnsi="Arial"/>
                <w:sz w:val="11"/>
                <w:szCs w:val="11"/>
                <w:b w:val="1"/>
                <w:bCs w:val="1"/>
                <w:color w:val="auto"/>
              </w:rPr>
              <w:t>4,461</w:t>
            </w:r>
          </w:p>
        </w:tc>
        <w:tc>
          <w:tcPr>
            <w:tcW w:w="660" w:type="dxa"/>
            <w:vAlign w:val="bottom"/>
            <w:tcBorders>
              <w:bottom w:val="single" w:sz="8" w:color="0070FF"/>
            </w:tcBorders>
            <w:gridSpan w:val="2"/>
          </w:tcPr>
          <w:p>
            <w:pPr>
              <w:jc w:val="right"/>
              <w:ind w:right="86"/>
              <w:spacing w:after="0"/>
              <w:rPr>
                <w:sz w:val="20"/>
                <w:szCs w:val="20"/>
                <w:color w:val="auto"/>
              </w:rPr>
            </w:pPr>
            <w:r>
              <w:rPr>
                <w:rFonts w:ascii="Arial" w:cs="Arial" w:eastAsia="Arial" w:hAnsi="Arial"/>
                <w:sz w:val="11"/>
                <w:szCs w:val="11"/>
                <w:b w:val="1"/>
                <w:bCs w:val="1"/>
                <w:color w:val="auto"/>
              </w:rPr>
              <w:t>1,304</w:t>
            </w:r>
          </w:p>
        </w:tc>
        <w:tc>
          <w:tcPr>
            <w:tcW w:w="58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b w:val="1"/>
                <w:bCs w:val="1"/>
                <w:color w:val="auto"/>
              </w:rPr>
              <w:t>140</w:t>
            </w:r>
          </w:p>
        </w:tc>
        <w:tc>
          <w:tcPr>
            <w:tcW w:w="68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b w:val="1"/>
                <w:bCs w:val="1"/>
                <w:color w:val="auto"/>
              </w:rPr>
              <w:t>5,905</w:t>
            </w:r>
          </w:p>
        </w:tc>
        <w:tc>
          <w:tcPr>
            <w:tcW w:w="620" w:type="dxa"/>
            <w:vAlign w:val="bottom"/>
            <w:tcBorders>
              <w:bottom w:val="single" w:sz="8" w:color="0070FF"/>
            </w:tcBorders>
            <w:gridSpan w:val="2"/>
          </w:tcPr>
          <w:p>
            <w:pPr>
              <w:jc w:val="right"/>
              <w:ind w:right="106"/>
              <w:spacing w:after="0"/>
              <w:rPr>
                <w:sz w:val="20"/>
                <w:szCs w:val="20"/>
                <w:color w:val="auto"/>
              </w:rPr>
            </w:pPr>
            <w:r>
              <w:rPr>
                <w:rFonts w:ascii="Arial" w:cs="Arial" w:eastAsia="Arial" w:hAnsi="Arial"/>
                <w:sz w:val="11"/>
                <w:szCs w:val="11"/>
                <w:b w:val="1"/>
                <w:bCs w:val="1"/>
                <w:color w:val="auto"/>
              </w:rPr>
              <w:t>4,801</w:t>
            </w:r>
          </w:p>
        </w:tc>
        <w:tc>
          <w:tcPr>
            <w:tcW w:w="600" w:type="dxa"/>
            <w:vAlign w:val="bottom"/>
            <w:tcBorders>
              <w:bottom w:val="single" w:sz="8" w:color="0070FF"/>
            </w:tcBorders>
          </w:tcPr>
          <w:p>
            <w:pPr>
              <w:jc w:val="right"/>
              <w:ind w:right="126"/>
              <w:spacing w:after="0"/>
              <w:rPr>
                <w:sz w:val="20"/>
                <w:szCs w:val="20"/>
                <w:color w:val="auto"/>
              </w:rPr>
            </w:pPr>
            <w:r>
              <w:rPr>
                <w:rFonts w:ascii="Arial" w:cs="Arial" w:eastAsia="Arial" w:hAnsi="Arial"/>
                <w:sz w:val="11"/>
                <w:szCs w:val="11"/>
                <w:b w:val="1"/>
                <w:bCs w:val="1"/>
                <w:color w:val="auto"/>
              </w:rPr>
              <w:t>954</w:t>
            </w:r>
          </w:p>
        </w:tc>
        <w:tc>
          <w:tcPr>
            <w:tcW w:w="500" w:type="dxa"/>
            <w:vAlign w:val="bottom"/>
            <w:tcBorders>
              <w:bottom w:val="single" w:sz="8" w:color="0070FF"/>
            </w:tcBorders>
          </w:tcPr>
          <w:p>
            <w:pPr>
              <w:jc w:val="right"/>
              <w:ind w:right="6"/>
              <w:spacing w:after="0"/>
              <w:rPr>
                <w:sz w:val="20"/>
                <w:szCs w:val="20"/>
                <w:color w:val="auto"/>
              </w:rPr>
            </w:pPr>
            <w:r>
              <w:rPr>
                <w:rFonts w:ascii="Arial" w:cs="Arial" w:eastAsia="Arial" w:hAnsi="Arial"/>
                <w:sz w:val="11"/>
                <w:szCs w:val="11"/>
                <w:b w:val="1"/>
                <w:bCs w:val="1"/>
                <w:color w:val="auto"/>
              </w:rPr>
              <w:t>3,850</w:t>
            </w:r>
          </w:p>
        </w:tc>
        <w:tc>
          <w:tcPr>
            <w:tcW w:w="660" w:type="dxa"/>
            <w:vAlign w:val="bottom"/>
            <w:tcBorders>
              <w:bottom w:val="single" w:sz="8" w:color="0070FF"/>
            </w:tcBorders>
          </w:tcPr>
          <w:p>
            <w:pPr>
              <w:jc w:val="right"/>
              <w:ind w:right="126"/>
              <w:spacing w:after="0"/>
              <w:rPr>
                <w:sz w:val="20"/>
                <w:szCs w:val="20"/>
                <w:color w:val="auto"/>
              </w:rPr>
            </w:pPr>
            <w:r>
              <w:rPr>
                <w:rFonts w:ascii="Arial" w:cs="Arial" w:eastAsia="Arial" w:hAnsi="Arial"/>
                <w:sz w:val="11"/>
                <w:szCs w:val="11"/>
                <w:b w:val="1"/>
                <w:bCs w:val="1"/>
                <w:color w:val="auto"/>
              </w:rPr>
              <w:t>3,043</w:t>
            </w:r>
          </w:p>
        </w:tc>
        <w:tc>
          <w:tcPr>
            <w:tcW w:w="60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b w:val="1"/>
                <w:bCs w:val="1"/>
                <w:color w:val="auto"/>
              </w:rPr>
              <w:t>12,648</w:t>
            </w:r>
          </w:p>
        </w:tc>
        <w:tc>
          <w:tcPr>
            <w:tcW w:w="560" w:type="dxa"/>
            <w:vAlign w:val="bottom"/>
            <w:tcBorders>
              <w:bottom w:val="single" w:sz="8" w:color="0070FF"/>
            </w:tcBorders>
            <w:gridSpan w:val="2"/>
          </w:tcPr>
          <w:p>
            <w:pPr>
              <w:jc w:val="right"/>
              <w:ind w:right="46"/>
              <w:spacing w:after="0"/>
              <w:rPr>
                <w:sz w:val="20"/>
                <w:szCs w:val="20"/>
                <w:color w:val="auto"/>
              </w:rPr>
            </w:pPr>
            <w:r>
              <w:rPr>
                <w:rFonts w:ascii="Arial" w:cs="Arial" w:eastAsia="Arial" w:hAnsi="Arial"/>
                <w:sz w:val="11"/>
                <w:szCs w:val="11"/>
                <w:b w:val="1"/>
                <w:bCs w:val="1"/>
                <w:color w:val="auto"/>
              </w:rPr>
              <w:t>1,789</w:t>
            </w:r>
          </w:p>
        </w:tc>
        <w:tc>
          <w:tcPr>
            <w:tcW w:w="560" w:type="dxa"/>
            <w:vAlign w:val="bottom"/>
            <w:tcBorders>
              <w:bottom w:val="single" w:sz="8" w:color="0070FF"/>
            </w:tcBorders>
          </w:tcPr>
          <w:p>
            <w:pPr>
              <w:jc w:val="right"/>
              <w:ind w:right="26"/>
              <w:spacing w:after="0"/>
              <w:rPr>
                <w:sz w:val="20"/>
                <w:szCs w:val="20"/>
                <w:color w:val="auto"/>
              </w:rPr>
            </w:pPr>
            <w:r>
              <w:rPr>
                <w:rFonts w:ascii="Arial" w:cs="Arial" w:eastAsia="Arial" w:hAnsi="Arial"/>
                <w:sz w:val="11"/>
                <w:szCs w:val="11"/>
                <w:b w:val="1"/>
                <w:bCs w:val="1"/>
                <w:color w:val="auto"/>
              </w:rPr>
              <w:t>52</w:t>
            </w:r>
          </w:p>
        </w:tc>
        <w:tc>
          <w:tcPr>
            <w:tcW w:w="740" w:type="dxa"/>
            <w:vAlign w:val="bottom"/>
            <w:tcBorders>
              <w:bottom w:val="single" w:sz="8" w:color="0070FF"/>
            </w:tcBorders>
          </w:tcPr>
          <w:p>
            <w:pPr>
              <w:jc w:val="right"/>
              <w:ind w:right="86"/>
              <w:spacing w:after="0"/>
              <w:rPr>
                <w:sz w:val="20"/>
                <w:szCs w:val="20"/>
                <w:color w:val="auto"/>
              </w:rPr>
            </w:pPr>
            <w:r>
              <w:rPr>
                <w:rFonts w:ascii="Arial" w:cs="Arial" w:eastAsia="Arial" w:hAnsi="Arial"/>
                <w:sz w:val="11"/>
                <w:szCs w:val="11"/>
                <w:b w:val="1"/>
                <w:bCs w:val="1"/>
                <w:color w:val="auto"/>
              </w:rPr>
              <w:t>14,489</w:t>
            </w:r>
          </w:p>
        </w:tc>
        <w:tc>
          <w:tcPr>
            <w:tcW w:w="0" w:type="dxa"/>
            <w:vAlign w:val="bottom"/>
          </w:tcPr>
          <w:p>
            <w:pPr>
              <w:spacing w:after="0"/>
              <w:rPr>
                <w:sz w:val="1"/>
                <w:szCs w:val="1"/>
                <w:color w:val="auto"/>
              </w:rPr>
            </w:pPr>
          </w:p>
        </w:tc>
      </w:tr>
    </w:tbl>
    <w:p>
      <w:pPr>
        <w:ind w:left="80" w:hanging="72"/>
        <w:spacing w:after="0" w:line="188" w:lineRule="auto"/>
        <w:tabs>
          <w:tab w:leader="none" w:pos="8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Includes reserves acquired through property exchanges.</w:t>
      </w:r>
    </w:p>
    <w:p>
      <w:pPr>
        <w:ind w:left="80" w:hanging="72"/>
        <w:spacing w:after="0" w:line="188" w:lineRule="auto"/>
        <w:tabs>
          <w:tab w:leader="none" w:pos="80" w:val="left"/>
        </w:tabs>
        <w:numPr>
          <w:ilvl w:val="0"/>
          <w:numId w:val="83"/>
        </w:numPr>
        <w:rPr>
          <w:rFonts w:ascii="Arial" w:cs="Arial" w:eastAsia="Arial" w:hAnsi="Arial"/>
          <w:sz w:val="17"/>
          <w:szCs w:val="17"/>
          <w:color w:val="auto"/>
          <w:vertAlign w:val="superscript"/>
        </w:rPr>
      </w:pPr>
      <w:r>
        <w:rPr>
          <w:rFonts w:ascii="Arial" w:cs="Arial" w:eastAsia="Arial" w:hAnsi="Arial"/>
          <w:sz w:val="10"/>
          <w:szCs w:val="10"/>
          <w:color w:val="auto"/>
        </w:rPr>
        <w:t>Includes reserves disposed of through property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INFORMATION ON CANADIAN OIL SANDS NET PROVED RESERVES NOT INCLUDED ABOVE:</w:t>
      </w:r>
    </w:p>
    <w:p>
      <w:pPr>
        <w:spacing w:after="0" w:line="254" w:lineRule="exact"/>
        <w:rPr>
          <w:sz w:val="20"/>
          <w:szCs w:val="20"/>
          <w:color w:val="auto"/>
        </w:rPr>
      </w:pPr>
    </w:p>
    <w:p>
      <w:pPr>
        <w:jc w:val="both"/>
        <w:ind w:right="280"/>
        <w:spacing w:after="0" w:line="243" w:lineRule="auto"/>
        <w:rPr>
          <w:sz w:val="20"/>
          <w:szCs w:val="20"/>
          <w:color w:val="auto"/>
        </w:rPr>
      </w:pPr>
      <w:r>
        <w:rPr>
          <w:rFonts w:ascii="Arial" w:cs="Arial" w:eastAsia="Arial" w:hAnsi="Arial"/>
          <w:sz w:val="12"/>
          <w:szCs w:val="12"/>
          <w:color w:val="auto"/>
        </w:rPr>
        <w:t>In addition to conventional liquids and natural gas proved reserves, ChevronTexaco has significant interests in proved oil sands reserves in Canada associated with the Athabasca project. For internal management purposes, ChevronTexaco views these reserves and their development as an integral part of total upstream operations. However, U.S. Securities and Exchange Commission regulations define these reserves as mining-related and not a part of conventional oil and gas reserves. Net proved oil sands reserves were 171 million barrels as of December 31, 2003. Production began in late 2002.</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The oil sands reserves are not considered in the standardized measure of discounted future net cash flows for conventional oil and gas reserves, which is found on page FS-58.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246620" cy="3429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584"/>
        <w:spacing w:after="0"/>
        <w:tabs>
          <w:tab w:leader="none" w:pos="700" w:val="left"/>
        </w:tabs>
        <w:numPr>
          <w:ilvl w:val="0"/>
          <w:numId w:val="84"/>
        </w:numPr>
        <w:rPr>
          <w:rFonts w:ascii="Arial" w:cs="Arial" w:eastAsia="Arial" w:hAnsi="Arial"/>
          <w:sz w:val="27"/>
          <w:szCs w:val="27"/>
          <w:b w:val="1"/>
          <w:bCs w:val="1"/>
          <w:color w:val="0070FF"/>
        </w:rPr>
      </w:pPr>
      <w:r>
        <w:rPr>
          <w:rFonts w:ascii="Arial" w:cs="Arial" w:eastAsia="Arial" w:hAnsi="Arial"/>
          <w:sz w:val="22"/>
          <w:szCs w:val="22"/>
          <w:color w:val="0070FF"/>
        </w:rPr>
        <w:t xml:space="preserve">Supplemental Information on Oil and Gas Producing Activities – </w:t>
      </w:r>
      <w:r>
        <w:rPr>
          <w:rFonts w:ascii="Arial" w:cs="Arial" w:eastAsia="Arial" w:hAnsi="Arial"/>
          <w:sz w:val="22"/>
          <w:szCs w:val="22"/>
          <w:i w:val="1"/>
          <w:iCs w:val="1"/>
          <w:color w:val="0070FF"/>
        </w:rPr>
        <w:t>Continued</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0070FF"/>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TABLE VI – STANDARDIZED MEASURE OF DISCOUNTED FUTURE NET CASH FLOWS RELATED TO PROVED OIL AND GAS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151765</wp:posOffset>
            </wp:positionV>
            <wp:extent cx="8890" cy="1689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standardized measure of discounted future net cash flows, related to the preceding proved oil and gas reserves, is calculated in accordance with the requirements of FAS No. 69. Estimated future cash inflows from production are computed by applying year-end prices for oil and gas to year-end quantities of estimated net proved reserves. Future price changes are limited to those provided by contractual arrangements in existence at the end of each reporting year. Future development and production costs are those estimated future expenditures necessary to develop and produce year-end estimated proved reserves based on year-end cost indices, assuming continuation of year-end economic conditions, and include estimated costs for asset retirement obligations. Estimated future income taxes are calculated by applying appropriate year-end statutory tax rates. These rates reflect allowable deductions and tax credits and are applied to estimated future pretax net cash flows, less the tax basis of related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assets. Discounted future net cash flows are calculated using 10 percent midperiod discount factors. Discounting requires a year-by-year estimate of when future expenditures will be incurred and when reserves will be produced.</w:t>
      </w:r>
    </w:p>
    <w:p>
      <w:pPr>
        <w:spacing w:after="0" w:line="1" w:lineRule="exact"/>
        <w:rPr>
          <w:sz w:val="20"/>
          <w:szCs w:val="20"/>
          <w:color w:val="auto"/>
        </w:rPr>
      </w:pPr>
    </w:p>
    <w:p>
      <w:pPr>
        <w:ind w:right="60" w:firstLine="200"/>
        <w:spacing w:after="0" w:line="287" w:lineRule="auto"/>
        <w:rPr>
          <w:sz w:val="20"/>
          <w:szCs w:val="20"/>
          <w:color w:val="auto"/>
        </w:rPr>
      </w:pPr>
      <w:r>
        <w:rPr>
          <w:rFonts w:ascii="Arial" w:cs="Arial" w:eastAsia="Arial" w:hAnsi="Arial"/>
          <w:sz w:val="15"/>
          <w:szCs w:val="15"/>
          <w:color w:val="auto"/>
        </w:rPr>
        <w:t>The information provided does not represent management’s estimate of the company’s expected future cash flows or value of proved oil and gas reserves. Estimates of proved reserve quantities are imprecise and change over time as new information becomes available. Moreover, probable and possible reserves, which may become proved in the future, are excluded from the calculations. The arbitrary valuation prescribed under FAS No. 69 requires assumptions as to the timing and amount of future development and production costs. The calculations are made as of December 31 each year and should not be relied upon as an indication of the company’s future cash flows or value of its oil and gas reserves.</w:t>
      </w:r>
    </w:p>
    <w:p>
      <w:pPr>
        <w:spacing w:after="0" w:line="435" w:lineRule="exact"/>
        <w:rPr>
          <w:sz w:val="20"/>
          <w:szCs w:val="20"/>
          <w:color w:val="auto"/>
        </w:rPr>
      </w:pPr>
    </w:p>
    <w:p>
      <w:pPr>
        <w:sectPr>
          <w:pgSz w:w="11900" w:h="16838" w:orient="portrait"/>
          <w:cols w:equalWidth="0" w:num="2">
            <w:col w:w="5480" w:space="400"/>
            <w:col w:w="5540"/>
          </w:cols>
          <w:pgMar w:left="240" w:top="419" w:right="2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w:t>
            </w: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spacing w:after="0"/>
              <w:rPr>
                <w:sz w:val="14"/>
                <w:szCs w:val="14"/>
                <w:color w:val="auto"/>
              </w:rPr>
            </w:pPr>
          </w:p>
        </w:tc>
        <w:tc>
          <w:tcPr>
            <w:tcW w:w="3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spacing w:after="0"/>
              <w:rPr>
                <w:sz w:val="14"/>
                <w:szCs w:val="14"/>
                <w:color w:val="auto"/>
              </w:rPr>
            </w:pPr>
          </w:p>
        </w:tc>
        <w:tc>
          <w:tcPr>
            <w:tcW w:w="5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spacing w:after="0"/>
              <w:rPr>
                <w:sz w:val="14"/>
                <w:szCs w:val="14"/>
                <w:color w:val="auto"/>
              </w:rPr>
            </w:pPr>
          </w:p>
        </w:tc>
        <w:tc>
          <w:tcPr>
            <w:tcW w:w="1820" w:type="dxa"/>
            <w:vAlign w:val="bottom"/>
            <w:tcBorders>
              <w:bottom w:val="single" w:sz="8" w:color="0070FF"/>
            </w:tcBorders>
            <w:gridSpan w:val="4"/>
          </w:tcPr>
          <w:p>
            <w:pPr>
              <w:jc w:val="right"/>
              <w:ind w:right="148"/>
              <w:spacing w:after="0"/>
              <w:rPr>
                <w:sz w:val="20"/>
                <w:szCs w:val="20"/>
                <w:color w:val="auto"/>
              </w:rPr>
            </w:pPr>
            <w:r>
              <w:rPr>
                <w:rFonts w:ascii="Arial" w:cs="Arial" w:eastAsia="Arial" w:hAnsi="Arial"/>
                <w:sz w:val="14"/>
                <w:szCs w:val="14"/>
                <w:color w:val="auto"/>
              </w:rPr>
              <w:t>Consolidated Companies</w:t>
            </w:r>
          </w:p>
        </w:tc>
        <w:tc>
          <w:tcPr>
            <w:tcW w:w="160" w:type="dxa"/>
            <w:vAlign w:val="bottom"/>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1800" w:type="dxa"/>
            <w:vAlign w:val="bottom"/>
            <w:tcBorders>
              <w:bottom w:val="single" w:sz="8" w:color="0070FF"/>
            </w:tcBorders>
            <w:gridSpan w:val="3"/>
          </w:tcPr>
          <w:p>
            <w:pPr>
              <w:jc w:val="right"/>
              <w:ind w:right="148"/>
              <w:spacing w:after="0"/>
              <w:rPr>
                <w:sz w:val="20"/>
                <w:szCs w:val="20"/>
                <w:color w:val="auto"/>
              </w:rPr>
            </w:pPr>
            <w:r>
              <w:rPr>
                <w:rFonts w:ascii="Arial" w:cs="Arial" w:eastAsia="Arial" w:hAnsi="Arial"/>
                <w:sz w:val="14"/>
                <w:szCs w:val="14"/>
                <w:color w:val="auto"/>
              </w:rPr>
              <w:t>Affiliated Companies</w:t>
            </w:r>
          </w:p>
        </w:tc>
        <w:tc>
          <w:tcPr>
            <w:tcW w:w="12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42"/>
        </w:trPr>
        <w:tc>
          <w:tcPr>
            <w:tcW w:w="2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08"/>
              <w:spacing w:after="0" w:line="142" w:lineRule="exact"/>
              <w:rPr>
                <w:sz w:val="20"/>
                <w:szCs w:val="20"/>
                <w:color w:val="auto"/>
              </w:rPr>
            </w:pPr>
            <w:r>
              <w:rPr>
                <w:rFonts w:ascii="Arial" w:cs="Arial" w:eastAsia="Arial" w:hAnsi="Arial"/>
                <w:sz w:val="14"/>
                <w:szCs w:val="14"/>
                <w:color w:val="auto"/>
              </w:rPr>
              <w:t>U.S.</w:t>
            </w:r>
          </w:p>
        </w:tc>
        <w:tc>
          <w:tcPr>
            <w:tcW w:w="300" w:type="dxa"/>
            <w:vAlign w:val="bottom"/>
          </w:tcPr>
          <w:p>
            <w:pPr>
              <w:spacing w:after="0"/>
              <w:rPr>
                <w:sz w:val="12"/>
                <w:szCs w:val="12"/>
                <w:color w:val="auto"/>
              </w:rPr>
            </w:pPr>
          </w:p>
        </w:tc>
        <w:tc>
          <w:tcPr>
            <w:tcW w:w="800" w:type="dxa"/>
            <w:vAlign w:val="bottom"/>
          </w:tcPr>
          <w:p>
            <w:pPr>
              <w:jc w:val="right"/>
              <w:ind w:right="268"/>
              <w:spacing w:after="0" w:line="142" w:lineRule="exact"/>
              <w:rPr>
                <w:sz w:val="20"/>
                <w:szCs w:val="20"/>
                <w:color w:val="auto"/>
              </w:rPr>
            </w:pPr>
            <w:r>
              <w:rPr>
                <w:rFonts w:ascii="Arial" w:cs="Arial" w:eastAsia="Arial" w:hAnsi="Arial"/>
                <w:sz w:val="14"/>
                <w:szCs w:val="14"/>
                <w:color w:val="auto"/>
              </w:rPr>
              <w:t>Africa</w:t>
            </w:r>
          </w:p>
        </w:tc>
        <w:tc>
          <w:tcPr>
            <w:tcW w:w="1220" w:type="dxa"/>
            <w:vAlign w:val="bottom"/>
            <w:gridSpan w:val="2"/>
          </w:tcPr>
          <w:p>
            <w:pPr>
              <w:jc w:val="right"/>
              <w:ind w:right="188"/>
              <w:spacing w:after="0" w:line="142" w:lineRule="exact"/>
              <w:rPr>
                <w:sz w:val="20"/>
                <w:szCs w:val="20"/>
                <w:color w:val="auto"/>
              </w:rPr>
            </w:pPr>
            <w:r>
              <w:rPr>
                <w:rFonts w:ascii="Arial" w:cs="Arial" w:eastAsia="Arial" w:hAnsi="Arial"/>
                <w:sz w:val="14"/>
                <w:szCs w:val="14"/>
                <w:color w:val="auto"/>
              </w:rPr>
              <w:t>Asia-Pacific</w:t>
            </w:r>
          </w:p>
        </w:tc>
        <w:tc>
          <w:tcPr>
            <w:tcW w:w="280" w:type="dxa"/>
            <w:vAlign w:val="bottom"/>
          </w:tcPr>
          <w:p>
            <w:pPr>
              <w:spacing w:after="0"/>
              <w:rPr>
                <w:sz w:val="12"/>
                <w:szCs w:val="12"/>
                <w:color w:val="auto"/>
              </w:rPr>
            </w:pPr>
          </w:p>
        </w:tc>
        <w:tc>
          <w:tcPr>
            <w:tcW w:w="62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TCO</w:t>
            </w:r>
          </w:p>
        </w:tc>
        <w:tc>
          <w:tcPr>
            <w:tcW w:w="106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Hamaca</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Borders>
              <w:top w:val="single" w:sz="8" w:color="0070FF"/>
            </w:tcBorders>
          </w:tcPr>
          <w:p>
            <w:pPr>
              <w:spacing w:after="0" w:line="137" w:lineRule="exact"/>
              <w:rPr>
                <w:sz w:val="20"/>
                <w:szCs w:val="20"/>
                <w:color w:val="auto"/>
              </w:rPr>
            </w:pPr>
            <w:r>
              <w:rPr>
                <w:rFonts w:ascii="Arial" w:cs="Arial" w:eastAsia="Arial" w:hAnsi="Arial"/>
                <w:sz w:val="14"/>
                <w:szCs w:val="14"/>
                <w:b w:val="1"/>
                <w:bCs w:val="1"/>
                <w:color w:val="0070FF"/>
              </w:rPr>
              <w:t>AT DECEMBER 31, 2003</w:t>
            </w:r>
          </w:p>
        </w:tc>
        <w:tc>
          <w:tcPr>
            <w:tcW w:w="22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0070FF"/>
            </w:tcBorders>
            <w:vMerge w:val="restart"/>
          </w:tcPr>
          <w:p>
            <w:pPr>
              <w:jc w:val="right"/>
              <w:ind w:right="208"/>
              <w:spacing w:after="0"/>
              <w:rPr>
                <w:sz w:val="20"/>
                <w:szCs w:val="20"/>
                <w:color w:val="auto"/>
              </w:rPr>
            </w:pPr>
            <w:r>
              <w:rPr>
                <w:rFonts w:ascii="Arial" w:cs="Arial" w:eastAsia="Arial" w:hAnsi="Arial"/>
                <w:sz w:val="14"/>
                <w:szCs w:val="14"/>
                <w:b w:val="1"/>
                <w:bCs w:val="1"/>
                <w:color w:val="auto"/>
              </w:rPr>
              <w:t>87,079</w:t>
            </w:r>
          </w:p>
        </w:tc>
        <w:tc>
          <w:tcPr>
            <w:tcW w:w="30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0070FF"/>
            </w:tcBorders>
            <w:vMerge w:val="restart"/>
          </w:tcPr>
          <w:p>
            <w:pPr>
              <w:jc w:val="right"/>
              <w:ind w:right="268"/>
              <w:spacing w:after="0"/>
              <w:rPr>
                <w:sz w:val="20"/>
                <w:szCs w:val="20"/>
                <w:color w:val="auto"/>
              </w:rPr>
            </w:pPr>
            <w:r>
              <w:rPr>
                <w:rFonts w:ascii="Arial" w:cs="Arial" w:eastAsia="Arial" w:hAnsi="Arial"/>
                <w:sz w:val="14"/>
                <w:szCs w:val="14"/>
                <w:b w:val="1"/>
                <w:bCs w:val="1"/>
                <w:color w:val="auto"/>
              </w:rPr>
              <w:t>55,532</w:t>
            </w:r>
          </w:p>
        </w:tc>
        <w:tc>
          <w:tcPr>
            <w:tcW w:w="52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0070FF"/>
            </w:tcBorders>
            <w:vMerge w:val="restart"/>
          </w:tcPr>
          <w:p>
            <w:pPr>
              <w:jc w:val="right"/>
              <w:ind w:right="188"/>
              <w:spacing w:after="0"/>
              <w:rPr>
                <w:sz w:val="20"/>
                <w:szCs w:val="20"/>
                <w:color w:val="auto"/>
              </w:rPr>
            </w:pPr>
            <w:r>
              <w:rPr>
                <w:rFonts w:ascii="Arial" w:cs="Arial" w:eastAsia="Arial" w:hAnsi="Arial"/>
                <w:sz w:val="14"/>
                <w:szCs w:val="14"/>
                <w:b w:val="1"/>
                <w:bCs w:val="1"/>
                <w:color w:val="auto"/>
                <w:w w:val="97"/>
              </w:rPr>
              <w:t>59,319</w:t>
            </w:r>
          </w:p>
        </w:tc>
        <w:tc>
          <w:tcPr>
            <w:tcW w:w="28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0070FF"/>
            </w:tcBorders>
            <w:vMerge w:val="restart"/>
          </w:tcPr>
          <w:p>
            <w:pPr>
              <w:jc w:val="right"/>
              <w:ind w:right="148"/>
              <w:spacing w:after="0"/>
              <w:rPr>
                <w:sz w:val="20"/>
                <w:szCs w:val="20"/>
                <w:color w:val="auto"/>
              </w:rPr>
            </w:pPr>
            <w:r>
              <w:rPr>
                <w:rFonts w:ascii="Arial" w:cs="Arial" w:eastAsia="Arial" w:hAnsi="Arial"/>
                <w:sz w:val="14"/>
                <w:szCs w:val="14"/>
                <w:b w:val="1"/>
                <w:bCs w:val="1"/>
                <w:color w:val="auto"/>
                <w:w w:val="88"/>
              </w:rPr>
              <w:t>29,987</w:t>
            </w:r>
          </w:p>
        </w:tc>
        <w:tc>
          <w:tcPr>
            <w:tcW w:w="24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0070FF"/>
            </w:tcBorders>
            <w:vMerge w:val="restart"/>
          </w:tcPr>
          <w:p>
            <w:pPr>
              <w:jc w:val="right"/>
              <w:ind w:right="148"/>
              <w:spacing w:after="0"/>
              <w:rPr>
                <w:sz w:val="20"/>
                <w:szCs w:val="20"/>
                <w:color w:val="auto"/>
              </w:rPr>
            </w:pPr>
            <w:r>
              <w:rPr>
                <w:rFonts w:ascii="Arial" w:cs="Arial" w:eastAsia="Arial" w:hAnsi="Arial"/>
                <w:sz w:val="14"/>
                <w:szCs w:val="14"/>
                <w:b w:val="1"/>
                <w:bCs w:val="1"/>
                <w:color w:val="auto"/>
                <w:w w:val="86"/>
              </w:rPr>
              <w:t>231,917</w:t>
            </w:r>
          </w:p>
        </w:tc>
        <w:tc>
          <w:tcPr>
            <w:tcW w:w="480" w:type="dxa"/>
            <w:vAlign w:val="bottom"/>
            <w:tcBorders>
              <w:top w:val="single" w:sz="8" w:color="0070FF"/>
            </w:tcBorders>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0070FF"/>
            </w:tcBorders>
            <w:vMerge w:val="restart"/>
          </w:tcPr>
          <w:p>
            <w:pPr>
              <w:jc w:val="right"/>
              <w:ind w:right="228"/>
              <w:spacing w:after="0"/>
              <w:rPr>
                <w:sz w:val="20"/>
                <w:szCs w:val="20"/>
                <w:color w:val="auto"/>
              </w:rPr>
            </w:pPr>
            <w:r>
              <w:rPr>
                <w:rFonts w:ascii="Arial" w:cs="Arial" w:eastAsia="Arial" w:hAnsi="Arial"/>
                <w:sz w:val="14"/>
                <w:szCs w:val="14"/>
                <w:b w:val="1"/>
                <w:bCs w:val="1"/>
                <w:color w:val="auto"/>
                <w:w w:val="97"/>
              </w:rPr>
              <w:t>56,485</w:t>
            </w:r>
          </w:p>
        </w:tc>
        <w:tc>
          <w:tcPr>
            <w:tcW w:w="460" w:type="dxa"/>
            <w:vAlign w:val="bottom"/>
            <w:tcBorders>
              <w:top w:val="single" w:sz="8" w:color="0070FF"/>
            </w:tcBorders>
            <w:vMerge w:val="restart"/>
          </w:tcPr>
          <w:p>
            <w:pPr>
              <w:ind w:left="38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0070FF"/>
            </w:tcBorders>
            <w:vMerge w:val="restart"/>
          </w:tcPr>
          <w:p>
            <w:pPr>
              <w:jc w:val="right"/>
              <w:ind w:right="148"/>
              <w:spacing w:after="0"/>
              <w:rPr>
                <w:sz w:val="20"/>
                <w:szCs w:val="20"/>
                <w:color w:val="auto"/>
              </w:rPr>
            </w:pPr>
            <w:r>
              <w:rPr>
                <w:rFonts w:ascii="Arial" w:cs="Arial" w:eastAsia="Arial" w:hAnsi="Arial"/>
                <w:sz w:val="14"/>
                <w:szCs w:val="14"/>
                <w:b w:val="1"/>
                <w:bCs w:val="1"/>
                <w:color w:val="auto"/>
              </w:rPr>
              <w:t>9,018</w:t>
            </w:r>
          </w:p>
        </w:tc>
        <w:tc>
          <w:tcPr>
            <w:tcW w:w="560" w:type="dxa"/>
            <w:vAlign w:val="bottom"/>
            <w:tcBorders>
              <w:top w:val="single" w:sz="8" w:color="0070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0070FF"/>
            </w:tcBorders>
            <w:vMerge w:val="restart"/>
          </w:tcPr>
          <w:p>
            <w:pPr>
              <w:jc w:val="right"/>
              <w:ind w:right="148"/>
              <w:spacing w:after="0"/>
              <w:rPr>
                <w:sz w:val="20"/>
                <w:szCs w:val="20"/>
                <w:color w:val="auto"/>
              </w:rPr>
            </w:pPr>
            <w:r>
              <w:rPr>
                <w:rFonts w:ascii="Arial" w:cs="Arial" w:eastAsia="Arial" w:hAnsi="Arial"/>
                <w:sz w:val="14"/>
                <w:szCs w:val="14"/>
                <w:b w:val="1"/>
                <w:bCs w:val="1"/>
                <w:color w:val="auto"/>
                <w:w w:val="90"/>
              </w:rPr>
              <w:t>297,420</w:t>
            </w:r>
          </w:p>
        </w:tc>
        <w:tc>
          <w:tcPr>
            <w:tcW w:w="0" w:type="dxa"/>
            <w:vAlign w:val="bottom"/>
          </w:tcPr>
          <w:p>
            <w:pPr>
              <w:spacing w:after="0"/>
              <w:rPr>
                <w:sz w:val="1"/>
                <w:szCs w:val="1"/>
                <w:color w:val="auto"/>
              </w:rPr>
            </w:pPr>
          </w:p>
        </w:tc>
      </w:tr>
      <w:tr>
        <w:trPr>
          <w:trHeight w:val="145"/>
        </w:trPr>
        <w:tc>
          <w:tcPr>
            <w:tcW w:w="2780" w:type="dxa"/>
            <w:vAlign w:val="bottom"/>
            <w:gridSpan w:val="2"/>
          </w:tcPr>
          <w:p>
            <w:pPr>
              <w:spacing w:after="0" w:line="145" w:lineRule="exact"/>
              <w:rPr>
                <w:sz w:val="20"/>
                <w:szCs w:val="20"/>
                <w:color w:val="auto"/>
              </w:rPr>
            </w:pPr>
            <w:r>
              <w:rPr>
                <w:rFonts w:ascii="Arial" w:cs="Arial" w:eastAsia="Arial" w:hAnsi="Arial"/>
                <w:sz w:val="14"/>
                <w:szCs w:val="14"/>
                <w:color w:val="auto"/>
              </w:rPr>
              <w:t>Future cash inflows from production</w:t>
            </w:r>
          </w:p>
        </w:tc>
        <w:tc>
          <w:tcPr>
            <w:tcW w:w="2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production costs</w:t>
            </w:r>
          </w:p>
        </w:tc>
        <w:tc>
          <w:tcPr>
            <w:tcW w:w="22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w w:val="91"/>
              </w:rPr>
              <w:t>(25,049)</w:t>
            </w:r>
          </w:p>
        </w:tc>
        <w:tc>
          <w:tcPr>
            <w:tcW w:w="300" w:type="dxa"/>
            <w:vAlign w:val="bottom"/>
          </w:tcPr>
          <w:p>
            <w:pPr>
              <w:spacing w:after="0"/>
              <w:rPr>
                <w:sz w:val="12"/>
                <w:szCs w:val="12"/>
                <w:color w:val="auto"/>
              </w:rPr>
            </w:pPr>
          </w:p>
        </w:tc>
        <w:tc>
          <w:tcPr>
            <w:tcW w:w="80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(8,237)</w:t>
            </w:r>
          </w:p>
        </w:tc>
        <w:tc>
          <w:tcPr>
            <w:tcW w:w="5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88"/>
              </w:rPr>
              <w:t>(17,776)</w:t>
            </w:r>
          </w:p>
        </w:tc>
        <w:tc>
          <w:tcPr>
            <w:tcW w:w="280" w:type="dxa"/>
            <w:vAlign w:val="bottom"/>
          </w:tcPr>
          <w:p>
            <w:pPr>
              <w:spacing w:after="0"/>
              <w:rPr>
                <w:sz w:val="12"/>
                <w:szCs w:val="12"/>
                <w:color w:val="auto"/>
              </w:rPr>
            </w:pP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4"/>
              </w:rPr>
              <w:t>(6,334)</w:t>
            </w:r>
          </w:p>
        </w:tc>
        <w:tc>
          <w:tcPr>
            <w:tcW w:w="2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5"/>
              </w:rPr>
              <w:t>(57,396)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(6,099)</w:t>
            </w:r>
          </w:p>
        </w:tc>
        <w:tc>
          <w:tcPr>
            <w:tcW w:w="46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0"/>
              </w:rPr>
              <w:t>(1,878)</w:t>
            </w:r>
          </w:p>
        </w:tc>
        <w:tc>
          <w:tcPr>
            <w:tcW w:w="56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5"/>
              </w:rPr>
              <w:t>(65,373)</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development costs</w:t>
            </w:r>
          </w:p>
        </w:tc>
        <w:tc>
          <w:tcPr>
            <w:tcW w:w="22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(4,208)</w:t>
            </w:r>
          </w:p>
        </w:tc>
        <w:tc>
          <w:tcPr>
            <w:tcW w:w="300" w:type="dxa"/>
            <w:vAlign w:val="bottom"/>
          </w:tcPr>
          <w:p>
            <w:pPr>
              <w:spacing w:after="0"/>
              <w:rPr>
                <w:sz w:val="12"/>
                <w:szCs w:val="12"/>
                <w:color w:val="auto"/>
              </w:rPr>
            </w:pPr>
          </w:p>
        </w:tc>
        <w:tc>
          <w:tcPr>
            <w:tcW w:w="80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(4,524)</w:t>
            </w:r>
          </w:p>
        </w:tc>
        <w:tc>
          <w:tcPr>
            <w:tcW w:w="5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(4,161)</w:t>
            </w:r>
          </w:p>
        </w:tc>
        <w:tc>
          <w:tcPr>
            <w:tcW w:w="280" w:type="dxa"/>
            <w:vAlign w:val="bottom"/>
          </w:tcPr>
          <w:p>
            <w:pPr>
              <w:spacing w:after="0"/>
              <w:rPr>
                <w:sz w:val="12"/>
                <w:szCs w:val="12"/>
                <w:color w:val="auto"/>
              </w:rPr>
            </w:pP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4"/>
              </w:rPr>
              <w:t>(1,971)</w:t>
            </w:r>
          </w:p>
        </w:tc>
        <w:tc>
          <w:tcPr>
            <w:tcW w:w="2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5"/>
              </w:rPr>
              <w:t>(14,864)</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(6,066)</w:t>
            </w:r>
          </w:p>
        </w:tc>
        <w:tc>
          <w:tcPr>
            <w:tcW w:w="46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(463)</w:t>
            </w:r>
          </w:p>
        </w:tc>
        <w:tc>
          <w:tcPr>
            <w:tcW w:w="56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5"/>
              </w:rPr>
              <w:t>(21,393)</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Future income taxes</w:t>
            </w: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b w:val="1"/>
                <w:bCs w:val="1"/>
                <w:color w:val="auto"/>
                <w:w w:val="91"/>
              </w:rPr>
              <w:t>(19,567)</w:t>
            </w:r>
          </w:p>
        </w:tc>
        <w:tc>
          <w:tcPr>
            <w:tcW w:w="3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b w:val="1"/>
                <w:bCs w:val="1"/>
                <w:color w:val="auto"/>
                <w:w w:val="91"/>
              </w:rPr>
              <w:t>(25,369)</w:t>
            </w:r>
          </w:p>
        </w:tc>
        <w:tc>
          <w:tcPr>
            <w:tcW w:w="5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b w:val="1"/>
                <w:bCs w:val="1"/>
                <w:color w:val="auto"/>
                <w:w w:val="88"/>
              </w:rPr>
              <w:t>(15,925)</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w w:val="94"/>
              </w:rPr>
              <w:t>(7,888)</w:t>
            </w:r>
          </w:p>
        </w:tc>
        <w:tc>
          <w:tcPr>
            <w:tcW w:w="2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b w:val="1"/>
                <w:bCs w:val="1"/>
                <w:color w:val="auto"/>
                <w:w w:val="95"/>
              </w:rPr>
              <w:t>(68,749)</w:t>
            </w:r>
          </w:p>
        </w:tc>
        <w:tc>
          <w:tcPr>
            <w:tcW w:w="1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b w:val="1"/>
                <w:bCs w:val="1"/>
                <w:color w:val="auto"/>
                <w:w w:val="88"/>
              </w:rPr>
              <w:t>(12,520)</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w w:val="90"/>
              </w:rPr>
              <w:t>(2,270)</w:t>
            </w:r>
          </w:p>
        </w:tc>
        <w:tc>
          <w:tcPr>
            <w:tcW w:w="5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b w:val="1"/>
                <w:bCs w:val="1"/>
                <w:color w:val="auto"/>
                <w:w w:val="95"/>
              </w:rPr>
              <w:t>(83,539)</w:t>
            </w:r>
          </w:p>
        </w:tc>
        <w:tc>
          <w:tcPr>
            <w:tcW w:w="0" w:type="dxa"/>
            <w:vAlign w:val="bottom"/>
          </w:tcPr>
          <w:p>
            <w:pPr>
              <w:spacing w:after="0"/>
              <w:rPr>
                <w:sz w:val="1"/>
                <w:szCs w:val="1"/>
                <w:color w:val="auto"/>
              </w:rPr>
            </w:pPr>
          </w:p>
        </w:tc>
      </w:tr>
      <w:tr>
        <w:trPr>
          <w:trHeight w:val="137"/>
        </w:trPr>
        <w:tc>
          <w:tcPr>
            <w:tcW w:w="2780" w:type="dxa"/>
            <w:vAlign w:val="bottom"/>
            <w:gridSpan w:val="2"/>
          </w:tcPr>
          <w:p>
            <w:pPr>
              <w:spacing w:after="0" w:line="137" w:lineRule="exact"/>
              <w:rPr>
                <w:sz w:val="20"/>
                <w:szCs w:val="20"/>
                <w:color w:val="auto"/>
              </w:rPr>
            </w:pPr>
            <w:r>
              <w:rPr>
                <w:rFonts w:ascii="Arial" w:cs="Arial" w:eastAsia="Arial" w:hAnsi="Arial"/>
                <w:sz w:val="14"/>
                <w:szCs w:val="14"/>
                <w:color w:val="auto"/>
              </w:rPr>
              <w:t>Undiscounted future net cash flows</w:t>
            </w:r>
          </w:p>
        </w:tc>
        <w:tc>
          <w:tcPr>
            <w:tcW w:w="220" w:type="dxa"/>
            <w:vAlign w:val="bottom"/>
          </w:tcPr>
          <w:p>
            <w:pPr>
              <w:spacing w:after="0"/>
              <w:rPr>
                <w:sz w:val="11"/>
                <w:szCs w:val="11"/>
                <w:color w:val="auto"/>
              </w:rPr>
            </w:pPr>
          </w:p>
        </w:tc>
        <w:tc>
          <w:tcPr>
            <w:tcW w:w="740" w:type="dxa"/>
            <w:vAlign w:val="bottom"/>
          </w:tcPr>
          <w:p>
            <w:pPr>
              <w:jc w:val="right"/>
              <w:ind w:right="208"/>
              <w:spacing w:after="0" w:line="137" w:lineRule="exact"/>
              <w:rPr>
                <w:sz w:val="20"/>
                <w:szCs w:val="20"/>
                <w:color w:val="auto"/>
              </w:rPr>
            </w:pPr>
            <w:r>
              <w:rPr>
                <w:rFonts w:ascii="Arial" w:cs="Arial" w:eastAsia="Arial" w:hAnsi="Arial"/>
                <w:sz w:val="14"/>
                <w:szCs w:val="14"/>
                <w:b w:val="1"/>
                <w:bCs w:val="1"/>
                <w:color w:val="auto"/>
              </w:rPr>
              <w:t>38,255</w:t>
            </w:r>
          </w:p>
        </w:tc>
        <w:tc>
          <w:tcPr>
            <w:tcW w:w="300" w:type="dxa"/>
            <w:vAlign w:val="bottom"/>
          </w:tcPr>
          <w:p>
            <w:pPr>
              <w:spacing w:after="0"/>
              <w:rPr>
                <w:sz w:val="11"/>
                <w:szCs w:val="11"/>
                <w:color w:val="auto"/>
              </w:rPr>
            </w:pPr>
          </w:p>
        </w:tc>
        <w:tc>
          <w:tcPr>
            <w:tcW w:w="800" w:type="dxa"/>
            <w:vAlign w:val="bottom"/>
          </w:tcPr>
          <w:p>
            <w:pPr>
              <w:jc w:val="right"/>
              <w:ind w:right="268"/>
              <w:spacing w:after="0" w:line="137" w:lineRule="exact"/>
              <w:rPr>
                <w:sz w:val="20"/>
                <w:szCs w:val="20"/>
                <w:color w:val="auto"/>
              </w:rPr>
            </w:pPr>
            <w:r>
              <w:rPr>
                <w:rFonts w:ascii="Arial" w:cs="Arial" w:eastAsia="Arial" w:hAnsi="Arial"/>
                <w:sz w:val="14"/>
                <w:szCs w:val="14"/>
                <w:b w:val="1"/>
                <w:bCs w:val="1"/>
                <w:color w:val="auto"/>
              </w:rPr>
              <w:t>17,402</w:t>
            </w:r>
          </w:p>
        </w:tc>
        <w:tc>
          <w:tcPr>
            <w:tcW w:w="520" w:type="dxa"/>
            <w:vAlign w:val="bottom"/>
          </w:tcPr>
          <w:p>
            <w:pPr>
              <w:spacing w:after="0"/>
              <w:rPr>
                <w:sz w:val="11"/>
                <w:szCs w:val="11"/>
                <w:color w:val="auto"/>
              </w:rPr>
            </w:pPr>
          </w:p>
        </w:tc>
        <w:tc>
          <w:tcPr>
            <w:tcW w:w="700" w:type="dxa"/>
            <w:vAlign w:val="bottom"/>
          </w:tcPr>
          <w:p>
            <w:pPr>
              <w:jc w:val="right"/>
              <w:ind w:right="188"/>
              <w:spacing w:after="0" w:line="137" w:lineRule="exact"/>
              <w:rPr>
                <w:sz w:val="20"/>
                <w:szCs w:val="20"/>
                <w:color w:val="auto"/>
              </w:rPr>
            </w:pPr>
            <w:r>
              <w:rPr>
                <w:rFonts w:ascii="Arial" w:cs="Arial" w:eastAsia="Arial" w:hAnsi="Arial"/>
                <w:sz w:val="14"/>
                <w:szCs w:val="14"/>
                <w:b w:val="1"/>
                <w:bCs w:val="1"/>
                <w:color w:val="auto"/>
                <w:w w:val="97"/>
              </w:rPr>
              <w:t>21,457</w:t>
            </w:r>
          </w:p>
        </w:tc>
        <w:tc>
          <w:tcPr>
            <w:tcW w:w="280" w:type="dxa"/>
            <w:vAlign w:val="bottom"/>
          </w:tcPr>
          <w:p>
            <w:pPr>
              <w:spacing w:after="0"/>
              <w:rPr>
                <w:sz w:val="11"/>
                <w:szCs w:val="11"/>
                <w:color w:val="auto"/>
              </w:rPr>
            </w:pPr>
          </w:p>
        </w:tc>
        <w:tc>
          <w:tcPr>
            <w:tcW w:w="620" w:type="dxa"/>
            <w:vAlign w:val="bottom"/>
          </w:tcPr>
          <w:p>
            <w:pPr>
              <w:jc w:val="right"/>
              <w:ind w:right="148"/>
              <w:spacing w:after="0" w:line="137" w:lineRule="exact"/>
              <w:rPr>
                <w:sz w:val="20"/>
                <w:szCs w:val="20"/>
                <w:color w:val="auto"/>
              </w:rPr>
            </w:pPr>
            <w:r>
              <w:rPr>
                <w:rFonts w:ascii="Arial" w:cs="Arial" w:eastAsia="Arial" w:hAnsi="Arial"/>
                <w:sz w:val="14"/>
                <w:szCs w:val="14"/>
                <w:b w:val="1"/>
                <w:bCs w:val="1"/>
                <w:color w:val="auto"/>
                <w:w w:val="88"/>
              </w:rPr>
              <w:t>13,794</w:t>
            </w:r>
          </w:p>
        </w:tc>
        <w:tc>
          <w:tcPr>
            <w:tcW w:w="240" w:type="dxa"/>
            <w:vAlign w:val="bottom"/>
          </w:tcPr>
          <w:p>
            <w:pPr>
              <w:spacing w:after="0"/>
              <w:rPr>
                <w:sz w:val="11"/>
                <w:szCs w:val="11"/>
                <w:color w:val="auto"/>
              </w:rPr>
            </w:pPr>
          </w:p>
        </w:tc>
        <w:tc>
          <w:tcPr>
            <w:tcW w:w="680" w:type="dxa"/>
            <w:vAlign w:val="bottom"/>
          </w:tcPr>
          <w:p>
            <w:pPr>
              <w:jc w:val="right"/>
              <w:ind w:right="148"/>
              <w:spacing w:after="0" w:line="137" w:lineRule="exact"/>
              <w:rPr>
                <w:sz w:val="20"/>
                <w:szCs w:val="20"/>
                <w:color w:val="auto"/>
              </w:rPr>
            </w:pPr>
            <w:r>
              <w:rPr>
                <w:rFonts w:ascii="Arial" w:cs="Arial" w:eastAsia="Arial" w:hAnsi="Arial"/>
                <w:sz w:val="14"/>
                <w:szCs w:val="14"/>
                <w:b w:val="1"/>
                <w:bCs w:val="1"/>
                <w:color w:val="auto"/>
              </w:rPr>
              <w:t>90,908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228"/>
              <w:spacing w:after="0" w:line="137" w:lineRule="exact"/>
              <w:rPr>
                <w:sz w:val="20"/>
                <w:szCs w:val="20"/>
                <w:color w:val="auto"/>
              </w:rPr>
            </w:pPr>
            <w:r>
              <w:rPr>
                <w:rFonts w:ascii="Arial" w:cs="Arial" w:eastAsia="Arial" w:hAnsi="Arial"/>
                <w:sz w:val="14"/>
                <w:szCs w:val="14"/>
                <w:b w:val="1"/>
                <w:bCs w:val="1"/>
                <w:color w:val="auto"/>
                <w:w w:val="97"/>
              </w:rPr>
              <w:t>31,800</w:t>
            </w:r>
          </w:p>
        </w:tc>
        <w:tc>
          <w:tcPr>
            <w:tcW w:w="460" w:type="dxa"/>
            <w:vAlign w:val="bottom"/>
          </w:tcPr>
          <w:p>
            <w:pPr>
              <w:spacing w:after="0"/>
              <w:rPr>
                <w:sz w:val="11"/>
                <w:szCs w:val="11"/>
                <w:color w:val="auto"/>
              </w:rPr>
            </w:pPr>
          </w:p>
        </w:tc>
        <w:tc>
          <w:tcPr>
            <w:tcW w:w="600" w:type="dxa"/>
            <w:vAlign w:val="bottom"/>
          </w:tcPr>
          <w:p>
            <w:pPr>
              <w:jc w:val="right"/>
              <w:ind w:right="148"/>
              <w:spacing w:after="0" w:line="137" w:lineRule="exact"/>
              <w:rPr>
                <w:sz w:val="20"/>
                <w:szCs w:val="20"/>
                <w:color w:val="auto"/>
              </w:rPr>
            </w:pPr>
            <w:r>
              <w:rPr>
                <w:rFonts w:ascii="Arial" w:cs="Arial" w:eastAsia="Arial" w:hAnsi="Arial"/>
                <w:sz w:val="14"/>
                <w:szCs w:val="14"/>
                <w:b w:val="1"/>
                <w:bCs w:val="1"/>
                <w:color w:val="auto"/>
              </w:rPr>
              <w:t>4,407</w:t>
            </w:r>
          </w:p>
        </w:tc>
        <w:tc>
          <w:tcPr>
            <w:tcW w:w="560" w:type="dxa"/>
            <w:vAlign w:val="bottom"/>
          </w:tcPr>
          <w:p>
            <w:pPr>
              <w:spacing w:after="0"/>
              <w:rPr>
                <w:sz w:val="11"/>
                <w:szCs w:val="11"/>
                <w:color w:val="auto"/>
              </w:rPr>
            </w:pPr>
          </w:p>
        </w:tc>
        <w:tc>
          <w:tcPr>
            <w:tcW w:w="700" w:type="dxa"/>
            <w:vAlign w:val="bottom"/>
          </w:tcPr>
          <w:p>
            <w:pPr>
              <w:jc w:val="right"/>
              <w:ind w:right="148"/>
              <w:spacing w:after="0" w:line="137" w:lineRule="exact"/>
              <w:rPr>
                <w:sz w:val="20"/>
                <w:szCs w:val="20"/>
                <w:color w:val="auto"/>
              </w:rPr>
            </w:pPr>
            <w:r>
              <w:rPr>
                <w:rFonts w:ascii="Arial" w:cs="Arial" w:eastAsia="Arial" w:hAnsi="Arial"/>
                <w:sz w:val="14"/>
                <w:szCs w:val="14"/>
                <w:b w:val="1"/>
                <w:bCs w:val="1"/>
                <w:color w:val="auto"/>
                <w:w w:val="90"/>
              </w:rPr>
              <w:t>127,115</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10 percent midyear annual discount for</w:t>
            </w:r>
          </w:p>
        </w:tc>
        <w:tc>
          <w:tcPr>
            <w:tcW w:w="220" w:type="dxa"/>
            <w:vAlign w:val="bottom"/>
          </w:tcPr>
          <w:p>
            <w:pPr>
              <w:spacing w:after="0"/>
              <w:rPr>
                <w:sz w:val="12"/>
                <w:szCs w:val="12"/>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1"/>
              </w:rPr>
              <w:t>(17,177)</w:t>
            </w:r>
          </w:p>
        </w:tc>
        <w:tc>
          <w:tcPr>
            <w:tcW w:w="300" w:type="dxa"/>
            <w:vAlign w:val="bottom"/>
          </w:tcPr>
          <w:p>
            <w:pPr>
              <w:spacing w:after="0"/>
              <w:rPr>
                <w:sz w:val="12"/>
                <w:szCs w:val="12"/>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(8,482)</w:t>
            </w:r>
          </w:p>
        </w:tc>
        <w:tc>
          <w:tcPr>
            <w:tcW w:w="520" w:type="dxa"/>
            <w:vAlign w:val="bottom"/>
          </w:tcPr>
          <w:p>
            <w:pPr>
              <w:spacing w:after="0"/>
              <w:rPr>
                <w:sz w:val="12"/>
                <w:szCs w:val="12"/>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(9,405)</w:t>
            </w:r>
          </w:p>
        </w:tc>
        <w:tc>
          <w:tcPr>
            <w:tcW w:w="28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(5,039)</w:t>
            </w:r>
          </w:p>
        </w:tc>
        <w:tc>
          <w:tcPr>
            <w:tcW w:w="24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(40,103)</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88"/>
              </w:rPr>
              <w:t>(20,140)</w:t>
            </w:r>
          </w:p>
        </w:tc>
        <w:tc>
          <w:tcPr>
            <w:tcW w:w="460" w:type="dxa"/>
            <w:vAlign w:val="bottom"/>
          </w:tcPr>
          <w:p>
            <w:pPr>
              <w:spacing w:after="0"/>
              <w:rPr>
                <w:sz w:val="12"/>
                <w:szCs w:val="12"/>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0"/>
              </w:rPr>
              <w:t>(2,949)</w:t>
            </w:r>
          </w:p>
        </w:tc>
        <w:tc>
          <w:tcPr>
            <w:tcW w:w="560" w:type="dxa"/>
            <w:vAlign w:val="bottom"/>
          </w:tcPr>
          <w:p>
            <w:pPr>
              <w:spacing w:after="0"/>
              <w:rPr>
                <w:sz w:val="12"/>
                <w:szCs w:val="12"/>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(63,192)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timing of estimated cash flows</w:t>
            </w: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vMerge w:val="continue"/>
          </w:tcPr>
          <w:p>
            <w:pPr>
              <w:spacing w:after="0"/>
              <w:rPr>
                <w:sz w:val="14"/>
                <w:szCs w:val="14"/>
                <w:color w:val="auto"/>
              </w:rPr>
            </w:pPr>
          </w:p>
        </w:tc>
        <w:tc>
          <w:tcPr>
            <w:tcW w:w="3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vMerge w:val="continue"/>
          </w:tcPr>
          <w:p>
            <w:pPr>
              <w:spacing w:after="0"/>
              <w:rPr>
                <w:sz w:val="14"/>
                <w:szCs w:val="14"/>
                <w:color w:val="auto"/>
              </w:rPr>
            </w:pPr>
          </w:p>
        </w:tc>
        <w:tc>
          <w:tcPr>
            <w:tcW w:w="5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vMerge w:val="continue"/>
          </w:tcPr>
          <w:p>
            <w:pPr>
              <w:spacing w:after="0"/>
              <w:rPr>
                <w:sz w:val="14"/>
                <w:szCs w:val="14"/>
                <w:color w:val="auto"/>
              </w:rPr>
            </w:pP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vMerge w:val="continue"/>
          </w:tcPr>
          <w:p>
            <w:pPr>
              <w:spacing w:after="0"/>
              <w:rPr>
                <w:sz w:val="14"/>
                <w:szCs w:val="14"/>
                <w:color w:val="auto"/>
              </w:rPr>
            </w:pPr>
          </w:p>
        </w:tc>
        <w:tc>
          <w:tcPr>
            <w:tcW w:w="2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vMerge w:val="continue"/>
          </w:tcPr>
          <w:p>
            <w:pPr>
              <w:spacing w:after="0"/>
              <w:rPr>
                <w:sz w:val="14"/>
                <w:szCs w:val="14"/>
                <w:color w:val="auto"/>
              </w:rPr>
            </w:pPr>
          </w:p>
        </w:tc>
        <w:tc>
          <w:tcPr>
            <w:tcW w:w="1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vMerge w:val="continue"/>
          </w:tcPr>
          <w:p>
            <w:pPr>
              <w:spacing w:after="0"/>
              <w:rPr>
                <w:sz w:val="14"/>
                <w:szCs w:val="14"/>
                <w:color w:val="auto"/>
              </w:rPr>
            </w:pP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vMerge w:val="continue"/>
          </w:tcPr>
          <w:p>
            <w:pPr>
              <w:spacing w:after="0"/>
              <w:rPr>
                <w:sz w:val="14"/>
                <w:szCs w:val="14"/>
                <w:color w:val="auto"/>
              </w:rPr>
            </w:pPr>
          </w:p>
        </w:tc>
        <w:tc>
          <w:tcPr>
            <w:tcW w:w="5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line="133" w:lineRule="exact"/>
              <w:rPr>
                <w:sz w:val="20"/>
                <w:szCs w:val="20"/>
                <w:color w:val="auto"/>
              </w:rPr>
            </w:pPr>
            <w:r>
              <w:rPr>
                <w:rFonts w:ascii="Arial" w:cs="Arial" w:eastAsia="Arial" w:hAnsi="Arial"/>
                <w:sz w:val="14"/>
                <w:szCs w:val="14"/>
                <w:b w:val="1"/>
                <w:bCs w:val="1"/>
                <w:color w:val="0070FF"/>
              </w:rPr>
              <w:t>STANDARDIZED MEASURE OF</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20"/>
              <w:spacing w:after="0" w:line="149" w:lineRule="exact"/>
              <w:rPr>
                <w:sz w:val="20"/>
                <w:szCs w:val="20"/>
                <w:color w:val="auto"/>
              </w:rPr>
            </w:pPr>
            <w:r>
              <w:rPr>
                <w:rFonts w:ascii="Arial" w:cs="Arial" w:eastAsia="Arial" w:hAnsi="Arial"/>
                <w:sz w:val="14"/>
                <w:szCs w:val="14"/>
                <w:b w:val="1"/>
                <w:bCs w:val="1"/>
                <w:color w:val="0070FF"/>
              </w:rPr>
              <w:t>DISCOUNTED FUTURE NET CASH</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21,078</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8,920</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7"/>
              </w:rPr>
              <w:t>12,052</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8,755</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50,805</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7"/>
              </w:rPr>
              <w:t>11,660</w:t>
            </w:r>
          </w:p>
        </w:tc>
        <w:tc>
          <w:tcPr>
            <w:tcW w:w="46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1,458</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63,923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0070FF"/>
            </w:tcBorders>
          </w:tcPr>
          <w:p>
            <w:pPr>
              <w:ind w:left="120"/>
              <w:spacing w:after="0"/>
              <w:rPr>
                <w:sz w:val="20"/>
                <w:szCs w:val="20"/>
                <w:color w:val="auto"/>
              </w:rPr>
            </w:pPr>
            <w:r>
              <w:rPr>
                <w:rFonts w:ascii="Arial" w:cs="Arial" w:eastAsia="Arial" w:hAnsi="Arial"/>
                <w:sz w:val="14"/>
                <w:szCs w:val="14"/>
                <w:b w:val="1"/>
                <w:bCs w:val="1"/>
                <w:color w:val="0070FF"/>
              </w:rPr>
              <w:t>FLOWS</w:t>
            </w:r>
          </w:p>
        </w:tc>
        <w:tc>
          <w:tcPr>
            <w:tcW w:w="220" w:type="dxa"/>
            <w:vAlign w:val="bottom"/>
            <w:tcBorders>
              <w:bottom w:val="single" w:sz="8" w:color="0070FF"/>
            </w:tcBorders>
            <w:vMerge w:val="continue"/>
          </w:tcPr>
          <w:p>
            <w:pPr>
              <w:spacing w:after="0"/>
              <w:rPr>
                <w:sz w:val="16"/>
                <w:szCs w:val="16"/>
                <w:color w:val="auto"/>
              </w:rPr>
            </w:pPr>
          </w:p>
        </w:tc>
        <w:tc>
          <w:tcPr>
            <w:tcW w:w="740" w:type="dxa"/>
            <w:vAlign w:val="bottom"/>
            <w:tcBorders>
              <w:bottom w:val="single" w:sz="8" w:color="0070FF"/>
            </w:tcBorders>
            <w:vMerge w:val="continue"/>
          </w:tcPr>
          <w:p>
            <w:pPr>
              <w:spacing w:after="0"/>
              <w:rPr>
                <w:sz w:val="16"/>
                <w:szCs w:val="16"/>
                <w:color w:val="auto"/>
              </w:rPr>
            </w:pPr>
          </w:p>
        </w:tc>
        <w:tc>
          <w:tcPr>
            <w:tcW w:w="300" w:type="dxa"/>
            <w:vAlign w:val="bottom"/>
            <w:tcBorders>
              <w:bottom w:val="single" w:sz="8" w:color="0070FF"/>
            </w:tcBorders>
            <w:vMerge w:val="continue"/>
          </w:tcPr>
          <w:p>
            <w:pPr>
              <w:spacing w:after="0"/>
              <w:rPr>
                <w:sz w:val="16"/>
                <w:szCs w:val="16"/>
                <w:color w:val="auto"/>
              </w:rPr>
            </w:pPr>
          </w:p>
        </w:tc>
        <w:tc>
          <w:tcPr>
            <w:tcW w:w="800" w:type="dxa"/>
            <w:vAlign w:val="bottom"/>
            <w:tcBorders>
              <w:bottom w:val="single" w:sz="8" w:color="0070FF"/>
            </w:tcBorders>
            <w:vMerge w:val="continue"/>
          </w:tcPr>
          <w:p>
            <w:pPr>
              <w:spacing w:after="0"/>
              <w:rPr>
                <w:sz w:val="16"/>
                <w:szCs w:val="16"/>
                <w:color w:val="auto"/>
              </w:rPr>
            </w:pPr>
          </w:p>
        </w:tc>
        <w:tc>
          <w:tcPr>
            <w:tcW w:w="520" w:type="dxa"/>
            <w:vAlign w:val="bottom"/>
            <w:tcBorders>
              <w:bottom w:val="single" w:sz="8" w:color="0070FF"/>
            </w:tcBorders>
            <w:vMerge w:val="continue"/>
          </w:tcPr>
          <w:p>
            <w:pPr>
              <w:spacing w:after="0"/>
              <w:rPr>
                <w:sz w:val="16"/>
                <w:szCs w:val="16"/>
                <w:color w:val="auto"/>
              </w:rPr>
            </w:pPr>
          </w:p>
        </w:tc>
        <w:tc>
          <w:tcPr>
            <w:tcW w:w="700" w:type="dxa"/>
            <w:vAlign w:val="bottom"/>
            <w:tcBorders>
              <w:bottom w:val="single" w:sz="8" w:color="0070FF"/>
            </w:tcBorders>
            <w:vMerge w:val="continue"/>
          </w:tcPr>
          <w:p>
            <w:pPr>
              <w:spacing w:after="0"/>
              <w:rPr>
                <w:sz w:val="16"/>
                <w:szCs w:val="16"/>
                <w:color w:val="auto"/>
              </w:rPr>
            </w:pPr>
          </w:p>
        </w:tc>
        <w:tc>
          <w:tcPr>
            <w:tcW w:w="280" w:type="dxa"/>
            <w:vAlign w:val="bottom"/>
            <w:tcBorders>
              <w:bottom w:val="single" w:sz="8" w:color="0070FF"/>
            </w:tcBorders>
            <w:vMerge w:val="continue"/>
          </w:tcPr>
          <w:p>
            <w:pPr>
              <w:spacing w:after="0"/>
              <w:rPr>
                <w:sz w:val="16"/>
                <w:szCs w:val="16"/>
                <w:color w:val="auto"/>
              </w:rPr>
            </w:pPr>
          </w:p>
        </w:tc>
        <w:tc>
          <w:tcPr>
            <w:tcW w:w="620" w:type="dxa"/>
            <w:vAlign w:val="bottom"/>
            <w:tcBorders>
              <w:bottom w:val="single" w:sz="8" w:color="0070FF"/>
            </w:tcBorders>
            <w:vMerge w:val="continue"/>
          </w:tcPr>
          <w:p>
            <w:pPr>
              <w:spacing w:after="0"/>
              <w:rPr>
                <w:sz w:val="16"/>
                <w:szCs w:val="16"/>
                <w:color w:val="auto"/>
              </w:rPr>
            </w:pPr>
          </w:p>
        </w:tc>
        <w:tc>
          <w:tcPr>
            <w:tcW w:w="240" w:type="dxa"/>
            <w:vAlign w:val="bottom"/>
            <w:tcBorders>
              <w:bottom w:val="single" w:sz="8" w:color="0070FF"/>
            </w:tcBorders>
            <w:vMerge w:val="continue"/>
          </w:tcPr>
          <w:p>
            <w:pPr>
              <w:spacing w:after="0"/>
              <w:rPr>
                <w:sz w:val="16"/>
                <w:szCs w:val="16"/>
                <w:color w:val="auto"/>
              </w:rPr>
            </w:pPr>
          </w:p>
        </w:tc>
        <w:tc>
          <w:tcPr>
            <w:tcW w:w="680" w:type="dxa"/>
            <w:vAlign w:val="bottom"/>
            <w:tcBorders>
              <w:bottom w:val="single" w:sz="8" w:color="0070FF"/>
            </w:tcBorders>
            <w:vMerge w:val="continue"/>
          </w:tcPr>
          <w:p>
            <w:pPr>
              <w:spacing w:after="0"/>
              <w:rPr>
                <w:sz w:val="16"/>
                <w:szCs w:val="16"/>
                <w:color w:val="auto"/>
              </w:rPr>
            </w:pPr>
          </w:p>
        </w:tc>
        <w:tc>
          <w:tcPr>
            <w:tcW w:w="480" w:type="dxa"/>
            <w:vAlign w:val="bottom"/>
            <w:tcBorders>
              <w:bottom w:val="single" w:sz="8" w:color="0070FF"/>
            </w:tcBorders>
            <w:gridSpan w:val="2"/>
            <w:vMerge w:val="continue"/>
          </w:tcPr>
          <w:p>
            <w:pPr>
              <w:spacing w:after="0"/>
              <w:rPr>
                <w:sz w:val="16"/>
                <w:szCs w:val="16"/>
                <w:color w:val="auto"/>
              </w:rPr>
            </w:pPr>
          </w:p>
        </w:tc>
        <w:tc>
          <w:tcPr>
            <w:tcW w:w="740" w:type="dxa"/>
            <w:vAlign w:val="bottom"/>
            <w:tcBorders>
              <w:bottom w:val="single" w:sz="8" w:color="0070FF"/>
            </w:tcBorders>
            <w:vMerge w:val="continue"/>
          </w:tcPr>
          <w:p>
            <w:pPr>
              <w:spacing w:after="0"/>
              <w:rPr>
                <w:sz w:val="16"/>
                <w:szCs w:val="16"/>
                <w:color w:val="auto"/>
              </w:rPr>
            </w:pPr>
          </w:p>
        </w:tc>
        <w:tc>
          <w:tcPr>
            <w:tcW w:w="460" w:type="dxa"/>
            <w:vAlign w:val="bottom"/>
            <w:tcBorders>
              <w:bottom w:val="single" w:sz="8" w:color="0070FF"/>
            </w:tcBorders>
            <w:vMerge w:val="continue"/>
          </w:tcPr>
          <w:p>
            <w:pPr>
              <w:spacing w:after="0"/>
              <w:rPr>
                <w:sz w:val="16"/>
                <w:szCs w:val="16"/>
                <w:color w:val="auto"/>
              </w:rPr>
            </w:pPr>
          </w:p>
        </w:tc>
        <w:tc>
          <w:tcPr>
            <w:tcW w:w="600" w:type="dxa"/>
            <w:vAlign w:val="bottom"/>
            <w:tcBorders>
              <w:bottom w:val="single" w:sz="8" w:color="0070FF"/>
            </w:tcBorders>
            <w:vMerge w:val="continue"/>
          </w:tcPr>
          <w:p>
            <w:pPr>
              <w:spacing w:after="0"/>
              <w:rPr>
                <w:sz w:val="16"/>
                <w:szCs w:val="16"/>
                <w:color w:val="auto"/>
              </w:rPr>
            </w:pPr>
          </w:p>
        </w:tc>
        <w:tc>
          <w:tcPr>
            <w:tcW w:w="560" w:type="dxa"/>
            <w:vAlign w:val="bottom"/>
            <w:tcBorders>
              <w:bottom w:val="single" w:sz="8" w:color="0070FF"/>
            </w:tcBorders>
            <w:vMerge w:val="continue"/>
          </w:tcPr>
          <w:p>
            <w:pPr>
              <w:spacing w:after="0"/>
              <w:rPr>
                <w:sz w:val="16"/>
                <w:szCs w:val="16"/>
                <w:color w:val="auto"/>
              </w:rPr>
            </w:pPr>
          </w:p>
        </w:tc>
        <w:tc>
          <w:tcPr>
            <w:tcW w:w="700" w:type="dxa"/>
            <w:vAlign w:val="bottom"/>
            <w:tcBorders>
              <w:bottom w:val="single" w:sz="8" w:color="007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spacing w:after="0" w:line="143" w:lineRule="exact"/>
              <w:rPr>
                <w:sz w:val="20"/>
                <w:szCs w:val="20"/>
                <w:color w:val="auto"/>
              </w:rPr>
            </w:pPr>
            <w:r>
              <w:rPr>
                <w:rFonts w:ascii="Arial" w:cs="Arial" w:eastAsia="Arial" w:hAnsi="Arial"/>
                <w:sz w:val="14"/>
                <w:szCs w:val="14"/>
                <w:b w:val="1"/>
                <w:bCs w:val="1"/>
                <w:color w:val="0070FF"/>
              </w:rPr>
              <w:t>AT DECEMBER 31, 2002</w:t>
            </w:r>
            <w:r>
              <w:rPr>
                <w:rFonts w:ascii="Arial" w:cs="Arial" w:eastAsia="Arial" w:hAnsi="Arial"/>
                <w:sz w:val="14"/>
                <w:szCs w:val="14"/>
                <w:color w:val="0070FF"/>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cash inflows from production</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77,912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52,513</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97"/>
              </w:rPr>
              <w:t>59,550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8"/>
              </w:rPr>
              <w:t>26,531</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6"/>
              </w:rPr>
              <w:t>216,506</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97"/>
              </w:rPr>
              <w:t>52,457</w:t>
            </w:r>
          </w:p>
        </w:tc>
        <w:tc>
          <w:tcPr>
            <w:tcW w:w="460" w:type="dxa"/>
            <w:vAlign w:val="bottom"/>
          </w:tcPr>
          <w:p>
            <w:pPr>
              <w:ind w:left="38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9,777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0"/>
              </w:rPr>
              <w:t>278,740</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production costs</w:t>
            </w:r>
          </w:p>
        </w:tc>
        <w:tc>
          <w:tcPr>
            <w:tcW w:w="22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1"/>
              </w:rPr>
              <w:t>(26,315)</w:t>
            </w:r>
          </w:p>
        </w:tc>
        <w:tc>
          <w:tcPr>
            <w:tcW w:w="300" w:type="dxa"/>
            <w:vAlign w:val="bottom"/>
          </w:tcPr>
          <w:p>
            <w:pPr>
              <w:spacing w:after="0"/>
              <w:rPr>
                <w:sz w:val="12"/>
                <w:szCs w:val="12"/>
                <w:color w:val="auto"/>
              </w:rPr>
            </w:pPr>
          </w:p>
        </w:tc>
        <w:tc>
          <w:tcPr>
            <w:tcW w:w="8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(6,435)</w:t>
            </w:r>
          </w:p>
        </w:tc>
        <w:tc>
          <w:tcPr>
            <w:tcW w:w="5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8"/>
              </w:rPr>
              <w:t>(14,086)</w:t>
            </w:r>
          </w:p>
        </w:tc>
        <w:tc>
          <w:tcPr>
            <w:tcW w:w="280" w:type="dxa"/>
            <w:vAlign w:val="bottom"/>
          </w:tcPr>
          <w:p>
            <w:pPr>
              <w:spacing w:after="0"/>
              <w:rPr>
                <w:sz w:val="12"/>
                <w:szCs w:val="12"/>
                <w:color w:val="auto"/>
              </w:rPr>
            </w:pP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4"/>
              </w:rPr>
              <w:t>(5,970)</w:t>
            </w:r>
          </w:p>
        </w:tc>
        <w:tc>
          <w:tcPr>
            <w:tcW w:w="2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5"/>
              </w:rPr>
              <w:t>(52,806)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(4,959)</w:t>
            </w:r>
          </w:p>
        </w:tc>
        <w:tc>
          <w:tcPr>
            <w:tcW w:w="46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0"/>
              </w:rPr>
              <w:t>(1,730)</w:t>
            </w:r>
          </w:p>
        </w:tc>
        <w:tc>
          <w:tcPr>
            <w:tcW w:w="56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5"/>
              </w:rPr>
              <w:t>(59,495)</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development costs</w:t>
            </w:r>
          </w:p>
        </w:tc>
        <w:tc>
          <w:tcPr>
            <w:tcW w:w="22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(3,633)</w:t>
            </w:r>
          </w:p>
        </w:tc>
        <w:tc>
          <w:tcPr>
            <w:tcW w:w="300" w:type="dxa"/>
            <w:vAlign w:val="bottom"/>
          </w:tcPr>
          <w:p>
            <w:pPr>
              <w:spacing w:after="0"/>
              <w:rPr>
                <w:sz w:val="12"/>
                <w:szCs w:val="12"/>
                <w:color w:val="auto"/>
              </w:rPr>
            </w:pPr>
          </w:p>
        </w:tc>
        <w:tc>
          <w:tcPr>
            <w:tcW w:w="8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(3,454)</w:t>
            </w:r>
          </w:p>
        </w:tc>
        <w:tc>
          <w:tcPr>
            <w:tcW w:w="5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(4,505)</w:t>
            </w:r>
          </w:p>
        </w:tc>
        <w:tc>
          <w:tcPr>
            <w:tcW w:w="280" w:type="dxa"/>
            <w:vAlign w:val="bottom"/>
          </w:tcPr>
          <w:p>
            <w:pPr>
              <w:spacing w:after="0"/>
              <w:rPr>
                <w:sz w:val="12"/>
                <w:szCs w:val="12"/>
                <w:color w:val="auto"/>
              </w:rPr>
            </w:pP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4"/>
              </w:rPr>
              <w:t>(1,868)</w:t>
            </w:r>
          </w:p>
        </w:tc>
        <w:tc>
          <w:tcPr>
            <w:tcW w:w="2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5"/>
              </w:rPr>
              <w:t>(13,460)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(5,377)</w:t>
            </w:r>
          </w:p>
        </w:tc>
        <w:tc>
          <w:tcPr>
            <w:tcW w:w="46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(578)</w:t>
            </w:r>
          </w:p>
        </w:tc>
        <w:tc>
          <w:tcPr>
            <w:tcW w:w="56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5"/>
              </w:rPr>
              <w:t>(19,415)</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Future income taxes</w:t>
            </w: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w w:val="91"/>
              </w:rPr>
              <w:t>(16,231)</w:t>
            </w:r>
          </w:p>
        </w:tc>
        <w:tc>
          <w:tcPr>
            <w:tcW w:w="3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color w:val="auto"/>
                <w:w w:val="91"/>
              </w:rPr>
              <w:t>(25,060)</w:t>
            </w:r>
          </w:p>
        </w:tc>
        <w:tc>
          <w:tcPr>
            <w:tcW w:w="5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w w:val="88"/>
              </w:rPr>
              <w:t>(17,781)</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4"/>
              </w:rPr>
              <w:t>(6,797)</w:t>
            </w:r>
          </w:p>
        </w:tc>
        <w:tc>
          <w:tcPr>
            <w:tcW w:w="2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w w:val="95"/>
              </w:rPr>
              <w:t>(65,869)</w:t>
            </w:r>
          </w:p>
        </w:tc>
        <w:tc>
          <w:tcPr>
            <w:tcW w:w="1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w w:val="88"/>
              </w:rPr>
              <w:t>(11,899)</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0"/>
              </w:rPr>
              <w:t>(2,540)</w:t>
            </w:r>
          </w:p>
        </w:tc>
        <w:tc>
          <w:tcPr>
            <w:tcW w:w="5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5"/>
              </w:rPr>
              <w:t>(80,308)</w:t>
            </w:r>
          </w:p>
        </w:tc>
        <w:tc>
          <w:tcPr>
            <w:tcW w:w="0" w:type="dxa"/>
            <w:vAlign w:val="bottom"/>
          </w:tcPr>
          <w:p>
            <w:pPr>
              <w:spacing w:after="0"/>
              <w:rPr>
                <w:sz w:val="1"/>
                <w:szCs w:val="1"/>
                <w:color w:val="auto"/>
              </w:rPr>
            </w:pPr>
          </w:p>
        </w:tc>
      </w:tr>
      <w:tr>
        <w:trPr>
          <w:trHeight w:val="137"/>
        </w:trPr>
        <w:tc>
          <w:tcPr>
            <w:tcW w:w="2780" w:type="dxa"/>
            <w:vAlign w:val="bottom"/>
            <w:gridSpan w:val="2"/>
          </w:tcPr>
          <w:p>
            <w:pPr>
              <w:spacing w:after="0" w:line="137" w:lineRule="exact"/>
              <w:rPr>
                <w:sz w:val="20"/>
                <w:szCs w:val="20"/>
                <w:color w:val="auto"/>
              </w:rPr>
            </w:pPr>
            <w:r>
              <w:rPr>
                <w:rFonts w:ascii="Arial" w:cs="Arial" w:eastAsia="Arial" w:hAnsi="Arial"/>
                <w:sz w:val="14"/>
                <w:szCs w:val="14"/>
                <w:color w:val="auto"/>
              </w:rPr>
              <w:t>Undiscounted future net cash flows</w:t>
            </w:r>
          </w:p>
        </w:tc>
        <w:tc>
          <w:tcPr>
            <w:tcW w:w="220" w:type="dxa"/>
            <w:vAlign w:val="bottom"/>
          </w:tcPr>
          <w:p>
            <w:pPr>
              <w:spacing w:after="0"/>
              <w:rPr>
                <w:sz w:val="11"/>
                <w:szCs w:val="11"/>
                <w:color w:val="auto"/>
              </w:rPr>
            </w:pPr>
          </w:p>
        </w:tc>
        <w:tc>
          <w:tcPr>
            <w:tcW w:w="740" w:type="dxa"/>
            <w:vAlign w:val="bottom"/>
          </w:tcPr>
          <w:p>
            <w:pPr>
              <w:jc w:val="right"/>
              <w:ind w:right="208"/>
              <w:spacing w:after="0" w:line="137" w:lineRule="exact"/>
              <w:rPr>
                <w:sz w:val="20"/>
                <w:szCs w:val="20"/>
                <w:color w:val="auto"/>
              </w:rPr>
            </w:pPr>
            <w:r>
              <w:rPr>
                <w:rFonts w:ascii="Arial" w:cs="Arial" w:eastAsia="Arial" w:hAnsi="Arial"/>
                <w:sz w:val="14"/>
                <w:szCs w:val="14"/>
                <w:color w:val="auto"/>
              </w:rPr>
              <w:t>31,733</w:t>
            </w:r>
          </w:p>
        </w:tc>
        <w:tc>
          <w:tcPr>
            <w:tcW w:w="300" w:type="dxa"/>
            <w:vAlign w:val="bottom"/>
          </w:tcPr>
          <w:p>
            <w:pPr>
              <w:spacing w:after="0"/>
              <w:rPr>
                <w:sz w:val="11"/>
                <w:szCs w:val="11"/>
                <w:color w:val="auto"/>
              </w:rPr>
            </w:pPr>
          </w:p>
        </w:tc>
        <w:tc>
          <w:tcPr>
            <w:tcW w:w="800" w:type="dxa"/>
            <w:vAlign w:val="bottom"/>
          </w:tcPr>
          <w:p>
            <w:pPr>
              <w:jc w:val="right"/>
              <w:ind w:right="268"/>
              <w:spacing w:after="0" w:line="137" w:lineRule="exact"/>
              <w:rPr>
                <w:sz w:val="20"/>
                <w:szCs w:val="20"/>
                <w:color w:val="auto"/>
              </w:rPr>
            </w:pPr>
            <w:r>
              <w:rPr>
                <w:rFonts w:ascii="Arial" w:cs="Arial" w:eastAsia="Arial" w:hAnsi="Arial"/>
                <w:sz w:val="14"/>
                <w:szCs w:val="14"/>
                <w:color w:val="auto"/>
              </w:rPr>
              <w:t>17,564</w:t>
            </w:r>
          </w:p>
        </w:tc>
        <w:tc>
          <w:tcPr>
            <w:tcW w:w="520" w:type="dxa"/>
            <w:vAlign w:val="bottom"/>
          </w:tcPr>
          <w:p>
            <w:pPr>
              <w:spacing w:after="0"/>
              <w:rPr>
                <w:sz w:val="11"/>
                <w:szCs w:val="11"/>
                <w:color w:val="auto"/>
              </w:rPr>
            </w:pPr>
          </w:p>
        </w:tc>
        <w:tc>
          <w:tcPr>
            <w:tcW w:w="700" w:type="dxa"/>
            <w:vAlign w:val="bottom"/>
          </w:tcPr>
          <w:p>
            <w:pPr>
              <w:jc w:val="right"/>
              <w:ind w:right="188"/>
              <w:spacing w:after="0" w:line="137" w:lineRule="exact"/>
              <w:rPr>
                <w:sz w:val="20"/>
                <w:szCs w:val="20"/>
                <w:color w:val="auto"/>
              </w:rPr>
            </w:pPr>
            <w:r>
              <w:rPr>
                <w:rFonts w:ascii="Arial" w:cs="Arial" w:eastAsia="Arial" w:hAnsi="Arial"/>
                <w:sz w:val="14"/>
                <w:szCs w:val="14"/>
                <w:color w:val="auto"/>
                <w:w w:val="97"/>
              </w:rPr>
              <w:t>23,178</w:t>
            </w:r>
          </w:p>
        </w:tc>
        <w:tc>
          <w:tcPr>
            <w:tcW w:w="280" w:type="dxa"/>
            <w:vAlign w:val="bottom"/>
          </w:tcPr>
          <w:p>
            <w:pPr>
              <w:spacing w:after="0"/>
              <w:rPr>
                <w:sz w:val="11"/>
                <w:szCs w:val="11"/>
                <w:color w:val="auto"/>
              </w:rPr>
            </w:pPr>
          </w:p>
        </w:tc>
        <w:tc>
          <w:tcPr>
            <w:tcW w:w="620" w:type="dxa"/>
            <w:vAlign w:val="bottom"/>
          </w:tcPr>
          <w:p>
            <w:pPr>
              <w:jc w:val="right"/>
              <w:ind w:right="148"/>
              <w:spacing w:after="0" w:line="137" w:lineRule="exact"/>
              <w:rPr>
                <w:sz w:val="20"/>
                <w:szCs w:val="20"/>
                <w:color w:val="auto"/>
              </w:rPr>
            </w:pPr>
            <w:r>
              <w:rPr>
                <w:rFonts w:ascii="Arial" w:cs="Arial" w:eastAsia="Arial" w:hAnsi="Arial"/>
                <w:sz w:val="14"/>
                <w:szCs w:val="14"/>
                <w:color w:val="auto"/>
                <w:w w:val="88"/>
              </w:rPr>
              <w:t>11,896</w:t>
            </w:r>
          </w:p>
        </w:tc>
        <w:tc>
          <w:tcPr>
            <w:tcW w:w="240" w:type="dxa"/>
            <w:vAlign w:val="bottom"/>
          </w:tcPr>
          <w:p>
            <w:pPr>
              <w:spacing w:after="0"/>
              <w:rPr>
                <w:sz w:val="11"/>
                <w:szCs w:val="11"/>
                <w:color w:val="auto"/>
              </w:rPr>
            </w:pPr>
          </w:p>
        </w:tc>
        <w:tc>
          <w:tcPr>
            <w:tcW w:w="68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84,371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228"/>
              <w:spacing w:after="0" w:line="137" w:lineRule="exact"/>
              <w:rPr>
                <w:sz w:val="20"/>
                <w:szCs w:val="20"/>
                <w:color w:val="auto"/>
              </w:rPr>
            </w:pPr>
            <w:r>
              <w:rPr>
                <w:rFonts w:ascii="Arial" w:cs="Arial" w:eastAsia="Arial" w:hAnsi="Arial"/>
                <w:sz w:val="14"/>
                <w:szCs w:val="14"/>
                <w:color w:val="auto"/>
                <w:w w:val="97"/>
              </w:rPr>
              <w:t>30,222</w:t>
            </w:r>
          </w:p>
        </w:tc>
        <w:tc>
          <w:tcPr>
            <w:tcW w:w="460" w:type="dxa"/>
            <w:vAlign w:val="bottom"/>
          </w:tcPr>
          <w:p>
            <w:pPr>
              <w:spacing w:after="0"/>
              <w:rPr>
                <w:sz w:val="11"/>
                <w:szCs w:val="11"/>
                <w:color w:val="auto"/>
              </w:rPr>
            </w:pPr>
          </w:p>
        </w:tc>
        <w:tc>
          <w:tcPr>
            <w:tcW w:w="60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4,929</w:t>
            </w:r>
          </w:p>
        </w:tc>
        <w:tc>
          <w:tcPr>
            <w:tcW w:w="560" w:type="dxa"/>
            <w:vAlign w:val="bottom"/>
          </w:tcPr>
          <w:p>
            <w:pPr>
              <w:spacing w:after="0"/>
              <w:rPr>
                <w:sz w:val="11"/>
                <w:szCs w:val="11"/>
                <w:color w:val="auto"/>
              </w:rPr>
            </w:pPr>
          </w:p>
        </w:tc>
        <w:tc>
          <w:tcPr>
            <w:tcW w:w="700" w:type="dxa"/>
            <w:vAlign w:val="bottom"/>
          </w:tcPr>
          <w:p>
            <w:pPr>
              <w:jc w:val="right"/>
              <w:ind w:right="148"/>
              <w:spacing w:after="0" w:line="137" w:lineRule="exact"/>
              <w:rPr>
                <w:sz w:val="20"/>
                <w:szCs w:val="20"/>
                <w:color w:val="auto"/>
              </w:rPr>
            </w:pPr>
            <w:r>
              <w:rPr>
                <w:rFonts w:ascii="Arial" w:cs="Arial" w:eastAsia="Arial" w:hAnsi="Arial"/>
                <w:sz w:val="14"/>
                <w:szCs w:val="14"/>
                <w:color w:val="auto"/>
                <w:w w:val="90"/>
              </w:rPr>
              <w:t>119,522</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10 percent midyear annual discount for</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timing of estimated cash flows</w:t>
            </w: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w w:val="91"/>
              </w:rPr>
              <w:t>(13,872)</w:t>
            </w:r>
          </w:p>
        </w:tc>
        <w:tc>
          <w:tcPr>
            <w:tcW w:w="3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color w:val="auto"/>
              </w:rPr>
              <w:t>(8,252)</w:t>
            </w:r>
          </w:p>
        </w:tc>
        <w:tc>
          <w:tcPr>
            <w:tcW w:w="5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(9,971)</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4"/>
              </w:rPr>
              <w:t>(3,691)</w:t>
            </w:r>
          </w:p>
        </w:tc>
        <w:tc>
          <w:tcPr>
            <w:tcW w:w="2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w w:val="95"/>
              </w:rPr>
              <w:t>(35,786)</w:t>
            </w:r>
          </w:p>
        </w:tc>
        <w:tc>
          <w:tcPr>
            <w:tcW w:w="1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w w:val="88"/>
              </w:rPr>
              <w:t>(18,964)</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0"/>
              </w:rPr>
              <w:t>(3,581)</w:t>
            </w:r>
          </w:p>
        </w:tc>
        <w:tc>
          <w:tcPr>
            <w:tcW w:w="5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5"/>
              </w:rPr>
              <w:t>(58,331)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line="133" w:lineRule="exact"/>
              <w:rPr>
                <w:sz w:val="20"/>
                <w:szCs w:val="20"/>
                <w:color w:val="auto"/>
              </w:rPr>
            </w:pPr>
            <w:r>
              <w:rPr>
                <w:rFonts w:ascii="Arial" w:cs="Arial" w:eastAsia="Arial" w:hAnsi="Arial"/>
                <w:sz w:val="14"/>
                <w:szCs w:val="14"/>
                <w:b w:val="1"/>
                <w:bCs w:val="1"/>
                <w:color w:val="0070FF"/>
              </w:rPr>
              <w:t>STANDARDIZED MEASURE OF</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20"/>
              <w:spacing w:after="0" w:line="149" w:lineRule="exact"/>
              <w:rPr>
                <w:sz w:val="20"/>
                <w:szCs w:val="20"/>
                <w:color w:val="auto"/>
              </w:rPr>
            </w:pPr>
            <w:r>
              <w:rPr>
                <w:rFonts w:ascii="Arial" w:cs="Arial" w:eastAsia="Arial" w:hAnsi="Arial"/>
                <w:sz w:val="14"/>
                <w:szCs w:val="14"/>
                <w:b w:val="1"/>
                <w:bCs w:val="1"/>
                <w:color w:val="0070FF"/>
              </w:rPr>
              <w:t>DISCOUNTED FUTURE NET CASH</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0070FF"/>
            </w:tcBorders>
          </w:tcPr>
          <w:p>
            <w:pPr>
              <w:ind w:left="120"/>
              <w:spacing w:after="0"/>
              <w:rPr>
                <w:sz w:val="20"/>
                <w:szCs w:val="20"/>
                <w:color w:val="auto"/>
              </w:rPr>
            </w:pPr>
            <w:r>
              <w:rPr>
                <w:rFonts w:ascii="Arial" w:cs="Arial" w:eastAsia="Arial" w:hAnsi="Arial"/>
                <w:sz w:val="14"/>
                <w:szCs w:val="14"/>
                <w:b w:val="1"/>
                <w:bCs w:val="1"/>
                <w:color w:val="0070FF"/>
              </w:rPr>
              <w:t>FLOWS</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208"/>
              <w:spacing w:after="0"/>
              <w:rPr>
                <w:sz w:val="20"/>
                <w:szCs w:val="20"/>
                <w:color w:val="auto"/>
              </w:rPr>
            </w:pPr>
            <w:r>
              <w:rPr>
                <w:rFonts w:ascii="Arial" w:cs="Arial" w:eastAsia="Arial" w:hAnsi="Arial"/>
                <w:sz w:val="14"/>
                <w:szCs w:val="14"/>
                <w:color w:val="auto"/>
              </w:rPr>
              <w:t>17,861</w:t>
            </w:r>
          </w:p>
        </w:tc>
        <w:tc>
          <w:tcPr>
            <w:tcW w:w="3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9,312</w:t>
            </w: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w w:val="97"/>
              </w:rPr>
              <w:t>13,207</w:t>
            </w:r>
          </w:p>
        </w:tc>
        <w:tc>
          <w:tcPr>
            <w:tcW w:w="2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8,205</w:t>
            </w:r>
          </w:p>
        </w:tc>
        <w:tc>
          <w:tcPr>
            <w:tcW w:w="2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48,585</w:t>
            </w:r>
          </w:p>
        </w:tc>
        <w:tc>
          <w:tcPr>
            <w:tcW w:w="48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color w:val="auto"/>
                <w:w w:val="97"/>
              </w:rPr>
              <w:t>11,258</w:t>
            </w:r>
          </w:p>
        </w:tc>
        <w:tc>
          <w:tcPr>
            <w:tcW w:w="460" w:type="dxa"/>
            <w:vAlign w:val="bottom"/>
            <w:tcBorders>
              <w:bottom w:val="single" w:sz="8" w:color="0070FF"/>
            </w:tcBorders>
          </w:tcPr>
          <w:p>
            <w:pPr>
              <w:ind w:lef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1,348</w:t>
            </w:r>
          </w:p>
        </w:tc>
        <w:tc>
          <w:tcPr>
            <w:tcW w:w="5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61,191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spacing w:after="0" w:line="143" w:lineRule="exact"/>
              <w:rPr>
                <w:sz w:val="20"/>
                <w:szCs w:val="20"/>
                <w:color w:val="auto"/>
              </w:rPr>
            </w:pPr>
            <w:r>
              <w:rPr>
                <w:rFonts w:ascii="Arial" w:cs="Arial" w:eastAsia="Arial" w:hAnsi="Arial"/>
                <w:sz w:val="14"/>
                <w:szCs w:val="14"/>
                <w:b w:val="1"/>
                <w:bCs w:val="1"/>
                <w:color w:val="0070FF"/>
              </w:rPr>
              <w:t>AT DECEMBER 31, 2001</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cash inflows from production</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54,238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28,019</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97"/>
              </w:rPr>
              <w:t>43,389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8"/>
              </w:rPr>
              <w:t>20,432</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6"/>
              </w:rPr>
              <w:t>146,078</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97"/>
              </w:rPr>
              <w:t>29,433</w:t>
            </w:r>
          </w:p>
        </w:tc>
        <w:tc>
          <w:tcPr>
            <w:tcW w:w="460" w:type="dxa"/>
            <w:vAlign w:val="bottom"/>
          </w:tcPr>
          <w:p>
            <w:pPr>
              <w:ind w:left="38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5,922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0"/>
              </w:rPr>
              <w:t>181,433</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production costs</w:t>
            </w:r>
          </w:p>
        </w:tc>
        <w:tc>
          <w:tcPr>
            <w:tcW w:w="22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1"/>
              </w:rPr>
              <w:t>(25,851)</w:t>
            </w:r>
          </w:p>
        </w:tc>
        <w:tc>
          <w:tcPr>
            <w:tcW w:w="300" w:type="dxa"/>
            <w:vAlign w:val="bottom"/>
          </w:tcPr>
          <w:p>
            <w:pPr>
              <w:spacing w:after="0"/>
              <w:rPr>
                <w:sz w:val="12"/>
                <w:szCs w:val="12"/>
                <w:color w:val="auto"/>
              </w:rPr>
            </w:pPr>
          </w:p>
        </w:tc>
        <w:tc>
          <w:tcPr>
            <w:tcW w:w="8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(6,640)</w:t>
            </w:r>
          </w:p>
        </w:tc>
        <w:tc>
          <w:tcPr>
            <w:tcW w:w="5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8"/>
              </w:rPr>
              <w:t>(16,131)</w:t>
            </w:r>
          </w:p>
        </w:tc>
        <w:tc>
          <w:tcPr>
            <w:tcW w:w="280" w:type="dxa"/>
            <w:vAlign w:val="bottom"/>
          </w:tcPr>
          <w:p>
            <w:pPr>
              <w:spacing w:after="0"/>
              <w:rPr>
                <w:sz w:val="12"/>
                <w:szCs w:val="12"/>
                <w:color w:val="auto"/>
              </w:rPr>
            </w:pP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4"/>
              </w:rPr>
              <w:t>(6,381)</w:t>
            </w:r>
          </w:p>
        </w:tc>
        <w:tc>
          <w:tcPr>
            <w:tcW w:w="2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5"/>
              </w:rPr>
              <w:t>(55,003)</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(4,325)</w:t>
            </w:r>
          </w:p>
        </w:tc>
        <w:tc>
          <w:tcPr>
            <w:tcW w:w="46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(584)</w:t>
            </w:r>
          </w:p>
        </w:tc>
        <w:tc>
          <w:tcPr>
            <w:tcW w:w="56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5"/>
              </w:rPr>
              <w:t>(59,912)</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Future development costs</w:t>
            </w:r>
          </w:p>
        </w:tc>
        <w:tc>
          <w:tcPr>
            <w:tcW w:w="22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(5,020)</w:t>
            </w:r>
          </w:p>
        </w:tc>
        <w:tc>
          <w:tcPr>
            <w:tcW w:w="300" w:type="dxa"/>
            <w:vAlign w:val="bottom"/>
          </w:tcPr>
          <w:p>
            <w:pPr>
              <w:spacing w:after="0"/>
              <w:rPr>
                <w:sz w:val="12"/>
                <w:szCs w:val="12"/>
                <w:color w:val="auto"/>
              </w:rPr>
            </w:pPr>
          </w:p>
        </w:tc>
        <w:tc>
          <w:tcPr>
            <w:tcW w:w="8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(3,466)</w:t>
            </w:r>
          </w:p>
        </w:tc>
        <w:tc>
          <w:tcPr>
            <w:tcW w:w="5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(4,714)</w:t>
            </w:r>
          </w:p>
        </w:tc>
        <w:tc>
          <w:tcPr>
            <w:tcW w:w="280" w:type="dxa"/>
            <w:vAlign w:val="bottom"/>
          </w:tcPr>
          <w:p>
            <w:pPr>
              <w:spacing w:after="0"/>
              <w:rPr>
                <w:sz w:val="12"/>
                <w:szCs w:val="12"/>
                <w:color w:val="auto"/>
              </w:rPr>
            </w:pP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4"/>
              </w:rPr>
              <w:t>(2,492)</w:t>
            </w:r>
          </w:p>
        </w:tc>
        <w:tc>
          <w:tcPr>
            <w:tcW w:w="24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5"/>
              </w:rPr>
              <w:t>(15,692)</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(4,540)</w:t>
            </w:r>
          </w:p>
        </w:tc>
        <w:tc>
          <w:tcPr>
            <w:tcW w:w="460" w:type="dxa"/>
            <w:vAlign w:val="bottom"/>
          </w:tcPr>
          <w:p>
            <w:pPr>
              <w:spacing w:after="0"/>
              <w:rPr>
                <w:sz w:val="12"/>
                <w:szCs w:val="12"/>
                <w:color w:val="auto"/>
              </w:rPr>
            </w:pPr>
          </w:p>
        </w:tc>
        <w:tc>
          <w:tcPr>
            <w:tcW w:w="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(509)</w:t>
            </w:r>
          </w:p>
        </w:tc>
        <w:tc>
          <w:tcPr>
            <w:tcW w:w="560" w:type="dxa"/>
            <w:vAlign w:val="bottom"/>
          </w:tcPr>
          <w:p>
            <w:pPr>
              <w:spacing w:after="0"/>
              <w:rPr>
                <w:sz w:val="12"/>
                <w:szCs w:val="12"/>
                <w:color w:val="auto"/>
              </w:rPr>
            </w:pP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5"/>
              </w:rPr>
              <w:t>(20,741)</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Future income taxes</w:t>
            </w: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(7,981)</w:t>
            </w:r>
          </w:p>
        </w:tc>
        <w:tc>
          <w:tcPr>
            <w:tcW w:w="3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color w:val="auto"/>
                <w:w w:val="91"/>
              </w:rPr>
              <w:t>(10,476)</w:t>
            </w:r>
          </w:p>
        </w:tc>
        <w:tc>
          <w:tcPr>
            <w:tcW w:w="5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(9,858)</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4"/>
              </w:rPr>
              <w:t>(4,370)</w:t>
            </w:r>
          </w:p>
        </w:tc>
        <w:tc>
          <w:tcPr>
            <w:tcW w:w="2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w w:val="95"/>
              </w:rPr>
              <w:t>(32,685)</w:t>
            </w:r>
          </w:p>
        </w:tc>
        <w:tc>
          <w:tcPr>
            <w:tcW w:w="1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(5,805)</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0"/>
              </w:rPr>
              <w:t>(1,642)</w:t>
            </w:r>
          </w:p>
        </w:tc>
        <w:tc>
          <w:tcPr>
            <w:tcW w:w="5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5"/>
              </w:rPr>
              <w:t>(40,132)</w:t>
            </w:r>
          </w:p>
        </w:tc>
        <w:tc>
          <w:tcPr>
            <w:tcW w:w="0" w:type="dxa"/>
            <w:vAlign w:val="bottom"/>
          </w:tcPr>
          <w:p>
            <w:pPr>
              <w:spacing w:after="0"/>
              <w:rPr>
                <w:sz w:val="1"/>
                <w:szCs w:val="1"/>
                <w:color w:val="auto"/>
              </w:rPr>
            </w:pPr>
          </w:p>
        </w:tc>
      </w:tr>
      <w:tr>
        <w:trPr>
          <w:trHeight w:val="137"/>
        </w:trPr>
        <w:tc>
          <w:tcPr>
            <w:tcW w:w="2780" w:type="dxa"/>
            <w:vAlign w:val="bottom"/>
            <w:gridSpan w:val="2"/>
          </w:tcPr>
          <w:p>
            <w:pPr>
              <w:spacing w:after="0" w:line="137" w:lineRule="exact"/>
              <w:rPr>
                <w:sz w:val="20"/>
                <w:szCs w:val="20"/>
                <w:color w:val="auto"/>
              </w:rPr>
            </w:pPr>
            <w:r>
              <w:rPr>
                <w:rFonts w:ascii="Arial" w:cs="Arial" w:eastAsia="Arial" w:hAnsi="Arial"/>
                <w:sz w:val="14"/>
                <w:szCs w:val="14"/>
                <w:color w:val="auto"/>
              </w:rPr>
              <w:t>Undiscounted future net cash flows</w:t>
            </w:r>
          </w:p>
        </w:tc>
        <w:tc>
          <w:tcPr>
            <w:tcW w:w="220" w:type="dxa"/>
            <w:vAlign w:val="bottom"/>
          </w:tcPr>
          <w:p>
            <w:pPr>
              <w:spacing w:after="0"/>
              <w:rPr>
                <w:sz w:val="11"/>
                <w:szCs w:val="11"/>
                <w:color w:val="auto"/>
              </w:rPr>
            </w:pPr>
          </w:p>
        </w:tc>
        <w:tc>
          <w:tcPr>
            <w:tcW w:w="740" w:type="dxa"/>
            <w:vAlign w:val="bottom"/>
          </w:tcPr>
          <w:p>
            <w:pPr>
              <w:jc w:val="right"/>
              <w:ind w:right="208"/>
              <w:spacing w:after="0" w:line="137" w:lineRule="exact"/>
              <w:rPr>
                <w:sz w:val="20"/>
                <w:szCs w:val="20"/>
                <w:color w:val="auto"/>
              </w:rPr>
            </w:pPr>
            <w:r>
              <w:rPr>
                <w:rFonts w:ascii="Arial" w:cs="Arial" w:eastAsia="Arial" w:hAnsi="Arial"/>
                <w:sz w:val="14"/>
                <w:szCs w:val="14"/>
                <w:color w:val="auto"/>
              </w:rPr>
              <w:t>15,386</w:t>
            </w:r>
          </w:p>
        </w:tc>
        <w:tc>
          <w:tcPr>
            <w:tcW w:w="300" w:type="dxa"/>
            <w:vAlign w:val="bottom"/>
          </w:tcPr>
          <w:p>
            <w:pPr>
              <w:spacing w:after="0"/>
              <w:rPr>
                <w:sz w:val="11"/>
                <w:szCs w:val="11"/>
                <w:color w:val="auto"/>
              </w:rPr>
            </w:pPr>
          </w:p>
        </w:tc>
        <w:tc>
          <w:tcPr>
            <w:tcW w:w="800" w:type="dxa"/>
            <w:vAlign w:val="bottom"/>
          </w:tcPr>
          <w:p>
            <w:pPr>
              <w:jc w:val="right"/>
              <w:ind w:right="268"/>
              <w:spacing w:after="0" w:line="137" w:lineRule="exact"/>
              <w:rPr>
                <w:sz w:val="20"/>
                <w:szCs w:val="20"/>
                <w:color w:val="auto"/>
              </w:rPr>
            </w:pPr>
            <w:r>
              <w:rPr>
                <w:rFonts w:ascii="Arial" w:cs="Arial" w:eastAsia="Arial" w:hAnsi="Arial"/>
                <w:sz w:val="14"/>
                <w:szCs w:val="14"/>
                <w:color w:val="auto"/>
              </w:rPr>
              <w:t>7,437</w:t>
            </w:r>
          </w:p>
        </w:tc>
        <w:tc>
          <w:tcPr>
            <w:tcW w:w="520" w:type="dxa"/>
            <w:vAlign w:val="bottom"/>
          </w:tcPr>
          <w:p>
            <w:pPr>
              <w:spacing w:after="0"/>
              <w:rPr>
                <w:sz w:val="11"/>
                <w:szCs w:val="11"/>
                <w:color w:val="auto"/>
              </w:rPr>
            </w:pPr>
          </w:p>
        </w:tc>
        <w:tc>
          <w:tcPr>
            <w:tcW w:w="700" w:type="dxa"/>
            <w:vAlign w:val="bottom"/>
          </w:tcPr>
          <w:p>
            <w:pPr>
              <w:jc w:val="right"/>
              <w:ind w:right="188"/>
              <w:spacing w:after="0" w:line="137" w:lineRule="exact"/>
              <w:rPr>
                <w:sz w:val="20"/>
                <w:szCs w:val="20"/>
                <w:color w:val="auto"/>
              </w:rPr>
            </w:pPr>
            <w:r>
              <w:rPr>
                <w:rFonts w:ascii="Arial" w:cs="Arial" w:eastAsia="Arial" w:hAnsi="Arial"/>
                <w:sz w:val="14"/>
                <w:szCs w:val="14"/>
                <w:color w:val="auto"/>
                <w:w w:val="97"/>
              </w:rPr>
              <w:t>12,686</w:t>
            </w:r>
          </w:p>
        </w:tc>
        <w:tc>
          <w:tcPr>
            <w:tcW w:w="280" w:type="dxa"/>
            <w:vAlign w:val="bottom"/>
          </w:tcPr>
          <w:p>
            <w:pPr>
              <w:spacing w:after="0"/>
              <w:rPr>
                <w:sz w:val="11"/>
                <w:szCs w:val="11"/>
                <w:color w:val="auto"/>
              </w:rPr>
            </w:pPr>
          </w:p>
        </w:tc>
        <w:tc>
          <w:tcPr>
            <w:tcW w:w="62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7,189</w:t>
            </w:r>
          </w:p>
        </w:tc>
        <w:tc>
          <w:tcPr>
            <w:tcW w:w="240" w:type="dxa"/>
            <w:vAlign w:val="bottom"/>
          </w:tcPr>
          <w:p>
            <w:pPr>
              <w:spacing w:after="0"/>
              <w:rPr>
                <w:sz w:val="11"/>
                <w:szCs w:val="11"/>
                <w:color w:val="auto"/>
              </w:rPr>
            </w:pPr>
          </w:p>
        </w:tc>
        <w:tc>
          <w:tcPr>
            <w:tcW w:w="68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42,698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228"/>
              <w:spacing w:after="0" w:line="137" w:lineRule="exact"/>
              <w:rPr>
                <w:sz w:val="20"/>
                <w:szCs w:val="20"/>
                <w:color w:val="auto"/>
              </w:rPr>
            </w:pPr>
            <w:r>
              <w:rPr>
                <w:rFonts w:ascii="Arial" w:cs="Arial" w:eastAsia="Arial" w:hAnsi="Arial"/>
                <w:sz w:val="14"/>
                <w:szCs w:val="14"/>
                <w:color w:val="auto"/>
                <w:w w:val="97"/>
              </w:rPr>
              <w:t>14,763</w:t>
            </w:r>
          </w:p>
        </w:tc>
        <w:tc>
          <w:tcPr>
            <w:tcW w:w="460" w:type="dxa"/>
            <w:vAlign w:val="bottom"/>
          </w:tcPr>
          <w:p>
            <w:pPr>
              <w:spacing w:after="0"/>
              <w:rPr>
                <w:sz w:val="11"/>
                <w:szCs w:val="11"/>
                <w:color w:val="auto"/>
              </w:rPr>
            </w:pPr>
          </w:p>
        </w:tc>
        <w:tc>
          <w:tcPr>
            <w:tcW w:w="60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3,187</w:t>
            </w:r>
          </w:p>
        </w:tc>
        <w:tc>
          <w:tcPr>
            <w:tcW w:w="560" w:type="dxa"/>
            <w:vAlign w:val="bottom"/>
          </w:tcPr>
          <w:p>
            <w:pPr>
              <w:spacing w:after="0"/>
              <w:rPr>
                <w:sz w:val="11"/>
                <w:szCs w:val="11"/>
                <w:color w:val="auto"/>
              </w:rPr>
            </w:pPr>
          </w:p>
        </w:tc>
        <w:tc>
          <w:tcPr>
            <w:tcW w:w="700" w:type="dxa"/>
            <w:vAlign w:val="bottom"/>
          </w:tcPr>
          <w:p>
            <w:pPr>
              <w:jc w:val="right"/>
              <w:ind w:right="148"/>
              <w:spacing w:after="0" w:line="137" w:lineRule="exact"/>
              <w:rPr>
                <w:sz w:val="20"/>
                <w:szCs w:val="20"/>
                <w:color w:val="auto"/>
              </w:rPr>
            </w:pPr>
            <w:r>
              <w:rPr>
                <w:rFonts w:ascii="Arial" w:cs="Arial" w:eastAsia="Arial" w:hAnsi="Arial"/>
                <w:sz w:val="14"/>
                <w:szCs w:val="14"/>
                <w:color w:val="auto"/>
              </w:rPr>
              <w:t>60,648</w:t>
            </w: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10 percent midyear annual discount for</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Borders>
              <w:bottom w:val="single" w:sz="8" w:color="0070FF"/>
            </w:tcBorders>
          </w:tcPr>
          <w:p>
            <w:pPr>
              <w:ind w:left="120"/>
              <w:spacing w:after="0"/>
              <w:rPr>
                <w:sz w:val="20"/>
                <w:szCs w:val="20"/>
                <w:color w:val="auto"/>
              </w:rPr>
            </w:pPr>
            <w:r>
              <w:rPr>
                <w:rFonts w:ascii="Arial" w:cs="Arial" w:eastAsia="Arial" w:hAnsi="Arial"/>
                <w:sz w:val="14"/>
                <w:szCs w:val="14"/>
                <w:color w:val="auto"/>
              </w:rPr>
              <w:t>timing of estimated cash flows</w:t>
            </w:r>
          </w:p>
        </w:tc>
        <w:tc>
          <w:tcPr>
            <w:tcW w:w="2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(6,882)</w:t>
            </w:r>
          </w:p>
        </w:tc>
        <w:tc>
          <w:tcPr>
            <w:tcW w:w="300" w:type="dxa"/>
            <w:vAlign w:val="bottom"/>
            <w:tcBorders>
              <w:bottom w:val="single" w:sz="8" w:color="0070FF"/>
            </w:tcBorders>
          </w:tcPr>
          <w:p>
            <w:pPr>
              <w:spacing w:after="0"/>
              <w:rPr>
                <w:sz w:val="14"/>
                <w:szCs w:val="14"/>
                <w:color w:val="auto"/>
              </w:rPr>
            </w:pPr>
          </w:p>
        </w:tc>
        <w:tc>
          <w:tcPr>
            <w:tcW w:w="80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color w:val="auto"/>
              </w:rPr>
              <w:t>(3,609)</w:t>
            </w:r>
          </w:p>
        </w:tc>
        <w:tc>
          <w:tcPr>
            <w:tcW w:w="5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(5,857)</w:t>
            </w:r>
          </w:p>
        </w:tc>
        <w:tc>
          <w:tcPr>
            <w:tcW w:w="280" w:type="dxa"/>
            <w:vAlign w:val="bottom"/>
            <w:tcBorders>
              <w:bottom w:val="single" w:sz="8" w:color="0070FF"/>
            </w:tcBorders>
          </w:tcPr>
          <w:p>
            <w:pPr>
              <w:spacing w:after="0"/>
              <w:rPr>
                <w:sz w:val="14"/>
                <w:szCs w:val="14"/>
                <w:color w:val="auto"/>
              </w:rPr>
            </w:pPr>
          </w:p>
        </w:tc>
        <w:tc>
          <w:tcPr>
            <w:tcW w:w="6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4"/>
              </w:rPr>
              <w:t>(2,602)</w:t>
            </w:r>
          </w:p>
        </w:tc>
        <w:tc>
          <w:tcPr>
            <w:tcW w:w="2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w w:val="95"/>
              </w:rPr>
              <w:t>(18,950)</w:t>
            </w:r>
          </w:p>
        </w:tc>
        <w:tc>
          <w:tcPr>
            <w:tcW w:w="160" w:type="dxa"/>
            <w:vAlign w:val="bottom"/>
            <w:tcBorders>
              <w:bottom w:val="single" w:sz="8" w:color="0070FF"/>
            </w:tcBorders>
          </w:tcPr>
          <w:p>
            <w:pPr>
              <w:spacing w:after="0"/>
              <w:rPr>
                <w:sz w:val="14"/>
                <w:szCs w:val="14"/>
                <w:color w:val="auto"/>
              </w:rPr>
            </w:pPr>
          </w:p>
        </w:tc>
        <w:tc>
          <w:tcPr>
            <w:tcW w:w="32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(9,121)</w:t>
            </w:r>
          </w:p>
        </w:tc>
        <w:tc>
          <w:tcPr>
            <w:tcW w:w="460" w:type="dxa"/>
            <w:vAlign w:val="bottom"/>
            <w:tcBorders>
              <w:bottom w:val="single" w:sz="8" w:color="0070FF"/>
            </w:tcBorders>
          </w:tcPr>
          <w:p>
            <w:pPr>
              <w:spacing w:after="0"/>
              <w:rPr>
                <w:sz w:val="14"/>
                <w:szCs w:val="14"/>
                <w:color w:val="auto"/>
              </w:rPr>
            </w:pPr>
          </w:p>
        </w:tc>
        <w:tc>
          <w:tcPr>
            <w:tcW w:w="6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0"/>
              </w:rPr>
              <w:t>(2,433)</w:t>
            </w:r>
          </w:p>
        </w:tc>
        <w:tc>
          <w:tcPr>
            <w:tcW w:w="56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5"/>
              </w:rPr>
              <w:t>(30,504)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line="133" w:lineRule="exact"/>
              <w:rPr>
                <w:sz w:val="20"/>
                <w:szCs w:val="20"/>
                <w:color w:val="auto"/>
              </w:rPr>
            </w:pPr>
            <w:r>
              <w:rPr>
                <w:rFonts w:ascii="Arial" w:cs="Arial" w:eastAsia="Arial" w:hAnsi="Arial"/>
                <w:sz w:val="14"/>
                <w:szCs w:val="14"/>
                <w:b w:val="1"/>
                <w:bCs w:val="1"/>
                <w:color w:val="0070FF"/>
              </w:rPr>
              <w:t>STANDARDIZED MEASURE OF</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20"/>
              <w:spacing w:after="0" w:line="149" w:lineRule="exact"/>
              <w:rPr>
                <w:sz w:val="20"/>
                <w:szCs w:val="20"/>
                <w:color w:val="auto"/>
              </w:rPr>
            </w:pPr>
            <w:r>
              <w:rPr>
                <w:rFonts w:ascii="Arial" w:cs="Arial" w:eastAsia="Arial" w:hAnsi="Arial"/>
                <w:sz w:val="14"/>
                <w:szCs w:val="14"/>
                <w:b w:val="1"/>
                <w:bCs w:val="1"/>
                <w:color w:val="0070FF"/>
              </w:rPr>
              <w:t>DISCOUNTED FUTURE NET CASH</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0070FF"/>
            </w:tcBorders>
          </w:tcPr>
          <w:p>
            <w:pPr>
              <w:ind w:left="120"/>
              <w:spacing w:after="0"/>
              <w:rPr>
                <w:sz w:val="20"/>
                <w:szCs w:val="20"/>
                <w:color w:val="auto"/>
              </w:rPr>
            </w:pPr>
            <w:r>
              <w:rPr>
                <w:rFonts w:ascii="Arial" w:cs="Arial" w:eastAsia="Arial" w:hAnsi="Arial"/>
                <w:sz w:val="14"/>
                <w:szCs w:val="14"/>
                <w:b w:val="1"/>
                <w:bCs w:val="1"/>
                <w:color w:val="0070FF"/>
              </w:rPr>
              <w:t>FLOWS</w:t>
            </w:r>
          </w:p>
        </w:tc>
        <w:tc>
          <w:tcPr>
            <w:tcW w:w="2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208"/>
              <w:spacing w:after="0"/>
              <w:rPr>
                <w:sz w:val="20"/>
                <w:szCs w:val="20"/>
                <w:color w:val="auto"/>
              </w:rPr>
            </w:pPr>
            <w:r>
              <w:rPr>
                <w:rFonts w:ascii="Arial" w:cs="Arial" w:eastAsia="Arial" w:hAnsi="Arial"/>
                <w:sz w:val="14"/>
                <w:szCs w:val="14"/>
                <w:color w:val="auto"/>
              </w:rPr>
              <w:t>8,504</w:t>
            </w:r>
          </w:p>
        </w:tc>
        <w:tc>
          <w:tcPr>
            <w:tcW w:w="30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0FF"/>
            </w:tcBorders>
          </w:tcPr>
          <w:p>
            <w:pPr>
              <w:jc w:val="right"/>
              <w:ind w:right="268"/>
              <w:spacing w:after="0"/>
              <w:rPr>
                <w:sz w:val="20"/>
                <w:szCs w:val="20"/>
                <w:color w:val="auto"/>
              </w:rPr>
            </w:pPr>
            <w:r>
              <w:rPr>
                <w:rFonts w:ascii="Arial" w:cs="Arial" w:eastAsia="Arial" w:hAnsi="Arial"/>
                <w:sz w:val="14"/>
                <w:szCs w:val="14"/>
                <w:color w:val="auto"/>
              </w:rPr>
              <w:t>3,828</w:t>
            </w:r>
          </w:p>
        </w:tc>
        <w:tc>
          <w:tcPr>
            <w:tcW w:w="52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88"/>
              <w:spacing w:after="0"/>
              <w:rPr>
                <w:sz w:val="20"/>
                <w:szCs w:val="20"/>
                <w:color w:val="auto"/>
              </w:rPr>
            </w:pPr>
            <w:r>
              <w:rPr>
                <w:rFonts w:ascii="Arial" w:cs="Arial" w:eastAsia="Arial" w:hAnsi="Arial"/>
                <w:sz w:val="14"/>
                <w:szCs w:val="14"/>
                <w:color w:val="auto"/>
              </w:rPr>
              <w:t>6,829</w:t>
            </w:r>
          </w:p>
        </w:tc>
        <w:tc>
          <w:tcPr>
            <w:tcW w:w="28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4,587</w:t>
            </w:r>
          </w:p>
        </w:tc>
        <w:tc>
          <w:tcPr>
            <w:tcW w:w="24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23,748</w:t>
            </w:r>
          </w:p>
        </w:tc>
        <w:tc>
          <w:tcPr>
            <w:tcW w:w="480" w:type="dxa"/>
            <w:vAlign w:val="bottom"/>
            <w:tcBorders>
              <w:bottom w:val="single" w:sz="8" w:color="0070FF"/>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0FF"/>
            </w:tcBorders>
          </w:tcPr>
          <w:p>
            <w:pPr>
              <w:jc w:val="right"/>
              <w:ind w:right="228"/>
              <w:spacing w:after="0"/>
              <w:rPr>
                <w:sz w:val="20"/>
                <w:szCs w:val="20"/>
                <w:color w:val="auto"/>
              </w:rPr>
            </w:pPr>
            <w:r>
              <w:rPr>
                <w:rFonts w:ascii="Arial" w:cs="Arial" w:eastAsia="Arial" w:hAnsi="Arial"/>
                <w:sz w:val="14"/>
                <w:szCs w:val="14"/>
                <w:color w:val="auto"/>
              </w:rPr>
              <w:t>5,642</w:t>
            </w:r>
          </w:p>
        </w:tc>
        <w:tc>
          <w:tcPr>
            <w:tcW w:w="460" w:type="dxa"/>
            <w:vAlign w:val="bottom"/>
            <w:tcBorders>
              <w:bottom w:val="single" w:sz="8" w:color="0070FF"/>
            </w:tcBorders>
          </w:tcPr>
          <w:p>
            <w:pPr>
              <w:ind w:left="38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754</w:t>
            </w:r>
          </w:p>
        </w:tc>
        <w:tc>
          <w:tcPr>
            <w:tcW w:w="560" w:type="dxa"/>
            <w:vAlign w:val="bottom"/>
            <w:tcBorders>
              <w:bottom w:val="single" w:sz="8" w:color="0070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0FF"/>
            </w:tcBorders>
          </w:tcPr>
          <w:p>
            <w:pPr>
              <w:jc w:val="right"/>
              <w:ind w:right="148"/>
              <w:spacing w:after="0"/>
              <w:rPr>
                <w:sz w:val="20"/>
                <w:szCs w:val="20"/>
                <w:color w:val="auto"/>
              </w:rPr>
            </w:pPr>
            <w:r>
              <w:rPr>
                <w:rFonts w:ascii="Arial" w:cs="Arial" w:eastAsia="Arial" w:hAnsi="Arial"/>
                <w:sz w:val="14"/>
                <w:szCs w:val="14"/>
                <w:color w:val="auto"/>
              </w:rPr>
              <w:t>30,144</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0"/>
        <w:spacing w:after="0"/>
        <w:tabs>
          <w:tab w:leader="none" w:pos="2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9"/>
          <w:szCs w:val="9"/>
          <w:color w:val="auto"/>
        </w:rPr>
        <w:t>2002 and 2001 include certain reclassifications to conform to 2003 presentation.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0070FF"/>
        </w:rPr>
        <w:t>TABLE VII – CHANGES IN THE STANDARDIZED MEASURE OF DISCOUNTED FUTURE NET CASH FLOWS FROM PROVED RESERVES</w:t>
      </w:r>
    </w:p>
    <w:p>
      <w:pPr>
        <w:sectPr>
          <w:pgSz w:w="11900" w:h="16838" w:orient="portrait"/>
          <w:cols w:equalWidth="0" w:num="1">
            <w:col w:w="11420"/>
          </w:cols>
          <w:pgMar w:left="240" w:top="419" w:right="239" w:bottom="1440" w:gutter="0" w:footer="0" w:header="0"/>
        </w:sectPr>
      </w:pPr>
    </w:p>
    <w:p>
      <w:pPr>
        <w:spacing w:after="0" w:line="229" w:lineRule="exact"/>
        <w:rPr>
          <w:sz w:val="20"/>
          <w:szCs w:val="20"/>
          <w:color w:val="auto"/>
        </w:rPr>
      </w:pPr>
    </w:p>
    <w:p>
      <w:pPr>
        <w:jc w:val="both"/>
        <w:ind w:firstLine="200"/>
        <w:spacing w:after="0" w:line="278" w:lineRule="auto"/>
        <w:rPr>
          <w:sz w:val="20"/>
          <w:szCs w:val="20"/>
          <w:color w:val="auto"/>
        </w:rPr>
      </w:pPr>
      <w:r>
        <w:rPr>
          <w:rFonts w:ascii="Arial" w:cs="Arial" w:eastAsia="Arial" w:hAnsi="Arial"/>
          <w:sz w:val="16"/>
          <w:szCs w:val="16"/>
          <w:color w:val="auto"/>
        </w:rPr>
        <w:t>The changes in present values between years, which can be significant, reflect changes in estimated proved reserve quantities and prices and assumptions used in forecasting production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760"/>
        <w:spacing w:after="0" w:line="293" w:lineRule="auto"/>
        <w:rPr>
          <w:sz w:val="20"/>
          <w:szCs w:val="20"/>
          <w:color w:val="auto"/>
        </w:rPr>
      </w:pPr>
      <w:r>
        <w:rPr>
          <w:rFonts w:ascii="Arial" w:cs="Arial" w:eastAsia="Arial" w:hAnsi="Arial"/>
          <w:sz w:val="16"/>
          <w:szCs w:val="16"/>
          <w:color w:val="auto"/>
        </w:rPr>
        <w:t>volumes and costs. Changes in the timing of production are included with “Revisions of previous quantity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-398145</wp:posOffset>
            </wp:positionV>
            <wp:extent cx="8890" cy="420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42037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5360" w:space="520"/>
            <w:col w:w="5540"/>
          </w:cols>
          <w:pgMar w:left="240" w:top="419" w:right="239" w:bottom="1440" w:gutter="0" w:footer="0" w:header="0"/>
          <w:type w:val="continuous"/>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ind w:left="160"/>
              <w:spacing w:after="0"/>
              <w:rPr>
                <w:sz w:val="20"/>
                <w:szCs w:val="20"/>
                <w:color w:val="auto"/>
              </w:rPr>
            </w:pPr>
            <w:r>
              <w:rPr>
                <w:rFonts w:ascii="Arial" w:cs="Arial" w:eastAsia="Arial" w:hAnsi="Arial"/>
                <w:sz w:val="14"/>
                <w:szCs w:val="14"/>
                <w:color w:val="auto"/>
              </w:rPr>
              <w:t>Consolidated Companies</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88"/>
              <w:spacing w:after="0"/>
              <w:rPr>
                <w:sz w:val="20"/>
                <w:szCs w:val="20"/>
                <w:color w:val="auto"/>
              </w:rPr>
            </w:pPr>
            <w:r>
              <w:rPr>
                <w:rFonts w:ascii="Arial" w:cs="Arial" w:eastAsia="Arial" w:hAnsi="Arial"/>
                <w:sz w:val="14"/>
                <w:szCs w:val="14"/>
                <w:color w:val="auto"/>
              </w:rPr>
              <w:t>Affiliated Companies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42"/>
        </w:trPr>
        <w:tc>
          <w:tcPr>
            <w:tcW w:w="2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0070FF"/>
            </w:tcBorders>
          </w:tcPr>
          <w:p>
            <w:pPr>
              <w:spacing w:after="0"/>
              <w:rPr>
                <w:sz w:val="12"/>
                <w:szCs w:val="12"/>
                <w:color w:val="auto"/>
              </w:rPr>
            </w:pPr>
          </w:p>
        </w:tc>
        <w:tc>
          <w:tcPr>
            <w:tcW w:w="680" w:type="dxa"/>
            <w:vAlign w:val="bottom"/>
            <w:tcBorders>
              <w:top w:val="single" w:sz="8" w:color="0070FF"/>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0070FF"/>
            </w:tcBorders>
          </w:tcPr>
          <w:p>
            <w:pPr>
              <w:spacing w:after="0"/>
              <w:rPr>
                <w:sz w:val="12"/>
                <w:szCs w:val="12"/>
                <w:color w:val="auto"/>
              </w:rPr>
            </w:pPr>
          </w:p>
        </w:tc>
        <w:tc>
          <w:tcPr>
            <w:tcW w:w="720" w:type="dxa"/>
            <w:vAlign w:val="bottom"/>
            <w:tcBorders>
              <w:top w:val="single" w:sz="8" w:color="0070FF"/>
            </w:tcBorders>
          </w:tcPr>
          <w:p>
            <w:pPr>
              <w:jc w:val="right"/>
              <w:ind w:right="149"/>
              <w:spacing w:after="0" w:line="142" w:lineRule="exact"/>
              <w:rPr>
                <w:sz w:val="20"/>
                <w:szCs w:val="20"/>
                <w:color w:val="auto"/>
              </w:rPr>
            </w:pPr>
            <w:r>
              <w:rPr>
                <w:rFonts w:ascii="Arial" w:cs="Arial" w:eastAsia="Arial" w:hAnsi="Arial"/>
                <w:sz w:val="14"/>
                <w:szCs w:val="14"/>
                <w:color w:val="auto"/>
              </w:rPr>
              <w:t>2002</w:t>
            </w:r>
          </w:p>
        </w:tc>
        <w:tc>
          <w:tcPr>
            <w:tcW w:w="300" w:type="dxa"/>
            <w:vAlign w:val="bottom"/>
            <w:tcBorders>
              <w:top w:val="single" w:sz="8" w:color="0070FF"/>
            </w:tcBorders>
          </w:tcPr>
          <w:p>
            <w:pPr>
              <w:spacing w:after="0"/>
              <w:rPr>
                <w:sz w:val="12"/>
                <w:szCs w:val="12"/>
                <w:color w:val="auto"/>
              </w:rPr>
            </w:pPr>
          </w:p>
        </w:tc>
        <w:tc>
          <w:tcPr>
            <w:tcW w:w="740" w:type="dxa"/>
            <w:vAlign w:val="bottom"/>
            <w:tcBorders>
              <w:top w:val="single" w:sz="8" w:color="0070FF"/>
            </w:tcBorders>
          </w:tcPr>
          <w:p>
            <w:pPr>
              <w:jc w:val="right"/>
              <w:ind w:right="168"/>
              <w:spacing w:after="0" w:line="142" w:lineRule="exact"/>
              <w:rPr>
                <w:sz w:val="20"/>
                <w:szCs w:val="20"/>
                <w:color w:val="auto"/>
              </w:rPr>
            </w:pPr>
            <w:r>
              <w:rPr>
                <w:rFonts w:ascii="Arial" w:cs="Arial" w:eastAsia="Arial" w:hAnsi="Arial"/>
                <w:sz w:val="14"/>
                <w:szCs w:val="14"/>
                <w:color w:val="auto"/>
              </w:rPr>
              <w:t>2001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70FF"/>
            </w:tcBorders>
          </w:tcPr>
          <w:p>
            <w:pPr>
              <w:jc w:val="right"/>
              <w:ind w:right="109"/>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0070FF"/>
            </w:tcBorders>
          </w:tcPr>
          <w:p>
            <w:pPr>
              <w:spacing w:after="0"/>
              <w:rPr>
                <w:sz w:val="12"/>
                <w:szCs w:val="12"/>
                <w:color w:val="auto"/>
              </w:rPr>
            </w:pPr>
          </w:p>
        </w:tc>
        <w:tc>
          <w:tcPr>
            <w:tcW w:w="640" w:type="dxa"/>
            <w:vAlign w:val="bottom"/>
            <w:tcBorders>
              <w:top w:val="single" w:sz="8" w:color="0070FF"/>
            </w:tcBorders>
          </w:tcPr>
          <w:p>
            <w:pPr>
              <w:jc w:val="right"/>
              <w:ind w:right="109"/>
              <w:spacing w:after="0" w:line="142" w:lineRule="exact"/>
              <w:rPr>
                <w:sz w:val="20"/>
                <w:szCs w:val="20"/>
                <w:color w:val="auto"/>
              </w:rPr>
            </w:pPr>
            <w:r>
              <w:rPr>
                <w:rFonts w:ascii="Arial" w:cs="Arial" w:eastAsia="Arial" w:hAnsi="Arial"/>
                <w:sz w:val="14"/>
                <w:szCs w:val="14"/>
                <w:color w:val="auto"/>
              </w:rPr>
              <w:t>2002</w:t>
            </w:r>
          </w:p>
        </w:tc>
        <w:tc>
          <w:tcPr>
            <w:tcW w:w="280" w:type="dxa"/>
            <w:vAlign w:val="bottom"/>
            <w:tcBorders>
              <w:top w:val="single" w:sz="8" w:color="0070FF"/>
            </w:tcBorders>
          </w:tcPr>
          <w:p>
            <w:pPr>
              <w:spacing w:after="0"/>
              <w:rPr>
                <w:sz w:val="12"/>
                <w:szCs w:val="12"/>
                <w:color w:val="auto"/>
              </w:rPr>
            </w:pPr>
          </w:p>
        </w:tc>
        <w:tc>
          <w:tcPr>
            <w:tcW w:w="580" w:type="dxa"/>
            <w:vAlign w:val="bottom"/>
            <w:tcBorders>
              <w:top w:val="single" w:sz="8" w:color="0070FF"/>
            </w:tcBorders>
          </w:tcPr>
          <w:p>
            <w:pPr>
              <w:jc w:val="right"/>
              <w:ind w:right="88"/>
              <w:spacing w:after="0" w:line="142" w:lineRule="exact"/>
              <w:rPr>
                <w:sz w:val="20"/>
                <w:szCs w:val="20"/>
                <w:color w:val="auto"/>
              </w:rPr>
            </w:pPr>
            <w:r>
              <w:rPr>
                <w:rFonts w:ascii="Arial" w:cs="Arial" w:eastAsia="Arial" w:hAnsi="Arial"/>
                <w:sz w:val="14"/>
                <w:szCs w:val="14"/>
                <w:color w:val="auto"/>
              </w:rPr>
              <w:t>2001</w:t>
            </w:r>
          </w:p>
        </w:tc>
        <w:tc>
          <w:tcPr>
            <w:tcW w:w="160" w:type="dxa"/>
            <w:vAlign w:val="bottom"/>
          </w:tcPr>
          <w:p>
            <w:pPr>
              <w:spacing w:after="0"/>
              <w:rPr>
                <w:sz w:val="12"/>
                <w:szCs w:val="12"/>
                <w:color w:val="auto"/>
              </w:rPr>
            </w:pPr>
          </w:p>
        </w:tc>
        <w:tc>
          <w:tcPr>
            <w:tcW w:w="120" w:type="dxa"/>
            <w:vAlign w:val="bottom"/>
            <w:tcBorders>
              <w:top w:val="single" w:sz="8" w:color="0070FF"/>
            </w:tcBorders>
          </w:tcPr>
          <w:p>
            <w:pPr>
              <w:spacing w:after="0"/>
              <w:rPr>
                <w:sz w:val="12"/>
                <w:szCs w:val="12"/>
                <w:color w:val="auto"/>
              </w:rPr>
            </w:pPr>
          </w:p>
        </w:tc>
        <w:tc>
          <w:tcPr>
            <w:tcW w:w="700" w:type="dxa"/>
            <w:vAlign w:val="bottom"/>
            <w:tcBorders>
              <w:top w:val="single" w:sz="8" w:color="0070FF"/>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0070FF"/>
            </w:tcBorders>
          </w:tcPr>
          <w:p>
            <w:pPr>
              <w:spacing w:after="0"/>
              <w:rPr>
                <w:sz w:val="12"/>
                <w:szCs w:val="12"/>
                <w:color w:val="auto"/>
              </w:rPr>
            </w:pPr>
          </w:p>
        </w:tc>
        <w:tc>
          <w:tcPr>
            <w:tcW w:w="720" w:type="dxa"/>
            <w:vAlign w:val="bottom"/>
            <w:tcBorders>
              <w:top w:val="single" w:sz="8" w:color="0070FF"/>
            </w:tcBorders>
          </w:tcPr>
          <w:p>
            <w:pPr>
              <w:jc w:val="right"/>
              <w:ind w:right="148"/>
              <w:spacing w:after="0" w:line="142" w:lineRule="exact"/>
              <w:rPr>
                <w:sz w:val="20"/>
                <w:szCs w:val="20"/>
                <w:color w:val="auto"/>
              </w:rPr>
            </w:pPr>
            <w:r>
              <w:rPr>
                <w:rFonts w:ascii="Arial" w:cs="Arial" w:eastAsia="Arial" w:hAnsi="Arial"/>
                <w:sz w:val="14"/>
                <w:szCs w:val="14"/>
                <w:color w:val="auto"/>
              </w:rPr>
              <w:t>2002</w:t>
            </w:r>
          </w:p>
        </w:tc>
        <w:tc>
          <w:tcPr>
            <w:tcW w:w="300" w:type="dxa"/>
            <w:vAlign w:val="bottom"/>
            <w:tcBorders>
              <w:top w:val="single" w:sz="8" w:color="0070FF"/>
            </w:tcBorders>
          </w:tcPr>
          <w:p>
            <w:pPr>
              <w:spacing w:after="0"/>
              <w:rPr>
                <w:sz w:val="12"/>
                <w:szCs w:val="12"/>
                <w:color w:val="auto"/>
              </w:rPr>
            </w:pPr>
          </w:p>
        </w:tc>
        <w:tc>
          <w:tcPr>
            <w:tcW w:w="740" w:type="dxa"/>
            <w:vAlign w:val="bottom"/>
            <w:tcBorders>
              <w:top w:val="single" w:sz="8" w:color="0070FF"/>
            </w:tcBorders>
          </w:tcPr>
          <w:p>
            <w:pPr>
              <w:jc w:val="right"/>
              <w:ind w:right="168"/>
              <w:spacing w:after="0" w:line="142"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20" w:type="dxa"/>
            <w:vAlign w:val="bottom"/>
            <w:tcBorders>
              <w:top w:val="single" w:sz="8" w:color="0070FF"/>
            </w:tcBorders>
          </w:tcPr>
          <w:p>
            <w:pPr>
              <w:spacing w:after="0" w:line="137" w:lineRule="exact"/>
              <w:rPr>
                <w:sz w:val="20"/>
                <w:szCs w:val="20"/>
                <w:color w:val="auto"/>
              </w:rPr>
            </w:pPr>
            <w:r>
              <w:rPr>
                <w:rFonts w:ascii="Arial" w:cs="Arial" w:eastAsia="Arial" w:hAnsi="Arial"/>
                <w:sz w:val="14"/>
                <w:szCs w:val="14"/>
                <w:b w:val="1"/>
                <w:bCs w:val="1"/>
                <w:color w:val="0070FF"/>
              </w:rPr>
              <w:t>PRESENT VALUE AT JANUARY 1</w:t>
            </w:r>
          </w:p>
        </w:tc>
        <w:tc>
          <w:tcPr>
            <w:tcW w:w="260" w:type="dxa"/>
            <w:vAlign w:val="bottom"/>
            <w:tcBorders>
              <w:top w:val="single" w:sz="8" w:color="0070FF"/>
            </w:tcBorders>
            <w:gridSpan w:val="2"/>
          </w:tcPr>
          <w:p>
            <w:pPr>
              <w:jc w:val="right"/>
              <w:ind w:right="60"/>
              <w:spacing w:after="0" w:line="137"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b w:val="1"/>
                <w:bCs w:val="1"/>
                <w:color w:val="auto"/>
              </w:rPr>
              <w:t>48,585</w:t>
            </w:r>
          </w:p>
        </w:tc>
        <w:tc>
          <w:tcPr>
            <w:tcW w:w="2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0070FF"/>
            </w:tcBorders>
          </w:tcPr>
          <w:p>
            <w:pPr>
              <w:jc w:val="right"/>
              <w:ind w:right="149"/>
              <w:spacing w:after="0" w:line="137" w:lineRule="exact"/>
              <w:rPr>
                <w:sz w:val="20"/>
                <w:szCs w:val="20"/>
                <w:color w:val="auto"/>
              </w:rPr>
            </w:pPr>
            <w:r>
              <w:rPr>
                <w:rFonts w:ascii="Arial" w:cs="Arial" w:eastAsia="Arial" w:hAnsi="Arial"/>
                <w:sz w:val="14"/>
                <w:szCs w:val="14"/>
                <w:color w:val="auto"/>
              </w:rPr>
              <w:t>23,748</w:t>
            </w:r>
          </w:p>
        </w:tc>
        <w:tc>
          <w:tcPr>
            <w:tcW w:w="30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0070FF"/>
            </w:tcBorders>
          </w:tcPr>
          <w:p>
            <w:pPr>
              <w:jc w:val="right"/>
              <w:ind w:right="168"/>
              <w:spacing w:after="0" w:line="137" w:lineRule="exact"/>
              <w:rPr>
                <w:sz w:val="20"/>
                <w:szCs w:val="20"/>
                <w:color w:val="auto"/>
              </w:rPr>
            </w:pPr>
            <w:r>
              <w:rPr>
                <w:rFonts w:ascii="Arial" w:cs="Arial" w:eastAsia="Arial" w:hAnsi="Arial"/>
                <w:sz w:val="14"/>
                <w:szCs w:val="14"/>
                <w:color w:val="auto"/>
              </w:rPr>
              <w:t>59,802</w:t>
            </w:r>
          </w:p>
        </w:tc>
        <w:tc>
          <w:tcPr>
            <w:tcW w:w="140" w:type="dxa"/>
            <w:vAlign w:val="bottom"/>
            <w:tcBorders>
              <w:top w:val="single" w:sz="8" w:color="0070FF"/>
            </w:tcBorders>
          </w:tcPr>
          <w:p>
            <w:pPr>
              <w:spacing w:after="0"/>
              <w:rPr>
                <w:sz w:val="11"/>
                <w:szCs w:val="11"/>
                <w:color w:val="auto"/>
              </w:rPr>
            </w:pPr>
          </w:p>
        </w:tc>
        <w:tc>
          <w:tcPr>
            <w:tcW w:w="720" w:type="dxa"/>
            <w:vAlign w:val="bottom"/>
            <w:tcBorders>
              <w:top w:val="single" w:sz="8" w:color="0070FF"/>
            </w:tcBorders>
            <w:gridSpan w:val="2"/>
          </w:tcPr>
          <w:p>
            <w:pPr>
              <w:jc w:val="right"/>
              <w:ind w:right="109"/>
              <w:spacing w:after="0" w:line="137" w:lineRule="exact"/>
              <w:rPr>
                <w:sz w:val="20"/>
                <w:szCs w:val="20"/>
                <w:color w:val="auto"/>
              </w:rPr>
            </w:pPr>
            <w:r>
              <w:rPr>
                <w:rFonts w:ascii="Arial" w:cs="Arial" w:eastAsia="Arial" w:hAnsi="Arial"/>
                <w:sz w:val="14"/>
                <w:szCs w:val="14"/>
                <w:b w:val="1"/>
                <w:bCs w:val="1"/>
                <w:color w:val="auto"/>
                <w:w w:val="95"/>
              </w:rPr>
              <w:t>$ 12,606</w:t>
            </w:r>
          </w:p>
        </w:tc>
        <w:tc>
          <w:tcPr>
            <w:tcW w:w="2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0070FF"/>
            </w:tcBorders>
          </w:tcPr>
          <w:p>
            <w:pPr>
              <w:jc w:val="right"/>
              <w:ind w:right="109"/>
              <w:spacing w:after="0" w:line="137" w:lineRule="exact"/>
              <w:rPr>
                <w:sz w:val="20"/>
                <w:szCs w:val="20"/>
                <w:color w:val="auto"/>
              </w:rPr>
            </w:pPr>
            <w:r>
              <w:rPr>
                <w:rFonts w:ascii="Arial" w:cs="Arial" w:eastAsia="Arial" w:hAnsi="Arial"/>
                <w:sz w:val="14"/>
                <w:szCs w:val="14"/>
                <w:color w:val="auto"/>
              </w:rPr>
              <w:t>6,396</w:t>
            </w:r>
          </w:p>
        </w:tc>
        <w:tc>
          <w:tcPr>
            <w:tcW w:w="28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0070FF"/>
            </w:tcBorders>
          </w:tcPr>
          <w:p>
            <w:pPr>
              <w:jc w:val="right"/>
              <w:ind w:right="88"/>
              <w:spacing w:after="0" w:line="137" w:lineRule="exact"/>
              <w:rPr>
                <w:sz w:val="20"/>
                <w:szCs w:val="20"/>
                <w:color w:val="auto"/>
              </w:rPr>
            </w:pPr>
            <w:r>
              <w:rPr>
                <w:rFonts w:ascii="Arial" w:cs="Arial" w:eastAsia="Arial" w:hAnsi="Arial"/>
                <w:sz w:val="14"/>
                <w:szCs w:val="14"/>
                <w:color w:val="auto"/>
              </w:rPr>
              <w:t>6,186</w:t>
            </w:r>
          </w:p>
        </w:tc>
        <w:tc>
          <w:tcPr>
            <w:tcW w:w="280" w:type="dxa"/>
            <w:vAlign w:val="bottom"/>
            <w:tcBorders>
              <w:top w:val="single" w:sz="8" w:color="0070FF"/>
            </w:tcBorders>
            <w:gridSpan w:val="2"/>
          </w:tcPr>
          <w:p>
            <w:pPr>
              <w:jc w:val="right"/>
              <w:ind w:right="40"/>
              <w:spacing w:after="0" w:line="137"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0070FF"/>
            </w:tcBorders>
          </w:tcPr>
          <w:p>
            <w:pPr>
              <w:jc w:val="right"/>
              <w:ind w:right="128"/>
              <w:spacing w:after="0" w:line="137" w:lineRule="exact"/>
              <w:rPr>
                <w:sz w:val="20"/>
                <w:szCs w:val="20"/>
                <w:color w:val="auto"/>
              </w:rPr>
            </w:pPr>
            <w:r>
              <w:rPr>
                <w:rFonts w:ascii="Arial" w:cs="Arial" w:eastAsia="Arial" w:hAnsi="Arial"/>
                <w:sz w:val="14"/>
                <w:szCs w:val="14"/>
                <w:b w:val="1"/>
                <w:bCs w:val="1"/>
                <w:color w:val="auto"/>
              </w:rPr>
              <w:t>61,191</w:t>
            </w:r>
          </w:p>
        </w:tc>
        <w:tc>
          <w:tcPr>
            <w:tcW w:w="26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0070FF"/>
            </w:tcBorders>
          </w:tcPr>
          <w:p>
            <w:pPr>
              <w:jc w:val="right"/>
              <w:ind w:right="148"/>
              <w:spacing w:after="0" w:line="137" w:lineRule="exact"/>
              <w:rPr>
                <w:sz w:val="20"/>
                <w:szCs w:val="20"/>
                <w:color w:val="auto"/>
              </w:rPr>
            </w:pPr>
            <w:r>
              <w:rPr>
                <w:rFonts w:ascii="Arial" w:cs="Arial" w:eastAsia="Arial" w:hAnsi="Arial"/>
                <w:sz w:val="14"/>
                <w:szCs w:val="14"/>
                <w:color w:val="auto"/>
              </w:rPr>
              <w:t>30,144</w:t>
            </w:r>
          </w:p>
        </w:tc>
        <w:tc>
          <w:tcPr>
            <w:tcW w:w="300" w:type="dxa"/>
            <w:vAlign w:val="bottom"/>
            <w:tcBorders>
              <w:top w:val="single" w:sz="8" w:color="0070FF"/>
            </w:tcBorders>
          </w:tcPr>
          <w:p>
            <w:pPr>
              <w:jc w:val="right"/>
              <w:spacing w:after="0" w:line="137"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0070FF"/>
            </w:tcBorders>
          </w:tcPr>
          <w:p>
            <w:pPr>
              <w:jc w:val="right"/>
              <w:ind w:right="168"/>
              <w:spacing w:after="0" w:line="137" w:lineRule="exact"/>
              <w:rPr>
                <w:sz w:val="20"/>
                <w:szCs w:val="20"/>
                <w:color w:val="auto"/>
              </w:rPr>
            </w:pPr>
            <w:r>
              <w:rPr>
                <w:rFonts w:ascii="Arial" w:cs="Arial" w:eastAsia="Arial" w:hAnsi="Arial"/>
                <w:sz w:val="14"/>
                <w:szCs w:val="14"/>
                <w:color w:val="auto"/>
              </w:rPr>
              <w:t>65,988</w:t>
            </w: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w w:val="96"/>
              </w:rPr>
              <w:t>Sales and transfers of oil and gas produced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9"/>
              </w:rPr>
              <w:t>(16,794)</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69"/>
              <w:spacing w:after="0"/>
              <w:rPr>
                <w:sz w:val="20"/>
                <w:szCs w:val="20"/>
                <w:color w:val="auto"/>
              </w:rPr>
            </w:pPr>
            <w:r>
              <w:rPr>
                <w:rFonts w:ascii="Arial" w:cs="Arial" w:eastAsia="Arial" w:hAnsi="Arial"/>
                <w:sz w:val="14"/>
                <w:szCs w:val="14"/>
                <w:b w:val="1"/>
                <w:bCs w:val="1"/>
                <w:color w:val="auto"/>
              </w:rPr>
              <w:t>(1,054)</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(17,848)</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20" w:type="dxa"/>
            <w:vAlign w:val="bottom"/>
          </w:tcPr>
          <w:p>
            <w:pPr>
              <w:ind w:left="120"/>
              <w:spacing w:after="0" w:line="145" w:lineRule="exact"/>
              <w:rPr>
                <w:sz w:val="20"/>
                <w:szCs w:val="20"/>
                <w:color w:val="auto"/>
              </w:rPr>
            </w:pPr>
            <w:r>
              <w:rPr>
                <w:rFonts w:ascii="Arial" w:cs="Arial" w:eastAsia="Arial" w:hAnsi="Arial"/>
                <w:sz w:val="14"/>
                <w:szCs w:val="14"/>
                <w:color w:val="auto"/>
              </w:rPr>
              <w:t>of production costs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109"/>
              <w:spacing w:after="0" w:line="145" w:lineRule="exact"/>
              <w:rPr>
                <w:sz w:val="20"/>
                <w:szCs w:val="20"/>
                <w:color w:val="auto"/>
              </w:rPr>
            </w:pPr>
            <w:r>
              <w:rPr>
                <w:rFonts w:ascii="Arial" w:cs="Arial" w:eastAsia="Arial" w:hAnsi="Arial"/>
                <w:sz w:val="14"/>
                <w:szCs w:val="14"/>
                <w:color w:val="auto"/>
                <w:w w:val="99"/>
              </w:rPr>
              <w:t>(13,327)</w:t>
            </w:r>
          </w:p>
        </w:tc>
        <w:tc>
          <w:tcPr>
            <w:tcW w:w="300" w:type="dxa"/>
            <w:vAlign w:val="bottom"/>
          </w:tcPr>
          <w:p>
            <w:pPr>
              <w:spacing w:after="0"/>
              <w:rPr>
                <w:sz w:val="12"/>
                <w:szCs w:val="12"/>
                <w:color w:val="auto"/>
              </w:rPr>
            </w:pPr>
          </w:p>
        </w:tc>
        <w:tc>
          <w:tcPr>
            <w:tcW w:w="740" w:type="dxa"/>
            <w:vAlign w:val="bottom"/>
          </w:tcPr>
          <w:p>
            <w:pPr>
              <w:jc w:val="right"/>
              <w:ind w:right="128"/>
              <w:spacing w:after="0" w:line="145" w:lineRule="exact"/>
              <w:rPr>
                <w:sz w:val="20"/>
                <w:szCs w:val="20"/>
                <w:color w:val="auto"/>
              </w:rPr>
            </w:pPr>
            <w:r>
              <w:rPr>
                <w:rFonts w:ascii="Arial" w:cs="Arial" w:eastAsia="Arial" w:hAnsi="Arial"/>
                <w:sz w:val="14"/>
                <w:szCs w:val="14"/>
                <w:color w:val="auto"/>
                <w:w w:val="99"/>
              </w:rPr>
              <w:t>(15,161)</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9"/>
              <w:spacing w:after="0" w:line="145" w:lineRule="exact"/>
              <w:rPr>
                <w:sz w:val="20"/>
                <w:szCs w:val="20"/>
                <w:color w:val="auto"/>
              </w:rPr>
            </w:pPr>
            <w:r>
              <w:rPr>
                <w:rFonts w:ascii="Arial" w:cs="Arial" w:eastAsia="Arial" w:hAnsi="Arial"/>
                <w:sz w:val="14"/>
                <w:szCs w:val="14"/>
                <w:color w:val="auto"/>
              </w:rPr>
              <w:t>(829)</w:t>
            </w:r>
          </w:p>
        </w:tc>
        <w:tc>
          <w:tcPr>
            <w:tcW w:w="280" w:type="dxa"/>
            <w:vAlign w:val="bottom"/>
          </w:tcPr>
          <w:p>
            <w:pPr>
              <w:spacing w:after="0"/>
              <w:rPr>
                <w:sz w:val="12"/>
                <w:szCs w:val="12"/>
                <w:color w:val="auto"/>
              </w:rPr>
            </w:pP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rPr>
              <w:t>(531)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108"/>
              <w:spacing w:after="0" w:line="145" w:lineRule="exact"/>
              <w:rPr>
                <w:sz w:val="20"/>
                <w:szCs w:val="20"/>
                <w:color w:val="auto"/>
              </w:rPr>
            </w:pPr>
            <w:r>
              <w:rPr>
                <w:rFonts w:ascii="Arial" w:cs="Arial" w:eastAsia="Arial" w:hAnsi="Arial"/>
                <w:sz w:val="14"/>
                <w:szCs w:val="14"/>
                <w:color w:val="auto"/>
                <w:w w:val="99"/>
              </w:rPr>
              <w:t>(14,156)</w:t>
            </w:r>
          </w:p>
        </w:tc>
        <w:tc>
          <w:tcPr>
            <w:tcW w:w="300" w:type="dxa"/>
            <w:vAlign w:val="bottom"/>
          </w:tcPr>
          <w:p>
            <w:pPr>
              <w:spacing w:after="0"/>
              <w:rPr>
                <w:sz w:val="12"/>
                <w:szCs w:val="12"/>
                <w:color w:val="auto"/>
              </w:rPr>
            </w:pPr>
          </w:p>
        </w:tc>
        <w:tc>
          <w:tcPr>
            <w:tcW w:w="740" w:type="dxa"/>
            <w:vAlign w:val="bottom"/>
          </w:tcPr>
          <w:p>
            <w:pPr>
              <w:jc w:val="right"/>
              <w:ind w:right="128"/>
              <w:spacing w:after="0" w:line="145" w:lineRule="exact"/>
              <w:rPr>
                <w:sz w:val="20"/>
                <w:szCs w:val="20"/>
                <w:color w:val="auto"/>
              </w:rPr>
            </w:pPr>
            <w:r>
              <w:rPr>
                <w:rFonts w:ascii="Arial" w:cs="Arial" w:eastAsia="Arial" w:hAnsi="Arial"/>
                <w:sz w:val="14"/>
                <w:szCs w:val="14"/>
                <w:color w:val="auto"/>
                <w:w w:val="99"/>
              </w:rPr>
              <w:t>(15,692)</w:t>
            </w: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Development costs incurred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3,451</w:t>
            </w:r>
          </w:p>
        </w:tc>
        <w:tc>
          <w:tcPr>
            <w:tcW w:w="260" w:type="dxa"/>
            <w:vAlign w:val="bottom"/>
          </w:tcPr>
          <w:p>
            <w:pPr>
              <w:spacing w:after="0"/>
              <w:rPr>
                <w:sz w:val="12"/>
                <w:szCs w:val="12"/>
                <w:color w:val="auto"/>
              </w:rPr>
            </w:pPr>
          </w:p>
        </w:tc>
        <w:tc>
          <w:tcPr>
            <w:tcW w:w="72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3,695</w:t>
            </w:r>
          </w:p>
        </w:tc>
        <w:tc>
          <w:tcPr>
            <w:tcW w:w="30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3,967</w:t>
            </w:r>
          </w:p>
        </w:tc>
        <w:tc>
          <w:tcPr>
            <w:tcW w:w="140" w:type="dxa"/>
            <w:vAlign w:val="bottom"/>
          </w:tcPr>
          <w:p>
            <w:pPr>
              <w:spacing w:after="0"/>
              <w:rPr>
                <w:sz w:val="12"/>
                <w:szCs w:val="12"/>
                <w:color w:val="auto"/>
              </w:rPr>
            </w:pPr>
          </w:p>
        </w:tc>
        <w:tc>
          <w:tcPr>
            <w:tcW w:w="720" w:type="dxa"/>
            <w:vAlign w:val="bottom"/>
            <w:gridSpan w:val="2"/>
          </w:tcPr>
          <w:p>
            <w:pPr>
              <w:jc w:val="right"/>
              <w:ind w:right="109"/>
              <w:spacing w:after="0" w:line="149" w:lineRule="exact"/>
              <w:rPr>
                <w:sz w:val="20"/>
                <w:szCs w:val="20"/>
                <w:color w:val="auto"/>
              </w:rPr>
            </w:pPr>
            <w:r>
              <w:rPr>
                <w:rFonts w:ascii="Arial" w:cs="Arial" w:eastAsia="Arial" w:hAnsi="Arial"/>
                <w:sz w:val="14"/>
                <w:szCs w:val="14"/>
                <w:b w:val="1"/>
                <w:bCs w:val="1"/>
                <w:color w:val="auto"/>
              </w:rPr>
              <w:t>750</w:t>
            </w:r>
          </w:p>
        </w:tc>
        <w:tc>
          <w:tcPr>
            <w:tcW w:w="260" w:type="dxa"/>
            <w:vAlign w:val="bottom"/>
          </w:tcPr>
          <w:p>
            <w:pPr>
              <w:spacing w:after="0"/>
              <w:rPr>
                <w:sz w:val="12"/>
                <w:szCs w:val="12"/>
                <w:color w:val="auto"/>
              </w:rPr>
            </w:pPr>
          </w:p>
        </w:tc>
        <w:tc>
          <w:tcPr>
            <w:tcW w:w="6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800</w:t>
            </w:r>
          </w:p>
        </w:tc>
        <w:tc>
          <w:tcPr>
            <w:tcW w:w="28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4,201</w:t>
            </w:r>
          </w:p>
        </w:tc>
        <w:tc>
          <w:tcPr>
            <w:tcW w:w="26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4,495</w:t>
            </w:r>
          </w:p>
        </w:tc>
        <w:tc>
          <w:tcPr>
            <w:tcW w:w="30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4,508</w:t>
            </w: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Purchases of reserves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97</w:t>
            </w:r>
          </w:p>
        </w:tc>
        <w:tc>
          <w:tcPr>
            <w:tcW w:w="260" w:type="dxa"/>
            <w:vAlign w:val="bottom"/>
          </w:tcPr>
          <w:p>
            <w:pPr>
              <w:spacing w:after="0"/>
              <w:rPr>
                <w:sz w:val="12"/>
                <w:szCs w:val="12"/>
                <w:color w:val="auto"/>
              </w:rPr>
            </w:pPr>
          </w:p>
        </w:tc>
        <w:tc>
          <w:tcPr>
            <w:tcW w:w="72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181</w:t>
            </w:r>
          </w:p>
        </w:tc>
        <w:tc>
          <w:tcPr>
            <w:tcW w:w="30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97</w:t>
            </w:r>
          </w:p>
        </w:tc>
        <w:tc>
          <w:tcPr>
            <w:tcW w:w="26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181</w:t>
            </w:r>
          </w:p>
        </w:tc>
        <w:tc>
          <w:tcPr>
            <w:tcW w:w="30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53"/>
        </w:trPr>
        <w:tc>
          <w:tcPr>
            <w:tcW w:w="2840" w:type="dxa"/>
            <w:vAlign w:val="bottom"/>
            <w:gridSpan w:val="2"/>
          </w:tcPr>
          <w:p>
            <w:pPr>
              <w:spacing w:after="0" w:line="153" w:lineRule="exact"/>
              <w:rPr>
                <w:sz w:val="20"/>
                <w:szCs w:val="20"/>
                <w:color w:val="auto"/>
              </w:rPr>
            </w:pPr>
            <w:r>
              <w:rPr>
                <w:rFonts w:ascii="Arial" w:cs="Arial" w:eastAsia="Arial" w:hAnsi="Arial"/>
                <w:sz w:val="14"/>
                <w:szCs w:val="14"/>
                <w:color w:val="auto"/>
              </w:rPr>
              <w:t>Sales of reserves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(839)</w:t>
            </w:r>
          </w:p>
        </w:tc>
        <w:tc>
          <w:tcPr>
            <w:tcW w:w="260" w:type="dxa"/>
            <w:vAlign w:val="bottom"/>
          </w:tcPr>
          <w:p>
            <w:pPr>
              <w:spacing w:after="0"/>
              <w:rPr>
                <w:sz w:val="13"/>
                <w:szCs w:val="13"/>
                <w:color w:val="auto"/>
              </w:rPr>
            </w:pPr>
          </w:p>
        </w:tc>
        <w:tc>
          <w:tcPr>
            <w:tcW w:w="720" w:type="dxa"/>
            <w:vAlign w:val="bottom"/>
          </w:tcPr>
          <w:p>
            <w:pPr>
              <w:jc w:val="right"/>
              <w:ind w:right="109"/>
              <w:spacing w:after="0" w:line="153" w:lineRule="exact"/>
              <w:rPr>
                <w:sz w:val="20"/>
                <w:szCs w:val="20"/>
                <w:color w:val="auto"/>
              </w:rPr>
            </w:pPr>
            <w:r>
              <w:rPr>
                <w:rFonts w:ascii="Arial" w:cs="Arial" w:eastAsia="Arial" w:hAnsi="Arial"/>
                <w:sz w:val="14"/>
                <w:szCs w:val="14"/>
                <w:color w:val="auto"/>
              </w:rPr>
              <w:t>(42)</w:t>
            </w:r>
          </w:p>
        </w:tc>
        <w:tc>
          <w:tcPr>
            <w:tcW w:w="300" w:type="dxa"/>
            <w:vAlign w:val="bottom"/>
          </w:tcPr>
          <w:p>
            <w:pPr>
              <w:spacing w:after="0"/>
              <w:rPr>
                <w:sz w:val="13"/>
                <w:szCs w:val="13"/>
                <w:color w:val="auto"/>
              </w:rPr>
            </w:pPr>
          </w:p>
        </w:tc>
        <w:tc>
          <w:tcPr>
            <w:tcW w:w="7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(366)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109"/>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tcPr>
          <w:p>
            <w:pPr>
              <w:jc w:val="right"/>
              <w:ind w:right="88"/>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(839)</w:t>
            </w:r>
          </w:p>
        </w:tc>
        <w:tc>
          <w:tcPr>
            <w:tcW w:w="260" w:type="dxa"/>
            <w:vAlign w:val="bottom"/>
          </w:tcPr>
          <w:p>
            <w:pPr>
              <w:spacing w:after="0"/>
              <w:rPr>
                <w:sz w:val="13"/>
                <w:szCs w:val="13"/>
                <w:color w:val="auto"/>
              </w:rPr>
            </w:pPr>
          </w:p>
        </w:tc>
        <w:tc>
          <w:tcPr>
            <w:tcW w:w="72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(42)</w:t>
            </w:r>
          </w:p>
        </w:tc>
        <w:tc>
          <w:tcPr>
            <w:tcW w:w="300" w:type="dxa"/>
            <w:vAlign w:val="bottom"/>
          </w:tcPr>
          <w:p>
            <w:pPr>
              <w:spacing w:after="0"/>
              <w:rPr>
                <w:sz w:val="13"/>
                <w:szCs w:val="13"/>
                <w:color w:val="auto"/>
              </w:rPr>
            </w:pPr>
          </w:p>
        </w:tc>
        <w:tc>
          <w:tcPr>
            <w:tcW w:w="7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w w:val="96"/>
              </w:rPr>
              <w:t>Extensions, discoveries and improved recovery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5,445</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5,445</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20" w:type="dxa"/>
            <w:vAlign w:val="bottom"/>
          </w:tcPr>
          <w:p>
            <w:pPr>
              <w:ind w:left="120"/>
              <w:spacing w:after="0" w:line="145" w:lineRule="exact"/>
              <w:rPr>
                <w:sz w:val="20"/>
                <w:szCs w:val="20"/>
                <w:color w:val="auto"/>
              </w:rPr>
            </w:pPr>
            <w:r>
              <w:rPr>
                <w:rFonts w:ascii="Arial" w:cs="Arial" w:eastAsia="Arial" w:hAnsi="Arial"/>
                <w:sz w:val="14"/>
                <w:szCs w:val="14"/>
                <w:color w:val="auto"/>
              </w:rPr>
              <w:t>less related costs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7,472</w:t>
            </w:r>
          </w:p>
        </w:tc>
        <w:tc>
          <w:tcPr>
            <w:tcW w:w="300" w:type="dxa"/>
            <w:vAlign w:val="bottom"/>
          </w:tcPr>
          <w:p>
            <w:pPr>
              <w:spacing w:after="0"/>
              <w:rPr>
                <w:sz w:val="12"/>
                <w:szCs w:val="12"/>
                <w:color w:val="auto"/>
              </w:rPr>
            </w:pPr>
          </w:p>
        </w:tc>
        <w:tc>
          <w:tcPr>
            <w:tcW w:w="74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2,747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109"/>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88"/>
              <w:spacing w:after="0" w:line="145" w:lineRule="exact"/>
              <w:rPr>
                <w:sz w:val="20"/>
                <w:szCs w:val="20"/>
                <w:color w:val="auto"/>
              </w:rPr>
            </w:pPr>
            <w:r>
              <w:rPr>
                <w:rFonts w:ascii="Arial" w:cs="Arial" w:eastAsia="Arial" w:hAnsi="Arial"/>
                <w:sz w:val="14"/>
                <w:szCs w:val="14"/>
                <w:color w:val="auto"/>
              </w:rPr>
              <w:t>484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7,472</w:t>
            </w:r>
          </w:p>
        </w:tc>
        <w:tc>
          <w:tcPr>
            <w:tcW w:w="300" w:type="dxa"/>
            <w:vAlign w:val="bottom"/>
          </w:tcPr>
          <w:p>
            <w:pPr>
              <w:spacing w:after="0"/>
              <w:rPr>
                <w:sz w:val="12"/>
                <w:szCs w:val="12"/>
                <w:color w:val="auto"/>
              </w:rPr>
            </w:pPr>
          </w:p>
        </w:tc>
        <w:tc>
          <w:tcPr>
            <w:tcW w:w="74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153"/>
        </w:trPr>
        <w:tc>
          <w:tcPr>
            <w:tcW w:w="2840" w:type="dxa"/>
            <w:vAlign w:val="bottom"/>
            <w:gridSpan w:val="2"/>
          </w:tcPr>
          <w:p>
            <w:pPr>
              <w:spacing w:after="0" w:line="153" w:lineRule="exact"/>
              <w:rPr>
                <w:sz w:val="20"/>
                <w:szCs w:val="20"/>
                <w:color w:val="auto"/>
              </w:rPr>
            </w:pPr>
            <w:r>
              <w:rPr>
                <w:rFonts w:ascii="Arial" w:cs="Arial" w:eastAsia="Arial" w:hAnsi="Arial"/>
                <w:sz w:val="14"/>
                <w:szCs w:val="14"/>
                <w:color w:val="auto"/>
              </w:rPr>
              <w:t>Revisions of previous quantity estimates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1,168</w:t>
            </w:r>
          </w:p>
        </w:tc>
        <w:tc>
          <w:tcPr>
            <w:tcW w:w="260" w:type="dxa"/>
            <w:vAlign w:val="bottom"/>
          </w:tcPr>
          <w:p>
            <w:pPr>
              <w:spacing w:after="0"/>
              <w:rPr>
                <w:sz w:val="13"/>
                <w:szCs w:val="13"/>
                <w:color w:val="auto"/>
              </w:rPr>
            </w:pPr>
          </w:p>
        </w:tc>
        <w:tc>
          <w:tcPr>
            <w:tcW w:w="72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104</w:t>
            </w:r>
          </w:p>
        </w:tc>
        <w:tc>
          <w:tcPr>
            <w:tcW w:w="300" w:type="dxa"/>
            <w:vAlign w:val="bottom"/>
          </w:tcPr>
          <w:p>
            <w:pPr>
              <w:spacing w:after="0"/>
              <w:rPr>
                <w:sz w:val="13"/>
                <w:szCs w:val="13"/>
                <w:color w:val="auto"/>
              </w:rPr>
            </w:pPr>
          </w:p>
        </w:tc>
        <w:tc>
          <w:tcPr>
            <w:tcW w:w="74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524</w:t>
            </w:r>
          </w:p>
        </w:tc>
        <w:tc>
          <w:tcPr>
            <w:tcW w:w="140" w:type="dxa"/>
            <w:vAlign w:val="bottom"/>
          </w:tcPr>
          <w:p>
            <w:pPr>
              <w:spacing w:after="0"/>
              <w:rPr>
                <w:sz w:val="13"/>
                <w:szCs w:val="13"/>
                <w:color w:val="auto"/>
              </w:rPr>
            </w:pPr>
          </w:p>
        </w:tc>
        <w:tc>
          <w:tcPr>
            <w:tcW w:w="720" w:type="dxa"/>
            <w:vAlign w:val="bottom"/>
            <w:gridSpan w:val="2"/>
          </w:tcPr>
          <w:p>
            <w:pPr>
              <w:jc w:val="right"/>
              <w:ind w:right="109"/>
              <w:spacing w:after="0" w:line="153" w:lineRule="exact"/>
              <w:rPr>
                <w:sz w:val="20"/>
                <w:szCs w:val="20"/>
                <w:color w:val="auto"/>
              </w:rPr>
            </w:pPr>
            <w:r>
              <w:rPr>
                <w:rFonts w:ascii="Arial" w:cs="Arial" w:eastAsia="Arial" w:hAnsi="Arial"/>
                <w:sz w:val="14"/>
                <w:szCs w:val="14"/>
                <w:b w:val="1"/>
                <w:bCs w:val="1"/>
                <w:color w:val="auto"/>
              </w:rPr>
              <w:t>652</w:t>
            </w:r>
          </w:p>
        </w:tc>
        <w:tc>
          <w:tcPr>
            <w:tcW w:w="260" w:type="dxa"/>
            <w:vAlign w:val="bottom"/>
          </w:tcPr>
          <w:p>
            <w:pPr>
              <w:spacing w:after="0"/>
              <w:rPr>
                <w:sz w:val="13"/>
                <w:szCs w:val="13"/>
                <w:color w:val="auto"/>
              </w:rPr>
            </w:pPr>
          </w:p>
        </w:tc>
        <w:tc>
          <w:tcPr>
            <w:tcW w:w="640" w:type="dxa"/>
            <w:vAlign w:val="bottom"/>
          </w:tcPr>
          <w:p>
            <w:pPr>
              <w:jc w:val="right"/>
              <w:ind w:right="109"/>
              <w:spacing w:after="0" w:line="153" w:lineRule="exact"/>
              <w:rPr>
                <w:sz w:val="20"/>
                <w:szCs w:val="20"/>
                <w:color w:val="auto"/>
              </w:rPr>
            </w:pPr>
            <w:r>
              <w:rPr>
                <w:rFonts w:ascii="Arial" w:cs="Arial" w:eastAsia="Arial" w:hAnsi="Arial"/>
                <w:sz w:val="14"/>
                <w:szCs w:val="14"/>
                <w:color w:val="auto"/>
              </w:rPr>
              <w:t>917</w:t>
            </w:r>
          </w:p>
        </w:tc>
        <w:tc>
          <w:tcPr>
            <w:tcW w:w="280" w:type="dxa"/>
            <w:vAlign w:val="bottom"/>
          </w:tcPr>
          <w:p>
            <w:pPr>
              <w:spacing w:after="0"/>
              <w:rPr>
                <w:sz w:val="13"/>
                <w:szCs w:val="13"/>
                <w:color w:val="auto"/>
              </w:rPr>
            </w:pPr>
          </w:p>
        </w:tc>
        <w:tc>
          <w:tcPr>
            <w:tcW w:w="580" w:type="dxa"/>
            <w:vAlign w:val="bottom"/>
          </w:tcPr>
          <w:p>
            <w:pPr>
              <w:jc w:val="right"/>
              <w:ind w:right="88"/>
              <w:spacing w:after="0" w:line="153"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1,820</w:t>
            </w:r>
          </w:p>
        </w:tc>
        <w:tc>
          <w:tcPr>
            <w:tcW w:w="260" w:type="dxa"/>
            <w:vAlign w:val="bottom"/>
          </w:tcPr>
          <w:p>
            <w:pPr>
              <w:spacing w:after="0"/>
              <w:rPr>
                <w:sz w:val="13"/>
                <w:szCs w:val="13"/>
                <w:color w:val="auto"/>
              </w:rPr>
            </w:pPr>
          </w:p>
        </w:tc>
        <w:tc>
          <w:tcPr>
            <w:tcW w:w="72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1,021</w:t>
            </w:r>
          </w:p>
        </w:tc>
        <w:tc>
          <w:tcPr>
            <w:tcW w:w="300" w:type="dxa"/>
            <w:vAlign w:val="bottom"/>
          </w:tcPr>
          <w:p>
            <w:pPr>
              <w:spacing w:after="0"/>
              <w:rPr>
                <w:sz w:val="13"/>
                <w:szCs w:val="13"/>
                <w:color w:val="auto"/>
              </w:rPr>
            </w:pPr>
          </w:p>
        </w:tc>
        <w:tc>
          <w:tcPr>
            <w:tcW w:w="74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Net changes in prices, development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2,054</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69"/>
              <w:spacing w:after="0"/>
              <w:rPr>
                <w:sz w:val="20"/>
                <w:szCs w:val="20"/>
                <w:color w:val="auto"/>
              </w:rPr>
            </w:pPr>
            <w:r>
              <w:rPr>
                <w:rFonts w:ascii="Arial" w:cs="Arial" w:eastAsia="Arial" w:hAnsi="Arial"/>
                <w:sz w:val="14"/>
                <w:szCs w:val="14"/>
                <w:b w:val="1"/>
                <w:bCs w:val="1"/>
                <w:color w:val="auto"/>
              </w:rPr>
              <w:t>(1,187)</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867</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20" w:type="dxa"/>
            <w:vAlign w:val="bottom"/>
          </w:tcPr>
          <w:p>
            <w:pPr>
              <w:ind w:left="120"/>
              <w:spacing w:after="0" w:line="145" w:lineRule="exact"/>
              <w:rPr>
                <w:sz w:val="20"/>
                <w:szCs w:val="20"/>
                <w:color w:val="auto"/>
              </w:rPr>
            </w:pPr>
            <w:r>
              <w:rPr>
                <w:rFonts w:ascii="Arial" w:cs="Arial" w:eastAsia="Arial" w:hAnsi="Arial"/>
                <w:sz w:val="14"/>
                <w:szCs w:val="14"/>
                <w:color w:val="auto"/>
              </w:rPr>
              <w:t>production costs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149"/>
              <w:spacing w:after="0" w:line="145" w:lineRule="exact"/>
              <w:rPr>
                <w:sz w:val="20"/>
                <w:szCs w:val="20"/>
                <w:color w:val="auto"/>
              </w:rPr>
            </w:pPr>
            <w:r>
              <w:rPr>
                <w:rFonts w:ascii="Arial" w:cs="Arial" w:eastAsia="Arial" w:hAnsi="Arial"/>
                <w:sz w:val="14"/>
                <w:szCs w:val="14"/>
                <w:color w:val="auto"/>
              </w:rPr>
              <w:t>41,044</w:t>
            </w:r>
          </w:p>
        </w:tc>
        <w:tc>
          <w:tcPr>
            <w:tcW w:w="300" w:type="dxa"/>
            <w:vAlign w:val="bottom"/>
          </w:tcPr>
          <w:p>
            <w:pPr>
              <w:spacing w:after="0"/>
              <w:rPr>
                <w:sz w:val="12"/>
                <w:szCs w:val="12"/>
                <w:color w:val="auto"/>
              </w:rPr>
            </w:pPr>
          </w:p>
        </w:tc>
        <w:tc>
          <w:tcPr>
            <w:tcW w:w="740" w:type="dxa"/>
            <w:vAlign w:val="bottom"/>
          </w:tcPr>
          <w:p>
            <w:pPr>
              <w:jc w:val="right"/>
              <w:ind w:right="128"/>
              <w:spacing w:after="0" w:line="145" w:lineRule="exact"/>
              <w:rPr>
                <w:sz w:val="20"/>
                <w:szCs w:val="20"/>
                <w:color w:val="auto"/>
              </w:rPr>
            </w:pPr>
            <w:r>
              <w:rPr>
                <w:rFonts w:ascii="Arial" w:cs="Arial" w:eastAsia="Arial" w:hAnsi="Arial"/>
                <w:sz w:val="14"/>
                <w:szCs w:val="14"/>
                <w:color w:val="auto"/>
                <w:w w:val="99"/>
              </w:rPr>
              <w:t>(59,995)</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109"/>
              <w:spacing w:after="0" w:line="145" w:lineRule="exact"/>
              <w:rPr>
                <w:sz w:val="20"/>
                <w:szCs w:val="20"/>
                <w:color w:val="auto"/>
              </w:rPr>
            </w:pPr>
            <w:r>
              <w:rPr>
                <w:rFonts w:ascii="Arial" w:cs="Arial" w:eastAsia="Arial" w:hAnsi="Arial"/>
                <w:sz w:val="14"/>
                <w:szCs w:val="14"/>
                <w:color w:val="auto"/>
              </w:rPr>
              <w:t>6,722</w:t>
            </w:r>
          </w:p>
        </w:tc>
        <w:tc>
          <w:tcPr>
            <w:tcW w:w="280" w:type="dxa"/>
            <w:vAlign w:val="bottom"/>
          </w:tcPr>
          <w:p>
            <w:pPr>
              <w:spacing w:after="0"/>
              <w:rPr>
                <w:sz w:val="12"/>
                <w:szCs w:val="12"/>
                <w:color w:val="auto"/>
              </w:rPr>
            </w:pPr>
          </w:p>
        </w:tc>
        <w:tc>
          <w:tcPr>
            <w:tcW w:w="580" w:type="dxa"/>
            <w:vAlign w:val="bottom"/>
          </w:tcPr>
          <w:p>
            <w:pPr>
              <w:jc w:val="right"/>
              <w:ind w:right="48"/>
              <w:spacing w:after="0" w:line="145" w:lineRule="exact"/>
              <w:rPr>
                <w:sz w:val="20"/>
                <w:szCs w:val="20"/>
                <w:color w:val="auto"/>
              </w:rPr>
            </w:pPr>
            <w:r>
              <w:rPr>
                <w:rFonts w:ascii="Arial" w:cs="Arial" w:eastAsia="Arial" w:hAnsi="Arial"/>
                <w:sz w:val="14"/>
                <w:szCs w:val="14"/>
                <w:color w:val="auto"/>
                <w:w w:val="99"/>
              </w:rPr>
              <w:t>(2,457)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47,766</w:t>
            </w:r>
          </w:p>
        </w:tc>
        <w:tc>
          <w:tcPr>
            <w:tcW w:w="300" w:type="dxa"/>
            <w:vAlign w:val="bottom"/>
          </w:tcPr>
          <w:p>
            <w:pPr>
              <w:spacing w:after="0"/>
              <w:rPr>
                <w:sz w:val="12"/>
                <w:szCs w:val="12"/>
                <w:color w:val="auto"/>
              </w:rPr>
            </w:pPr>
          </w:p>
        </w:tc>
        <w:tc>
          <w:tcPr>
            <w:tcW w:w="740" w:type="dxa"/>
            <w:vAlign w:val="bottom"/>
          </w:tcPr>
          <w:p>
            <w:pPr>
              <w:jc w:val="right"/>
              <w:ind w:right="128"/>
              <w:spacing w:after="0" w:line="145" w:lineRule="exact"/>
              <w:rPr>
                <w:sz w:val="20"/>
                <w:szCs w:val="20"/>
                <w:color w:val="auto"/>
              </w:rPr>
            </w:pPr>
            <w:r>
              <w:rPr>
                <w:rFonts w:ascii="Arial" w:cs="Arial" w:eastAsia="Arial" w:hAnsi="Arial"/>
                <w:sz w:val="14"/>
                <w:szCs w:val="14"/>
                <w:color w:val="auto"/>
                <w:w w:val="99"/>
              </w:rPr>
              <w:t>(62,452)</w:t>
            </w:r>
          </w:p>
        </w:tc>
        <w:tc>
          <w:tcPr>
            <w:tcW w:w="0" w:type="dxa"/>
            <w:vAlign w:val="bottom"/>
          </w:tcPr>
          <w:p>
            <w:pPr>
              <w:spacing w:after="0"/>
              <w:rPr>
                <w:sz w:val="1"/>
                <w:szCs w:val="1"/>
                <w:color w:val="auto"/>
              </w:rPr>
            </w:pP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Accretion of discount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7,903</w:t>
            </w:r>
          </w:p>
        </w:tc>
        <w:tc>
          <w:tcPr>
            <w:tcW w:w="260" w:type="dxa"/>
            <w:vAlign w:val="bottom"/>
          </w:tcPr>
          <w:p>
            <w:pPr>
              <w:spacing w:after="0"/>
              <w:rPr>
                <w:sz w:val="12"/>
                <w:szCs w:val="12"/>
                <w:color w:val="auto"/>
              </w:rPr>
            </w:pPr>
          </w:p>
        </w:tc>
        <w:tc>
          <w:tcPr>
            <w:tcW w:w="72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3,987</w:t>
            </w:r>
          </w:p>
        </w:tc>
        <w:tc>
          <w:tcPr>
            <w:tcW w:w="30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10,144</w:t>
            </w:r>
          </w:p>
        </w:tc>
        <w:tc>
          <w:tcPr>
            <w:tcW w:w="140" w:type="dxa"/>
            <w:vAlign w:val="bottom"/>
          </w:tcPr>
          <w:p>
            <w:pPr>
              <w:spacing w:after="0"/>
              <w:rPr>
                <w:sz w:val="12"/>
                <w:szCs w:val="12"/>
                <w:color w:val="auto"/>
              </w:rPr>
            </w:pPr>
          </w:p>
        </w:tc>
        <w:tc>
          <w:tcPr>
            <w:tcW w:w="720" w:type="dxa"/>
            <w:vAlign w:val="bottom"/>
            <w:gridSpan w:val="2"/>
          </w:tcPr>
          <w:p>
            <w:pPr>
              <w:jc w:val="right"/>
              <w:ind w:right="109"/>
              <w:spacing w:after="0" w:line="149" w:lineRule="exact"/>
              <w:rPr>
                <w:sz w:val="20"/>
                <w:szCs w:val="20"/>
                <w:color w:val="auto"/>
              </w:rPr>
            </w:pPr>
            <w:r>
              <w:rPr>
                <w:rFonts w:ascii="Arial" w:cs="Arial" w:eastAsia="Arial" w:hAnsi="Arial"/>
                <w:sz w:val="14"/>
                <w:szCs w:val="14"/>
                <w:b w:val="1"/>
                <w:bCs w:val="1"/>
                <w:color w:val="auto"/>
              </w:rPr>
              <w:t>1,709</w:t>
            </w:r>
          </w:p>
        </w:tc>
        <w:tc>
          <w:tcPr>
            <w:tcW w:w="260" w:type="dxa"/>
            <w:vAlign w:val="bottom"/>
          </w:tcPr>
          <w:p>
            <w:pPr>
              <w:spacing w:after="0"/>
              <w:rPr>
                <w:sz w:val="12"/>
                <w:szCs w:val="12"/>
                <w:color w:val="auto"/>
              </w:rPr>
            </w:pPr>
          </w:p>
        </w:tc>
        <w:tc>
          <w:tcPr>
            <w:tcW w:w="6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895</w:t>
            </w:r>
          </w:p>
        </w:tc>
        <w:tc>
          <w:tcPr>
            <w:tcW w:w="28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9,612</w:t>
            </w:r>
          </w:p>
        </w:tc>
        <w:tc>
          <w:tcPr>
            <w:tcW w:w="26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4,882</w:t>
            </w:r>
          </w:p>
        </w:tc>
        <w:tc>
          <w:tcPr>
            <w:tcW w:w="300" w:type="dxa"/>
            <w:vAlign w:val="bottom"/>
          </w:tcPr>
          <w:p>
            <w:pPr>
              <w:spacing w:after="0"/>
              <w:rPr>
                <w:sz w:val="12"/>
                <w:szCs w:val="12"/>
                <w:color w:val="auto"/>
              </w:rPr>
            </w:pPr>
          </w:p>
        </w:tc>
        <w:tc>
          <w:tcPr>
            <w:tcW w:w="7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11,020</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0070FF"/>
            </w:tcBorders>
            <w:gridSpan w:val="2"/>
          </w:tcPr>
          <w:p>
            <w:pPr>
              <w:spacing w:after="0"/>
              <w:rPr>
                <w:sz w:val="20"/>
                <w:szCs w:val="20"/>
                <w:color w:val="auto"/>
              </w:rPr>
            </w:pPr>
            <w:r>
              <w:rPr>
                <w:rFonts w:ascii="Arial" w:cs="Arial" w:eastAsia="Arial" w:hAnsi="Arial"/>
                <w:sz w:val="14"/>
                <w:szCs w:val="14"/>
                <w:color w:val="auto"/>
              </w:rPr>
              <w:t>Net change in income tax</w:t>
            </w:r>
          </w:p>
        </w:tc>
        <w:tc>
          <w:tcPr>
            <w:tcW w:w="120" w:type="dxa"/>
            <w:vAlign w:val="bottom"/>
            <w:tcBorders>
              <w:bottom w:val="single" w:sz="8" w:color="0070FF"/>
            </w:tcBorders>
          </w:tcPr>
          <w:p>
            <w:pPr>
              <w:spacing w:after="0"/>
              <w:rPr>
                <w:sz w:val="14"/>
                <w:szCs w:val="14"/>
                <w:color w:val="auto"/>
              </w:rPr>
            </w:pPr>
          </w:p>
        </w:tc>
        <w:tc>
          <w:tcPr>
            <w:tcW w:w="140" w:type="dxa"/>
            <w:vAlign w:val="bottom"/>
            <w:tcBorders>
              <w:bottom w:val="single" w:sz="8" w:color="0070FF"/>
            </w:tcBorders>
          </w:tcPr>
          <w:p>
            <w:pPr>
              <w:spacing w:after="0"/>
              <w:rPr>
                <w:sz w:val="14"/>
                <w:szCs w:val="14"/>
                <w:color w:val="auto"/>
              </w:rPr>
            </w:pPr>
          </w:p>
        </w:tc>
        <w:tc>
          <w:tcPr>
            <w:tcW w:w="68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(264)</w:t>
            </w:r>
          </w:p>
        </w:tc>
        <w:tc>
          <w:tcPr>
            <w:tcW w:w="26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09"/>
              <w:spacing w:after="0"/>
              <w:rPr>
                <w:sz w:val="20"/>
                <w:szCs w:val="20"/>
                <w:color w:val="auto"/>
              </w:rPr>
            </w:pPr>
            <w:r>
              <w:rPr>
                <w:rFonts w:ascii="Arial" w:cs="Arial" w:eastAsia="Arial" w:hAnsi="Arial"/>
                <w:sz w:val="14"/>
                <w:szCs w:val="14"/>
                <w:color w:val="auto"/>
                <w:w w:val="99"/>
              </w:rPr>
              <w:t>(18,277)</w:t>
            </w:r>
          </w:p>
        </w:tc>
        <w:tc>
          <w:tcPr>
            <w:tcW w:w="30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22,046</w:t>
            </w:r>
          </w:p>
        </w:tc>
        <w:tc>
          <w:tcPr>
            <w:tcW w:w="14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gridSpan w:val="2"/>
          </w:tcPr>
          <w:p>
            <w:pPr>
              <w:jc w:val="right"/>
              <w:ind w:right="69"/>
              <w:spacing w:after="0"/>
              <w:rPr>
                <w:sz w:val="20"/>
                <w:szCs w:val="20"/>
                <w:color w:val="auto"/>
              </w:rPr>
            </w:pPr>
            <w:r>
              <w:rPr>
                <w:rFonts w:ascii="Arial" w:cs="Arial" w:eastAsia="Arial" w:hAnsi="Arial"/>
                <w:sz w:val="14"/>
                <w:szCs w:val="14"/>
                <w:b w:val="1"/>
                <w:bCs w:val="1"/>
                <w:color w:val="auto"/>
              </w:rPr>
              <w:t>(359)</w:t>
            </w:r>
          </w:p>
        </w:tc>
        <w:tc>
          <w:tcPr>
            <w:tcW w:w="260" w:type="dxa"/>
            <w:vAlign w:val="bottom"/>
            <w:tcBorders>
              <w:bottom w:val="single" w:sz="8" w:color="0070FF"/>
            </w:tcBorders>
          </w:tcPr>
          <w:p>
            <w:pPr>
              <w:spacing w:after="0"/>
              <w:rPr>
                <w:sz w:val="14"/>
                <w:szCs w:val="14"/>
                <w:color w:val="auto"/>
              </w:rPr>
            </w:pPr>
          </w:p>
        </w:tc>
        <w:tc>
          <w:tcPr>
            <w:tcW w:w="640" w:type="dxa"/>
            <w:vAlign w:val="bottom"/>
            <w:tcBorders>
              <w:bottom w:val="single" w:sz="8" w:color="0070FF"/>
            </w:tcBorders>
          </w:tcPr>
          <w:p>
            <w:pPr>
              <w:jc w:val="right"/>
              <w:ind w:right="69"/>
              <w:spacing w:after="0"/>
              <w:rPr>
                <w:sz w:val="20"/>
                <w:szCs w:val="20"/>
                <w:color w:val="auto"/>
              </w:rPr>
            </w:pPr>
            <w:r>
              <w:rPr>
                <w:rFonts w:ascii="Arial" w:cs="Arial" w:eastAsia="Arial" w:hAnsi="Arial"/>
                <w:sz w:val="14"/>
                <w:szCs w:val="14"/>
                <w:color w:val="auto"/>
              </w:rPr>
              <w:t>(2,295)</w:t>
            </w:r>
          </w:p>
        </w:tc>
        <w:tc>
          <w:tcPr>
            <w:tcW w:w="280" w:type="dxa"/>
            <w:vAlign w:val="bottom"/>
            <w:tcBorders>
              <w:bottom w:val="single" w:sz="8" w:color="0070FF"/>
            </w:tcBorders>
          </w:tcPr>
          <w:p>
            <w:pPr>
              <w:spacing w:after="0"/>
              <w:rPr>
                <w:sz w:val="14"/>
                <w:szCs w:val="14"/>
                <w:color w:val="auto"/>
              </w:rPr>
            </w:pPr>
          </w:p>
        </w:tc>
        <w:tc>
          <w:tcPr>
            <w:tcW w:w="580" w:type="dxa"/>
            <w:vAlign w:val="bottom"/>
            <w:tcBorders>
              <w:bottom w:val="single" w:sz="8" w:color="0070FF"/>
            </w:tcBorders>
          </w:tcPr>
          <w:p>
            <w:pPr>
              <w:jc w:val="right"/>
              <w:ind w:right="88"/>
              <w:spacing w:after="0"/>
              <w:rPr>
                <w:sz w:val="20"/>
                <w:szCs w:val="20"/>
                <w:color w:val="auto"/>
              </w:rPr>
            </w:pPr>
            <w:r>
              <w:rPr>
                <w:rFonts w:ascii="Arial" w:cs="Arial" w:eastAsia="Arial" w:hAnsi="Arial"/>
                <w:sz w:val="14"/>
                <w:szCs w:val="14"/>
                <w:color w:val="auto"/>
              </w:rPr>
              <w:t>119</w:t>
            </w:r>
          </w:p>
        </w:tc>
        <w:tc>
          <w:tcPr>
            <w:tcW w:w="160" w:type="dxa"/>
            <w:vAlign w:val="bottom"/>
            <w:tcBorders>
              <w:bottom w:val="single" w:sz="8" w:color="0070FF"/>
            </w:tcBorders>
          </w:tcPr>
          <w:p>
            <w:pPr>
              <w:spacing w:after="0"/>
              <w:rPr>
                <w:sz w:val="14"/>
                <w:szCs w:val="14"/>
                <w:color w:val="auto"/>
              </w:rPr>
            </w:pPr>
          </w:p>
        </w:tc>
        <w:tc>
          <w:tcPr>
            <w:tcW w:w="120" w:type="dxa"/>
            <w:vAlign w:val="bottom"/>
            <w:tcBorders>
              <w:bottom w:val="single" w:sz="8" w:color="0070FF"/>
            </w:tcBorders>
          </w:tcPr>
          <w:p>
            <w:pPr>
              <w:spacing w:after="0"/>
              <w:rPr>
                <w:sz w:val="14"/>
                <w:szCs w:val="14"/>
                <w:color w:val="auto"/>
              </w:rPr>
            </w:pPr>
          </w:p>
        </w:tc>
        <w:tc>
          <w:tcPr>
            <w:tcW w:w="700" w:type="dxa"/>
            <w:vAlign w:val="bottom"/>
            <w:tcBorders>
              <w:bottom w:val="single" w:sz="8" w:color="0070FF"/>
            </w:tcBorders>
          </w:tcPr>
          <w:p>
            <w:pPr>
              <w:jc w:val="right"/>
              <w:ind w:right="68"/>
              <w:spacing w:after="0"/>
              <w:rPr>
                <w:sz w:val="20"/>
                <w:szCs w:val="20"/>
                <w:color w:val="auto"/>
              </w:rPr>
            </w:pPr>
            <w:r>
              <w:rPr>
                <w:rFonts w:ascii="Arial" w:cs="Arial" w:eastAsia="Arial" w:hAnsi="Arial"/>
                <w:sz w:val="14"/>
                <w:szCs w:val="14"/>
                <w:b w:val="1"/>
                <w:bCs w:val="1"/>
                <w:color w:val="auto"/>
              </w:rPr>
              <w:t>(623)</w:t>
            </w:r>
          </w:p>
        </w:tc>
        <w:tc>
          <w:tcPr>
            <w:tcW w:w="260" w:type="dxa"/>
            <w:vAlign w:val="bottom"/>
            <w:tcBorders>
              <w:bottom w:val="single" w:sz="8" w:color="0070FF"/>
            </w:tcBorders>
          </w:tcPr>
          <w:p>
            <w:pPr>
              <w:spacing w:after="0"/>
              <w:rPr>
                <w:sz w:val="14"/>
                <w:szCs w:val="14"/>
                <w:color w:val="auto"/>
              </w:rPr>
            </w:pPr>
          </w:p>
        </w:tc>
        <w:tc>
          <w:tcPr>
            <w:tcW w:w="720" w:type="dxa"/>
            <w:vAlign w:val="bottom"/>
            <w:tcBorders>
              <w:bottom w:val="single" w:sz="8" w:color="0070FF"/>
            </w:tcBorders>
          </w:tcPr>
          <w:p>
            <w:pPr>
              <w:jc w:val="right"/>
              <w:ind w:right="108"/>
              <w:spacing w:after="0"/>
              <w:rPr>
                <w:sz w:val="20"/>
                <w:szCs w:val="20"/>
                <w:color w:val="auto"/>
              </w:rPr>
            </w:pPr>
            <w:r>
              <w:rPr>
                <w:rFonts w:ascii="Arial" w:cs="Arial" w:eastAsia="Arial" w:hAnsi="Arial"/>
                <w:sz w:val="14"/>
                <w:szCs w:val="14"/>
                <w:color w:val="auto"/>
                <w:w w:val="99"/>
              </w:rPr>
              <w:t>(20,572)</w:t>
            </w:r>
          </w:p>
        </w:tc>
        <w:tc>
          <w:tcPr>
            <w:tcW w:w="300" w:type="dxa"/>
            <w:vAlign w:val="bottom"/>
            <w:tcBorders>
              <w:bottom w:val="single" w:sz="8" w:color="0070FF"/>
            </w:tcBorders>
          </w:tcPr>
          <w:p>
            <w:pPr>
              <w:spacing w:after="0"/>
              <w:rPr>
                <w:sz w:val="14"/>
                <w:szCs w:val="14"/>
                <w:color w:val="auto"/>
              </w:rPr>
            </w:pPr>
          </w:p>
        </w:tc>
        <w:tc>
          <w:tcPr>
            <w:tcW w:w="740" w:type="dxa"/>
            <w:vAlign w:val="bottom"/>
            <w:tcBorders>
              <w:bottom w:val="single" w:sz="8" w:color="0070FF"/>
            </w:tcBorders>
          </w:tcPr>
          <w:p>
            <w:pPr>
              <w:jc w:val="right"/>
              <w:ind w:right="168"/>
              <w:spacing w:after="0"/>
              <w:rPr>
                <w:sz w:val="20"/>
                <w:szCs w:val="20"/>
                <w:color w:val="auto"/>
              </w:rPr>
            </w:pPr>
            <w:r>
              <w:rPr>
                <w:rFonts w:ascii="Arial" w:cs="Arial" w:eastAsia="Arial" w:hAnsi="Arial"/>
                <w:sz w:val="14"/>
                <w:szCs w:val="14"/>
                <w:color w:val="auto"/>
              </w:rPr>
              <w:t>22,165</w:t>
            </w:r>
          </w:p>
        </w:tc>
        <w:tc>
          <w:tcPr>
            <w:tcW w:w="0" w:type="dxa"/>
            <w:vAlign w:val="bottom"/>
          </w:tcPr>
          <w:p>
            <w:pPr>
              <w:spacing w:after="0"/>
              <w:rPr>
                <w:sz w:val="1"/>
                <w:szCs w:val="1"/>
                <w:color w:val="auto"/>
              </w:rPr>
            </w:pPr>
          </w:p>
        </w:tc>
      </w:tr>
      <w:tr>
        <w:trPr>
          <w:trHeight w:val="156"/>
        </w:trPr>
        <w:tc>
          <w:tcPr>
            <w:tcW w:w="2840" w:type="dxa"/>
            <w:vAlign w:val="bottom"/>
            <w:tcBorders>
              <w:bottom w:val="single" w:sz="8" w:color="0070FF"/>
            </w:tcBorders>
            <w:gridSpan w:val="2"/>
          </w:tcPr>
          <w:p>
            <w:pPr>
              <w:spacing w:after="0" w:line="155" w:lineRule="exact"/>
              <w:rPr>
                <w:sz w:val="20"/>
                <w:szCs w:val="20"/>
                <w:color w:val="auto"/>
              </w:rPr>
            </w:pPr>
            <w:r>
              <w:rPr>
                <w:rFonts w:ascii="Arial" w:cs="Arial" w:eastAsia="Arial" w:hAnsi="Arial"/>
                <w:sz w:val="14"/>
                <w:szCs w:val="14"/>
                <w:color w:val="auto"/>
              </w:rPr>
              <w:t>Net change for the year</w:t>
            </w:r>
          </w:p>
        </w:tc>
        <w:tc>
          <w:tcPr>
            <w:tcW w:w="120" w:type="dxa"/>
            <w:vAlign w:val="bottom"/>
            <w:tcBorders>
              <w:bottom w:val="single" w:sz="8" w:color="0070FF"/>
            </w:tcBorders>
          </w:tcPr>
          <w:p>
            <w:pPr>
              <w:spacing w:after="0"/>
              <w:rPr>
                <w:sz w:val="13"/>
                <w:szCs w:val="13"/>
                <w:color w:val="auto"/>
              </w:rPr>
            </w:pPr>
          </w:p>
        </w:tc>
        <w:tc>
          <w:tcPr>
            <w:tcW w:w="140" w:type="dxa"/>
            <w:vAlign w:val="bottom"/>
            <w:tcBorders>
              <w:bottom w:val="single" w:sz="8" w:color="0070FF"/>
            </w:tcBorders>
          </w:tcPr>
          <w:p>
            <w:pPr>
              <w:spacing w:after="0"/>
              <w:rPr>
                <w:sz w:val="13"/>
                <w:szCs w:val="13"/>
                <w:color w:val="auto"/>
              </w:rPr>
            </w:pPr>
          </w:p>
        </w:tc>
        <w:tc>
          <w:tcPr>
            <w:tcW w:w="68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2,221</w:t>
            </w:r>
          </w:p>
        </w:tc>
        <w:tc>
          <w:tcPr>
            <w:tcW w:w="26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149"/>
              <w:spacing w:after="0" w:line="155" w:lineRule="exact"/>
              <w:rPr>
                <w:sz w:val="20"/>
                <w:szCs w:val="20"/>
                <w:color w:val="auto"/>
              </w:rPr>
            </w:pPr>
            <w:r>
              <w:rPr>
                <w:rFonts w:ascii="Arial" w:cs="Arial" w:eastAsia="Arial" w:hAnsi="Arial"/>
                <w:sz w:val="14"/>
                <w:szCs w:val="14"/>
                <w:color w:val="auto"/>
              </w:rPr>
              <w:t>24,837</w:t>
            </w:r>
          </w:p>
        </w:tc>
        <w:tc>
          <w:tcPr>
            <w:tcW w:w="30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w w:val="99"/>
              </w:rPr>
              <w:t>(36,054)</w:t>
            </w:r>
          </w:p>
        </w:tc>
        <w:tc>
          <w:tcPr>
            <w:tcW w:w="14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gridSpan w:val="2"/>
          </w:tcPr>
          <w:p>
            <w:pPr>
              <w:jc w:val="right"/>
              <w:ind w:right="109"/>
              <w:spacing w:after="0" w:line="155" w:lineRule="exact"/>
              <w:rPr>
                <w:sz w:val="20"/>
                <w:szCs w:val="20"/>
                <w:color w:val="auto"/>
              </w:rPr>
            </w:pPr>
            <w:r>
              <w:rPr>
                <w:rFonts w:ascii="Arial" w:cs="Arial" w:eastAsia="Arial" w:hAnsi="Arial"/>
                <w:sz w:val="14"/>
                <w:szCs w:val="14"/>
                <w:b w:val="1"/>
                <w:bCs w:val="1"/>
                <w:color w:val="auto"/>
              </w:rPr>
              <w:t>511</w:t>
            </w:r>
          </w:p>
        </w:tc>
        <w:tc>
          <w:tcPr>
            <w:tcW w:w="260" w:type="dxa"/>
            <w:vAlign w:val="bottom"/>
            <w:tcBorders>
              <w:bottom w:val="single" w:sz="8" w:color="0070FF"/>
            </w:tcBorders>
          </w:tcPr>
          <w:p>
            <w:pPr>
              <w:spacing w:after="0"/>
              <w:rPr>
                <w:sz w:val="13"/>
                <w:szCs w:val="13"/>
                <w:color w:val="auto"/>
              </w:rPr>
            </w:pPr>
          </w:p>
        </w:tc>
        <w:tc>
          <w:tcPr>
            <w:tcW w:w="640" w:type="dxa"/>
            <w:vAlign w:val="bottom"/>
            <w:tcBorders>
              <w:bottom w:val="single" w:sz="8" w:color="0070FF"/>
            </w:tcBorders>
          </w:tcPr>
          <w:p>
            <w:pPr>
              <w:jc w:val="right"/>
              <w:ind w:right="109"/>
              <w:spacing w:after="0" w:line="155" w:lineRule="exact"/>
              <w:rPr>
                <w:sz w:val="20"/>
                <w:szCs w:val="20"/>
                <w:color w:val="auto"/>
              </w:rPr>
            </w:pPr>
            <w:r>
              <w:rPr>
                <w:rFonts w:ascii="Arial" w:cs="Arial" w:eastAsia="Arial" w:hAnsi="Arial"/>
                <w:sz w:val="14"/>
                <w:szCs w:val="14"/>
                <w:color w:val="auto"/>
              </w:rPr>
              <w:t>6,210</w:t>
            </w:r>
          </w:p>
        </w:tc>
        <w:tc>
          <w:tcPr>
            <w:tcW w:w="280" w:type="dxa"/>
            <w:vAlign w:val="bottom"/>
            <w:tcBorders>
              <w:bottom w:val="single" w:sz="8" w:color="0070FF"/>
            </w:tcBorders>
          </w:tcPr>
          <w:p>
            <w:pPr>
              <w:spacing w:after="0"/>
              <w:rPr>
                <w:sz w:val="13"/>
                <w:szCs w:val="13"/>
                <w:color w:val="auto"/>
              </w:rPr>
            </w:pPr>
          </w:p>
        </w:tc>
        <w:tc>
          <w:tcPr>
            <w:tcW w:w="580" w:type="dxa"/>
            <w:vAlign w:val="bottom"/>
            <w:tcBorders>
              <w:bottom w:val="single" w:sz="8" w:color="0070FF"/>
            </w:tcBorders>
          </w:tcPr>
          <w:p>
            <w:pPr>
              <w:jc w:val="right"/>
              <w:ind w:right="88"/>
              <w:spacing w:after="0" w:line="155" w:lineRule="exact"/>
              <w:rPr>
                <w:sz w:val="20"/>
                <w:szCs w:val="20"/>
                <w:color w:val="auto"/>
              </w:rPr>
            </w:pPr>
            <w:r>
              <w:rPr>
                <w:rFonts w:ascii="Arial" w:cs="Arial" w:eastAsia="Arial" w:hAnsi="Arial"/>
                <w:sz w:val="14"/>
                <w:szCs w:val="14"/>
                <w:color w:val="auto"/>
              </w:rPr>
              <w:t>210</w:t>
            </w:r>
          </w:p>
        </w:tc>
        <w:tc>
          <w:tcPr>
            <w:tcW w:w="160" w:type="dxa"/>
            <w:vAlign w:val="bottom"/>
            <w:tcBorders>
              <w:bottom w:val="single" w:sz="8" w:color="0070FF"/>
            </w:tcBorders>
          </w:tcPr>
          <w:p>
            <w:pPr>
              <w:spacing w:after="0"/>
              <w:rPr>
                <w:sz w:val="13"/>
                <w:szCs w:val="13"/>
                <w:color w:val="auto"/>
              </w:rPr>
            </w:pPr>
          </w:p>
        </w:tc>
        <w:tc>
          <w:tcPr>
            <w:tcW w:w="120" w:type="dxa"/>
            <w:vAlign w:val="bottom"/>
            <w:tcBorders>
              <w:bottom w:val="single" w:sz="8" w:color="0070FF"/>
            </w:tcBorders>
          </w:tcPr>
          <w:p>
            <w:pPr>
              <w:spacing w:after="0"/>
              <w:rPr>
                <w:sz w:val="13"/>
                <w:szCs w:val="13"/>
                <w:color w:val="auto"/>
              </w:rPr>
            </w:pPr>
          </w:p>
        </w:tc>
        <w:tc>
          <w:tcPr>
            <w:tcW w:w="70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2,732</w:t>
            </w:r>
          </w:p>
        </w:tc>
        <w:tc>
          <w:tcPr>
            <w:tcW w:w="260" w:type="dxa"/>
            <w:vAlign w:val="bottom"/>
            <w:tcBorders>
              <w:bottom w:val="single" w:sz="8" w:color="0070FF"/>
            </w:tcBorders>
          </w:tcPr>
          <w:p>
            <w:pPr>
              <w:spacing w:after="0"/>
              <w:rPr>
                <w:sz w:val="13"/>
                <w:szCs w:val="13"/>
                <w:color w:val="auto"/>
              </w:rPr>
            </w:pPr>
          </w:p>
        </w:tc>
        <w:tc>
          <w:tcPr>
            <w:tcW w:w="720" w:type="dxa"/>
            <w:vAlign w:val="bottom"/>
            <w:tcBorders>
              <w:bottom w:val="single" w:sz="8" w:color="0070FF"/>
            </w:tcBorders>
          </w:tcPr>
          <w:p>
            <w:pPr>
              <w:jc w:val="right"/>
              <w:ind w:right="148"/>
              <w:spacing w:after="0" w:line="155" w:lineRule="exact"/>
              <w:rPr>
                <w:sz w:val="20"/>
                <w:szCs w:val="20"/>
                <w:color w:val="auto"/>
              </w:rPr>
            </w:pPr>
            <w:r>
              <w:rPr>
                <w:rFonts w:ascii="Arial" w:cs="Arial" w:eastAsia="Arial" w:hAnsi="Arial"/>
                <w:sz w:val="14"/>
                <w:szCs w:val="14"/>
                <w:color w:val="auto"/>
              </w:rPr>
              <w:t>31,047</w:t>
            </w:r>
          </w:p>
        </w:tc>
        <w:tc>
          <w:tcPr>
            <w:tcW w:w="300" w:type="dxa"/>
            <w:vAlign w:val="bottom"/>
            <w:tcBorders>
              <w:bottom w:val="single" w:sz="8" w:color="0070FF"/>
            </w:tcBorders>
          </w:tcPr>
          <w:p>
            <w:pPr>
              <w:spacing w:after="0"/>
              <w:rPr>
                <w:sz w:val="13"/>
                <w:szCs w:val="13"/>
                <w:color w:val="auto"/>
              </w:rPr>
            </w:pPr>
          </w:p>
        </w:tc>
        <w:tc>
          <w:tcPr>
            <w:tcW w:w="740" w:type="dxa"/>
            <w:vAlign w:val="bottom"/>
            <w:tcBorders>
              <w:bottom w:val="single" w:sz="8" w:color="0070FF"/>
            </w:tcBorders>
          </w:tcPr>
          <w:p>
            <w:pPr>
              <w:jc w:val="right"/>
              <w:ind w:right="128"/>
              <w:spacing w:after="0" w:line="155" w:lineRule="exact"/>
              <w:rPr>
                <w:sz w:val="20"/>
                <w:szCs w:val="20"/>
                <w:color w:val="auto"/>
              </w:rPr>
            </w:pPr>
            <w:r>
              <w:rPr>
                <w:rFonts w:ascii="Arial" w:cs="Arial" w:eastAsia="Arial" w:hAnsi="Arial"/>
                <w:sz w:val="14"/>
                <w:szCs w:val="14"/>
                <w:color w:val="auto"/>
                <w:w w:val="99"/>
              </w:rPr>
              <w:t>(35,844)</w:t>
            </w: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line="155" w:lineRule="exact"/>
              <w:rPr>
                <w:sz w:val="20"/>
                <w:szCs w:val="20"/>
                <w:color w:val="auto"/>
              </w:rPr>
            </w:pPr>
            <w:r>
              <w:rPr>
                <w:rFonts w:ascii="Arial" w:cs="Arial" w:eastAsia="Arial" w:hAnsi="Arial"/>
                <w:sz w:val="14"/>
                <w:szCs w:val="14"/>
                <w:b w:val="1"/>
                <w:bCs w:val="1"/>
                <w:color w:val="0070FF"/>
              </w:rPr>
              <w:t>PRESENT VALUE AT DECEMBER 31</w:t>
            </w:r>
          </w:p>
        </w:tc>
        <w:tc>
          <w:tcPr>
            <w:tcW w:w="2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50,806</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48,585</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23,748</w:t>
            </w:r>
          </w:p>
        </w:tc>
        <w:tc>
          <w:tcPr>
            <w:tcW w:w="140" w:type="dxa"/>
            <w:vAlign w:val="bottom"/>
          </w:tcPr>
          <w:p>
            <w:pPr>
              <w:spacing w:after="0"/>
              <w:rPr>
                <w:sz w:val="15"/>
                <w:szCs w:val="15"/>
                <w:color w:val="auto"/>
              </w:rPr>
            </w:pPr>
          </w:p>
        </w:tc>
        <w:tc>
          <w:tcPr>
            <w:tcW w:w="720" w:type="dxa"/>
            <w:vAlign w:val="bottom"/>
            <w:gridSpan w:val="2"/>
          </w:tcPr>
          <w:p>
            <w:pPr>
              <w:jc w:val="right"/>
              <w:ind w:right="109"/>
              <w:spacing w:after="0" w:line="155" w:lineRule="exact"/>
              <w:rPr>
                <w:sz w:val="20"/>
                <w:szCs w:val="20"/>
                <w:color w:val="auto"/>
              </w:rPr>
            </w:pPr>
            <w:r>
              <w:rPr>
                <w:rFonts w:ascii="Arial" w:cs="Arial" w:eastAsia="Arial" w:hAnsi="Arial"/>
                <w:sz w:val="14"/>
                <w:szCs w:val="14"/>
                <w:b w:val="1"/>
                <w:bCs w:val="1"/>
                <w:color w:val="auto"/>
                <w:w w:val="95"/>
              </w:rPr>
              <w:t>$ 13,117</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12,606</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6,396</w:t>
            </w: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63,923</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61,191</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30,144</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2820" w:type="dxa"/>
            <w:vAlign w:val="bottom"/>
            <w:tcBorders>
              <w:top w:val="single" w:sz="8" w:color="0070FF"/>
            </w:tcBorders>
          </w:tcPr>
          <w:p>
            <w:pPr>
              <w:spacing w:after="0"/>
              <w:rPr>
                <w:sz w:val="24"/>
                <w:szCs w:val="24"/>
                <w:color w:val="auto"/>
              </w:rPr>
            </w:pPr>
          </w:p>
        </w:tc>
        <w:tc>
          <w:tcPr>
            <w:tcW w:w="120" w:type="dxa"/>
            <w:vAlign w:val="bottom"/>
            <w:tcBorders>
              <w:top w:val="single" w:sz="8" w:color="0070FF"/>
            </w:tcBorders>
          </w:tcPr>
          <w:p>
            <w:pPr>
              <w:spacing w:after="0"/>
              <w:rPr>
                <w:sz w:val="24"/>
                <w:szCs w:val="24"/>
                <w:color w:val="auto"/>
              </w:rPr>
            </w:pPr>
          </w:p>
        </w:tc>
        <w:tc>
          <w:tcPr>
            <w:tcW w:w="140" w:type="dxa"/>
            <w:vAlign w:val="bottom"/>
            <w:tcBorders>
              <w:top w:val="single" w:sz="8" w:color="0070FF"/>
            </w:tcBorders>
          </w:tcPr>
          <w:p>
            <w:pPr>
              <w:spacing w:after="0"/>
              <w:rPr>
                <w:sz w:val="24"/>
                <w:szCs w:val="24"/>
                <w:color w:val="auto"/>
              </w:rPr>
            </w:pPr>
          </w:p>
        </w:tc>
        <w:tc>
          <w:tcPr>
            <w:tcW w:w="680" w:type="dxa"/>
            <w:vAlign w:val="bottom"/>
            <w:tcBorders>
              <w:top w:val="single" w:sz="8" w:color="0070FF"/>
            </w:tcBorders>
          </w:tcPr>
          <w:p>
            <w:pPr>
              <w:spacing w:after="0"/>
              <w:rPr>
                <w:sz w:val="24"/>
                <w:szCs w:val="24"/>
                <w:color w:val="auto"/>
              </w:rPr>
            </w:pPr>
          </w:p>
        </w:tc>
        <w:tc>
          <w:tcPr>
            <w:tcW w:w="260" w:type="dxa"/>
            <w:vAlign w:val="bottom"/>
            <w:tcBorders>
              <w:top w:val="single" w:sz="8" w:color="0070FF"/>
            </w:tcBorders>
          </w:tcPr>
          <w:p>
            <w:pPr>
              <w:spacing w:after="0"/>
              <w:rPr>
                <w:sz w:val="24"/>
                <w:szCs w:val="24"/>
                <w:color w:val="auto"/>
              </w:rPr>
            </w:pPr>
          </w:p>
        </w:tc>
        <w:tc>
          <w:tcPr>
            <w:tcW w:w="720" w:type="dxa"/>
            <w:vAlign w:val="bottom"/>
            <w:tcBorders>
              <w:top w:val="single" w:sz="8" w:color="0070FF"/>
            </w:tcBorders>
          </w:tcPr>
          <w:p>
            <w:pPr>
              <w:spacing w:after="0"/>
              <w:rPr>
                <w:sz w:val="24"/>
                <w:szCs w:val="24"/>
                <w:color w:val="auto"/>
              </w:rPr>
            </w:pPr>
          </w:p>
        </w:tc>
        <w:tc>
          <w:tcPr>
            <w:tcW w:w="300" w:type="dxa"/>
            <w:vAlign w:val="bottom"/>
            <w:tcBorders>
              <w:top w:val="single" w:sz="8" w:color="0070FF"/>
            </w:tcBorders>
          </w:tcPr>
          <w:p>
            <w:pPr>
              <w:spacing w:after="0"/>
              <w:rPr>
                <w:sz w:val="24"/>
                <w:szCs w:val="24"/>
                <w:color w:val="auto"/>
              </w:rPr>
            </w:pPr>
          </w:p>
        </w:tc>
        <w:tc>
          <w:tcPr>
            <w:tcW w:w="880" w:type="dxa"/>
            <w:vAlign w:val="bottom"/>
            <w:tcBorders>
              <w:top w:val="single" w:sz="8" w:color="0070FF"/>
            </w:tcBorders>
            <w:gridSpan w:val="2"/>
          </w:tcPr>
          <w:p>
            <w:pPr>
              <w:ind w:left="460"/>
              <w:spacing w:after="0"/>
              <w:rPr>
                <w:sz w:val="20"/>
                <w:szCs w:val="20"/>
                <w:color w:val="auto"/>
              </w:rPr>
            </w:pPr>
            <w:r>
              <w:rPr>
                <w:rFonts w:ascii="Arial" w:cs="Arial" w:eastAsia="Arial" w:hAnsi="Arial"/>
                <w:sz w:val="14"/>
                <w:szCs w:val="14"/>
                <w:color w:val="auto"/>
              </w:rPr>
              <w:t>FS-59</w:t>
            </w:r>
          </w:p>
        </w:tc>
        <w:tc>
          <w:tcPr>
            <w:tcW w:w="20" w:type="dxa"/>
            <w:vAlign w:val="bottom"/>
            <w:tcBorders>
              <w:top w:val="single" w:sz="8" w:color="0070FF"/>
            </w:tcBorders>
          </w:tcPr>
          <w:p>
            <w:pPr>
              <w:spacing w:after="0"/>
              <w:rPr>
                <w:sz w:val="24"/>
                <w:szCs w:val="24"/>
                <w:color w:val="auto"/>
              </w:rPr>
            </w:pPr>
          </w:p>
        </w:tc>
        <w:tc>
          <w:tcPr>
            <w:tcW w:w="700" w:type="dxa"/>
            <w:vAlign w:val="bottom"/>
            <w:tcBorders>
              <w:top w:val="single" w:sz="8" w:color="0070FF"/>
            </w:tcBorders>
          </w:tcPr>
          <w:p>
            <w:pPr>
              <w:spacing w:after="0"/>
              <w:rPr>
                <w:sz w:val="24"/>
                <w:szCs w:val="24"/>
                <w:color w:val="auto"/>
              </w:rPr>
            </w:pPr>
          </w:p>
        </w:tc>
        <w:tc>
          <w:tcPr>
            <w:tcW w:w="260" w:type="dxa"/>
            <w:vAlign w:val="bottom"/>
            <w:tcBorders>
              <w:top w:val="single" w:sz="8" w:color="0070FF"/>
            </w:tcBorders>
          </w:tcPr>
          <w:p>
            <w:pPr>
              <w:spacing w:after="0"/>
              <w:rPr>
                <w:sz w:val="24"/>
                <w:szCs w:val="24"/>
                <w:color w:val="auto"/>
              </w:rPr>
            </w:pPr>
          </w:p>
        </w:tc>
        <w:tc>
          <w:tcPr>
            <w:tcW w:w="640" w:type="dxa"/>
            <w:vAlign w:val="bottom"/>
            <w:tcBorders>
              <w:top w:val="single" w:sz="8" w:color="0070FF"/>
            </w:tcBorders>
          </w:tcPr>
          <w:p>
            <w:pPr>
              <w:spacing w:after="0"/>
              <w:rPr>
                <w:sz w:val="24"/>
                <w:szCs w:val="24"/>
                <w:color w:val="auto"/>
              </w:rPr>
            </w:pPr>
          </w:p>
        </w:tc>
        <w:tc>
          <w:tcPr>
            <w:tcW w:w="280" w:type="dxa"/>
            <w:vAlign w:val="bottom"/>
            <w:tcBorders>
              <w:top w:val="single" w:sz="8" w:color="0070FF"/>
            </w:tcBorders>
          </w:tcPr>
          <w:p>
            <w:pPr>
              <w:spacing w:after="0"/>
              <w:rPr>
                <w:sz w:val="24"/>
                <w:szCs w:val="24"/>
                <w:color w:val="auto"/>
              </w:rPr>
            </w:pPr>
          </w:p>
        </w:tc>
        <w:tc>
          <w:tcPr>
            <w:tcW w:w="580" w:type="dxa"/>
            <w:vAlign w:val="bottom"/>
            <w:tcBorders>
              <w:top w:val="single" w:sz="8" w:color="0070FF"/>
            </w:tcBorders>
          </w:tcPr>
          <w:p>
            <w:pPr>
              <w:spacing w:after="0"/>
              <w:rPr>
                <w:sz w:val="24"/>
                <w:szCs w:val="24"/>
                <w:color w:val="auto"/>
              </w:rPr>
            </w:pPr>
          </w:p>
        </w:tc>
        <w:tc>
          <w:tcPr>
            <w:tcW w:w="160" w:type="dxa"/>
            <w:vAlign w:val="bottom"/>
            <w:tcBorders>
              <w:top w:val="single" w:sz="8" w:color="0070FF"/>
            </w:tcBorders>
          </w:tcPr>
          <w:p>
            <w:pPr>
              <w:spacing w:after="0"/>
              <w:rPr>
                <w:sz w:val="24"/>
                <w:szCs w:val="24"/>
                <w:color w:val="auto"/>
              </w:rPr>
            </w:pPr>
          </w:p>
        </w:tc>
        <w:tc>
          <w:tcPr>
            <w:tcW w:w="120" w:type="dxa"/>
            <w:vAlign w:val="bottom"/>
            <w:tcBorders>
              <w:top w:val="single" w:sz="8" w:color="0070FF"/>
            </w:tcBorders>
          </w:tcPr>
          <w:p>
            <w:pPr>
              <w:spacing w:after="0"/>
              <w:rPr>
                <w:sz w:val="24"/>
                <w:szCs w:val="24"/>
                <w:color w:val="auto"/>
              </w:rPr>
            </w:pPr>
          </w:p>
        </w:tc>
        <w:tc>
          <w:tcPr>
            <w:tcW w:w="700" w:type="dxa"/>
            <w:vAlign w:val="bottom"/>
            <w:tcBorders>
              <w:top w:val="single" w:sz="8" w:color="0070FF"/>
            </w:tcBorders>
          </w:tcPr>
          <w:p>
            <w:pPr>
              <w:spacing w:after="0"/>
              <w:rPr>
                <w:sz w:val="24"/>
                <w:szCs w:val="24"/>
                <w:color w:val="auto"/>
              </w:rPr>
            </w:pPr>
          </w:p>
        </w:tc>
        <w:tc>
          <w:tcPr>
            <w:tcW w:w="260" w:type="dxa"/>
            <w:vAlign w:val="bottom"/>
            <w:tcBorders>
              <w:top w:val="single" w:sz="8" w:color="0070FF"/>
            </w:tcBorders>
          </w:tcPr>
          <w:p>
            <w:pPr>
              <w:spacing w:after="0"/>
              <w:rPr>
                <w:sz w:val="24"/>
                <w:szCs w:val="24"/>
                <w:color w:val="auto"/>
              </w:rPr>
            </w:pPr>
          </w:p>
        </w:tc>
        <w:tc>
          <w:tcPr>
            <w:tcW w:w="720" w:type="dxa"/>
            <w:vAlign w:val="bottom"/>
            <w:tcBorders>
              <w:top w:val="single" w:sz="8" w:color="0070FF"/>
            </w:tcBorders>
          </w:tcPr>
          <w:p>
            <w:pPr>
              <w:spacing w:after="0"/>
              <w:rPr>
                <w:sz w:val="24"/>
                <w:szCs w:val="24"/>
                <w:color w:val="auto"/>
              </w:rPr>
            </w:pPr>
          </w:p>
        </w:tc>
        <w:tc>
          <w:tcPr>
            <w:tcW w:w="300" w:type="dxa"/>
            <w:vAlign w:val="bottom"/>
            <w:tcBorders>
              <w:top w:val="single" w:sz="8" w:color="0070FF"/>
            </w:tcBorders>
          </w:tcPr>
          <w:p>
            <w:pPr>
              <w:spacing w:after="0"/>
              <w:rPr>
                <w:sz w:val="24"/>
                <w:szCs w:val="24"/>
                <w:color w:val="auto"/>
              </w:rPr>
            </w:pPr>
          </w:p>
        </w:tc>
        <w:tc>
          <w:tcPr>
            <w:tcW w:w="740" w:type="dxa"/>
            <w:vAlign w:val="bottom"/>
            <w:tcBorders>
              <w:top w:val="single" w:sz="8" w:color="0070FF"/>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60" w:type="dxa"/>
            <w:vAlign w:val="bottom"/>
          </w:tcPr>
          <w:p>
            <w:pPr>
              <w:ind w:left="2480"/>
              <w:spacing w:after="0"/>
              <w:rPr>
                <w:sz w:val="20"/>
                <w:szCs w:val="20"/>
                <w:color w:val="auto"/>
              </w:rPr>
            </w:pPr>
            <w:r>
              <w:rPr>
                <w:rFonts w:ascii="Arial" w:cs="Arial" w:eastAsia="Arial" w:hAnsi="Arial"/>
                <w:sz w:val="18"/>
                <w:szCs w:val="18"/>
                <w:b w:val="1"/>
                <w:bCs w:val="1"/>
                <w:color w:val="auto"/>
              </w:rPr>
              <w:t>EXHIBIT INDEX</w:t>
            </w:r>
          </w:p>
        </w:tc>
      </w:tr>
      <w:tr>
        <w:trPr>
          <w:trHeight w:val="596"/>
        </w:trPr>
        <w:tc>
          <w:tcPr>
            <w:tcW w:w="2220" w:type="dxa"/>
            <w:vAlign w:val="bottom"/>
          </w:tcPr>
          <w:p>
            <w:pPr>
              <w:ind w:left="7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886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860" w:type="dxa"/>
            <w:vAlign w:val="bottom"/>
            <w:tcBorders>
              <w:bottom w:val="single" w:sz="8" w:color="808080"/>
            </w:tcBorders>
          </w:tcPr>
          <w:p>
            <w:pPr>
              <w:spacing w:after="0"/>
              <w:rPr>
                <w:sz w:val="8"/>
                <w:szCs w:val="8"/>
                <w:color w:val="auto"/>
              </w:rPr>
            </w:pPr>
          </w:p>
        </w:tc>
      </w:tr>
      <w:tr>
        <w:trPr>
          <w:trHeight w:val="309"/>
        </w:trPr>
        <w:tc>
          <w:tcPr>
            <w:tcW w:w="2220" w:type="dxa"/>
            <w:vAlign w:val="bottom"/>
          </w:tcPr>
          <w:p>
            <w:pPr>
              <w:ind w:left="110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7"/>
              </w:rPr>
              <w:t>Restated Certificate of Incorporation of ChevronTexaco Corporation, dated October 9, 2001, filed as Exhibit 3.1 to</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89"/>
              </w:rPr>
              <w:t>ChevronTexaco Corporation’s Annual Report on Form 10-K for the year ended December 31, 2001, and incorporated herein</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216"/>
        </w:trPr>
        <w:tc>
          <w:tcPr>
            <w:tcW w:w="2220" w:type="dxa"/>
            <w:vAlign w:val="bottom"/>
          </w:tcPr>
          <w:p>
            <w:pPr>
              <w:ind w:left="110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6"/>
              </w:rPr>
              <w:t>By-Laws of ChevronTexaco Corporation, as amended September 26, 2001, filed as Exhibit 3.2 for ChevronTexaco</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1"/>
              </w:rPr>
              <w:t>Corporation’s Annual Report on Form 10-K for the year ended December 31, 2002, and incorporated herein by reference.</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0"/>
              </w:rPr>
              <w:t>Pursuant to the Instructions to Exhibits, certain instruments defining the rights of holders of long-term debt securities of the</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0"/>
              </w:rPr>
              <w:t>corporation and its consolidated subsidiaries are not filed because the total amount of securities authorized under any such</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0"/>
              </w:rPr>
              <w:t>instrument does not exceed 10 percent of the total assets of the corporation and its subsidiaries on a consolidated basis. A</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copy of such instrument will be furnished to the Commission upon request.</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89"/>
              </w:rPr>
              <w:t>ChevronTexaco Corporation Non-Employee Directors’ Equity Compensation and Deferral Plan, approved by the company’s</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8"/>
              </w:rPr>
              <w:t>stockholders on May 22, 2003, filed as Appendix A to ChevronTexaco Corporation’s Notice of Annual Meeting of</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Stockholders and Proxy Statement dated April 15, 2002, and incorporated 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0"/>
              </w:rPr>
              <w:t>Management Incentive Plan of ChevronTexaco Corporation, as amended effective October 9, 2001, filed as Appendix A to</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2"/>
              </w:rPr>
              <w:t>ChevronTexaco Corporation’s Notice of Annual Meeting of Stockholders and Proxy Statement dated April 15, 2002, and</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ChevronTexaco Corporation Excess Benefit Plan, amended and restated as of April 1, 2002.</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2"/>
              </w:rPr>
              <w:t>ChevronTexaco Corporation Long-Term Incentive Plan, including January 28, 2004 amendments, filed as Appendix A to</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1"/>
              </w:rPr>
              <w:t>ChevronTexaco Corporation’s Notice of Annual Meeting of Stockholders and Proxy Statement dated March 26, 2004, and</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0"/>
              </w:rPr>
              <w:t>ChevronTexaco Corporation Deferred Compensation Plan for Management Employees, as amended and restated effective</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3"/>
              </w:rPr>
              <w:t>April 1, 2002, filed as Exhibit 10.1 to ChevronTexaco Corporation’s Report on Form 10-Q for the quarterly period ended</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March 31, 2002, and incorporated 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88"/>
              </w:rPr>
              <w:t>Texaco Inc. Stock Incentive Plan, adopted May 9, 1989, as amended May 13, 1993, and May 13, 1997, filed as Exhibit 10.13</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2"/>
              </w:rPr>
              <w:t>to ChevronTexaco Corporation’s Annual Report on Form 10-K for the year ended December 31, 2001, and incorporated</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2"/>
              </w:rPr>
              <w:t>Supplemental Pension Plan of Texaco Inc., dated June 26, 1975, filed as Exhibit 10.14 to ChevronTexaco Corporation’s</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2001, and incorporated 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7"/>
              </w:rPr>
              <w:t>Supplemental Bonus Retirement Plan of Texaco Inc., dated May 1, 1981, filed as Exhibit 10.15 to ChevronTexaco</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1"/>
              </w:rPr>
              <w:t>Corporation’s Annual Report on Form 10-K for the year ended December 31, 2001, and incorporated 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5"/>
              </w:rPr>
              <w:t>Texaco Inc. Director and Employee Deferral Plan approved March 28, 1997, filed as Exhibit 10.16 to ChevronTexaco</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1"/>
              </w:rPr>
              <w:t>Corporation’s Annual Report on Form 10-K for the year ended December 31, 2001, and incorporated herein 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5"/>
              </w:rPr>
              <w:t>ChevronTexaco Corporation 1998 Stock Option Program for U.S. Dollar Payroll Employees, filed as Exhibit 10.12 to</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89"/>
              </w:rPr>
              <w:t>ChevronTexaco Corporation’s Annual Report on Form 10-K for the year ended December 31, 2002, and incorporated herein</w:t>
            </w:r>
          </w:p>
        </w:tc>
      </w:tr>
      <w:tr>
        <w:trPr>
          <w:trHeight w:val="216"/>
        </w:trPr>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Computation of Ratio of Earnings to Fixed Charges (page E-3).</w:t>
            </w:r>
          </w:p>
        </w:tc>
      </w:tr>
      <w:tr>
        <w:trPr>
          <w:trHeight w:val="216"/>
        </w:trPr>
        <w:tc>
          <w:tcPr>
            <w:tcW w:w="2220" w:type="dxa"/>
            <w:vAlign w:val="bottom"/>
          </w:tcPr>
          <w:p>
            <w:pPr>
              <w:ind w:left="102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Subsidiaries of ChevronTexaco Corporation (page E-4 to E-5).</w:t>
            </w:r>
          </w:p>
        </w:tc>
      </w:tr>
      <w:tr>
        <w:trPr>
          <w:trHeight w:val="222"/>
        </w:trPr>
        <w:tc>
          <w:tcPr>
            <w:tcW w:w="2220" w:type="dxa"/>
            <w:vAlign w:val="bottom"/>
          </w:tcPr>
          <w:p>
            <w:pPr>
              <w:ind w:left="102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Consent of PricewaterhouseCoopers LLP (page E-6).</w:t>
            </w:r>
          </w:p>
        </w:tc>
      </w:tr>
      <w:tr>
        <w:trPr>
          <w:trHeight w:val="432"/>
        </w:trPr>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60" w:type="dxa"/>
            <w:vAlign w:val="bottom"/>
          </w:tcPr>
          <w:p>
            <w:pPr>
              <w:ind w:left="3020"/>
              <w:spacing w:after="0"/>
              <w:rPr>
                <w:sz w:val="20"/>
                <w:szCs w:val="20"/>
                <w:color w:val="auto"/>
              </w:rPr>
            </w:pPr>
            <w:r>
              <w:rPr>
                <w:rFonts w:ascii="Arial" w:cs="Arial" w:eastAsia="Arial" w:hAnsi="Arial"/>
                <w:sz w:val="18"/>
                <w:szCs w:val="18"/>
                <w:color w:val="auto"/>
              </w:rPr>
              <w:t>E-1</w:t>
            </w:r>
          </w:p>
        </w:tc>
      </w:tr>
      <w:tr>
        <w:trPr>
          <w:trHeight w:val="228"/>
        </w:trPr>
        <w:tc>
          <w:tcPr>
            <w:tcW w:w="2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920" w:type="dxa"/>
            <w:vAlign w:val="bottom"/>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860" w:type="dxa"/>
            <w:vAlign w:val="bottom"/>
            <w:tcBorders>
              <w:bottom w:val="single" w:sz="8" w:color="808080"/>
            </w:tcBorders>
            <w:gridSpan w:val="2"/>
          </w:tcPr>
          <w:p>
            <w:pPr>
              <w:spacing w:after="0"/>
              <w:rPr>
                <w:sz w:val="8"/>
                <w:szCs w:val="8"/>
                <w:color w:val="auto"/>
              </w:rPr>
            </w:pPr>
          </w:p>
        </w:tc>
      </w:tr>
      <w:tr>
        <w:trPr>
          <w:trHeight w:val="309"/>
        </w:trPr>
        <w:tc>
          <w:tcPr>
            <w:tcW w:w="222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3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1"/>
              </w:rPr>
              <w:t>Powers of Attorney for directors and certain officers of ChevronTexaco Corporation, authorizing the signing of the Annual</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color w:val="auto"/>
                <w:w w:val="91"/>
              </w:rPr>
              <w:t>to 24.16*</w:t>
            </w:r>
          </w:p>
        </w:tc>
        <w:tc>
          <w:tcPr>
            <w:tcW w:w="34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Report on Form 10-K on their behalf.</w:t>
            </w:r>
          </w:p>
        </w:tc>
      </w:tr>
      <w:tr>
        <w:trPr>
          <w:trHeight w:val="216"/>
        </w:trPr>
        <w:tc>
          <w:tcPr>
            <w:tcW w:w="2220" w:type="dxa"/>
            <w:vAlign w:val="bottom"/>
          </w:tcPr>
          <w:p>
            <w:pPr>
              <w:jc w:val="right"/>
              <w:ind w:right="715"/>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Rule 13(a)-14(a)/15(d)-14(a) Certification of the company’s Chief Executive Officer (page E-7).</w:t>
            </w:r>
          </w:p>
        </w:tc>
      </w:tr>
      <w:tr>
        <w:trPr>
          <w:trHeight w:val="216"/>
        </w:trPr>
        <w:tc>
          <w:tcPr>
            <w:tcW w:w="2220" w:type="dxa"/>
            <w:vAlign w:val="bottom"/>
          </w:tcPr>
          <w:p>
            <w:pPr>
              <w:jc w:val="right"/>
              <w:ind w:right="715"/>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Rule 13(a)-14(a)/15(d)-14(a) Certification of the company’s Chief Financial Officer (page E-8).</w:t>
            </w:r>
          </w:p>
        </w:tc>
      </w:tr>
      <w:tr>
        <w:trPr>
          <w:trHeight w:val="216"/>
        </w:trPr>
        <w:tc>
          <w:tcPr>
            <w:tcW w:w="2220" w:type="dxa"/>
            <w:vAlign w:val="bottom"/>
          </w:tcPr>
          <w:p>
            <w:pPr>
              <w:jc w:val="right"/>
              <w:ind w:right="715"/>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87"/>
              </w:rPr>
              <w:t>Section 1350</w:t>
            </w:r>
          </w:p>
        </w:tc>
        <w:tc>
          <w:tcPr>
            <w:tcW w:w="7920" w:type="dxa"/>
            <w:vAlign w:val="bottom"/>
          </w:tcPr>
          <w:p>
            <w:pPr>
              <w:ind w:left="20"/>
              <w:spacing w:after="0"/>
              <w:rPr>
                <w:sz w:val="20"/>
                <w:szCs w:val="20"/>
                <w:color w:val="auto"/>
              </w:rPr>
            </w:pPr>
            <w:r>
              <w:rPr>
                <w:rFonts w:ascii="Arial" w:cs="Arial" w:eastAsia="Arial" w:hAnsi="Arial"/>
                <w:sz w:val="18"/>
                <w:szCs w:val="18"/>
                <w:color w:val="auto"/>
              </w:rPr>
              <w:t>Certification of the company’s Chief Executive Officer (page E-9).</w:t>
            </w:r>
          </w:p>
        </w:tc>
      </w:tr>
      <w:tr>
        <w:trPr>
          <w:trHeight w:val="216"/>
        </w:trPr>
        <w:tc>
          <w:tcPr>
            <w:tcW w:w="2220" w:type="dxa"/>
            <w:vAlign w:val="bottom"/>
          </w:tcPr>
          <w:p>
            <w:pPr>
              <w:jc w:val="right"/>
              <w:ind w:right="715"/>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87"/>
              </w:rPr>
              <w:t>Section 1350</w:t>
            </w:r>
          </w:p>
        </w:tc>
        <w:tc>
          <w:tcPr>
            <w:tcW w:w="7920" w:type="dxa"/>
            <w:vAlign w:val="bottom"/>
          </w:tcPr>
          <w:p>
            <w:pPr>
              <w:ind w:left="20"/>
              <w:spacing w:after="0"/>
              <w:rPr>
                <w:sz w:val="20"/>
                <w:szCs w:val="20"/>
                <w:color w:val="auto"/>
              </w:rPr>
            </w:pPr>
            <w:r>
              <w:rPr>
                <w:rFonts w:ascii="Arial" w:cs="Arial" w:eastAsia="Arial" w:hAnsi="Arial"/>
                <w:sz w:val="18"/>
                <w:szCs w:val="18"/>
                <w:color w:val="auto"/>
              </w:rPr>
              <w:t>Certification of the company’s Chief Financial Officer (page E-10).</w:t>
            </w:r>
          </w:p>
        </w:tc>
      </w:tr>
      <w:tr>
        <w:trPr>
          <w:trHeight w:val="222"/>
        </w:trPr>
        <w:tc>
          <w:tcPr>
            <w:tcW w:w="2220" w:type="dxa"/>
            <w:vAlign w:val="bottom"/>
          </w:tcPr>
          <w:p>
            <w:pPr>
              <w:jc w:val="right"/>
              <w:ind w:right="715"/>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Definitions of Selected Financial Terms (page E-11).</w:t>
            </w:r>
          </w:p>
        </w:tc>
      </w:tr>
    </w:tbl>
    <w:p>
      <w:pPr>
        <w:spacing w:after="0" w:line="21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On October 9, 2001, the company changed its name from Chevron Corporation to ChevronTexaco Corporation. Filings with the Securities and Exchange Commission prior to that date may be found under the company’s former name.</w:t>
      </w:r>
    </w:p>
    <w:p>
      <w:pPr>
        <w:spacing w:after="0" w:line="18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Copies of above exhibits not contained herein are available to any security holder upon written request to the Secretary’s Department, ChevronTexaco Corporation, 6001 Bollinger Canyon Road, San Ramon, California 94583.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419"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CHEVRONTEXACO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BENEFIT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April 1, 2002</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INTRODUCTION</w:t>
      </w:r>
      <w:r>
        <w:rPr>
          <w:rFonts w:ascii="Arial" w:cs="Arial" w:eastAsia="Arial" w:hAnsi="Arial"/>
          <w:sz w:val="17"/>
          <w:szCs w:val="17"/>
          <w:color w:val="auto"/>
        </w:rPr>
        <w:t>.</w:t>
      </w:r>
    </w:p>
    <w:p>
      <w:pPr>
        <w:spacing w:after="0" w:line="198" w:lineRule="exact"/>
        <w:rPr>
          <w:sz w:val="20"/>
          <w:szCs w:val="20"/>
          <w:color w:val="auto"/>
        </w:rPr>
      </w:pPr>
    </w:p>
    <w:p>
      <w:pPr>
        <w:jc w:val="both"/>
        <w:ind w:firstLine="503"/>
        <w:spacing w:after="0" w:line="271" w:lineRule="auto"/>
        <w:rPr>
          <w:sz w:val="20"/>
          <w:szCs w:val="20"/>
          <w:color w:val="auto"/>
        </w:rPr>
      </w:pPr>
      <w:r>
        <w:rPr>
          <w:rFonts w:ascii="Arial" w:cs="Arial" w:eastAsia="Arial" w:hAnsi="Arial"/>
          <w:sz w:val="17"/>
          <w:szCs w:val="17"/>
          <w:color w:val="auto"/>
        </w:rPr>
        <w:t>The ChevronTexaco Corporation Excess Benefit Plan (the “Excess Benefit Plan”) was originally established effective January 1, 1976. Effective as of April 1, 2002, the Excess Benefit Plan was last amended and restated to read as set forth herein. The purposes of the Excess Benefit Plan are: (i) to supplement benefits provided under the Retirement Plan, to the extent such benefits are reduced as a result of the limitation on regular earnings imposed under section 401(a)(17) of the Code or the limitations on annual pension benefits imposed under section 415 of the Code; (ii) to provide retirement benefits that take into account Unrestricted Awards made under the MIP, the Aramco ICP and the Caltex AIP, and salary deferrals under the Deferred Compensation Plan; and (iii) to supplement employer-provided benefits under the ESIP to the extent such benefits are reduced as a result of the limitation on regular earnings imposed under section 401(a)(17) of the Code, the dollar limitation on “annual additions” imposed under section 415(c)(1)(A) of the Code or salary deferrals under the Deferred Compensation Plan.</w:t>
      </w:r>
    </w:p>
    <w:p>
      <w:pPr>
        <w:spacing w:after="0" w:line="13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ELIGIBILITY AND PARTICIPATION</w:t>
      </w:r>
      <w:r>
        <w:rPr>
          <w:rFonts w:ascii="Arial" w:cs="Arial" w:eastAsia="Arial" w:hAnsi="Arial"/>
          <w:sz w:val="17"/>
          <w:szCs w:val="17"/>
          <w:color w:val="auto"/>
        </w:rPr>
        <w: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Participation in the Excess Benefit Plan shall be limited to:</w:t>
      </w:r>
    </w:p>
    <w:p>
      <w:pPr>
        <w:spacing w:after="0" w:line="198" w:lineRule="exact"/>
        <w:rPr>
          <w:sz w:val="20"/>
          <w:szCs w:val="20"/>
          <w:color w:val="auto"/>
        </w:rPr>
      </w:pPr>
    </w:p>
    <w:p>
      <w:pPr>
        <w:ind w:left="1360" w:hanging="397"/>
        <w:spacing w:after="0"/>
        <w:tabs>
          <w:tab w:leader="none" w:pos="1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Members of the Retirement Plan whose benefits thereunder are reduced because of the limitations imposed under section 401(a)(17)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415 of the Code;</w:t>
      </w:r>
    </w:p>
    <w:p>
      <w:pPr>
        <w:spacing w:after="0" w:line="170" w:lineRule="exact"/>
        <w:rPr>
          <w:rFonts w:ascii="Arial" w:cs="Arial" w:eastAsia="Arial" w:hAnsi="Arial"/>
          <w:sz w:val="16"/>
          <w:szCs w:val="16"/>
          <w:color w:val="auto"/>
        </w:rPr>
      </w:pPr>
    </w:p>
    <w:p>
      <w:pPr>
        <w:ind w:left="1340" w:hanging="432"/>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Members of the Retirement Plan who receive Unrestricted Awards under the MIP, the Aramco ICP or the Caltex AIP;</w:t>
      </w:r>
    </w:p>
    <w:p>
      <w:pPr>
        <w:spacing w:after="0" w:line="184" w:lineRule="exact"/>
        <w:rPr>
          <w:rFonts w:ascii="Arial" w:cs="Arial" w:eastAsia="Arial" w:hAnsi="Arial"/>
          <w:sz w:val="18"/>
          <w:szCs w:val="18"/>
          <w:color w:val="auto"/>
        </w:rPr>
      </w:pPr>
    </w:p>
    <w:p>
      <w:pPr>
        <w:ind w:left="1400" w:hanging="492"/>
        <w:spacing w:after="0"/>
        <w:tabs>
          <w:tab w:leader="none" w:pos="14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Members of the Retirement Plan or ESIP who defer salary under the Deferred Compensation Plan; and</w:t>
      </w:r>
    </w:p>
    <w:p>
      <w:pPr>
        <w:spacing w:after="0" w:line="198" w:lineRule="exact"/>
        <w:rPr>
          <w:rFonts w:ascii="Arial" w:cs="Arial" w:eastAsia="Arial" w:hAnsi="Arial"/>
          <w:sz w:val="18"/>
          <w:szCs w:val="18"/>
          <w:color w:val="auto"/>
        </w:rPr>
      </w:pPr>
    </w:p>
    <w:p>
      <w:pPr>
        <w:ind w:firstLine="1002"/>
        <w:spacing w:after="0" w:line="277" w:lineRule="auto"/>
        <w:tabs>
          <w:tab w:leader="none" w:pos="1493" w:val="left"/>
        </w:tabs>
        <w:numPr>
          <w:ilvl w:val="2"/>
          <w:numId w:val="85"/>
        </w:numPr>
        <w:rPr>
          <w:rFonts w:ascii="Arial" w:cs="Arial" w:eastAsia="Arial" w:hAnsi="Arial"/>
          <w:sz w:val="18"/>
          <w:szCs w:val="18"/>
          <w:color w:val="auto"/>
        </w:rPr>
      </w:pPr>
      <w:r>
        <w:rPr>
          <w:rFonts w:ascii="Arial" w:cs="Arial" w:eastAsia="Arial" w:hAnsi="Arial"/>
          <w:sz w:val="18"/>
          <w:szCs w:val="18"/>
          <w:color w:val="auto"/>
        </w:rPr>
        <w:t>All Members of the ESIP whose allocations of Company Contributions thereunder are reduced because of the limitations imposed under section 401(a)(17) or 415(c)(1)(A) of the Code.</w:t>
      </w:r>
    </w:p>
    <w:p>
      <w:pPr>
        <w:spacing w:after="0" w:line="13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PLAN BENEFITS</w:t>
      </w:r>
      <w:r>
        <w:rPr>
          <w:rFonts w:ascii="Arial" w:cs="Arial" w:eastAsia="Arial" w:hAnsi="Arial"/>
          <w:sz w:val="17"/>
          <w:szCs w:val="17"/>
          <w:color w:val="auto"/>
        </w:rPr>
        <w:t>.</w:t>
      </w:r>
    </w:p>
    <w:p>
      <w:pPr>
        <w:spacing w:after="0" w:line="185"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Plan Benefits under the Excess Benefit Plan shall consist of the Retirement Excess Benefit and the ESIP Excess Benefit. No Participant shall be entitled to Plan Benefits until the Participant ceases to be an Employee.</w:t>
      </w:r>
    </w:p>
    <w:p>
      <w:pPr>
        <w:spacing w:after="0" w:line="143" w:lineRule="exact"/>
        <w:rPr>
          <w:sz w:val="20"/>
          <w:szCs w:val="20"/>
          <w:color w:val="auto"/>
        </w:rPr>
      </w:pPr>
    </w:p>
    <w:p>
      <w:pPr>
        <w:ind w:left="880" w:hanging="422"/>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Retirement Excess Benefit</w:t>
      </w:r>
      <w:r>
        <w:rPr>
          <w:rFonts w:ascii="Arial" w:cs="Arial" w:eastAsia="Arial" w:hAnsi="Arial"/>
          <w:sz w:val="18"/>
          <w:szCs w:val="18"/>
          <w:color w:val="auto"/>
        </w:rPr>
        <w:t>. A Participant’s Retirement Excess Benefit shall be the sum of (i) and (ii) below:</w:t>
      </w:r>
    </w:p>
    <w:p>
      <w:pPr>
        <w:spacing w:after="0" w:line="184" w:lineRule="exact"/>
        <w:rPr>
          <w:rFonts w:ascii="Arial" w:cs="Arial" w:eastAsia="Arial" w:hAnsi="Arial"/>
          <w:sz w:val="18"/>
          <w:szCs w:val="18"/>
          <w:color w:val="auto"/>
        </w:rPr>
      </w:pPr>
    </w:p>
    <w:p>
      <w:pPr>
        <w:jc w:val="both"/>
        <w:ind w:firstLine="908"/>
        <w:spacing w:after="0" w:line="342" w:lineRule="auto"/>
        <w:tabs>
          <w:tab w:leader="none" w:pos="1292"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lump sum value of an Individual Life Pension, determined by subtracting the Individual Life Pension to which the Participant is entitled under the Retirement Plan from the Individual Life Pension to which the Participant would be entitled thereunder without regard to the Section 401(a)(17) 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p>
      <w:pPr>
        <w:ind w:left="10480"/>
        <w:spacing w:after="0"/>
        <w:rPr>
          <w:sz w:val="20"/>
          <w:szCs w:val="20"/>
          <w:color w:val="auto"/>
        </w:rPr>
      </w:pPr>
      <w:r>
        <w:rPr>
          <w:rFonts w:ascii="Arial" w:cs="Arial" w:eastAsia="Arial" w:hAnsi="Arial"/>
          <w:sz w:val="16"/>
          <w:szCs w:val="16"/>
          <w:b w:val="1"/>
          <w:bCs w:val="1"/>
          <w:color w:val="auto"/>
        </w:rPr>
        <w:t>Exhibit 10.3</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415 Reductions and the Participant’s salary deferrals under the Deferred Compensation Plan. In addition, a Participant’s Retirement Excess Benefit shall include any Interest payable under the Retirement Plan that may not be paid from that Plan because of the limitations imposed under section 415 of the Code. Any such Interest shall be paid or credited, as appropriate, at the time payments are made from the Retirement Plan.</w:t>
      </w:r>
    </w:p>
    <w:p>
      <w:pPr>
        <w:spacing w:after="0" w:line="125" w:lineRule="exact"/>
        <w:rPr>
          <w:sz w:val="20"/>
          <w:szCs w:val="20"/>
          <w:color w:val="auto"/>
        </w:rPr>
      </w:pPr>
    </w:p>
    <w:p>
      <w:pPr>
        <w:ind w:left="1340" w:hanging="432"/>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lump sum value of an Individual Life Pension, determined as follows:</w:t>
      </w:r>
    </w:p>
    <w:p>
      <w:pPr>
        <w:spacing w:after="0" w:line="184" w:lineRule="exact"/>
        <w:rPr>
          <w:rFonts w:ascii="Arial" w:cs="Arial" w:eastAsia="Arial" w:hAnsi="Arial"/>
          <w:sz w:val="18"/>
          <w:szCs w:val="18"/>
          <w:color w:val="auto"/>
        </w:rPr>
      </w:pPr>
    </w:p>
    <w:p>
      <w:pPr>
        <w:jc w:val="both"/>
        <w:ind w:firstLine="1437"/>
        <w:spacing w:after="0" w:line="264" w:lineRule="auto"/>
        <w:tabs>
          <w:tab w:leader="none" w:pos="1914" w:val="left"/>
        </w:tabs>
        <w:numPr>
          <w:ilvl w:val="5"/>
          <w:numId w:val="87"/>
        </w:numPr>
        <w:rPr>
          <w:rFonts w:ascii="Arial" w:cs="Arial" w:eastAsia="Arial" w:hAnsi="Arial"/>
          <w:sz w:val="18"/>
          <w:szCs w:val="18"/>
          <w:color w:val="auto"/>
        </w:rPr>
      </w:pPr>
      <w:r>
        <w:rPr>
          <w:rFonts w:ascii="Arial" w:cs="Arial" w:eastAsia="Arial" w:hAnsi="Arial"/>
          <w:sz w:val="18"/>
          <w:szCs w:val="18"/>
          <w:color w:val="auto"/>
        </w:rPr>
        <w:t>The Participant’s MIP Excess Benefit Earnings shall be determined by subtracting the Participant’s Highest Average Earnings from the amount that would constitute the Participant’s Highest Average Earnings if the Participant’s Unrestricted Awards under the MIP, the Aramco ICP and the Caltex AIP, as determined by the Committee in its sole discretion, were taken into account as Regular Earnings.</w:t>
      </w:r>
    </w:p>
    <w:p>
      <w:pPr>
        <w:spacing w:after="0" w:line="154" w:lineRule="exact"/>
        <w:rPr>
          <w:rFonts w:ascii="Arial" w:cs="Arial" w:eastAsia="Arial" w:hAnsi="Arial"/>
          <w:sz w:val="18"/>
          <w:szCs w:val="18"/>
          <w:color w:val="auto"/>
        </w:rPr>
      </w:pPr>
    </w:p>
    <w:p>
      <w:pPr>
        <w:jc w:val="both"/>
        <w:ind w:firstLine="1718"/>
        <w:spacing w:after="0" w:line="279" w:lineRule="auto"/>
        <w:tabs>
          <w:tab w:leader="none" w:pos="2235" w:val="left"/>
        </w:tabs>
        <w:numPr>
          <w:ilvl w:val="7"/>
          <w:numId w:val="87"/>
        </w:numPr>
        <w:rPr>
          <w:rFonts w:ascii="Arial" w:cs="Arial" w:eastAsia="Arial" w:hAnsi="Arial"/>
          <w:sz w:val="17"/>
          <w:szCs w:val="17"/>
          <w:color w:val="auto"/>
        </w:rPr>
      </w:pPr>
      <w:r>
        <w:rPr>
          <w:rFonts w:ascii="Arial" w:cs="Arial" w:eastAsia="Arial" w:hAnsi="Arial"/>
          <w:sz w:val="17"/>
          <w:szCs w:val="17"/>
          <w:color w:val="auto"/>
        </w:rPr>
        <w:t>“Unrestricted Awards” with respect to the MIP means any awards under the MIP that are not subject to forfeiture conditions established by the Committee (other than the forfeiture conditions expressly described in the text of the MIP). “Unrestricted Awards” with respect to the Aramco ICP means any awards under the Aramco ICP that are taken into account under the Aramco Plan prior to 1989. “Unrestricted Awards” with respect to the Caltex AIP means any awards under the Caltex AIP that are taken into account under the Caltex Plan.</w:t>
      </w:r>
    </w:p>
    <w:p>
      <w:pPr>
        <w:spacing w:after="0" w:line="130" w:lineRule="exact"/>
        <w:rPr>
          <w:rFonts w:ascii="Arial" w:cs="Arial" w:eastAsia="Arial" w:hAnsi="Arial"/>
          <w:sz w:val="17"/>
          <w:szCs w:val="17"/>
          <w:color w:val="auto"/>
        </w:rPr>
      </w:pPr>
    </w:p>
    <w:p>
      <w:pPr>
        <w:jc w:val="both"/>
        <w:ind w:firstLine="1409"/>
        <w:spacing w:after="0" w:line="272" w:lineRule="auto"/>
        <w:tabs>
          <w:tab w:leader="none" w:pos="1874" w:val="left"/>
        </w:tabs>
        <w:numPr>
          <w:ilvl w:val="4"/>
          <w:numId w:val="87"/>
        </w:numPr>
        <w:rPr>
          <w:rFonts w:ascii="Arial" w:cs="Arial" w:eastAsia="Arial" w:hAnsi="Arial"/>
          <w:sz w:val="17"/>
          <w:szCs w:val="17"/>
          <w:color w:val="auto"/>
        </w:rPr>
      </w:pPr>
      <w:r>
        <w:rPr>
          <w:rFonts w:ascii="Arial" w:cs="Arial" w:eastAsia="Arial" w:hAnsi="Arial"/>
          <w:sz w:val="17"/>
          <w:szCs w:val="17"/>
          <w:color w:val="auto"/>
        </w:rPr>
        <w:t>Each Unrestricted Award under the MIP shall be deemed paid in equal monthly installments for that portion of the MIP Award Year during which the Participant was an Employee and a participant in the MIP, without regard to when the Participant is informed of such Award or when such Award is actually paid. If an Unrestricted Award under the MIP is made after the close of the applicable MIP Award Year, if necessary, the Committee shall recalculate the Participant’s Plan Benefit solely for the purpose of taking such Award into consideration. For purposes of any such recalculation, the Committee shall not credit the Participant with any interest nor make any other change in the methods, factors or assumptions used in the original calculation. All Unrestricted Awards under the Aramco ICP and/or the Caltex AIP shall be deemed paid in equal monthly installments for that portion of the award year under the Aramco Plan and the Caltex Plan, respectively, during which the Participant was a participant in such Plan.</w:t>
      </w:r>
    </w:p>
    <w:p>
      <w:pPr>
        <w:spacing w:after="0" w:line="137" w:lineRule="exact"/>
        <w:rPr>
          <w:rFonts w:ascii="Arial" w:cs="Arial" w:eastAsia="Arial" w:hAnsi="Arial"/>
          <w:sz w:val="17"/>
          <w:szCs w:val="17"/>
          <w:color w:val="auto"/>
        </w:rPr>
      </w:pPr>
    </w:p>
    <w:p>
      <w:pPr>
        <w:jc w:val="both"/>
        <w:ind w:firstLine="1557"/>
        <w:spacing w:after="0" w:line="264" w:lineRule="auto"/>
        <w:tabs>
          <w:tab w:leader="none" w:pos="2054" w:val="left"/>
        </w:tabs>
        <w:numPr>
          <w:ilvl w:val="6"/>
          <w:numId w:val="87"/>
        </w:numPr>
        <w:rPr>
          <w:rFonts w:ascii="Arial" w:cs="Arial" w:eastAsia="Arial" w:hAnsi="Arial"/>
          <w:sz w:val="18"/>
          <w:szCs w:val="18"/>
          <w:color w:val="auto"/>
        </w:rPr>
      </w:pPr>
      <w:r>
        <w:rPr>
          <w:rFonts w:ascii="Arial" w:cs="Arial" w:eastAsia="Arial" w:hAnsi="Arial"/>
          <w:sz w:val="18"/>
          <w:szCs w:val="18"/>
          <w:color w:val="auto"/>
        </w:rPr>
        <w:t>The Participant’s MIP Credited Service shall be that portion of the Participant’s Period of Service which is taken into account in computing the Participant’s Plan Benefit under the Retirement Plan, excluding all service prior to the date on which the Participant reaches age 25 that occurs before July 1, 1986.</w:t>
      </w:r>
    </w:p>
    <w:p>
      <w:pPr>
        <w:spacing w:after="0" w:line="154" w:lineRule="exact"/>
        <w:rPr>
          <w:rFonts w:ascii="Arial" w:cs="Arial" w:eastAsia="Arial" w:hAnsi="Arial"/>
          <w:sz w:val="18"/>
          <w:szCs w:val="18"/>
          <w:color w:val="auto"/>
        </w:rPr>
      </w:pPr>
    </w:p>
    <w:p>
      <w:pPr>
        <w:jc w:val="both"/>
        <w:ind w:firstLine="1793"/>
        <w:spacing w:after="0" w:line="264" w:lineRule="auto"/>
        <w:tabs>
          <w:tab w:leader="none" w:pos="2302" w:val="left"/>
        </w:tabs>
        <w:numPr>
          <w:ilvl w:val="8"/>
          <w:numId w:val="87"/>
        </w:numPr>
        <w:rPr>
          <w:rFonts w:ascii="Arial" w:cs="Arial" w:eastAsia="Arial" w:hAnsi="Arial"/>
          <w:sz w:val="18"/>
          <w:szCs w:val="18"/>
          <w:color w:val="auto"/>
        </w:rPr>
      </w:pPr>
      <w:r>
        <w:rPr>
          <w:rFonts w:ascii="Arial" w:cs="Arial" w:eastAsia="Arial" w:hAnsi="Arial"/>
          <w:sz w:val="18"/>
          <w:szCs w:val="18"/>
          <w:color w:val="auto"/>
        </w:rPr>
        <w:t>An Individual Life Pension shall be determined under the applicable formula set forth in sections 3(c), 4(c) and 6(d) of the Retirement Plan, on the basis of the Participant’s MIP Excess Benefit Earnings and MIP Credited Service, without regard to any Social Security Offset provided in such formula.</w:t>
      </w:r>
    </w:p>
    <w:p>
      <w:pPr>
        <w:spacing w:after="0" w:line="140" w:lineRule="exact"/>
        <w:rPr>
          <w:rFonts w:ascii="Arial" w:cs="Arial" w:eastAsia="Arial" w:hAnsi="Arial"/>
          <w:sz w:val="18"/>
          <w:szCs w:val="18"/>
          <w:color w:val="auto"/>
        </w:rPr>
      </w:pPr>
    </w:p>
    <w:p>
      <w:pPr>
        <w:ind w:left="900" w:hanging="442"/>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Calculation of Retirement Excess Benefit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1090"/>
        <w:spacing w:after="0" w:line="277" w:lineRule="auto"/>
        <w:tabs>
          <w:tab w:leader="none" w:pos="1519"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lump sum value of a Participant’s Retirement Excess Benefit shall be the present value of the Individual Life Pension described in Section 3(a) above. Such present value shall be computed under whichever of the following rules is applicable:</w:t>
      </w:r>
    </w:p>
    <w:p>
      <w:pPr>
        <w:spacing w:after="0" w:line="143" w:lineRule="exact"/>
        <w:rPr>
          <w:rFonts w:ascii="Arial" w:cs="Arial" w:eastAsia="Arial" w:hAnsi="Arial"/>
          <w:sz w:val="18"/>
          <w:szCs w:val="18"/>
          <w:color w:val="auto"/>
        </w:rPr>
      </w:pPr>
    </w:p>
    <w:p>
      <w:pPr>
        <w:jc w:val="both"/>
        <w:ind w:firstLine="1358"/>
        <w:spacing w:after="0" w:line="259" w:lineRule="auto"/>
        <w:tabs>
          <w:tab w:leader="none" w:pos="1825" w:val="left"/>
        </w:tabs>
        <w:numPr>
          <w:ilvl w:val="3"/>
          <w:numId w:val="88"/>
        </w:numPr>
        <w:rPr>
          <w:rFonts w:ascii="Arial" w:cs="Arial" w:eastAsia="Arial" w:hAnsi="Arial"/>
          <w:sz w:val="18"/>
          <w:szCs w:val="18"/>
          <w:color w:val="auto"/>
        </w:rPr>
      </w:pPr>
      <w:r>
        <w:rPr>
          <w:rFonts w:ascii="Arial" w:cs="Arial" w:eastAsia="Arial" w:hAnsi="Arial"/>
          <w:sz w:val="18"/>
          <w:szCs w:val="18"/>
          <w:color w:val="auto"/>
        </w:rPr>
        <w:t>If the Participant elects to have his or her Plan Benefit under the Retirement Plan paid in the form of a monthly pension, such present value shall be computed under the rules and assumptions that would be used for calculating the payment of such Individual Life Pension under the Lump Sum Option of the Retirement Plan, based on the Participant’s age and the interest rates in effect on the first day of the first month for which the Retirement Plan pension is paid;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jc w:val="both"/>
        <w:ind w:firstLine="1522"/>
        <w:spacing w:after="0" w:line="264" w:lineRule="auto"/>
        <w:tabs>
          <w:tab w:leader="none" w:pos="2006" w:val="left"/>
        </w:tabs>
        <w:numPr>
          <w:ilvl w:val="6"/>
          <w:numId w:val="89"/>
        </w:numPr>
        <w:rPr>
          <w:rFonts w:ascii="Arial" w:cs="Arial" w:eastAsia="Arial" w:hAnsi="Arial"/>
          <w:sz w:val="18"/>
          <w:szCs w:val="18"/>
          <w:color w:val="auto"/>
        </w:rPr>
      </w:pPr>
      <w:r>
        <w:rPr>
          <w:rFonts w:ascii="Arial" w:cs="Arial" w:eastAsia="Arial" w:hAnsi="Arial"/>
          <w:sz w:val="18"/>
          <w:szCs w:val="18"/>
          <w:color w:val="auto"/>
        </w:rPr>
        <w:t>If the Participant elects to have his or her Plan Benefit under the Retirement Plan paid under the Lump Sum Option, such present value shall be computed under the same rules and assumptions and shall be determined as of the same date used for the calculation of the basic amount of the lump sum payment from the Retirement Plan.</w:t>
      </w:r>
    </w:p>
    <w:p>
      <w:pPr>
        <w:spacing w:after="0" w:line="140" w:lineRule="exact"/>
        <w:rPr>
          <w:rFonts w:ascii="Arial" w:cs="Arial" w:eastAsia="Arial" w:hAnsi="Arial"/>
          <w:sz w:val="18"/>
          <w:szCs w:val="18"/>
          <w:color w:val="auto"/>
        </w:rPr>
      </w:pPr>
    </w:p>
    <w:p>
      <w:pPr>
        <w:jc w:val="both"/>
        <w:ind w:firstLine="988"/>
        <w:spacing w:after="0" w:line="273" w:lineRule="auto"/>
        <w:tabs>
          <w:tab w:leader="none" w:pos="1446" w:val="left"/>
        </w:tabs>
        <w:numPr>
          <w:ilvl w:val="3"/>
          <w:numId w:val="90"/>
        </w:numPr>
        <w:rPr>
          <w:rFonts w:ascii="Arial" w:cs="Arial" w:eastAsia="Arial" w:hAnsi="Arial"/>
          <w:sz w:val="17"/>
          <w:szCs w:val="17"/>
          <w:color w:val="auto"/>
        </w:rPr>
      </w:pPr>
      <w:r>
        <w:rPr>
          <w:rFonts w:ascii="Arial" w:cs="Arial" w:eastAsia="Arial" w:hAnsi="Arial"/>
          <w:sz w:val="17"/>
          <w:szCs w:val="17"/>
          <w:color w:val="auto"/>
        </w:rPr>
        <w:t xml:space="preserve">Interest shall accrue on the unpaid portion, if any, of a Participant’s Retirement Excess Benefit, commencing on the last day of the month after the month as of which the lump sum value of such Excess Benefit is calculated. If a Participant receives an Unrestricted Award under the MIP after termination of employment, any additional Retirement Excess Benefit attributable to that Award shall accrue interest commencing as of the first day of the month after the month in which the Award is granted. Interest shall be credited and compounded at the end of each Quarter at a rate equal to the average market yield for the preceding Quarter on U.S. Government 10-year bonds, constant maturity, as published by Data Resources Inc. in </w:t>
      </w:r>
      <w:r>
        <w:rPr>
          <w:rFonts w:ascii="Arial" w:cs="Arial" w:eastAsia="Arial" w:hAnsi="Arial"/>
          <w:sz w:val="17"/>
          <w:szCs w:val="17"/>
          <w:u w:val="single" w:color="auto"/>
          <w:color w:val="auto"/>
        </w:rPr>
        <w:t>Data Resources Review</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the U</w:t>
      </w:r>
      <w:r>
        <w:rPr>
          <w:rFonts w:ascii="Arial" w:cs="Arial" w:eastAsia="Arial" w:hAnsi="Arial"/>
          <w:sz w:val="17"/>
          <w:szCs w:val="17"/>
          <w:color w:val="auto"/>
        </w:rPr>
        <w:t>.</w:t>
      </w:r>
      <w:r>
        <w:rPr>
          <w:rFonts w:ascii="Arial" w:cs="Arial" w:eastAsia="Arial" w:hAnsi="Arial"/>
          <w:sz w:val="17"/>
          <w:szCs w:val="17"/>
          <w:u w:val="single" w:color="auto"/>
          <w:color w:val="auto"/>
        </w:rPr>
        <w:t>S</w:t>
      </w:r>
      <w:r>
        <w:rPr>
          <w:rFonts w:ascii="Arial" w:cs="Arial" w:eastAsia="Arial" w:hAnsi="Arial"/>
          <w:sz w:val="17"/>
          <w:szCs w:val="17"/>
          <w:color w:val="auto"/>
        </w:rPr>
        <w:t xml:space="preserve">. </w:t>
      </w:r>
      <w:r>
        <w:rPr>
          <w:rFonts w:ascii="Arial" w:cs="Arial" w:eastAsia="Arial" w:hAnsi="Arial"/>
          <w:sz w:val="17"/>
          <w:szCs w:val="17"/>
          <w:u w:val="single" w:color="auto"/>
          <w:color w:val="auto"/>
        </w:rPr>
        <w:t>Economy</w:t>
      </w:r>
      <w:r>
        <w:rPr>
          <w:rFonts w:ascii="Arial" w:cs="Arial" w:eastAsia="Arial" w:hAnsi="Arial"/>
          <w:sz w:val="17"/>
          <w:szCs w:val="17"/>
          <w:color w:val="auto"/>
        </w:rPr>
        <w:t>, or in such other source as the Committee may from time to time prescribe.</w:t>
      </w:r>
    </w:p>
    <w:p>
      <w:pPr>
        <w:spacing w:after="0" w:line="137" w:lineRule="exact"/>
        <w:rPr>
          <w:rFonts w:ascii="Arial" w:cs="Arial" w:eastAsia="Arial" w:hAnsi="Arial"/>
          <w:sz w:val="17"/>
          <w:szCs w:val="17"/>
          <w:color w:val="auto"/>
        </w:rPr>
      </w:pPr>
    </w:p>
    <w:p>
      <w:pPr>
        <w:ind w:left="880" w:hanging="422"/>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ESIP Excess Benefit</w:t>
      </w:r>
      <w:r>
        <w:rPr>
          <w:rFonts w:ascii="Arial" w:cs="Arial" w:eastAsia="Arial" w:hAnsi="Arial"/>
          <w:sz w:val="17"/>
          <w:szCs w:val="17"/>
          <w:color w:val="auto"/>
        </w:rPr>
        <w:t>. A Participant’s ESIP Excess Benefit shall be the lump sum value of a Participant’s Stock Units, determined as follows:</w:t>
      </w:r>
    </w:p>
    <w:p>
      <w:pPr>
        <w:spacing w:after="0" w:line="209" w:lineRule="exact"/>
        <w:rPr>
          <w:rFonts w:ascii="Arial" w:cs="Arial" w:eastAsia="Arial" w:hAnsi="Arial"/>
          <w:sz w:val="17"/>
          <w:szCs w:val="17"/>
          <w:color w:val="auto"/>
        </w:rPr>
      </w:pPr>
    </w:p>
    <w:p>
      <w:pPr>
        <w:jc w:val="both"/>
        <w:ind w:firstLine="928"/>
        <w:spacing w:after="0" w:line="264" w:lineRule="auto"/>
        <w:tabs>
          <w:tab w:leader="none" w:pos="1132"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Committee shall establish an ESIP Excess Benefit Account for each Participant whose share of Company Contributions under the ESIP is reduced for any payroll period on account of the Section 401(a)(17) or Section 415(c)(1)(A) Reductions or on account of deferrals under the Deferred Compensation Plan. Stock Units shall be credited to such Account as set forth in (ii) and (iii) below.</w:t>
      </w:r>
    </w:p>
    <w:p>
      <w:pPr>
        <w:spacing w:after="0" w:line="140" w:lineRule="exact"/>
        <w:rPr>
          <w:rFonts w:ascii="Arial" w:cs="Arial" w:eastAsia="Arial" w:hAnsi="Arial"/>
          <w:sz w:val="18"/>
          <w:szCs w:val="18"/>
          <w:color w:val="auto"/>
        </w:rPr>
      </w:pPr>
    </w:p>
    <w:p>
      <w:pPr>
        <w:jc w:val="both"/>
        <w:ind w:firstLine="1029"/>
        <w:spacing w:after="0" w:line="257" w:lineRule="auto"/>
        <w:tabs>
          <w:tab w:leader="none" w:pos="1486" w:val="left"/>
        </w:tabs>
        <w:numPr>
          <w:ilvl w:val="4"/>
          <w:numId w:val="91"/>
        </w:numPr>
        <w:rPr>
          <w:rFonts w:ascii="Arial" w:cs="Arial" w:eastAsia="Arial" w:hAnsi="Arial"/>
          <w:sz w:val="18"/>
          <w:szCs w:val="18"/>
          <w:color w:val="auto"/>
        </w:rPr>
      </w:pPr>
      <w:r>
        <w:rPr>
          <w:rFonts w:ascii="Arial" w:cs="Arial" w:eastAsia="Arial" w:hAnsi="Arial"/>
          <w:sz w:val="18"/>
          <w:szCs w:val="18"/>
          <w:color w:val="auto"/>
        </w:rPr>
        <w:t>As of the close of each payroll period, each Participant’s ESIP Excess Benefit Account shall be credited with the number of Stock Units determined by subtracting the amount of Company Contributions allocated to such Participant’s Accounts under the ESIP for such payroll period from the amount of Company Contributions that would have been allocated to such Participant for such payroll period without regard to the Section 401(a)(17) and Section 415(c)(1)(A) Reductions and the Participant’s deferrals under the Deferred Compensation Plan, and by dividing the resulting amount by the per share price used in allocating the Company Contribution under the ESIP for such payroll period.</w:t>
      </w:r>
    </w:p>
    <w:p>
      <w:pPr>
        <w:spacing w:after="0" w:line="147" w:lineRule="exact"/>
        <w:rPr>
          <w:rFonts w:ascii="Arial" w:cs="Arial" w:eastAsia="Arial" w:hAnsi="Arial"/>
          <w:sz w:val="18"/>
          <w:szCs w:val="18"/>
          <w:color w:val="auto"/>
        </w:rPr>
      </w:pPr>
    </w:p>
    <w:p>
      <w:pPr>
        <w:jc w:val="both"/>
        <w:ind w:firstLine="1043"/>
        <w:spacing w:after="0" w:line="259" w:lineRule="auto"/>
        <w:tabs>
          <w:tab w:leader="none" w:pos="1554" w:val="left"/>
        </w:tabs>
        <w:numPr>
          <w:ilvl w:val="5"/>
          <w:numId w:val="91"/>
        </w:numPr>
        <w:rPr>
          <w:rFonts w:ascii="Arial" w:cs="Arial" w:eastAsia="Arial" w:hAnsi="Arial"/>
          <w:sz w:val="18"/>
          <w:szCs w:val="18"/>
          <w:color w:val="auto"/>
        </w:rPr>
      </w:pPr>
      <w:r>
        <w:rPr>
          <w:rFonts w:ascii="Arial" w:cs="Arial" w:eastAsia="Arial" w:hAnsi="Arial"/>
          <w:sz w:val="18"/>
          <w:szCs w:val="18"/>
          <w:color w:val="auto"/>
        </w:rPr>
        <w:t>As of the payment date of a cash dividend paid with respect to shares of ChevronTexaco Stock, each Participant’s ESIP Excess Benefit Account shall be credited with the number of Stock Units determined by multiplying the number of Stock Units in such Account on the appropriate dividend payment date by the per share amount of such dividend, and by dividing the resulting amount by the average share price obtained in connection with the reinvestment of the dividend in the non-leveraged ESOP stock fund within the ESIP.</w:t>
      </w:r>
    </w:p>
    <w:p>
      <w:pPr>
        <w:spacing w:after="0" w:line="159" w:lineRule="exact"/>
        <w:rPr>
          <w:rFonts w:ascii="Arial" w:cs="Arial" w:eastAsia="Arial" w:hAnsi="Arial"/>
          <w:sz w:val="18"/>
          <w:szCs w:val="18"/>
          <w:color w:val="auto"/>
        </w:rPr>
      </w:pPr>
    </w:p>
    <w:p>
      <w:pPr>
        <w:jc w:val="both"/>
        <w:ind w:firstLine="503"/>
        <w:spacing w:after="0" w:line="257" w:lineRule="auto"/>
        <w:tabs>
          <w:tab w:leader="none" w:pos="952"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Integration with Gulf SPP Benefits</w:t>
      </w:r>
      <w:r>
        <w:rPr>
          <w:rFonts w:ascii="Arial" w:cs="Arial" w:eastAsia="Arial" w:hAnsi="Arial"/>
          <w:sz w:val="18"/>
          <w:szCs w:val="18"/>
          <w:color w:val="auto"/>
        </w:rPr>
        <w:t>. The Retirement Excess Benefit of any Participant who is an Eligible Employee under the Gulf SPP shall be reduced as follows. Before conversion to a present lump sum value, the Individual Life Pension determined under Section 3(a) above with respect to the Participant’s MIP Credited Service completed before July 1, 1986, shall be reduced (but not below zero) by the Participant’s net Gulf SPP individual life pension (determined after the application of all offsets under the Gulf SPP for qualified pension plan benefits). Any Spouse-Pension or Gulf Retirement Bonus provided under the Gulf SPP shall be ignored.</w:t>
      </w:r>
    </w:p>
    <w:p>
      <w:pPr>
        <w:spacing w:after="0" w:line="1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DISTRIBUTION OF PLAN BENEFITS</w:t>
      </w:r>
      <w:r>
        <w:rPr>
          <w:rFonts w:ascii="Arial" w:cs="Arial" w:eastAsia="Arial" w:hAnsi="Arial"/>
          <w:sz w:val="17"/>
          <w:szCs w:val="17"/>
          <w:color w:val="auto"/>
        </w:rPr>
        <w:t>.</w:t>
      </w:r>
    </w:p>
    <w:p>
      <w:pPr>
        <w:spacing w:after="0" w:line="185" w:lineRule="exact"/>
        <w:rPr>
          <w:sz w:val="20"/>
          <w:szCs w:val="20"/>
          <w:color w:val="auto"/>
        </w:rPr>
      </w:pPr>
    </w:p>
    <w:p>
      <w:pPr>
        <w:jc w:val="both"/>
        <w:ind w:firstLine="543"/>
        <w:spacing w:after="0" w:line="264" w:lineRule="auto"/>
        <w:rPr>
          <w:sz w:val="20"/>
          <w:szCs w:val="20"/>
          <w:color w:val="auto"/>
        </w:rPr>
      </w:pPr>
      <w:r>
        <w:rPr>
          <w:rFonts w:ascii="Arial" w:cs="Arial" w:eastAsia="Arial" w:hAnsi="Arial"/>
          <w:sz w:val="18"/>
          <w:szCs w:val="18"/>
          <w:color w:val="auto"/>
        </w:rPr>
        <w:t>Distribution of Plan Benefits hereunder shall be made in cash after the Participant ceases to be an Employee at such time or times as the Committee shall determine in its sole discretion. A Participant who is employed by Chevron Phillips Chemical JV shall be deemed to have ceased to be an Employee for this purpose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jc w:val="both"/>
        <w:ind w:firstLine="8"/>
        <w:spacing w:after="0" w:line="259" w:lineRule="auto"/>
        <w:tabs>
          <w:tab w:leader="none" w:pos="2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the Retirement Excess Benefit, upon the earlier of the date when he or she is eligible for early retirement under the Retirement Plan or the date his or her employment with Chevron Phillips Chemical JV terminates; and (ii) in the case of the ESIP Excess Benefit, on the date his or her employment by the Corporation and its subsidiaries and affiliates (other than Chevron Phillips Chemical JV) terminates. The Committee has established the following guidelines for determining the time of distribution of Plan Benefits:</w:t>
      </w:r>
    </w:p>
    <w:p>
      <w:pPr>
        <w:spacing w:after="0" w:line="146" w:lineRule="exact"/>
        <w:rPr>
          <w:rFonts w:ascii="Arial" w:cs="Arial" w:eastAsia="Arial" w:hAnsi="Arial"/>
          <w:sz w:val="18"/>
          <w:szCs w:val="18"/>
          <w:color w:val="auto"/>
        </w:rPr>
      </w:pPr>
    </w:p>
    <w:p>
      <w:pPr>
        <w:ind w:left="880" w:hanging="422"/>
        <w:spacing w:after="0"/>
        <w:tabs>
          <w:tab w:leader="none" w:pos="88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Retirement Excess Benefit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1002"/>
        <w:spacing w:after="0" w:line="277" w:lineRule="auto"/>
        <w:tabs>
          <w:tab w:leader="none" w:pos="1412" w:val="left"/>
        </w:tabs>
        <w:numPr>
          <w:ilvl w:val="2"/>
          <w:numId w:val="92"/>
        </w:numPr>
        <w:rPr>
          <w:rFonts w:ascii="Arial" w:cs="Arial" w:eastAsia="Arial" w:hAnsi="Arial"/>
          <w:sz w:val="18"/>
          <w:szCs w:val="18"/>
          <w:color w:val="auto"/>
        </w:rPr>
      </w:pPr>
      <w:r>
        <w:rPr>
          <w:rFonts w:ascii="Arial" w:cs="Arial" w:eastAsia="Arial" w:hAnsi="Arial"/>
          <w:sz w:val="18"/>
          <w:szCs w:val="18"/>
          <w:color w:val="auto"/>
        </w:rPr>
        <w:t>In no event shall distribution of the Participant’s Retirement Excess Benefit be made prior to the date payment of the Participant’s benefit under the Retirement Plan is made or commences.</w:t>
      </w:r>
    </w:p>
    <w:p>
      <w:pPr>
        <w:spacing w:after="0" w:line="143" w:lineRule="exact"/>
        <w:rPr>
          <w:rFonts w:ascii="Arial" w:cs="Arial" w:eastAsia="Arial" w:hAnsi="Arial"/>
          <w:sz w:val="18"/>
          <w:szCs w:val="18"/>
          <w:color w:val="auto"/>
        </w:rPr>
      </w:pPr>
    </w:p>
    <w:p>
      <w:pPr>
        <w:jc w:val="both"/>
        <w:ind w:firstLine="1112"/>
        <w:spacing w:after="0" w:line="286" w:lineRule="auto"/>
        <w:tabs>
          <w:tab w:leader="none" w:pos="1600" w:val="left"/>
        </w:tabs>
        <w:numPr>
          <w:ilvl w:val="3"/>
          <w:numId w:val="92"/>
        </w:numPr>
        <w:rPr>
          <w:rFonts w:ascii="Arial" w:cs="Arial" w:eastAsia="Arial" w:hAnsi="Arial"/>
          <w:sz w:val="17"/>
          <w:szCs w:val="17"/>
          <w:color w:val="auto"/>
        </w:rPr>
      </w:pPr>
      <w:r>
        <w:rPr>
          <w:rFonts w:ascii="Arial" w:cs="Arial" w:eastAsia="Arial" w:hAnsi="Arial"/>
          <w:sz w:val="17"/>
          <w:szCs w:val="17"/>
          <w:color w:val="auto"/>
        </w:rPr>
        <w:t>Unless the Committee approves a Participant’s distribution request pursuant to Section 4(a)(iii) below, distribution of the Participant’s Retirement Excess Benefit shall commence in the first January, April, July or October that is at least 12 months after the Participant ceases to be an Employee and shall be made in ten approximately equal annual installments. All installments after the first shall be paid in January.</w:t>
      </w:r>
    </w:p>
    <w:p>
      <w:pPr>
        <w:spacing w:after="0" w:line="125" w:lineRule="exact"/>
        <w:rPr>
          <w:sz w:val="20"/>
          <w:szCs w:val="20"/>
          <w:color w:val="auto"/>
        </w:rPr>
      </w:pPr>
    </w:p>
    <w:p>
      <w:pPr>
        <w:jc w:val="both"/>
        <w:ind w:firstLine="930"/>
        <w:spacing w:after="0" w:line="273" w:lineRule="auto"/>
        <w:tabs>
          <w:tab w:leader="none" w:pos="1419" w:val="left"/>
        </w:tabs>
        <w:numPr>
          <w:ilvl w:val="0"/>
          <w:numId w:val="93"/>
        </w:numPr>
        <w:rPr>
          <w:rFonts w:ascii="Arial" w:cs="Arial" w:eastAsia="Arial" w:hAnsi="Arial"/>
          <w:sz w:val="17"/>
          <w:szCs w:val="17"/>
          <w:color w:val="auto"/>
        </w:rPr>
      </w:pPr>
      <w:r>
        <w:rPr>
          <w:rFonts w:ascii="Arial" w:cs="Arial" w:eastAsia="Arial" w:hAnsi="Arial"/>
          <w:sz w:val="17"/>
          <w:szCs w:val="17"/>
          <w:color w:val="auto"/>
        </w:rPr>
        <w:t>Within 30 days after the date a Participant ceases to be an Employee, the Participant may make a request for distribution at the time and in the manner described in (A) or (B) below by filing the prescribed form with the Committee. Distribution of the Participant’s Retirement Excess Benefit shall be made in accordance with such request unless the Committee has disapproved the Participant’s request or has determined that the distribution shall be made at some other time; provided, however, that (1) no distribution may be made pursuant to such request within the 12-month period commencing on the date the request is filed with the Committee and (2) any distribution scheduled to be made within such 12-month period pursuant to Section 4(a)(ii) above shall be made without regard to the request made pursuant to this Section 4(a)(iii):</w:t>
      </w:r>
    </w:p>
    <w:p>
      <w:pPr>
        <w:spacing w:after="0" w:line="137" w:lineRule="exact"/>
        <w:rPr>
          <w:rFonts w:ascii="Arial" w:cs="Arial" w:eastAsia="Arial" w:hAnsi="Arial"/>
          <w:sz w:val="17"/>
          <w:szCs w:val="17"/>
          <w:color w:val="auto"/>
        </w:rPr>
      </w:pPr>
    </w:p>
    <w:p>
      <w:pPr>
        <w:ind w:firstLine="1619"/>
        <w:spacing w:after="0" w:line="277" w:lineRule="auto"/>
        <w:tabs>
          <w:tab w:leader="none" w:pos="2129" w:val="left"/>
        </w:tabs>
        <w:numPr>
          <w:ilvl w:val="3"/>
          <w:numId w:val="93"/>
        </w:numPr>
        <w:rPr>
          <w:rFonts w:ascii="Arial" w:cs="Arial" w:eastAsia="Arial" w:hAnsi="Arial"/>
          <w:sz w:val="18"/>
          <w:szCs w:val="18"/>
          <w:color w:val="auto"/>
        </w:rPr>
      </w:pPr>
      <w:r>
        <w:rPr>
          <w:rFonts w:ascii="Arial" w:cs="Arial" w:eastAsia="Arial" w:hAnsi="Arial"/>
          <w:sz w:val="18"/>
          <w:szCs w:val="18"/>
          <w:color w:val="auto"/>
        </w:rPr>
        <w:t>In a lump sum in any January, April, July or October after the Participant ceases to be an Employee, but not later than the first January after the later of the date the Participant attains age 70 1/2 or the date the Participant ceases to be an Employee;</w:t>
      </w:r>
    </w:p>
    <w:p>
      <w:pPr>
        <w:spacing w:after="0" w:line="143" w:lineRule="exact"/>
        <w:rPr>
          <w:rFonts w:ascii="Arial" w:cs="Arial" w:eastAsia="Arial" w:hAnsi="Arial"/>
          <w:sz w:val="18"/>
          <w:szCs w:val="18"/>
          <w:color w:val="auto"/>
        </w:rPr>
      </w:pPr>
    </w:p>
    <w:p>
      <w:pPr>
        <w:jc w:val="both"/>
        <w:ind w:firstLine="1396"/>
        <w:spacing w:after="0" w:line="264" w:lineRule="auto"/>
        <w:tabs>
          <w:tab w:leader="none" w:pos="18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In fifteen or fewer approximately equal annual installments, commencing in any January, April, July or October after the Participant ceases to be an Employee, but not later than the first January after the later of the date the Participant attains age 70 1/2 or the date the Participant ceases to be an Employee. All installments after the first shall be paid in January.</w:t>
      </w:r>
    </w:p>
    <w:p>
      <w:pPr>
        <w:spacing w:after="0" w:line="140" w:lineRule="exact"/>
        <w:rPr>
          <w:rFonts w:ascii="Arial" w:cs="Arial" w:eastAsia="Arial" w:hAnsi="Arial"/>
          <w:sz w:val="18"/>
          <w:szCs w:val="18"/>
          <w:color w:val="auto"/>
        </w:rPr>
      </w:pPr>
    </w:p>
    <w:p>
      <w:pPr>
        <w:ind w:right="20" w:firstLine="933"/>
        <w:spacing w:after="0" w:line="277" w:lineRule="auto"/>
        <w:tabs>
          <w:tab w:leader="none" w:pos="1416"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Distribution of a Participant’s Retirement Excess Benefit shall be made in accordance with the Participant’s request, unless the Committee has disapproved the request or has determined that the distribution shall be made at some other time.</w:t>
      </w:r>
    </w:p>
    <w:p>
      <w:pPr>
        <w:spacing w:after="0" w:line="129" w:lineRule="exact"/>
        <w:rPr>
          <w:rFonts w:ascii="Arial" w:cs="Arial" w:eastAsia="Arial" w:hAnsi="Arial"/>
          <w:sz w:val="18"/>
          <w:szCs w:val="18"/>
          <w:color w:val="auto"/>
        </w:rPr>
      </w:pPr>
    </w:p>
    <w:p>
      <w:pPr>
        <w:jc w:val="both"/>
        <w:ind w:firstLine="939"/>
        <w:spacing w:after="0" w:line="264" w:lineRule="auto"/>
        <w:tabs>
          <w:tab w:leader="none" w:pos="137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amount of any installment payment shall be determined by dividing the unpaid balance of the Participant’s Retirement Excess Benefit, including credited interest, as of the close of the Quarter preceding the distribution date, by the number of annual payments remaining to be made. The last installment payment shall include interest for the Quarter in which such payment is made.</w:t>
      </w:r>
    </w:p>
    <w:p>
      <w:pPr>
        <w:spacing w:after="0" w:line="154" w:lineRule="exact"/>
        <w:rPr>
          <w:rFonts w:ascii="Arial" w:cs="Arial" w:eastAsia="Arial" w:hAnsi="Arial"/>
          <w:sz w:val="18"/>
          <w:szCs w:val="18"/>
          <w:color w:val="auto"/>
        </w:rPr>
      </w:pPr>
    </w:p>
    <w:p>
      <w:pPr>
        <w:jc w:val="both"/>
        <w:ind w:firstLine="943"/>
        <w:spacing w:after="0" w:line="264" w:lineRule="auto"/>
        <w:tabs>
          <w:tab w:leader="none" w:pos="1425"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time of distribution pursuant to Section 4(a)(ii) or (iii) above may only be changed by the Committee. A Participant may request such a change by describing to the Committee in writing the Participant’s reason for such request. The Committee shall approve such change only upon a showing of hardship or significantly changed circumstances based on substantial evidence.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ind w:firstLine="1022"/>
        <w:spacing w:after="0" w:line="277" w:lineRule="auto"/>
        <w:tabs>
          <w:tab w:leader="none" w:pos="1577" w:val="left"/>
        </w:tabs>
        <w:numPr>
          <w:ilvl w:val="3"/>
          <w:numId w:val="94"/>
        </w:numPr>
        <w:rPr>
          <w:rFonts w:ascii="Arial" w:cs="Arial" w:eastAsia="Arial" w:hAnsi="Arial"/>
          <w:sz w:val="18"/>
          <w:szCs w:val="18"/>
          <w:color w:val="auto"/>
        </w:rPr>
      </w:pPr>
      <w:r>
        <w:rPr>
          <w:rFonts w:ascii="Arial" w:cs="Arial" w:eastAsia="Arial" w:hAnsi="Arial"/>
          <w:sz w:val="18"/>
          <w:szCs w:val="18"/>
          <w:color w:val="auto"/>
        </w:rPr>
        <w:t>In the event that a Participant receives an Unrestricted Award under the MIP after the date distribution of such Participant’s Retirement Excess Benefit is made or commenced pursuant to Section 4(a)(ii) or (iii) above, the following rules shall apply:</w:t>
      </w:r>
    </w:p>
    <w:p>
      <w:pPr>
        <w:spacing w:after="0" w:line="129" w:lineRule="exact"/>
        <w:rPr>
          <w:rFonts w:ascii="Arial" w:cs="Arial" w:eastAsia="Arial" w:hAnsi="Arial"/>
          <w:sz w:val="18"/>
          <w:szCs w:val="18"/>
          <w:color w:val="auto"/>
        </w:rPr>
      </w:pPr>
    </w:p>
    <w:p>
      <w:pPr>
        <w:ind w:firstLine="1739"/>
        <w:spacing w:after="0" w:line="277" w:lineRule="auto"/>
        <w:tabs>
          <w:tab w:leader="none" w:pos="2270" w:val="left"/>
        </w:tabs>
        <w:numPr>
          <w:ilvl w:val="5"/>
          <w:numId w:val="94"/>
        </w:numPr>
        <w:rPr>
          <w:rFonts w:ascii="Arial" w:cs="Arial" w:eastAsia="Arial" w:hAnsi="Arial"/>
          <w:sz w:val="18"/>
          <w:szCs w:val="18"/>
          <w:color w:val="auto"/>
        </w:rPr>
      </w:pPr>
      <w:r>
        <w:rPr>
          <w:rFonts w:ascii="Arial" w:cs="Arial" w:eastAsia="Arial" w:hAnsi="Arial"/>
          <w:sz w:val="18"/>
          <w:szCs w:val="18"/>
          <w:color w:val="auto"/>
        </w:rPr>
        <w:t>If the Participant received a single payment pursuant to Section 4(a)(iii)(A) above, the additional Retirement Excess Benefit attributable to such Unrestricted Award under the MIP shall be paid in a lump sum as soon as practicable; and</w:t>
      </w:r>
    </w:p>
    <w:p>
      <w:pPr>
        <w:spacing w:after="0" w:line="129" w:lineRule="exact"/>
        <w:rPr>
          <w:rFonts w:ascii="Arial" w:cs="Arial" w:eastAsia="Arial" w:hAnsi="Arial"/>
          <w:sz w:val="18"/>
          <w:szCs w:val="18"/>
          <w:color w:val="auto"/>
        </w:rPr>
      </w:pPr>
    </w:p>
    <w:p>
      <w:pPr>
        <w:ind w:firstLine="1405"/>
        <w:spacing w:after="0" w:line="342" w:lineRule="auto"/>
        <w:tabs>
          <w:tab w:leader="none" w:pos="1870" w:val="left"/>
        </w:tabs>
        <w:numPr>
          <w:ilvl w:val="4"/>
          <w:numId w:val="94"/>
        </w:numPr>
        <w:rPr>
          <w:rFonts w:ascii="Arial" w:cs="Arial" w:eastAsia="Arial" w:hAnsi="Arial"/>
          <w:sz w:val="16"/>
          <w:szCs w:val="16"/>
          <w:color w:val="auto"/>
        </w:rPr>
      </w:pPr>
      <w:r>
        <w:rPr>
          <w:rFonts w:ascii="Arial" w:cs="Arial" w:eastAsia="Arial" w:hAnsi="Arial"/>
          <w:sz w:val="16"/>
          <w:szCs w:val="16"/>
          <w:color w:val="auto"/>
        </w:rPr>
        <w:t>If the Participant commenced to receive installment payments pursuant to Section 4(a)(ii) or (iii)(B) above, such Participant’s future installment payments shall be recalculated to reflect the additional Retirement Excess Benefit attributable to such Unrestricted Award under the MIP.</w:t>
      </w:r>
    </w:p>
    <w:p>
      <w:pPr>
        <w:spacing w:after="0" w:line="96" w:lineRule="exact"/>
        <w:rPr>
          <w:rFonts w:ascii="Arial" w:cs="Arial" w:eastAsia="Arial" w:hAnsi="Arial"/>
          <w:sz w:val="16"/>
          <w:szCs w:val="16"/>
          <w:color w:val="auto"/>
        </w:rPr>
      </w:pPr>
    </w:p>
    <w:p>
      <w:pPr>
        <w:jc w:val="both"/>
        <w:ind w:firstLine="908"/>
        <w:spacing w:after="0" w:line="286" w:lineRule="auto"/>
        <w:tabs>
          <w:tab w:leader="none" w:pos="1485" w:val="left"/>
        </w:tabs>
        <w:numPr>
          <w:ilvl w:val="2"/>
          <w:numId w:val="95"/>
        </w:numPr>
        <w:rPr>
          <w:rFonts w:ascii="Arial" w:cs="Arial" w:eastAsia="Arial" w:hAnsi="Arial"/>
          <w:sz w:val="16"/>
          <w:szCs w:val="16"/>
          <w:color w:val="auto"/>
        </w:rPr>
      </w:pPr>
      <w:r>
        <w:rPr>
          <w:rFonts w:ascii="Arial" w:cs="Arial" w:eastAsia="Arial" w:hAnsi="Arial"/>
          <w:sz w:val="16"/>
          <w:szCs w:val="16"/>
          <w:color w:val="auto"/>
        </w:rPr>
        <w:t>In the event that the balance in a Participant’s Account is less than $50,000 on the date the Participant ceases to be an Employee, then any provision of this Section 4(a) to the contrary notwithstanding, payment shall be made in a lump sum as soon as reasonably practicable following the last business day of the Quarter following the Quarter in which the Participant ceased to be an Employee. Such payment shall be based on the value of the Participant’s Account as of the last business day of the Quarter following the Quarter in which the Participant ceased to be an Employee. This Section 4(a)</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shall not apply to a Participant who ceased to be an Employee before April 1, 2002.</w:t>
      </w:r>
    </w:p>
    <w:p>
      <w:pPr>
        <w:spacing w:after="0" w:line="170" w:lineRule="exact"/>
        <w:rPr>
          <w:rFonts w:ascii="Arial" w:cs="Arial" w:eastAsia="Arial" w:hAnsi="Arial"/>
          <w:sz w:val="18"/>
          <w:szCs w:val="18"/>
          <w:color w:val="auto"/>
        </w:rPr>
      </w:pPr>
    </w:p>
    <w:p>
      <w:pPr>
        <w:ind w:left="900" w:hanging="442"/>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ESIP Excess Benefit</w:t>
      </w:r>
      <w:r>
        <w:rPr>
          <w:rFonts w:ascii="Arial" w:cs="Arial" w:eastAsia="Arial" w:hAnsi="Arial"/>
          <w:sz w:val="18"/>
          <w:szCs w:val="18"/>
          <w:color w:val="auto"/>
        </w:rPr>
        <w:t>.</w:t>
      </w:r>
    </w:p>
    <w:p>
      <w:pPr>
        <w:spacing w:after="0" w:line="185" w:lineRule="exact"/>
        <w:rPr>
          <w:sz w:val="20"/>
          <w:szCs w:val="20"/>
          <w:color w:val="auto"/>
        </w:rPr>
      </w:pPr>
    </w:p>
    <w:p>
      <w:pPr>
        <w:jc w:val="both"/>
        <w:ind w:firstLine="957"/>
        <w:spacing w:after="0" w:line="312" w:lineRule="auto"/>
        <w:tabs>
          <w:tab w:leader="none" w:pos="13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Unless the Committee approves a Participant’s distribution request pursuant to Section 4(b)(ii) below, distribution of the value of the Stock Units credited to the Participant’s ESIP Excess Benefit Account shall commence in the first January, April, July or October that is at least 12 months after the Participant ceases to be an Employee and shall be made in ten approximately equal annual installments. All installments after the first shall be paid in January.</w:t>
      </w:r>
    </w:p>
    <w:p>
      <w:pPr>
        <w:spacing w:after="0" w:line="119" w:lineRule="exact"/>
        <w:rPr>
          <w:rFonts w:ascii="Arial" w:cs="Arial" w:eastAsia="Arial" w:hAnsi="Arial"/>
          <w:sz w:val="16"/>
          <w:szCs w:val="16"/>
          <w:color w:val="auto"/>
        </w:rPr>
      </w:pPr>
    </w:p>
    <w:p>
      <w:pPr>
        <w:jc w:val="both"/>
        <w:ind w:firstLine="951"/>
        <w:spacing w:after="0" w:line="255" w:lineRule="auto"/>
        <w:tabs>
          <w:tab w:leader="none" w:pos="13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Within 30 days after the date a Participant ceases to be an Employee, the Participant may make a request for distribution at the time and in the manner described in (A) or (B) below by filing the prescribed form with the Committee. Distribution of the value of the Stock Units credited to the Participant’s ESIP Excess Benefit Account shall be made in accordance with the first such request made after December 31, 1996, unless the Committee has disapproved the Participant’s request or has determined that the distribution shall be made at some other time; provided, however, that (1) no distribution may be made pursuant to such request within the 12-month period commencing on the date the request is filed with the Committee and (2) any distribution scheduled to be made within such 12-month period pursuant to Section 4(b)(i) above shall be made without regard to the request made pursuant to this Section 4(b)(ii):</w:t>
      </w:r>
    </w:p>
    <w:p>
      <w:pPr>
        <w:spacing w:after="0" w:line="148" w:lineRule="exact"/>
        <w:rPr>
          <w:rFonts w:ascii="Arial" w:cs="Arial" w:eastAsia="Arial" w:hAnsi="Arial"/>
          <w:sz w:val="18"/>
          <w:szCs w:val="18"/>
          <w:color w:val="auto"/>
        </w:rPr>
      </w:pPr>
    </w:p>
    <w:p>
      <w:pPr>
        <w:ind w:firstLine="1619"/>
        <w:spacing w:after="0" w:line="277" w:lineRule="auto"/>
        <w:tabs>
          <w:tab w:leader="none" w:pos="2129" w:val="left"/>
        </w:tabs>
        <w:numPr>
          <w:ilvl w:val="2"/>
          <w:numId w:val="97"/>
        </w:numPr>
        <w:rPr>
          <w:rFonts w:ascii="Arial" w:cs="Arial" w:eastAsia="Arial" w:hAnsi="Arial"/>
          <w:sz w:val="18"/>
          <w:szCs w:val="18"/>
          <w:color w:val="auto"/>
        </w:rPr>
      </w:pPr>
      <w:r>
        <w:rPr>
          <w:rFonts w:ascii="Arial" w:cs="Arial" w:eastAsia="Arial" w:hAnsi="Arial"/>
          <w:sz w:val="18"/>
          <w:szCs w:val="18"/>
          <w:color w:val="auto"/>
        </w:rPr>
        <w:t>In a lump sum in any January, April, July or October after the Participant ceases to be an Employee, but not later than the first January after the later of the date the Participant attains age 70 1/2 or the date the Participant ceases to be an Employee;</w:t>
      </w:r>
    </w:p>
    <w:p>
      <w:pPr>
        <w:spacing w:after="0" w:line="129" w:lineRule="exact"/>
        <w:rPr>
          <w:rFonts w:ascii="Arial" w:cs="Arial" w:eastAsia="Arial" w:hAnsi="Arial"/>
          <w:sz w:val="18"/>
          <w:szCs w:val="18"/>
          <w:color w:val="auto"/>
        </w:rPr>
      </w:pPr>
    </w:p>
    <w:p>
      <w:pPr>
        <w:jc w:val="both"/>
        <w:ind w:firstLine="1396"/>
        <w:spacing w:after="0" w:line="264" w:lineRule="auto"/>
        <w:tabs>
          <w:tab w:leader="none" w:pos="18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fifteen or fewer approximately equal annual installments, commencing in any January, April, July or October after the Participant ceases to be an Employee, but not later than the first January after the later of the date the Participant attains age 70 1/2 or the date the Participant ceases to be an Employee. All installments after the first shall be paid in January.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ind w:right="20" w:firstLine="994"/>
        <w:spacing w:after="0" w:line="277" w:lineRule="auto"/>
        <w:tabs>
          <w:tab w:leader="none" w:pos="1502" w:val="left"/>
        </w:tabs>
        <w:numPr>
          <w:ilvl w:val="3"/>
          <w:numId w:val="98"/>
        </w:numPr>
        <w:rPr>
          <w:rFonts w:ascii="Arial" w:cs="Arial" w:eastAsia="Arial" w:hAnsi="Arial"/>
          <w:sz w:val="18"/>
          <w:szCs w:val="18"/>
          <w:color w:val="auto"/>
        </w:rPr>
      </w:pPr>
      <w:r>
        <w:rPr>
          <w:rFonts w:ascii="Arial" w:cs="Arial" w:eastAsia="Arial" w:hAnsi="Arial"/>
          <w:sz w:val="18"/>
          <w:szCs w:val="18"/>
          <w:color w:val="auto"/>
        </w:rPr>
        <w:t>Distribution of a Participant’s ESIP Excess Benefit shall be made in accordance with the Participant’s request, unless the Committee has disapproved the request or has determined that the distribution shall be made at some other time.</w:t>
      </w:r>
    </w:p>
    <w:p>
      <w:pPr>
        <w:spacing w:after="0" w:line="129" w:lineRule="exact"/>
        <w:rPr>
          <w:rFonts w:ascii="Arial" w:cs="Arial" w:eastAsia="Arial" w:hAnsi="Arial"/>
          <w:sz w:val="18"/>
          <w:szCs w:val="18"/>
          <w:color w:val="auto"/>
        </w:rPr>
      </w:pPr>
    </w:p>
    <w:p>
      <w:pPr>
        <w:jc w:val="both"/>
        <w:ind w:firstLine="930"/>
        <w:spacing w:after="0" w:line="302" w:lineRule="auto"/>
        <w:tabs>
          <w:tab w:leader="none" w:pos="1409"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amount of a cash payment pursuant to Section 4(b)(i) or (ii) shall be determined by dividing the number of Stock Units credited to the Participant’s ESIP Excess Benefit Account as of the close of the Quarter preceding the distribution date by the number of annual payments remaining to be made, and by converting the resulting number of Stock Units to a cash amount by multiplying such number of Stock Units by the average daily trade price for the leveraged ESOP stock fund within the ESIP as of the last business day of the Quarter preceding the date payment is made under the Excess Benefit Plan.</w:t>
      </w:r>
    </w:p>
    <w:p>
      <w:pPr>
        <w:spacing w:after="0" w:line="113" w:lineRule="exact"/>
        <w:rPr>
          <w:rFonts w:ascii="Arial" w:cs="Arial" w:eastAsia="Arial" w:hAnsi="Arial"/>
          <w:sz w:val="16"/>
          <w:szCs w:val="16"/>
          <w:color w:val="auto"/>
        </w:rPr>
      </w:pPr>
    </w:p>
    <w:p>
      <w:pPr>
        <w:jc w:val="both"/>
        <w:ind w:right="20" w:firstLine="937"/>
        <w:spacing w:after="0" w:line="264" w:lineRule="auto"/>
        <w:tabs>
          <w:tab w:leader="none" w:pos="1368"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time of distribution pursuant to Section 4(b)(i) or (ii) above may only be changed by the Committee. The Participant may request such a change by writing to the Committee setting forth the Participant’s reason for such request. The Committee shall approve such distribution only upon a showing of hardship or significantly changed circumstances based on substantial evidence.</w:t>
      </w:r>
    </w:p>
    <w:p>
      <w:pPr>
        <w:spacing w:after="0" w:line="154" w:lineRule="exact"/>
        <w:rPr>
          <w:rFonts w:ascii="Arial" w:cs="Arial" w:eastAsia="Arial" w:hAnsi="Arial"/>
          <w:sz w:val="18"/>
          <w:szCs w:val="18"/>
          <w:color w:val="auto"/>
        </w:rPr>
      </w:pPr>
    </w:p>
    <w:p>
      <w:pPr>
        <w:jc w:val="both"/>
        <w:ind w:firstLine="946"/>
        <w:spacing w:after="0" w:line="276" w:lineRule="auto"/>
        <w:tabs>
          <w:tab w:leader="none" w:pos="1432" w:val="left"/>
        </w:tabs>
        <w:numPr>
          <w:ilvl w:val="2"/>
          <w:numId w:val="99"/>
        </w:numPr>
        <w:rPr>
          <w:rFonts w:ascii="Arial" w:cs="Arial" w:eastAsia="Arial" w:hAnsi="Arial"/>
          <w:sz w:val="17"/>
          <w:szCs w:val="17"/>
          <w:color w:val="auto"/>
        </w:rPr>
      </w:pPr>
      <w:r>
        <w:rPr>
          <w:rFonts w:ascii="Arial" w:cs="Arial" w:eastAsia="Arial" w:hAnsi="Arial"/>
          <w:sz w:val="17"/>
          <w:szCs w:val="17"/>
          <w:color w:val="auto"/>
        </w:rPr>
        <w:t>In the event that the balance in a Participant’s Account is less than $50,000 on the date the Participant ceases to be an Employee, then any provision of this Section 4(b) to the contrary notwithstanding, payment shall be made in a lump sum as soon as reasonably practicable following the last business day of the Quarter following the Quarter in which the Participant ceased to be an Employee. Such payment shall be based on the value of the Participant’s Account as of the last business day of the Quarter following the Quarter in which the Participant ceased to be an Employee. This Section 4(b)(vi) shall not apply to a Participant who ceased to be an Employee before April 1, 2002.</w:t>
      </w:r>
    </w:p>
    <w:p>
      <w:pPr>
        <w:spacing w:after="0" w:line="132" w:lineRule="exact"/>
        <w:rPr>
          <w:rFonts w:ascii="Arial" w:cs="Arial" w:eastAsia="Arial" w:hAnsi="Arial"/>
          <w:sz w:val="17"/>
          <w:szCs w:val="17"/>
          <w:color w:val="auto"/>
        </w:rPr>
      </w:pPr>
    </w:p>
    <w:p>
      <w:pPr>
        <w:jc w:val="both"/>
        <w:ind w:firstLine="539"/>
        <w:spacing w:after="0" w:line="264" w:lineRule="auto"/>
        <w:tabs>
          <w:tab w:leader="none" w:pos="99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Benefits in Pay Status on July 1, 1996</w:t>
      </w:r>
      <w:r>
        <w:rPr>
          <w:rFonts w:ascii="Arial" w:cs="Arial" w:eastAsia="Arial" w:hAnsi="Arial"/>
          <w:sz w:val="18"/>
          <w:szCs w:val="18"/>
          <w:color w:val="auto"/>
        </w:rPr>
        <w:t>. Notwithstanding the foregoing provisions of this Section 4, Plan Benefits in pay status on July 1, 1996 shall continue to be paid in accordance with the terms of the Excess Benefit Plan as in effect prior to July 1, 1996, except that all installment payments after the first shall be paid in January.</w:t>
      </w:r>
    </w:p>
    <w:p>
      <w:pPr>
        <w:spacing w:after="0" w:line="14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DEATH BENEFITS</w:t>
      </w:r>
      <w:r>
        <w:rPr>
          <w:rFonts w:ascii="Arial" w:cs="Arial" w:eastAsia="Arial" w:hAnsi="Arial"/>
          <w:sz w:val="17"/>
          <w:szCs w:val="17"/>
          <w:color w:val="auto"/>
        </w:rPr>
        <w:t>.</w:t>
      </w:r>
    </w:p>
    <w:p>
      <w:pPr>
        <w:spacing w:after="0" w:line="198" w:lineRule="exact"/>
        <w:rPr>
          <w:sz w:val="20"/>
          <w:szCs w:val="20"/>
          <w:color w:val="auto"/>
        </w:rPr>
      </w:pPr>
    </w:p>
    <w:p>
      <w:pPr>
        <w:ind w:left="880" w:hanging="422"/>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Retirement Excess Benefit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979"/>
        <w:spacing w:after="0" w:line="277" w:lineRule="auto"/>
        <w:tabs>
          <w:tab w:leader="none" w:pos="138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If a Participant dies after ceasing to be an Employee, the unpaid portion of the Participant’s Retirement Excess Benefit shall be distributed to the Participant’s Beneficiary in accordance with Section 5(c).</w:t>
      </w:r>
    </w:p>
    <w:p>
      <w:pPr>
        <w:spacing w:after="0" w:line="129" w:lineRule="exact"/>
        <w:rPr>
          <w:rFonts w:ascii="Arial" w:cs="Arial" w:eastAsia="Arial" w:hAnsi="Arial"/>
          <w:sz w:val="18"/>
          <w:szCs w:val="18"/>
          <w:color w:val="auto"/>
        </w:rPr>
      </w:pPr>
    </w:p>
    <w:p>
      <w:pPr>
        <w:jc w:val="both"/>
        <w:ind w:firstLine="908"/>
        <w:spacing w:after="0" w:line="259" w:lineRule="auto"/>
        <w:tabs>
          <w:tab w:leader="none" w:pos="134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a Participant ceases to be an Employee by reason of death and the Participant’s Beneficiary under the Retirement Plan is entitled to a Pre-Retirement Lump Sum Death Benefit under the Retirement Plan, the Participant’s Retirement Excess Benefit shall be distributed to the Participant’s Beneficiary in accordance with Section 5(c). The lump sum value of such Excess Benefit shall be determined as of the first day of the month following the month in which the Participant dies.</w:t>
      </w:r>
    </w:p>
    <w:p>
      <w:pPr>
        <w:spacing w:after="0" w:line="160" w:lineRule="exact"/>
        <w:rPr>
          <w:sz w:val="20"/>
          <w:szCs w:val="20"/>
          <w:color w:val="auto"/>
        </w:rPr>
      </w:pPr>
    </w:p>
    <w:p>
      <w:pPr>
        <w:jc w:val="both"/>
        <w:ind w:firstLine="966"/>
        <w:spacing w:after="0" w:line="259" w:lineRule="auto"/>
        <w:tabs>
          <w:tab w:leader="none" w:pos="14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 Participant ceases to be an Employee by reason of death and the Participant’s surviving spouse is entitled to a Pre-Retirement Spouse Pension under the Retirement Plan, a portion of the Participant’s Retirement Excess Benefit shall be distributed to the Participant’s surviving spouse. Such portion shall be calculated in the manner prescribed in Sections 9(b)(ii) and 9(c)(ii)(B) of the Retirement Plan. Such distribution to the Participant’s surviving spouse shall be made in accordance with Section 5(c).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ind w:left="900" w:hanging="442"/>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ESIP Excess Benefit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1026"/>
        <w:spacing w:after="0" w:line="277" w:lineRule="auto"/>
        <w:tabs>
          <w:tab w:leader="none" w:pos="1443"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If a Participant dies after ceasing to be an Employee, the unpaid portion of the Participant’s ESIP Excess Benefit shall be distributed to a Participant’s Beneficiary in accordance with Section 5(c).</w:t>
      </w:r>
    </w:p>
    <w:p>
      <w:pPr>
        <w:spacing w:after="0" w:line="129" w:lineRule="exact"/>
        <w:rPr>
          <w:rFonts w:ascii="Arial" w:cs="Arial" w:eastAsia="Arial" w:hAnsi="Arial"/>
          <w:sz w:val="18"/>
          <w:szCs w:val="18"/>
          <w:color w:val="auto"/>
        </w:rPr>
      </w:pPr>
    </w:p>
    <w:p>
      <w:pPr>
        <w:ind w:right="20" w:firstLine="1161"/>
        <w:spacing w:after="0" w:line="277" w:lineRule="auto"/>
        <w:tabs>
          <w:tab w:leader="none" w:pos="1661" w:val="left"/>
        </w:tabs>
        <w:numPr>
          <w:ilvl w:val="3"/>
          <w:numId w:val="103"/>
        </w:numPr>
        <w:rPr>
          <w:rFonts w:ascii="Arial" w:cs="Arial" w:eastAsia="Arial" w:hAnsi="Arial"/>
          <w:sz w:val="18"/>
          <w:szCs w:val="18"/>
          <w:color w:val="auto"/>
        </w:rPr>
      </w:pPr>
      <w:r>
        <w:rPr>
          <w:rFonts w:ascii="Arial" w:cs="Arial" w:eastAsia="Arial" w:hAnsi="Arial"/>
          <w:sz w:val="18"/>
          <w:szCs w:val="18"/>
          <w:color w:val="auto"/>
        </w:rPr>
        <w:t>If a Participant ceases to be an Employee by reason of death, his or her ESIP Excess Benefit shall be distributed to the Participant’s Beneficiary in accordance with Section 5(c).</w:t>
      </w:r>
    </w:p>
    <w:p>
      <w:pPr>
        <w:spacing w:after="0" w:line="143" w:lineRule="exact"/>
        <w:rPr>
          <w:rFonts w:ascii="Arial" w:cs="Arial" w:eastAsia="Arial" w:hAnsi="Arial"/>
          <w:sz w:val="18"/>
          <w:szCs w:val="18"/>
          <w:color w:val="auto"/>
        </w:rPr>
      </w:pPr>
    </w:p>
    <w:p>
      <w:pPr>
        <w:jc w:val="both"/>
        <w:ind w:firstLine="485"/>
        <w:spacing w:after="0" w:line="255" w:lineRule="auto"/>
        <w:tabs>
          <w:tab w:leader="none" w:pos="915"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A Participant may designate on the prescribed form filed with the Committee one or more Beneficiaries to receive payment of any Plan Benefits hereunder that become distributable after the Participant’s death. A Participant may change such designation at any time by filing the prescribed form with the Committee. If a Beneficiary has not been designated or if no designated Beneficiary survives the Participant, distribution will be made to the Participant’s surviving spouse as Beneficiary if such spouse is then living or, if not, in equal shares to the then living children of the Participant as Beneficiaries or, if none, to the Participant’s estate as Beneficiary. Distributions under this Section 5(c) will be made in such manner and at such times as the Committee shall determine in its sole discretion. Unless the Committee directs otherwise, the elections provided in Section 4 may be made by the Beneficiary following the Participant’s death.</w:t>
      </w:r>
    </w:p>
    <w:p>
      <w:pPr>
        <w:spacing w:after="0" w:line="14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85" w:lineRule="exact"/>
        <w:rPr>
          <w:sz w:val="20"/>
          <w:szCs w:val="20"/>
          <w:color w:val="auto"/>
        </w:rPr>
      </w:pPr>
    </w:p>
    <w:p>
      <w:pPr>
        <w:ind w:left="880" w:hanging="422"/>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Plan Benefits which are unpaid shall be forfeited under the following circumstances:</w:t>
      </w:r>
    </w:p>
    <w:p>
      <w:pPr>
        <w:spacing w:after="0" w:line="198" w:lineRule="exact"/>
        <w:rPr>
          <w:rFonts w:ascii="Arial" w:cs="Arial" w:eastAsia="Arial" w:hAnsi="Arial"/>
          <w:sz w:val="18"/>
          <w:szCs w:val="18"/>
          <w:color w:val="auto"/>
        </w:rPr>
      </w:pPr>
    </w:p>
    <w:p>
      <w:pPr>
        <w:ind w:left="1300" w:hanging="392"/>
        <w:spacing w:after="0"/>
        <w:tabs>
          <w:tab w:leader="none" w:pos="1300" w:val="left"/>
        </w:tabs>
        <w:numPr>
          <w:ilvl w:val="4"/>
          <w:numId w:val="104"/>
        </w:numPr>
        <w:rPr>
          <w:rFonts w:ascii="Arial" w:cs="Arial" w:eastAsia="Arial" w:hAnsi="Arial"/>
          <w:sz w:val="17"/>
          <w:szCs w:val="17"/>
          <w:color w:val="auto"/>
        </w:rPr>
      </w:pPr>
      <w:r>
        <w:rPr>
          <w:rFonts w:ascii="Arial" w:cs="Arial" w:eastAsia="Arial" w:hAnsi="Arial"/>
          <w:sz w:val="17"/>
          <w:szCs w:val="17"/>
          <w:color w:val="auto"/>
        </w:rPr>
        <w:t>If the Participant is dismissed for cause or otherwise ceases to be an Employee at a time when a basis for such dismissal exists; or</w:t>
      </w:r>
    </w:p>
    <w:p>
      <w:pPr>
        <w:spacing w:after="0" w:line="196" w:lineRule="exact"/>
        <w:rPr>
          <w:rFonts w:ascii="Arial" w:cs="Arial" w:eastAsia="Arial" w:hAnsi="Arial"/>
          <w:sz w:val="17"/>
          <w:szCs w:val="17"/>
          <w:color w:val="auto"/>
        </w:rPr>
      </w:pPr>
    </w:p>
    <w:p>
      <w:pPr>
        <w:ind w:firstLine="942"/>
        <w:spacing w:after="0" w:line="277" w:lineRule="auto"/>
        <w:tabs>
          <w:tab w:leader="none" w:pos="1387" w:val="left"/>
        </w:tabs>
        <w:numPr>
          <w:ilvl w:val="5"/>
          <w:numId w:val="104"/>
        </w:numPr>
        <w:rPr>
          <w:rFonts w:ascii="Arial" w:cs="Arial" w:eastAsia="Arial" w:hAnsi="Arial"/>
          <w:sz w:val="18"/>
          <w:szCs w:val="18"/>
          <w:color w:val="auto"/>
        </w:rPr>
      </w:pPr>
      <w:r>
        <w:rPr>
          <w:rFonts w:ascii="Arial" w:cs="Arial" w:eastAsia="Arial" w:hAnsi="Arial"/>
          <w:sz w:val="18"/>
          <w:szCs w:val="18"/>
          <w:color w:val="auto"/>
        </w:rPr>
        <w:t>If, before or after the Participant ceases to be an Employee, the Participant engages in any activity which, in the opinion of the Committee, is prejudicial to the interests of any member of the Affiliated Group; or</w:t>
      </w:r>
    </w:p>
    <w:p>
      <w:pPr>
        <w:spacing w:after="0" w:line="129" w:lineRule="exact"/>
        <w:rPr>
          <w:rFonts w:ascii="Arial" w:cs="Arial" w:eastAsia="Arial" w:hAnsi="Arial"/>
          <w:sz w:val="18"/>
          <w:szCs w:val="18"/>
          <w:color w:val="auto"/>
        </w:rPr>
      </w:pPr>
    </w:p>
    <w:p>
      <w:pPr>
        <w:jc w:val="both"/>
        <w:ind w:firstLine="1016"/>
        <w:spacing w:after="0" w:line="297" w:lineRule="auto"/>
        <w:tabs>
          <w:tab w:leader="none" w:pos="1530" w:val="left"/>
        </w:tabs>
        <w:numPr>
          <w:ilvl w:val="6"/>
          <w:numId w:val="104"/>
        </w:numPr>
        <w:rPr>
          <w:rFonts w:ascii="Arial" w:cs="Arial" w:eastAsia="Arial" w:hAnsi="Arial"/>
          <w:sz w:val="16"/>
          <w:szCs w:val="16"/>
          <w:color w:val="auto"/>
        </w:rPr>
      </w:pPr>
      <w:r>
        <w:rPr>
          <w:rFonts w:ascii="Arial" w:cs="Arial" w:eastAsia="Arial" w:hAnsi="Arial"/>
          <w:sz w:val="16"/>
          <w:szCs w:val="16"/>
          <w:color w:val="auto"/>
        </w:rPr>
        <w:t>If the Participant is indebted to any member of the Affiliated Group at the time he or she becomes entitled to payment of a Plan Benefit hereunder. In such a case, to the extent that the amount of the Plan Benefit does not exceed such indebtedness, the amount of such Plan Benefit shall be forfeited and the Participant’s indebtedness shall be extinguished to the extent of such forfeiture. The Committee in its sole discretion shall determine how and why such forfeiture shall be effected, including the valuation of any Stock Units credited to the Participant’s ESIP Excess Benefit Account. Any forfeiture under this Section 6(a)(iii) shall be deemed to come first from the Participant’s Retirement Excess Benefit and then from his or her ESIP Excess Benefit.</w:t>
      </w:r>
    </w:p>
    <w:p>
      <w:pPr>
        <w:spacing w:after="0" w:line="131" w:lineRule="exact"/>
        <w:rPr>
          <w:rFonts w:ascii="Arial" w:cs="Arial" w:eastAsia="Arial" w:hAnsi="Arial"/>
          <w:sz w:val="16"/>
          <w:szCs w:val="16"/>
          <w:color w:val="auto"/>
        </w:rPr>
      </w:pPr>
    </w:p>
    <w:p>
      <w:pPr>
        <w:ind w:left="1200" w:hanging="535"/>
        <w:spacing w:after="0"/>
        <w:tabs>
          <w:tab w:leader="none" w:pos="1200" w:val="left"/>
        </w:tabs>
        <w:numPr>
          <w:ilvl w:val="3"/>
          <w:numId w:val="104"/>
        </w:numPr>
        <w:rPr>
          <w:rFonts w:ascii="Arial" w:cs="Arial" w:eastAsia="Arial" w:hAnsi="Arial"/>
          <w:sz w:val="17"/>
          <w:szCs w:val="17"/>
          <w:color w:val="auto"/>
        </w:rPr>
      </w:pPr>
      <w:r>
        <w:rPr>
          <w:rFonts w:ascii="Arial" w:cs="Arial" w:eastAsia="Arial" w:hAnsi="Arial"/>
          <w:sz w:val="17"/>
          <w:szCs w:val="17"/>
          <w:u w:val="single" w:color="auto"/>
          <w:color w:val="auto"/>
        </w:rPr>
        <w:t>Funding</w:t>
      </w:r>
      <w:r>
        <w:rPr>
          <w:rFonts w:ascii="Arial" w:cs="Arial" w:eastAsia="Arial" w:hAnsi="Arial"/>
          <w:sz w:val="17"/>
          <w:szCs w:val="17"/>
          <w:color w:val="auto"/>
        </w:rPr>
        <w:t>. The Excess Benefit Plan shall be unfunded, and all Plan Benefits shall be paid only from the general assets of ChevronTexaco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w:t>
      </w:r>
    </w:p>
    <w:p>
      <w:pPr>
        <w:spacing w:after="0" w:line="170" w:lineRule="exact"/>
        <w:rPr>
          <w:rFonts w:ascii="Arial" w:cs="Arial" w:eastAsia="Arial" w:hAnsi="Arial"/>
          <w:sz w:val="17"/>
          <w:szCs w:val="17"/>
          <w:color w:val="auto"/>
        </w:rPr>
      </w:pPr>
    </w:p>
    <w:p>
      <w:pPr>
        <w:jc w:val="both"/>
        <w:ind w:firstLine="476"/>
        <w:spacing w:after="0" w:line="259" w:lineRule="auto"/>
        <w:tabs>
          <w:tab w:leader="none" w:pos="902"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distributions shall be net of any necessary payroll deductions including, but not limited to, income tax withholding required by federal, state or local law. In addition, any withholding required under the Federal Insurance Contributions Act or the Federal Unemployment Tax Act (and any income tax withholding attributable thereto) with respect to a Participant’s Retirement Excess Benefit prior to the date a distribution is made from the Excess Benefit Plan shall be debited from the Participant’s Retirement Excess Benefit.</w:t>
      </w:r>
    </w:p>
    <w:p>
      <w:pPr>
        <w:spacing w:after="0" w:line="146" w:lineRule="exact"/>
        <w:rPr>
          <w:rFonts w:ascii="Arial" w:cs="Arial" w:eastAsia="Arial" w:hAnsi="Arial"/>
          <w:sz w:val="18"/>
          <w:szCs w:val="18"/>
          <w:color w:val="auto"/>
        </w:rPr>
      </w:pPr>
    </w:p>
    <w:p>
      <w:pPr>
        <w:jc w:val="both"/>
        <w:ind w:firstLine="602"/>
        <w:spacing w:after="0" w:line="264" w:lineRule="auto"/>
        <w:tabs>
          <w:tab w:leader="none" w:pos="1101" w:val="left"/>
        </w:tabs>
        <w:numPr>
          <w:ilvl w:val="2"/>
          <w:numId w:val="104"/>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this Excess Benefit Plan shall be deemed to give any individual a right to remain in the employ of any member of the Affiliated Group nor affect the right of a member of the Affiliated Group to terminate any individual’s employment at any time and for any reason, which right is hereby reserved.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jc w:val="both"/>
        <w:ind w:firstLine="503"/>
        <w:spacing w:after="0" w:line="273" w:lineRule="auto"/>
        <w:tabs>
          <w:tab w:leader="none" w:pos="942"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No Assignment of Property Rights</w:t>
      </w:r>
      <w:r>
        <w:rPr>
          <w:rFonts w:ascii="Arial" w:cs="Arial" w:eastAsia="Arial" w:hAnsi="Arial"/>
          <w:sz w:val="17"/>
          <w:szCs w:val="17"/>
          <w:color w:val="auto"/>
        </w:rPr>
        <w:t>. Except as otherwise provided in Section 6(a)(iii) with respect to a Participant’s indebtedness to any member of the Affiliated Group, or except as otherwise provided by applicable law, the interest or property rights of any person in the Excess Benefit Plan or in any distribution to be made hereunder shall not be assigned (either at law or in equity), alienated, anticipated or subject to attachment, bankruptcy, garnishment, levy, execution or other legal or equitable process. Any act in violation of this Section 6(e) shall be void. Notwithstanding the foregoing, the creation, assignment or recognition of a right to all or any portion of a Participant’s Plan Benefit hereunder pursuant to a “qualified domestic relations order,” (within the meaning of section 414(p) of the Code) shall not constitute a violation of this Section 6(e).</w:t>
      </w:r>
    </w:p>
    <w:p>
      <w:pPr>
        <w:spacing w:after="0" w:line="137" w:lineRule="exact"/>
        <w:rPr>
          <w:rFonts w:ascii="Arial" w:cs="Arial" w:eastAsia="Arial" w:hAnsi="Arial"/>
          <w:sz w:val="17"/>
          <w:szCs w:val="17"/>
          <w:color w:val="auto"/>
        </w:rPr>
      </w:pPr>
    </w:p>
    <w:p>
      <w:pPr>
        <w:jc w:val="both"/>
        <w:ind w:firstLine="476"/>
        <w:spacing w:after="0" w:line="312" w:lineRule="auto"/>
        <w:tabs>
          <w:tab w:leader="none" w:pos="88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Effect of Change in Capitalization on ESIP Excess Benefit Accounts</w:t>
      </w:r>
      <w:r>
        <w:rPr>
          <w:rFonts w:ascii="Arial" w:cs="Arial" w:eastAsia="Arial" w:hAnsi="Arial"/>
          <w:sz w:val="16"/>
          <w:szCs w:val="16"/>
          <w:color w:val="auto"/>
        </w:rPr>
        <w:t>. In the event of a stock split, stock dividend or other change in capitalization affecting ChevronTexaco Stock, an appropriate number of Stock Units shall be substituted for, or added to, each Stock Unit then credited to the ESIP Excess Benefit Account of each Participant, and such substituted or added Unit shall be subject to the same terms and conditions as the original Unit.</w:t>
      </w:r>
    </w:p>
    <w:p>
      <w:pPr>
        <w:spacing w:after="0" w:line="106" w:lineRule="exact"/>
        <w:rPr>
          <w:rFonts w:ascii="Arial" w:cs="Arial" w:eastAsia="Arial" w:hAnsi="Arial"/>
          <w:sz w:val="16"/>
          <w:szCs w:val="16"/>
          <w:color w:val="auto"/>
        </w:rPr>
      </w:pPr>
    </w:p>
    <w:p>
      <w:pPr>
        <w:jc w:val="both"/>
        <w:ind w:firstLine="467"/>
        <w:spacing w:after="0" w:line="257" w:lineRule="auto"/>
        <w:tabs>
          <w:tab w:leader="none" w:pos="89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Excess Benefit Plan shall be administered by the Committee. No member of the Committee shall become a Participant in the Excess Benefit Plan. The Committee shall make such rules, interpretations and computations as it may deem appropriate. The Committee shall have sole discretion to interpret the terms of the Excess Benefit Plan, and any decision of the Committee with respect to the Excess Benefit Plan, including (without limitation) any determination of eligibility to participate in the Excess Benefit Plan and any calculation of Plan Benefits shall be conclusive and binding on all persons.</w:t>
      </w:r>
    </w:p>
    <w:p>
      <w:pPr>
        <w:spacing w:after="0" w:line="161" w:lineRule="exact"/>
        <w:rPr>
          <w:rFonts w:ascii="Arial" w:cs="Arial" w:eastAsia="Arial" w:hAnsi="Arial"/>
          <w:sz w:val="18"/>
          <w:szCs w:val="18"/>
          <w:color w:val="auto"/>
        </w:rPr>
      </w:pPr>
    </w:p>
    <w:p>
      <w:pPr>
        <w:jc w:val="both"/>
        <w:ind w:firstLine="494"/>
        <w:spacing w:after="0" w:line="297" w:lineRule="auto"/>
        <w:tabs>
          <w:tab w:leader="none" w:pos="939"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ChevronTexaco Corporation expects to continue the Excess Benefit Plan indefinitely. Future conditions, however, cannot be foreseen, and ChevronTexaco Corporation shall have the authority to amend or to terminate the Excess Benefit Plan at any time and for any reason, by action of its board of directors or by action of a committee or individual(s) acting pursuant to a valid delegation of authority. In the event of the amendment or termination of the Excess Benefit Plan, a Participant’s Retirement Excess Benefit and ESIP Excess Benefit shall not be less than the amounts to which he or she would have been entitled if his or her employment had terminated immediately prior to such amendment or termination.</w:t>
      </w:r>
    </w:p>
    <w:p>
      <w:pPr>
        <w:spacing w:after="0" w:line="117" w:lineRule="exact"/>
        <w:rPr>
          <w:rFonts w:ascii="Arial" w:cs="Arial" w:eastAsia="Arial" w:hAnsi="Arial"/>
          <w:sz w:val="16"/>
          <w:szCs w:val="16"/>
          <w:color w:val="auto"/>
        </w:rPr>
      </w:pPr>
    </w:p>
    <w:p>
      <w:pPr>
        <w:jc w:val="both"/>
        <w:ind w:firstLine="539"/>
        <w:spacing w:after="0" w:line="259" w:lineRule="auto"/>
        <w:tabs>
          <w:tab w:leader="none" w:pos="966"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Excess Benefit Plan shall be binding upon the Corporation, its Successors and Assigns. Notwithstanding that the Excess Benefit Plan may be binding upon a Successor or Assign by operation of law, the Corporation shall require any Successor or Assign to expressly assume and agree to be bound by the Excess Benefit Plan in the same manner and to the same extent that the Corporation would be if no succession or assignment had taken place.</w:t>
      </w:r>
    </w:p>
    <w:p>
      <w:pPr>
        <w:spacing w:after="0" w:line="14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CHANGE IN CONTROL</w:t>
      </w:r>
    </w:p>
    <w:p>
      <w:pPr>
        <w:spacing w:after="0" w:line="198" w:lineRule="exact"/>
        <w:rPr>
          <w:sz w:val="20"/>
          <w:szCs w:val="20"/>
          <w:color w:val="auto"/>
        </w:rPr>
      </w:pPr>
    </w:p>
    <w:p>
      <w:pPr>
        <w:ind w:firstLine="657"/>
        <w:spacing w:after="0" w:line="277" w:lineRule="auto"/>
        <w:rPr>
          <w:sz w:val="20"/>
          <w:szCs w:val="20"/>
          <w:color w:val="auto"/>
        </w:rPr>
      </w:pPr>
      <w:r>
        <w:rPr>
          <w:rFonts w:ascii="Arial" w:cs="Arial" w:eastAsia="Arial" w:hAnsi="Arial"/>
          <w:sz w:val="18"/>
          <w:szCs w:val="18"/>
          <w:color w:val="auto"/>
        </w:rPr>
        <w:t>Notwithstanding any other provisions of this Excess Benefit Plan to the contrary, the provisions of this Section 7 shall apply during the Benefit Protection Period.</w:t>
      </w:r>
    </w:p>
    <w:p>
      <w:pPr>
        <w:spacing w:after="0" w:line="130" w:lineRule="exact"/>
        <w:rPr>
          <w:sz w:val="20"/>
          <w:szCs w:val="20"/>
          <w:color w:val="auto"/>
        </w:rPr>
      </w:pPr>
    </w:p>
    <w:p>
      <w:pPr>
        <w:jc w:val="both"/>
        <w:ind w:firstLine="566"/>
        <w:spacing w:after="0" w:line="264" w:lineRule="auto"/>
        <w:tabs>
          <w:tab w:leader="none" w:pos="103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Restrictions on Amendments During Benefit Protection Period</w:t>
      </w:r>
      <w:r>
        <w:rPr>
          <w:rFonts w:ascii="Arial" w:cs="Arial" w:eastAsia="Arial" w:hAnsi="Arial"/>
          <w:sz w:val="18"/>
          <w:szCs w:val="18"/>
          <w:color w:val="auto"/>
        </w:rPr>
        <w:t>. Notwithstanding Section 6(h) of the Excess Benefit Plan, except to the extent required to comply with applicable law, no amendment of the Excess Benefit Plan (other than an amendment to reduce or discontinue future accruals under the Excess Benefit Plan) that is executed or first becomes effective during the Benefit Protection Period shall:</w:t>
      </w:r>
    </w:p>
    <w:p>
      <w:pPr>
        <w:spacing w:after="0" w:line="140" w:lineRule="exact"/>
        <w:rPr>
          <w:rFonts w:ascii="Arial" w:cs="Arial" w:eastAsia="Arial" w:hAnsi="Arial"/>
          <w:sz w:val="18"/>
          <w:szCs w:val="18"/>
          <w:color w:val="auto"/>
        </w:rPr>
      </w:pPr>
    </w:p>
    <w:p>
      <w:pPr>
        <w:ind w:right="20" w:firstLine="1076"/>
        <w:spacing w:after="0" w:line="277" w:lineRule="auto"/>
        <w:tabs>
          <w:tab w:leader="none" w:pos="150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Deprive any individual who is a Participant on the Benefit Protection Period Commencement Date or immediately prior to a Change in Control of coverage under the Excess Benefit Plan as constituted at the time of such amendment;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jc w:val="both"/>
        <w:ind w:firstLine="1328"/>
        <w:spacing w:after="0" w:line="264" w:lineRule="auto"/>
        <w:tabs>
          <w:tab w:leader="none" w:pos="187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Deprive any individual who is a Beneficiary with respect to an individual who is a Participant on the Benefit Protection Period Commencement Date or immediately prior to a Change in Control of any benefit to which he or she is entitled on the Benefit Protection Period Commencement Date or may become entitled during the Benefit Protection Period;</w:t>
      </w:r>
    </w:p>
    <w:p>
      <w:pPr>
        <w:spacing w:after="0" w:line="140" w:lineRule="exact"/>
        <w:rPr>
          <w:rFonts w:ascii="Arial" w:cs="Arial" w:eastAsia="Arial" w:hAnsi="Arial"/>
          <w:sz w:val="18"/>
          <w:szCs w:val="18"/>
          <w:color w:val="auto"/>
        </w:rPr>
      </w:pPr>
    </w:p>
    <w:p>
      <w:pPr>
        <w:ind w:firstLine="984"/>
        <w:spacing w:after="0" w:line="277" w:lineRule="auto"/>
        <w:tabs>
          <w:tab w:leader="none" w:pos="14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Reduce the amount of benefits provided under the Excess Benefit Plan below the benefits provided under the Excess Benefit Plan on the day prior to the Benefit Protection Period Commencement Date;</w:t>
      </w:r>
    </w:p>
    <w:p>
      <w:pPr>
        <w:spacing w:after="0" w:line="129" w:lineRule="exact"/>
        <w:rPr>
          <w:rFonts w:ascii="Arial" w:cs="Arial" w:eastAsia="Arial" w:hAnsi="Arial"/>
          <w:sz w:val="18"/>
          <w:szCs w:val="18"/>
          <w:color w:val="auto"/>
        </w:rPr>
      </w:pPr>
    </w:p>
    <w:p>
      <w:pPr>
        <w:ind w:left="1380" w:hanging="472"/>
        <w:spacing w:after="0"/>
        <w:tabs>
          <w:tab w:leader="none" w:pos="1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Amend Sections 6(I), 7, 8.4, 8.5, 8.8, or 8.32 of the Excess Benefit Plan; or</w:t>
      </w:r>
    </w:p>
    <w:p>
      <w:pPr>
        <w:spacing w:after="0" w:line="198" w:lineRule="exact"/>
        <w:rPr>
          <w:rFonts w:ascii="Arial" w:cs="Arial" w:eastAsia="Arial" w:hAnsi="Arial"/>
          <w:sz w:val="18"/>
          <w:szCs w:val="18"/>
          <w:color w:val="auto"/>
        </w:rPr>
      </w:pPr>
    </w:p>
    <w:p>
      <w:pPr>
        <w:ind w:left="1340" w:hanging="432"/>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Terminate the Excess Benefit Plan.</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purposes of this Section 7, approval shall mean written approval (by a person or entity within ChevronTexaco Corporation having the authority to do so) of such amendment or termination.</w:t>
      </w:r>
    </w:p>
    <w:p>
      <w:pPr>
        <w:spacing w:after="0" w:line="130" w:lineRule="exact"/>
        <w:rPr>
          <w:sz w:val="20"/>
          <w:szCs w:val="20"/>
          <w:color w:val="auto"/>
        </w:rPr>
      </w:pPr>
    </w:p>
    <w:p>
      <w:pPr>
        <w:jc w:val="both"/>
        <w:ind w:firstLine="485"/>
        <w:spacing w:after="0" w:line="297" w:lineRule="auto"/>
        <w:tabs>
          <w:tab w:leader="none" w:pos="92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Exception to Section 7(a)</w:t>
      </w:r>
      <w:r>
        <w:rPr>
          <w:rFonts w:ascii="Arial" w:cs="Arial" w:eastAsia="Arial" w:hAnsi="Arial"/>
          <w:sz w:val="16"/>
          <w:szCs w:val="16"/>
          <w:color w:val="auto"/>
        </w:rPr>
        <w:t>. Section 7(a) shall not apply to the extent that (i) the amendment or termination of the Excess Benefit Plan is approved after any plans have been abandoned to effect the transaction which, if effected, would have constituted a Change in Control and the event which would have constituted the Change in Control has not occurred, and (ii) within a period of six months after such approval, no other event constituting a Change in Control shall have occurred, and no public announcement of a proposed event which would constitute a Change in Control shall have been made, unless thereafter any plans to effect the Change in Control have been abandoned and the event which would have constituted the Change in Control has not occurred.</w:t>
      </w:r>
    </w:p>
    <w:p>
      <w:pPr>
        <w:spacing w:after="0" w:line="131" w:lineRule="exact"/>
        <w:rPr>
          <w:rFonts w:ascii="Arial" w:cs="Arial" w:eastAsia="Arial" w:hAnsi="Arial"/>
          <w:sz w:val="16"/>
          <w:szCs w:val="16"/>
          <w:color w:val="auto"/>
        </w:rPr>
      </w:pPr>
    </w:p>
    <w:p>
      <w:pPr>
        <w:jc w:val="both"/>
        <w:ind w:firstLine="503"/>
        <w:spacing w:after="0" w:line="254" w:lineRule="auto"/>
        <w:tabs>
          <w:tab w:leader="none" w:pos="94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Restrictions on Certain Actions Prior to or Following, a Change in Control</w:t>
      </w:r>
      <w:r>
        <w:rPr>
          <w:rFonts w:ascii="Arial" w:cs="Arial" w:eastAsia="Arial" w:hAnsi="Arial"/>
          <w:sz w:val="18"/>
          <w:szCs w:val="18"/>
          <w:color w:val="auto"/>
        </w:rPr>
        <w:t>. Notwithstanding any contrary provisions of the Excess Benefit Plan and except to the extent required to comply with applicable law, (1) any amendment or termination of the Excess Benefit Plan which is executed or would otherwise become effective prior to a Change in Control at the request of a third party who effectuates a Change in Control shall not be an effective amendment or termination of the Excess Benefit Plan during the Benefit Protection Period; and (2) the Excess Benefit Plan shall not be amended at any time if to do so would adversely affect the rights derived under the Excess Benefit Plan from this Section 7 of any individual who is a Member of the Retirement Plan or the ESIP during the Benefit Protection Period or a Beneficiary with respect to a Participant during the Benefit Protection Period. Furthermore, following a Change in Control, no person shall take any action that would directly or indirectly have the same effect as any of the prohibited amendments listed in Section 7(a).</w:t>
      </w:r>
    </w:p>
    <w:p>
      <w:pPr>
        <w:spacing w:after="0" w:line="151" w:lineRule="exact"/>
        <w:rPr>
          <w:rFonts w:ascii="Arial" w:cs="Arial" w:eastAsia="Arial" w:hAnsi="Arial"/>
          <w:sz w:val="18"/>
          <w:szCs w:val="18"/>
          <w:color w:val="auto"/>
        </w:rPr>
      </w:pPr>
    </w:p>
    <w:p>
      <w:pPr>
        <w:jc w:val="both"/>
        <w:ind w:firstLine="665"/>
        <w:spacing w:after="0" w:line="264" w:lineRule="auto"/>
        <w:tabs>
          <w:tab w:leader="none" w:pos="1195"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Effect on other Benefits</w:t>
      </w:r>
      <w:r>
        <w:rPr>
          <w:rFonts w:ascii="Arial" w:cs="Arial" w:eastAsia="Arial" w:hAnsi="Arial"/>
          <w:sz w:val="18"/>
          <w:szCs w:val="18"/>
          <w:color w:val="auto"/>
        </w:rPr>
        <w:t>. In calculating a Participant’s Retirement Plan Excess Benefit under Section 3(a) and MIP Excess Benefit under Section 3(c), it shall be assumed that the Retirement Plan formula in effect on the Benefit Protection Period Commencement Date had continued in effect through the date the Participant’s employment with the Affiliated Group terminates.</w:t>
      </w:r>
    </w:p>
    <w:p>
      <w:pPr>
        <w:spacing w:after="0" w:line="140" w:lineRule="exact"/>
        <w:rPr>
          <w:rFonts w:ascii="Arial" w:cs="Arial" w:eastAsia="Arial" w:hAnsi="Arial"/>
          <w:sz w:val="18"/>
          <w:szCs w:val="18"/>
          <w:color w:val="auto"/>
        </w:rPr>
      </w:pPr>
    </w:p>
    <w:p>
      <w:pPr>
        <w:jc w:val="both"/>
        <w:ind w:firstLine="602"/>
        <w:spacing w:after="0" w:line="276" w:lineRule="auto"/>
        <w:tabs>
          <w:tab w:leader="none" w:pos="1091"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ESIP Excess Benefit</w:t>
      </w:r>
      <w:r>
        <w:rPr>
          <w:rFonts w:ascii="Arial" w:cs="Arial" w:eastAsia="Arial" w:hAnsi="Arial"/>
          <w:sz w:val="17"/>
          <w:szCs w:val="17"/>
          <w:color w:val="auto"/>
        </w:rPr>
        <w:t>. Each of a Participant’s Stock units shall be converted to a dollar amount immediately after a Change in Control in an amount equal to the greater of (1) the highest price paid per share of ChevronTexaco Stock (the “Shares”) paid to holders of the Shares in any transaction (or series of transactions) constituting or resulting in a Change in Control or (2) the highest closing price of a Share as reported on the New York Stock Exchange, Inc. composite transaction report during the ninety-day period ending on the date of a Change in Control. Thereafter interest shall be added to the unpaid portion of the total dollar amount of the Participant’s ESIP Excess Benefit in the manner described in Section 4(b)(iv).</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ind w:firstLine="503"/>
        <w:spacing w:after="0" w:line="342" w:lineRule="auto"/>
        <w:tabs>
          <w:tab w:leader="none" w:pos="92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MIP Excess Benefit</w:t>
      </w:r>
      <w:r>
        <w:rPr>
          <w:rFonts w:ascii="Arial" w:cs="Arial" w:eastAsia="Arial" w:hAnsi="Arial"/>
          <w:sz w:val="16"/>
          <w:szCs w:val="16"/>
          <w:color w:val="auto"/>
        </w:rPr>
        <w:t>. References to MIP in the Excess Benefit Plan shall include the Management Incentive Plan of ChevronTexaco Corporation and any alternative plan or program established to provide incentive awards in lieu of those provided under the Management Incentive Plan.</w:t>
      </w:r>
    </w:p>
    <w:p>
      <w:pPr>
        <w:spacing w:after="0" w:line="83" w:lineRule="exact"/>
        <w:rPr>
          <w:sz w:val="20"/>
          <w:szCs w:val="20"/>
          <w:color w:val="auto"/>
        </w:rPr>
      </w:pPr>
    </w:p>
    <w:p>
      <w:pPr>
        <w:ind w:firstLine="485"/>
        <w:spacing w:after="0" w:line="277" w:lineRule="auto"/>
        <w:tabs>
          <w:tab w:leader="none" w:pos="92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Distribution of Plan Benefits</w:t>
      </w:r>
      <w:r>
        <w:rPr>
          <w:rFonts w:ascii="Arial" w:cs="Arial" w:eastAsia="Arial" w:hAnsi="Arial"/>
          <w:sz w:val="18"/>
          <w:szCs w:val="18"/>
          <w:color w:val="auto"/>
        </w:rPr>
        <w:t>. Each Participant’s Plan Benefits shall be distributed in a single lump sum cash payment immediately after the later of the date of the Change in Control or the date the Participant’s employment with the Affiliated Group terminates.</w:t>
      </w:r>
    </w:p>
    <w:p>
      <w:pPr>
        <w:spacing w:after="0" w:line="129" w:lineRule="exact"/>
        <w:rPr>
          <w:rFonts w:ascii="Arial" w:cs="Arial" w:eastAsia="Arial" w:hAnsi="Arial"/>
          <w:sz w:val="18"/>
          <w:szCs w:val="18"/>
          <w:color w:val="auto"/>
        </w:rPr>
      </w:pPr>
    </w:p>
    <w:p>
      <w:pPr>
        <w:jc w:val="both"/>
        <w:ind w:firstLine="476"/>
        <w:spacing w:after="0" w:line="264" w:lineRule="auto"/>
        <w:tabs>
          <w:tab w:leader="none" w:pos="91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Establishment of a Trust</w:t>
      </w:r>
      <w:r>
        <w:rPr>
          <w:rFonts w:ascii="Arial" w:cs="Arial" w:eastAsia="Arial" w:hAnsi="Arial"/>
          <w:sz w:val="18"/>
          <w:szCs w:val="18"/>
          <w:color w:val="auto"/>
        </w:rPr>
        <w:t>. Notwithstanding anything contained in this Excess Benefit Plan to the contrary, nothing herein shall prevent or prohibit the Corporation from establishing a trust or other arrangement for the purpose of providing for the payment of the benefits payable under this Excess Benefit Plan.</w:t>
      </w:r>
    </w:p>
    <w:p>
      <w:pPr>
        <w:spacing w:after="0" w:line="154" w:lineRule="exact"/>
        <w:rPr>
          <w:sz w:val="20"/>
          <w:szCs w:val="20"/>
          <w:color w:val="auto"/>
        </w:rPr>
      </w:pPr>
    </w:p>
    <w:p>
      <w:pPr>
        <w:ind w:firstLine="512"/>
        <w:spacing w:after="0" w:line="277" w:lineRule="auto"/>
        <w:tabs>
          <w:tab w:leader="none" w:pos="92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No Forfeitures</w:t>
      </w:r>
      <w:r>
        <w:rPr>
          <w:rFonts w:ascii="Arial" w:cs="Arial" w:eastAsia="Arial" w:hAnsi="Arial"/>
          <w:sz w:val="18"/>
          <w:szCs w:val="18"/>
          <w:color w:val="auto"/>
        </w:rPr>
        <w:t>. Plan Benefits shall not be subject to forfeiture under any circumstances, including the circumstances provided in Section 6(a) of the Excess Benefit Plan.</w:t>
      </w:r>
    </w:p>
    <w:p>
      <w:pPr>
        <w:spacing w:after="0" w:line="129" w:lineRule="exact"/>
        <w:rPr>
          <w:rFonts w:ascii="Arial" w:cs="Arial" w:eastAsia="Arial" w:hAnsi="Arial"/>
          <w:sz w:val="18"/>
          <w:szCs w:val="18"/>
          <w:color w:val="auto"/>
        </w:rPr>
      </w:pPr>
    </w:p>
    <w:p>
      <w:pPr>
        <w:ind w:left="860" w:hanging="402"/>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028"/>
        <w:spacing w:after="0" w:line="264" w:lineRule="auto"/>
        <w:tabs>
          <w:tab w:leader="none" w:pos="1445" w:val="left"/>
        </w:tabs>
        <w:numPr>
          <w:ilvl w:val="3"/>
          <w:numId w:val="115"/>
        </w:numPr>
        <w:rPr>
          <w:rFonts w:ascii="Arial" w:cs="Arial" w:eastAsia="Arial" w:hAnsi="Arial"/>
          <w:sz w:val="18"/>
          <w:szCs w:val="18"/>
          <w:color w:val="auto"/>
        </w:rPr>
      </w:pPr>
      <w:r>
        <w:rPr>
          <w:rFonts w:ascii="Arial" w:cs="Arial" w:eastAsia="Arial" w:hAnsi="Arial"/>
          <w:sz w:val="18"/>
          <w:szCs w:val="18"/>
          <w:color w:val="auto"/>
        </w:rPr>
        <w:t>Notwithstanding anything contained in the Excess Benefit Plan to the contrary, no Participant shall be required to mitigate the amount of any payment or benefit provided for in the Excess Benefit Plan by seeking other employment or otherwise and no such payment shall be offset or reduced by the amount of any compensation or benefits provided to any participant in any subsequent employment.</w:t>
      </w:r>
    </w:p>
    <w:p>
      <w:pPr>
        <w:spacing w:after="0" w:line="154" w:lineRule="exact"/>
        <w:rPr>
          <w:rFonts w:ascii="Arial" w:cs="Arial" w:eastAsia="Arial" w:hAnsi="Arial"/>
          <w:sz w:val="18"/>
          <w:szCs w:val="18"/>
          <w:color w:val="auto"/>
        </w:rPr>
      </w:pPr>
    </w:p>
    <w:p>
      <w:pPr>
        <w:ind w:firstLine="954"/>
        <w:spacing w:after="0" w:line="277" w:lineRule="auto"/>
        <w:tabs>
          <w:tab w:leader="none" w:pos="1399"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provisions of the Excess Benefit Plan shall be deemed severable and the validity or enforceability of any provision shall not affect the validity or enforceability of the other provisions hereof.</w:t>
      </w:r>
    </w:p>
    <w:p>
      <w:pPr>
        <w:spacing w:after="0" w:line="129" w:lineRule="exact"/>
        <w:rPr>
          <w:rFonts w:ascii="Arial" w:cs="Arial" w:eastAsia="Arial" w:hAnsi="Arial"/>
          <w:sz w:val="18"/>
          <w:szCs w:val="18"/>
          <w:color w:val="auto"/>
        </w:rPr>
      </w:pPr>
    </w:p>
    <w:p>
      <w:pPr>
        <w:jc w:val="both"/>
        <w:ind w:firstLine="1094"/>
        <w:spacing w:after="0" w:line="264" w:lineRule="auto"/>
        <w:tabs>
          <w:tab w:leader="none" w:pos="1624" w:val="left"/>
        </w:tabs>
        <w:numPr>
          <w:ilvl w:val="4"/>
          <w:numId w:val="115"/>
        </w:numPr>
        <w:rPr>
          <w:rFonts w:ascii="Arial" w:cs="Arial" w:eastAsia="Arial" w:hAnsi="Arial"/>
          <w:sz w:val="18"/>
          <w:szCs w:val="18"/>
          <w:color w:val="auto"/>
        </w:rPr>
      </w:pPr>
      <w:r>
        <w:rPr>
          <w:rFonts w:ascii="Arial" w:cs="Arial" w:eastAsia="Arial" w:hAnsi="Arial"/>
          <w:sz w:val="18"/>
          <w:szCs w:val="18"/>
          <w:color w:val="auto"/>
        </w:rPr>
        <w:t>The Corporation’s obligation to make the payments and provide the benefits provided for in the Excess Benefit Plan and otherwise to perform its obligation hereunder shall not be affected by any circumstances, including, without limitation, any set-off, counterclaim, recoupment, defense or other right which the Corporation may have against the Participant or others.</w:t>
      </w:r>
    </w:p>
    <w:p>
      <w:pPr>
        <w:spacing w:after="0" w:line="141" w:lineRule="exact"/>
        <w:rPr>
          <w:sz w:val="20"/>
          <w:szCs w:val="20"/>
          <w:color w:val="auto"/>
        </w:rPr>
      </w:pPr>
    </w:p>
    <w:p>
      <w:pPr>
        <w:jc w:val="both"/>
        <w:ind w:firstLine="920"/>
        <w:spacing w:after="0" w:line="259" w:lineRule="auto"/>
        <w:tabs>
          <w:tab w:leader="none" w:pos="14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provision of the Excess Benefit Plan may be modified, waived or discharged unless such waiver, modification or discharge is agreed to in writing and signed by the Participant and the corporation. No waiver by either party hereto at any time of breach by the other party hereto of, or compliance with, any condition or provision of the Excess Benefit Plan to be performed by such other party shall be deemed a waiver of similar or dissimilar provisions or conditions at the same or any prior or subsequent time.</w:t>
      </w:r>
    </w:p>
    <w:p>
      <w:pPr>
        <w:spacing w:after="0" w:line="16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85" w:lineRule="exact"/>
        <w:rPr>
          <w:sz w:val="20"/>
          <w:szCs w:val="20"/>
          <w:color w:val="auto"/>
        </w:rPr>
      </w:pPr>
    </w:p>
    <w:p>
      <w:pPr>
        <w:ind w:right="20" w:firstLine="649"/>
        <w:spacing w:after="0" w:line="277" w:lineRule="auto"/>
        <w:rPr>
          <w:sz w:val="20"/>
          <w:szCs w:val="20"/>
          <w:color w:val="auto"/>
        </w:rPr>
      </w:pPr>
      <w:r>
        <w:rPr>
          <w:rFonts w:ascii="Arial" w:cs="Arial" w:eastAsia="Arial" w:hAnsi="Arial"/>
          <w:sz w:val="18"/>
          <w:szCs w:val="18"/>
          <w:color w:val="auto"/>
        </w:rPr>
        <w:t>Except as provided below, capitalized terms used in the Excess Benefit Plan shall have the same meaning as in the Retirement Plan or ESIP, as appropriate:</w:t>
      </w:r>
    </w:p>
    <w:p>
      <w:pPr>
        <w:spacing w:after="0" w:line="13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Aramco ICP</w:t>
      </w:r>
      <w:r>
        <w:rPr>
          <w:rFonts w:ascii="Arial" w:cs="Arial" w:eastAsia="Arial" w:hAnsi="Arial"/>
          <w:sz w:val="16"/>
          <w:szCs w:val="16"/>
          <w:color w:val="auto"/>
        </w:rPr>
        <w:t>” means the Arabian American Oil Company Incentive Compensation Plan.</w:t>
      </w:r>
    </w:p>
    <w:p>
      <w:pPr>
        <w:spacing w:after="0" w:line="19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Aramco Plan</w:t>
      </w:r>
      <w:r>
        <w:rPr>
          <w:rFonts w:ascii="Arial" w:cs="Arial" w:eastAsia="Arial" w:hAnsi="Arial"/>
          <w:sz w:val="16"/>
          <w:szCs w:val="16"/>
          <w:color w:val="auto"/>
        </w:rPr>
        <w:t>” means the Arabian American Oil Company Supplementary Retirement Plan.</w:t>
      </w:r>
    </w:p>
    <w:p>
      <w:pPr>
        <w:spacing w:after="0" w:line="185" w:lineRule="exact"/>
        <w:rPr>
          <w:sz w:val="20"/>
          <w:szCs w:val="20"/>
          <w:color w:val="auto"/>
        </w:rPr>
      </w:pPr>
    </w:p>
    <w:p>
      <w:pPr>
        <w:ind w:right="20" w:firstLine="504"/>
        <w:spacing w:after="0" w:line="277" w:lineRule="auto"/>
        <w:rPr>
          <w:sz w:val="20"/>
          <w:szCs w:val="20"/>
          <w:color w:val="auto"/>
        </w:rPr>
      </w:pPr>
      <w:r>
        <w:rPr>
          <w:rFonts w:ascii="Arial" w:cs="Arial" w:eastAsia="Arial" w:hAnsi="Arial"/>
          <w:sz w:val="18"/>
          <w:szCs w:val="18"/>
          <w:color w:val="auto"/>
        </w:rPr>
        <w:t>8.3 “</w:t>
      </w:r>
      <w:r>
        <w:rPr>
          <w:rFonts w:ascii="Arial" w:cs="Arial" w:eastAsia="Arial" w:hAnsi="Arial"/>
          <w:sz w:val="18"/>
          <w:szCs w:val="18"/>
          <w:u w:val="single" w:color="auto"/>
          <w:color w:val="auto"/>
        </w:rPr>
        <w:t>Beneficiary</w:t>
      </w:r>
      <w:r>
        <w:rPr>
          <w:rFonts w:ascii="Arial" w:cs="Arial" w:eastAsia="Arial" w:hAnsi="Arial"/>
          <w:sz w:val="18"/>
          <w:szCs w:val="18"/>
          <w:color w:val="auto"/>
        </w:rPr>
        <w:t>” means the person or persons entitled to receive a Participant’s Plan Benefit in the event the Participant dies prior to receiving the entire amount of such Plan Benefit, as provided in Section 5(c).</w:t>
      </w:r>
    </w:p>
    <w:p>
      <w:pPr>
        <w:spacing w:after="0" w:line="130"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8.4 “</w:t>
      </w:r>
      <w:r>
        <w:rPr>
          <w:rFonts w:ascii="Arial" w:cs="Arial" w:eastAsia="Arial" w:hAnsi="Arial"/>
          <w:sz w:val="18"/>
          <w:szCs w:val="18"/>
          <w:u w:val="single" w:color="auto"/>
          <w:color w:val="auto"/>
        </w:rPr>
        <w:t>Benefit Protection Period</w:t>
      </w:r>
      <w:r>
        <w:rPr>
          <w:rFonts w:ascii="Arial" w:cs="Arial" w:eastAsia="Arial" w:hAnsi="Arial"/>
          <w:sz w:val="18"/>
          <w:szCs w:val="18"/>
          <w:color w:val="auto"/>
        </w:rPr>
        <w:t>” means the period commencing on the Benefit Protection Period Commencement Date and terminating two years after the date of a Change in Control.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8" w:name="page109"/>
    <w:bookmarkEnd w:id="108"/>
    <w:p>
      <w:pPr>
        <w:ind w:left="10480"/>
        <w:spacing w:after="0"/>
        <w:rPr>
          <w:sz w:val="20"/>
          <w:szCs w:val="20"/>
          <w:color w:val="auto"/>
        </w:rPr>
      </w:pPr>
      <w:r>
        <w:rPr>
          <w:rFonts w:ascii="Arial" w:cs="Arial" w:eastAsia="Arial" w:hAnsi="Arial"/>
          <w:sz w:val="16"/>
          <w:szCs w:val="16"/>
          <w:b w:val="1"/>
          <w:bCs w:val="1"/>
          <w:color w:val="auto"/>
        </w:rPr>
        <w:t>Exhibit 10.3</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8.5 “</w:t>
      </w:r>
      <w:r>
        <w:rPr>
          <w:rFonts w:ascii="Arial" w:cs="Arial" w:eastAsia="Arial" w:hAnsi="Arial"/>
          <w:sz w:val="18"/>
          <w:szCs w:val="18"/>
          <w:u w:val="single" w:color="auto"/>
          <w:color w:val="auto"/>
        </w:rPr>
        <w:t>Benefit Protection Period Commencement Date</w:t>
      </w:r>
      <w:r>
        <w:rPr>
          <w:rFonts w:ascii="Arial" w:cs="Arial" w:eastAsia="Arial" w:hAnsi="Arial"/>
          <w:sz w:val="18"/>
          <w:szCs w:val="18"/>
          <w:color w:val="auto"/>
        </w:rPr>
        <w:t>” means the date six months prior to the public announcement of the proposed transaction which, when effected, is a Change in Control.</w:t>
      </w:r>
    </w:p>
    <w:p>
      <w:pPr>
        <w:spacing w:after="0" w:line="13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Caltex AIP</w:t>
      </w:r>
      <w:r>
        <w:rPr>
          <w:rFonts w:ascii="Arial" w:cs="Arial" w:eastAsia="Arial" w:hAnsi="Arial"/>
          <w:sz w:val="16"/>
          <w:szCs w:val="16"/>
          <w:color w:val="auto"/>
        </w:rPr>
        <w:t>” means the Caltex-Amoseas Annual Incentive Plan.</w:t>
      </w:r>
    </w:p>
    <w:p>
      <w:pPr>
        <w:spacing w:after="0" w:line="18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Caltex Plan</w:t>
      </w:r>
      <w:r>
        <w:rPr>
          <w:rFonts w:ascii="Arial" w:cs="Arial" w:eastAsia="Arial" w:hAnsi="Arial"/>
          <w:sz w:val="16"/>
          <w:szCs w:val="16"/>
          <w:color w:val="auto"/>
        </w:rPr>
        <w:t>” means the Pension Supplementation Plan of Caltex Corporation.</w:t>
      </w:r>
    </w:p>
    <w:p>
      <w:pPr>
        <w:spacing w:after="0" w:line="198" w:lineRule="exact"/>
        <w:rPr>
          <w:sz w:val="20"/>
          <w:szCs w:val="20"/>
          <w:color w:val="auto"/>
        </w:rPr>
      </w:pPr>
    </w:p>
    <w:p>
      <w:pPr>
        <w:jc w:val="both"/>
        <w:ind w:right="20" w:firstLine="477"/>
        <w:spacing w:after="0" w:line="277" w:lineRule="auto"/>
        <w:rPr>
          <w:sz w:val="20"/>
          <w:szCs w:val="20"/>
          <w:color w:val="auto"/>
        </w:rPr>
      </w:pPr>
      <w:r>
        <w:rPr>
          <w:rFonts w:ascii="Arial" w:cs="Arial" w:eastAsia="Arial" w:hAnsi="Arial"/>
          <w:sz w:val="18"/>
          <w:szCs w:val="18"/>
          <w:color w:val="auto"/>
        </w:rPr>
        <w:t>8.8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change in control of the Corporation as defined in Article VI of the Corporation’s By-Laws, as it may be amended from time-to-time.</w:t>
      </w:r>
    </w:p>
    <w:p>
      <w:pPr>
        <w:spacing w:after="0" w:line="13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Management Compensation Committee of the Board of Directors of ChevronTexaco Corporation.</w:t>
      </w:r>
    </w:p>
    <w:p>
      <w:pPr>
        <w:spacing w:after="0" w:line="198" w:lineRule="exact"/>
        <w:rPr>
          <w:sz w:val="20"/>
          <w:szCs w:val="20"/>
          <w:color w:val="auto"/>
        </w:rPr>
      </w:pPr>
    </w:p>
    <w:p>
      <w:pPr>
        <w:jc w:val="both"/>
        <w:ind w:firstLine="531"/>
        <w:spacing w:after="0" w:line="277" w:lineRule="auto"/>
        <w:rPr>
          <w:sz w:val="20"/>
          <w:szCs w:val="20"/>
          <w:color w:val="auto"/>
        </w:rPr>
      </w:pPr>
      <w:r>
        <w:rPr>
          <w:rFonts w:ascii="Arial" w:cs="Arial" w:eastAsia="Arial" w:hAnsi="Arial"/>
          <w:sz w:val="18"/>
          <w:szCs w:val="18"/>
          <w:color w:val="auto"/>
        </w:rPr>
        <w:t>8.11 “</w:t>
      </w:r>
      <w:r>
        <w:rPr>
          <w:rFonts w:ascii="Arial" w:cs="Arial" w:eastAsia="Arial" w:hAnsi="Arial"/>
          <w:sz w:val="18"/>
          <w:szCs w:val="18"/>
          <w:u w:val="single" w:color="auto"/>
          <w:color w:val="auto"/>
        </w:rPr>
        <w:t>Composite Transaction Report</w:t>
      </w:r>
      <w:r>
        <w:rPr>
          <w:rFonts w:ascii="Arial" w:cs="Arial" w:eastAsia="Arial" w:hAnsi="Arial"/>
          <w:sz w:val="18"/>
          <w:szCs w:val="18"/>
          <w:color w:val="auto"/>
        </w:rPr>
        <w:t>” means the New York Stock Exchange, Inc. Composite Transaction Report, or such other stock report as the Committee from time to time may designate.</w:t>
      </w:r>
    </w:p>
    <w:p>
      <w:pPr>
        <w:spacing w:after="0" w:line="13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means ChevronTexaco Corporation, a Delaware corporation.</w:t>
      </w:r>
    </w:p>
    <w:p>
      <w:pPr>
        <w:spacing w:after="0" w:line="185" w:lineRule="exact"/>
        <w:rPr>
          <w:sz w:val="20"/>
          <w:szCs w:val="20"/>
          <w:color w:val="auto"/>
        </w:rPr>
      </w:pPr>
    </w:p>
    <w:p>
      <w:pPr>
        <w:jc w:val="both"/>
        <w:ind w:firstLine="477"/>
        <w:spacing w:after="0" w:line="277" w:lineRule="auto"/>
        <w:rPr>
          <w:sz w:val="20"/>
          <w:szCs w:val="20"/>
          <w:color w:val="auto"/>
        </w:rPr>
      </w:pPr>
      <w:r>
        <w:rPr>
          <w:rFonts w:ascii="Arial" w:cs="Arial" w:eastAsia="Arial" w:hAnsi="Arial"/>
          <w:sz w:val="18"/>
          <w:szCs w:val="18"/>
          <w:color w:val="auto"/>
        </w:rPr>
        <w:t>8.13 “</w:t>
      </w:r>
      <w:r>
        <w:rPr>
          <w:rFonts w:ascii="Arial" w:cs="Arial" w:eastAsia="Arial" w:hAnsi="Arial"/>
          <w:sz w:val="18"/>
          <w:szCs w:val="18"/>
          <w:u w:val="single" w:color="auto"/>
          <w:color w:val="auto"/>
        </w:rPr>
        <w:t>Deferred Compensation Plan</w:t>
      </w:r>
      <w:r>
        <w:rPr>
          <w:rFonts w:ascii="Arial" w:cs="Arial" w:eastAsia="Arial" w:hAnsi="Arial"/>
          <w:sz w:val="18"/>
          <w:szCs w:val="18"/>
          <w:color w:val="auto"/>
        </w:rPr>
        <w:t>” means the ChevronTexaco Corporation Deferred Compensation Plan for Management Employees (formerly the Salary Deferral Plan for Management Employees).</w:t>
      </w:r>
    </w:p>
    <w:p>
      <w:pPr>
        <w:spacing w:after="0" w:line="143" w:lineRule="exact"/>
        <w:rPr>
          <w:sz w:val="20"/>
          <w:szCs w:val="20"/>
          <w:color w:val="auto"/>
        </w:rPr>
      </w:pPr>
    </w:p>
    <w:p>
      <w:pPr>
        <w:jc w:val="both"/>
        <w:ind w:firstLine="549"/>
        <w:spacing w:after="0" w:line="277" w:lineRule="auto"/>
        <w:rPr>
          <w:sz w:val="20"/>
          <w:szCs w:val="20"/>
          <w:color w:val="auto"/>
        </w:rPr>
      </w:pPr>
      <w:r>
        <w:rPr>
          <w:rFonts w:ascii="Arial" w:cs="Arial" w:eastAsia="Arial" w:hAnsi="Arial"/>
          <w:sz w:val="18"/>
          <w:szCs w:val="18"/>
          <w:color w:val="auto"/>
        </w:rPr>
        <w:t>8.14 “</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who is on the U. S. dollar payroll of and is rendering services to ChevronTexaco Corporation or one of its subsidiaries or affiliates.</w:t>
      </w:r>
    </w:p>
    <w:p>
      <w:pPr>
        <w:spacing w:after="0" w:line="13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ESIP</w:t>
      </w:r>
      <w:r>
        <w:rPr>
          <w:rFonts w:ascii="Arial" w:cs="Arial" w:eastAsia="Arial" w:hAnsi="Arial"/>
          <w:sz w:val="16"/>
          <w:szCs w:val="16"/>
          <w:color w:val="auto"/>
        </w:rPr>
        <w:t>” means the ChevronTexaco Corporation Employee Savings Investment Plan.</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ESIP Excess Benefit</w:t>
      </w:r>
      <w:r>
        <w:rPr>
          <w:rFonts w:ascii="Arial" w:cs="Arial" w:eastAsia="Arial" w:hAnsi="Arial"/>
          <w:sz w:val="16"/>
          <w:szCs w:val="16"/>
          <w:color w:val="auto"/>
        </w:rPr>
        <w:t>” means the benefit described in Section 3(c).</w:t>
      </w:r>
    </w:p>
    <w:p>
      <w:pPr>
        <w:spacing w:after="0" w:line="19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ESIP Excess Benefit Account</w:t>
      </w:r>
      <w:r>
        <w:rPr>
          <w:rFonts w:ascii="Arial" w:cs="Arial" w:eastAsia="Arial" w:hAnsi="Arial"/>
          <w:sz w:val="16"/>
          <w:szCs w:val="16"/>
          <w:color w:val="auto"/>
        </w:rPr>
        <w:t>” means the account described in Section 3(c)(i).</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Gulf SPP</w:t>
      </w:r>
      <w:r>
        <w:rPr>
          <w:rFonts w:ascii="Arial" w:cs="Arial" w:eastAsia="Arial" w:hAnsi="Arial"/>
          <w:sz w:val="16"/>
          <w:szCs w:val="16"/>
          <w:color w:val="auto"/>
        </w:rPr>
        <w:t>” means the Supplemental Pension Plan of Gulf Oil Corporation.</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Gulf SPP Benefit</w:t>
      </w:r>
      <w:r>
        <w:rPr>
          <w:rFonts w:ascii="Arial" w:cs="Arial" w:eastAsia="Arial" w:hAnsi="Arial"/>
          <w:sz w:val="16"/>
          <w:szCs w:val="16"/>
          <w:color w:val="auto"/>
        </w:rPr>
        <w:t>” means the benefits provided for in the Gulf SPP, other than the Special Retirement Bonus provided for in Section 11 thereof.</w:t>
      </w:r>
    </w:p>
    <w:p>
      <w:pPr>
        <w:spacing w:after="0" w:line="19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MIP</w:t>
      </w:r>
      <w:r>
        <w:rPr>
          <w:rFonts w:ascii="Arial" w:cs="Arial" w:eastAsia="Arial" w:hAnsi="Arial"/>
          <w:sz w:val="16"/>
          <w:szCs w:val="16"/>
          <w:color w:val="auto"/>
        </w:rPr>
        <w:t>” means the Management Incentive Plan of ChevronTexaco Corporation.</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MIP Award Year</w:t>
      </w:r>
      <w:r>
        <w:rPr>
          <w:rFonts w:ascii="Arial" w:cs="Arial" w:eastAsia="Arial" w:hAnsi="Arial"/>
          <w:sz w:val="16"/>
          <w:szCs w:val="16"/>
          <w:color w:val="auto"/>
        </w:rPr>
        <w:t>” means the calendar year with respect to which an award is made under the MIP.</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MIP Credited Service</w:t>
      </w:r>
      <w:r>
        <w:rPr>
          <w:rFonts w:ascii="Arial" w:cs="Arial" w:eastAsia="Arial" w:hAnsi="Arial"/>
          <w:sz w:val="16"/>
          <w:szCs w:val="16"/>
          <w:color w:val="auto"/>
        </w:rPr>
        <w:t>” is defined in Section 3(a)(ii)(D).</w:t>
      </w:r>
    </w:p>
    <w:p>
      <w:pPr>
        <w:spacing w:after="0" w:line="19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MIP Excess Benefit Earnings</w:t>
      </w:r>
      <w:r>
        <w:rPr>
          <w:rFonts w:ascii="Arial" w:cs="Arial" w:eastAsia="Arial" w:hAnsi="Arial"/>
          <w:sz w:val="16"/>
          <w:szCs w:val="16"/>
          <w:color w:val="auto"/>
        </w:rPr>
        <w:t>” is defined in Section 3(a)(ii)(A).</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is eligible to participate in the Excess Benefit Plan as provided in Section 2.</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Benefit</w:t>
      </w:r>
      <w:r>
        <w:rPr>
          <w:rFonts w:ascii="Arial" w:cs="Arial" w:eastAsia="Arial" w:hAnsi="Arial"/>
          <w:sz w:val="16"/>
          <w:szCs w:val="16"/>
          <w:color w:val="auto"/>
        </w:rPr>
        <w:t>” means the benefits described in Section 3.</w:t>
      </w:r>
    </w:p>
    <w:p>
      <w:pPr>
        <w:spacing w:after="0" w:line="19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calendar year.</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Quarter</w:t>
      </w:r>
      <w:r>
        <w:rPr>
          <w:rFonts w:ascii="Arial" w:cs="Arial" w:eastAsia="Arial" w:hAnsi="Arial"/>
          <w:sz w:val="16"/>
          <w:szCs w:val="16"/>
          <w:color w:val="auto"/>
        </w:rPr>
        <w:t>” means a calendar quarter.</w:t>
      </w:r>
    </w:p>
    <w:p>
      <w:pPr>
        <w:spacing w:after="0" w:line="18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Retirement Excess Benefit</w:t>
      </w:r>
      <w:r>
        <w:rPr>
          <w:rFonts w:ascii="Arial" w:cs="Arial" w:eastAsia="Arial" w:hAnsi="Arial"/>
          <w:sz w:val="16"/>
          <w:szCs w:val="16"/>
          <w:color w:val="auto"/>
        </w:rPr>
        <w:t>” means the benefit described in Section 3(a).</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Retirement Plan</w:t>
      </w:r>
      <w:r>
        <w:rPr>
          <w:rFonts w:ascii="Arial" w:cs="Arial" w:eastAsia="Arial" w:hAnsi="Arial"/>
          <w:sz w:val="16"/>
          <w:szCs w:val="16"/>
          <w:color w:val="auto"/>
        </w:rPr>
        <w:t>” means the ChevronTexaco Corporation Retirement Plan, including all Supplements thereto.</w:t>
      </w:r>
    </w:p>
    <w:p>
      <w:pPr>
        <w:spacing w:after="0" w:line="185" w:lineRule="exact"/>
        <w:rPr>
          <w:sz w:val="20"/>
          <w:szCs w:val="20"/>
          <w:color w:val="auto"/>
        </w:rPr>
      </w:pPr>
    </w:p>
    <w:p>
      <w:pPr>
        <w:jc w:val="both"/>
        <w:ind w:firstLine="450"/>
        <w:spacing w:after="0" w:line="312" w:lineRule="auto"/>
        <w:rPr>
          <w:sz w:val="20"/>
          <w:szCs w:val="20"/>
          <w:color w:val="auto"/>
        </w:rPr>
      </w:pPr>
      <w:r>
        <w:rPr>
          <w:rFonts w:ascii="Arial" w:cs="Arial" w:eastAsia="Arial" w:hAnsi="Arial"/>
          <w:sz w:val="16"/>
          <w:szCs w:val="16"/>
          <w:color w:val="auto"/>
        </w:rPr>
        <w:t>8.30 “</w:t>
      </w:r>
      <w:r>
        <w:rPr>
          <w:rFonts w:ascii="Arial" w:cs="Arial" w:eastAsia="Arial" w:hAnsi="Arial"/>
          <w:sz w:val="16"/>
          <w:szCs w:val="16"/>
          <w:u w:val="single" w:color="auto"/>
          <w:color w:val="auto"/>
        </w:rPr>
        <w:t>Section 401(a)(17) Reduction</w:t>
      </w:r>
      <w:r>
        <w:rPr>
          <w:rFonts w:ascii="Arial" w:cs="Arial" w:eastAsia="Arial" w:hAnsi="Arial"/>
          <w:sz w:val="16"/>
          <w:szCs w:val="16"/>
          <w:color w:val="auto"/>
        </w:rPr>
        <w:t>” means, as the context may require, (i) any reduction in the allocation of Company Contributions to a Participant by reason of the limitation on Member Contributions that is required to comply with section 401(a)(17) of the Code, and (ii) any reduction in a Participant’s Plan Benefit under the Retirement Plan by reason of the limitation on Regular Earnings that is required to comply with section 401(a)(17) of the Code.</w:t>
      </w:r>
    </w:p>
    <w:p>
      <w:pPr>
        <w:spacing w:after="0" w:line="106"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8"/>
          <w:szCs w:val="18"/>
          <w:color w:val="auto"/>
        </w:rPr>
        <w:t>8.31 “</w:t>
      </w:r>
      <w:r>
        <w:rPr>
          <w:rFonts w:ascii="Arial" w:cs="Arial" w:eastAsia="Arial" w:hAnsi="Arial"/>
          <w:sz w:val="18"/>
          <w:szCs w:val="18"/>
          <w:u w:val="single" w:color="auto"/>
          <w:color w:val="auto"/>
        </w:rPr>
        <w:t>Section 415 Reduction</w:t>
      </w:r>
      <w:r>
        <w:rPr>
          <w:rFonts w:ascii="Arial" w:cs="Arial" w:eastAsia="Arial" w:hAnsi="Arial"/>
          <w:sz w:val="18"/>
          <w:szCs w:val="18"/>
          <w:color w:val="auto"/>
        </w:rPr>
        <w:t>” means any reduction in a Participant’s Plan Benefit under the Retirement Plan that is required to comply with any of the limitations on annual pension benefits imposed under section 415 of the Code.</w:t>
      </w:r>
    </w:p>
    <w:p>
      <w:pPr>
        <w:spacing w:after="0" w:line="143"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8.32 “</w:t>
      </w:r>
      <w:r>
        <w:rPr>
          <w:rFonts w:ascii="Arial" w:cs="Arial" w:eastAsia="Arial" w:hAnsi="Arial"/>
          <w:sz w:val="18"/>
          <w:szCs w:val="18"/>
          <w:u w:val="single" w:color="auto"/>
          <w:color w:val="auto"/>
        </w:rPr>
        <w:t>Section 415(c)(1)(A) Reduction</w:t>
      </w:r>
      <w:r>
        <w:rPr>
          <w:rFonts w:ascii="Arial" w:cs="Arial" w:eastAsia="Arial" w:hAnsi="Arial"/>
          <w:sz w:val="18"/>
          <w:szCs w:val="18"/>
          <w:color w:val="auto"/>
        </w:rPr>
        <w:t>” means any reduction in the allocation of Company Contributions to a Participant that is required to comply with the dollar limitation on “annual additions” imposed under section 415(c)(1)(A) of the Code. “Section 415(c)(i)(A) Reduction” shall not include any reduction with respect to any special allocation made pursuant to Section 24.5 of the ESIP, as amended from time to time, with respect to a “change in control” as that term is defined in such Section 24.5 of the ESIP.</w:t>
      </w:r>
    </w:p>
    <w:p>
      <w:pPr>
        <w:spacing w:after="0" w:line="146"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Spouse-Pension</w:t>
      </w:r>
      <w:r>
        <w:rPr>
          <w:rFonts w:ascii="Arial" w:cs="Arial" w:eastAsia="Arial" w:hAnsi="Arial"/>
          <w:sz w:val="16"/>
          <w:szCs w:val="16"/>
          <w:color w:val="auto"/>
        </w:rPr>
        <w:t>” means the Spouse-Pension provided for in the Gulf SPP.</w:t>
      </w:r>
    </w:p>
    <w:p>
      <w:pPr>
        <w:spacing w:after="0" w:line="185" w:lineRule="exact"/>
        <w:rPr>
          <w:sz w:val="20"/>
          <w:szCs w:val="20"/>
          <w:color w:val="auto"/>
        </w:rPr>
      </w:pPr>
    </w:p>
    <w:p>
      <w:pPr>
        <w:jc w:val="both"/>
        <w:ind w:firstLine="666"/>
        <w:spacing w:after="0" w:line="277" w:lineRule="auto"/>
        <w:rPr>
          <w:sz w:val="20"/>
          <w:szCs w:val="20"/>
          <w:color w:val="auto"/>
        </w:rPr>
      </w:pPr>
      <w:r>
        <w:rPr>
          <w:rFonts w:ascii="Arial" w:cs="Arial" w:eastAsia="Arial" w:hAnsi="Arial"/>
          <w:sz w:val="18"/>
          <w:szCs w:val="18"/>
          <w:color w:val="auto"/>
        </w:rPr>
        <w:t>8.34 “</w:t>
      </w:r>
      <w:r>
        <w:rPr>
          <w:rFonts w:ascii="Arial" w:cs="Arial" w:eastAsia="Arial" w:hAnsi="Arial"/>
          <w:sz w:val="18"/>
          <w:szCs w:val="18"/>
          <w:u w:val="single" w:color="auto"/>
          <w:color w:val="auto"/>
        </w:rPr>
        <w:t>Stock Units</w:t>
      </w:r>
      <w:r>
        <w:rPr>
          <w:rFonts w:ascii="Arial" w:cs="Arial" w:eastAsia="Arial" w:hAnsi="Arial"/>
          <w:sz w:val="18"/>
          <w:szCs w:val="18"/>
          <w:color w:val="auto"/>
        </w:rPr>
        <w:t>” means the ChevronTexaco stock equivalents credited to a Participant’s ESIP Excess Benefit Account in accordance with Section 3(c).</w:t>
      </w:r>
    </w:p>
    <w:p>
      <w:pPr>
        <w:spacing w:after="0" w:line="143"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8.35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means a corporation or other entity acquiring all or substantially all the assets and business of the ChevronTexaco Corporation (including the Plan) whether by operation of law or otherwise.</w:t>
      </w:r>
    </w:p>
    <w:p>
      <w:pPr>
        <w:spacing w:after="0" w:line="13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8.36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Unrestricted Award</w:t>
      </w:r>
      <w:r>
        <w:rPr>
          <w:rFonts w:ascii="Arial" w:cs="Arial" w:eastAsia="Arial" w:hAnsi="Arial"/>
          <w:sz w:val="16"/>
          <w:szCs w:val="16"/>
          <w:color w:val="auto"/>
        </w:rPr>
        <w:t>” means a nonforfeitable award under the MIP, Aramco ICP or Caltex AIP, as described in Sections 3(a)(ii)(B) and (C).</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EXECUTION</w:t>
      </w:r>
      <w:r>
        <w:rPr>
          <w:rFonts w:ascii="Arial" w:cs="Arial" w:eastAsia="Arial" w:hAnsi="Arial"/>
          <w:sz w:val="17"/>
          <w:szCs w:val="17"/>
          <w:color w:val="auto"/>
        </w:rPr>
        <w:t>.</w:t>
      </w:r>
    </w:p>
    <w:p>
      <w:pPr>
        <w:spacing w:after="0" w:line="198" w:lineRule="exact"/>
        <w:rPr>
          <w:sz w:val="20"/>
          <w:szCs w:val="20"/>
          <w:color w:val="auto"/>
        </w:rPr>
      </w:pPr>
    </w:p>
    <w:p>
      <w:pPr>
        <w:jc w:val="both"/>
        <w:ind w:firstLine="696"/>
        <w:spacing w:after="0" w:line="277" w:lineRule="auto"/>
        <w:rPr>
          <w:sz w:val="20"/>
          <w:szCs w:val="20"/>
          <w:color w:val="auto"/>
        </w:rPr>
      </w:pPr>
      <w:r>
        <w:rPr>
          <w:rFonts w:ascii="Arial" w:cs="Arial" w:eastAsia="Arial" w:hAnsi="Arial"/>
          <w:sz w:val="18"/>
          <w:szCs w:val="18"/>
          <w:color w:val="auto"/>
        </w:rPr>
        <w:t>To record the amendment and restatement of the Excess Benefit Plan to read as set forth herein effective as of April 1, 2002, ChevronTexaco Corporation has caused its authorized officer execute this document this first day of April, 2002.</w:t>
      </w:r>
    </w:p>
    <w:p>
      <w:pPr>
        <w:spacing w:after="0" w:line="200" w:lineRule="exact"/>
        <w:rPr>
          <w:sz w:val="20"/>
          <w:szCs w:val="20"/>
          <w:color w:val="auto"/>
        </w:rPr>
      </w:pPr>
    </w:p>
    <w:p>
      <w:pPr>
        <w:spacing w:after="0" w:line="3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CHEVRONTEXACO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 David J. O’Reilly</w:t>
            </w:r>
          </w:p>
        </w:tc>
      </w:tr>
      <w:tr>
        <w:trPr>
          <w:trHeight w:val="237"/>
        </w:trPr>
        <w:tc>
          <w:tcPr>
            <w:tcW w:w="640" w:type="dxa"/>
            <w:vAlign w:val="bottom"/>
          </w:tcPr>
          <w:p>
            <w:pPr>
              <w:spacing w:after="0"/>
              <w:rPr>
                <w:sz w:val="20"/>
                <w:szCs w:val="20"/>
                <w:color w:val="auto"/>
              </w:rPr>
            </w:pPr>
          </w:p>
        </w:tc>
        <w:tc>
          <w:tcPr>
            <w:tcW w:w="5220" w:type="dxa"/>
            <w:vAlign w:val="bottom"/>
          </w:tcPr>
          <w:p>
            <w:pPr>
              <w:ind w:left="1780"/>
              <w:spacing w:after="0"/>
              <w:rPr>
                <w:sz w:val="20"/>
                <w:szCs w:val="20"/>
                <w:color w:val="auto"/>
              </w:rPr>
            </w:pPr>
            <w:r>
              <w:rPr>
                <w:rFonts w:ascii="Arial" w:cs="Arial" w:eastAsia="Arial" w:hAnsi="Arial"/>
                <w:sz w:val="18"/>
                <w:szCs w:val="18"/>
                <w:color w:val="auto"/>
              </w:rPr>
              <w:t>Chairman of the Board</w:t>
            </w:r>
          </w:p>
        </w:tc>
      </w:tr>
      <w:tr>
        <w:trPr>
          <w:trHeight w:val="432"/>
        </w:trPr>
        <w:tc>
          <w:tcPr>
            <w:tcW w:w="640" w:type="dxa"/>
            <w:vAlign w:val="bottom"/>
          </w:tcPr>
          <w:p>
            <w:pPr>
              <w:ind w:left="80"/>
              <w:spacing w:after="0"/>
              <w:rPr>
                <w:sz w:val="20"/>
                <w:szCs w:val="20"/>
                <w:color w:val="auto"/>
              </w:rPr>
            </w:pPr>
            <w:r>
              <w:rPr>
                <w:rFonts w:ascii="Arial" w:cs="Arial" w:eastAsia="Arial" w:hAnsi="Arial"/>
                <w:sz w:val="18"/>
                <w:szCs w:val="18"/>
                <w:color w:val="auto"/>
              </w:rPr>
              <w:t>Date</w:t>
            </w:r>
          </w:p>
        </w:tc>
        <w:tc>
          <w:tcPr>
            <w:tcW w:w="52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April 1, 2002</w:t>
            </w:r>
          </w:p>
        </w:tc>
      </w:tr>
      <w:tr>
        <w:trPr>
          <w:trHeight w:val="412"/>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87"/>
              </w:rPr>
              <w:t>-12-</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ChevronTexaco Corporation — Total Enterprise Basis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7"/>
          </w:tcPr>
          <w:p>
            <w:pPr>
              <w:ind w:left="180"/>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Net Income Before Extraordinary Item and</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Cumulative Effect of Changes in Accounting</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7,426</w:t>
            </w:r>
          </w:p>
        </w:tc>
        <w:tc>
          <w:tcPr>
            <w:tcW w:w="22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1,132</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3,931</w:t>
            </w: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7,727</w:t>
            </w:r>
          </w:p>
        </w:tc>
        <w:tc>
          <w:tcPr>
            <w:tcW w:w="22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$3,247</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4,360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6,322</w:t>
            </w:r>
          </w:p>
        </w:tc>
        <w:tc>
          <w:tcPr>
            <w:tcW w:w="2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2,565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Distributions (Less) Greater Than Equity in</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Earnings of Affiliates</w:t>
            </w:r>
          </w:p>
        </w:tc>
        <w:tc>
          <w:tcPr>
            <w:tcW w:w="300" w:type="dxa"/>
            <w:vAlign w:val="bottom"/>
            <w:tcBorders>
              <w:right w:val="single" w:sz="8" w:color="EEEEEE"/>
            </w:tcBorders>
            <w:shd w:val="clear" w:color="auto" w:fill="EEEEEE"/>
          </w:tcPr>
          <w:p>
            <w:pPr>
              <w:spacing w:after="0"/>
              <w:rPr>
                <w:sz w:val="19"/>
                <w:szCs w:val="19"/>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w:t>
            </w:r>
          </w:p>
        </w:tc>
        <w:tc>
          <w:tcPr>
            <w:tcW w:w="114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Minority Interest</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Previously Capitalized Interest Charged to</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Earnings During Period</w:t>
            </w:r>
          </w:p>
        </w:tc>
        <w:tc>
          <w:tcPr>
            <w:tcW w:w="3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Interest Portion of Rentals*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Before Provision for Taxes and</w:t>
            </w: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6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b w:val="1"/>
                <w:bCs w:val="1"/>
                <w:color w:val="auto"/>
              </w:rPr>
              <w:t>Fixed Charges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13,524</w:t>
            </w:r>
          </w:p>
        </w:tc>
        <w:tc>
          <w:tcPr>
            <w:tcW w:w="2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5,765</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9,180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15,655</w:t>
            </w:r>
          </w:p>
        </w:tc>
        <w:tc>
          <w:tcPr>
            <w:tcW w:w="2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$7,050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Interest and Debt Expense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565</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Portion of Rentals*</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Dividends of Subsidiaries</w:t>
            </w: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Fixed Charges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1,060</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1,044</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1,360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1,608</w:t>
            </w:r>
          </w:p>
        </w:tc>
        <w:tc>
          <w:tcPr>
            <w:tcW w:w="2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$1,474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40" w:type="dxa"/>
            <w:vAlign w:val="bottom"/>
            <w:gridSpan w:val="2"/>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12.76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6.75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9.74</w:t>
            </w:r>
          </w:p>
        </w:tc>
        <w:tc>
          <w:tcPr>
            <w:tcW w:w="2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4.78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80" w:right="4860" w:hanging="5572"/>
        <w:spacing w:after="0" w:line="613" w:lineRule="auto"/>
        <w:tabs>
          <w:tab w:leader="none" w:pos="12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Calculated as one-third of rentals. Considered a reasonable approximation of interest factor. E-3</w:t>
      </w:r>
    </w:p>
    <w:p>
      <w:pPr>
        <w:sectPr>
          <w:pgSz w:w="11900" w:h="16838" w:orient="portrait"/>
          <w:cols w:equalWidth="0" w:num="1">
            <w:col w:w="11420"/>
          </w:cols>
          <w:pgMar w:left="240" w:top="93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CHEVRONTEXACO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ind w:left="460"/>
              <w:spacing w:after="0"/>
              <w:rPr>
                <w:sz w:val="20"/>
                <w:szCs w:val="20"/>
                <w:color w:val="auto"/>
              </w:rPr>
            </w:pPr>
            <w:r>
              <w:rPr>
                <w:rFonts w:ascii="Arial" w:cs="Arial" w:eastAsia="Arial" w:hAnsi="Arial"/>
                <w:sz w:val="14"/>
                <w:szCs w:val="14"/>
                <w:b w:val="1"/>
                <w:bCs w:val="1"/>
                <w:color w:val="auto"/>
              </w:rPr>
              <w:t>State or Country</w:t>
            </w:r>
          </w:p>
        </w:tc>
        <w:tc>
          <w:tcPr>
            <w:tcW w:w="1720" w:type="dxa"/>
            <w:vAlign w:val="bottom"/>
          </w:tcPr>
          <w:p>
            <w:pPr>
              <w:spacing w:after="0"/>
              <w:rPr>
                <w:sz w:val="14"/>
                <w:szCs w:val="14"/>
                <w:color w:val="auto"/>
              </w:rPr>
            </w:pPr>
          </w:p>
        </w:tc>
      </w:tr>
      <w:tr>
        <w:trPr>
          <w:trHeight w:val="174"/>
        </w:trPr>
        <w:tc>
          <w:tcPr>
            <w:tcW w:w="1720" w:type="dxa"/>
            <w:vAlign w:val="bottom"/>
          </w:tcPr>
          <w:p>
            <w:pPr>
              <w:spacing w:after="0"/>
              <w:rPr>
                <w:sz w:val="15"/>
                <w:szCs w:val="15"/>
                <w:color w:val="auto"/>
              </w:rPr>
            </w:pPr>
          </w:p>
        </w:tc>
        <w:tc>
          <w:tcPr>
            <w:tcW w:w="3680" w:type="dxa"/>
            <w:vAlign w:val="bottom"/>
          </w:tcPr>
          <w:p>
            <w:pPr>
              <w:ind w:left="2360"/>
              <w:spacing w:after="0"/>
              <w:rPr>
                <w:sz w:val="20"/>
                <w:szCs w:val="20"/>
                <w:color w:val="auto"/>
              </w:rPr>
            </w:pPr>
            <w:r>
              <w:rPr>
                <w:rFonts w:ascii="Arial" w:cs="Arial" w:eastAsia="Arial" w:hAnsi="Arial"/>
                <w:sz w:val="14"/>
                <w:szCs w:val="14"/>
                <w:b w:val="1"/>
                <w:bCs w:val="1"/>
                <w:color w:val="auto"/>
                <w:w w:val="99"/>
              </w:rPr>
              <w:t>Name of Subsidiary</w:t>
            </w: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ind w:left="360"/>
              <w:spacing w:after="0"/>
              <w:rPr>
                <w:sz w:val="20"/>
                <w:szCs w:val="20"/>
                <w:color w:val="auto"/>
              </w:rPr>
            </w:pPr>
            <w:r>
              <w:rPr>
                <w:rFonts w:ascii="Arial" w:cs="Arial" w:eastAsia="Arial" w:hAnsi="Arial"/>
                <w:sz w:val="14"/>
                <w:szCs w:val="14"/>
                <w:b w:val="1"/>
                <w:bCs w:val="1"/>
                <w:color w:val="auto"/>
              </w:rPr>
              <w:t>in Which Organized</w:t>
            </w:r>
          </w:p>
        </w:tc>
        <w:tc>
          <w:tcPr>
            <w:tcW w:w="1720" w:type="dxa"/>
            <w:vAlign w:val="bottom"/>
          </w:tcPr>
          <w:p>
            <w:pPr>
              <w:spacing w:after="0"/>
              <w:rPr>
                <w:sz w:val="15"/>
                <w:szCs w:val="15"/>
                <w:color w:val="auto"/>
              </w:rPr>
            </w:pPr>
          </w:p>
        </w:tc>
      </w:tr>
      <w:tr>
        <w:trPr>
          <w:trHeight w:val="95"/>
        </w:trPr>
        <w:tc>
          <w:tcPr>
            <w:tcW w:w="17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r>
      <w:tr>
        <w:trPr>
          <w:trHeight w:val="309"/>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Bermaco Insurance Company Limited</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24"/>
                <w:szCs w:val="24"/>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Cabinda Gulf Oil Company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(Asia)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New Zealand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New Zealand</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Oil Corporation</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Oil Hong Kong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Hong Kong</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Oil (Kenya)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Kenya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Oil (Pakistan)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Bahamas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Oil (S.A.) (Proprietary)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South Africa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Oil (Thailand)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Bahamas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Caltex (Philippines) Inc.</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Philippines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Asiatic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Australia Transport Pty. Ltd.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Australia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Canada Capital Company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Nova Scotia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Canada Finance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Canada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Canada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Canada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Capital Corporation</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Capital U.S.A. Inc.</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w w:val="94"/>
              </w:rPr>
              <w:t>Chevron Caspian Pipeline Consortium Company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Credit Bank N. A.</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Utah</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w w:val="96"/>
              </w:rPr>
              <w:t>Chevron Environmental Management Company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California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Environmental Services Company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Equatorial Guinea Ltd.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Finance Company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International (Congo)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LNG Shipping Company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Nigeria Deepwater A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Nigeria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Nigeria Deepwater B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Nigeria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Nigeria Deepwater C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Nigeria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Nigeria Deepwater D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Nigeria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Nigeria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Nigeria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Niugini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Papua New Guinea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Oil Company (Nigeria)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Nigeria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Oil Congo (D.R.C.)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Oronite Company LLC</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Oronite Pte. Ltd.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Singapore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Oronite S.A.</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France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Overseas (Congo)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Overseas Company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Overseas Petroleum Brasil Limitada</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Brazil</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Overseas Petroleum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Bahamas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w w:val="95"/>
              </w:rPr>
              <w:t>Chevron Overseas Pipeline (Cameroon)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Bahamas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Overseas Pipeline (Chad)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Bahamas</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Petroleum Chad Company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Petroleum Limited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Pipe Line Company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1720" w:type="dxa"/>
            <w:vAlign w:val="bottom"/>
          </w:tcPr>
          <w:p>
            <w:pPr>
              <w:spacing w:after="0"/>
              <w:rPr>
                <w:sz w:val="18"/>
                <w:szCs w:val="18"/>
                <w:color w:val="auto"/>
              </w:rPr>
            </w:pPr>
          </w:p>
        </w:tc>
      </w:tr>
      <w:tr>
        <w:trPr>
          <w:trHeight w:val="216"/>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San Jorge S.R.L.</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Argentina</w:t>
            </w:r>
          </w:p>
        </w:tc>
        <w:tc>
          <w:tcPr>
            <w:tcW w:w="1720" w:type="dxa"/>
            <w:vAlign w:val="bottom"/>
          </w:tcPr>
          <w:p>
            <w:pPr>
              <w:spacing w:after="0"/>
              <w:rPr>
                <w:sz w:val="18"/>
                <w:szCs w:val="18"/>
                <w:color w:val="auto"/>
              </w:rPr>
            </w:pPr>
          </w:p>
        </w:tc>
      </w:tr>
      <w:tr>
        <w:trPr>
          <w:trHeight w:val="222"/>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Chevron Synfuels Limited</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c>
          <w:tcPr>
            <w:tcW w:w="172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color w:val="auto"/>
              </w:rPr>
              <w:t>E-4</w:t>
            </w: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tbl>
      <w:tblPr>
        <w:tblLayout w:type="fixed"/>
        <w:tblInd w:w="1712"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ind w:left="460"/>
              <w:spacing w:after="0"/>
              <w:rPr>
                <w:sz w:val="20"/>
                <w:szCs w:val="20"/>
                <w:color w:val="auto"/>
              </w:rPr>
            </w:pPr>
            <w:r>
              <w:rPr>
                <w:rFonts w:ascii="Arial" w:cs="Arial" w:eastAsia="Arial" w:hAnsi="Arial"/>
                <w:sz w:val="14"/>
                <w:szCs w:val="14"/>
                <w:b w:val="1"/>
                <w:bCs w:val="1"/>
                <w:color w:val="auto"/>
              </w:rPr>
              <w:t>State or Country</w:t>
            </w:r>
          </w:p>
        </w:tc>
      </w:tr>
      <w:tr>
        <w:trPr>
          <w:trHeight w:val="174"/>
        </w:trPr>
        <w:tc>
          <w:tcPr>
            <w:tcW w:w="5840" w:type="dxa"/>
            <w:vAlign w:val="bottom"/>
          </w:tcPr>
          <w:p>
            <w:pPr>
              <w:ind w:left="2360"/>
              <w:spacing w:after="0"/>
              <w:rPr>
                <w:sz w:val="20"/>
                <w:szCs w:val="20"/>
                <w:color w:val="auto"/>
              </w:rPr>
            </w:pPr>
            <w:r>
              <w:rPr>
                <w:rFonts w:ascii="Arial" w:cs="Arial" w:eastAsia="Arial" w:hAnsi="Arial"/>
                <w:sz w:val="14"/>
                <w:szCs w:val="14"/>
                <w:b w:val="1"/>
                <w:bCs w:val="1"/>
                <w:color w:val="auto"/>
              </w:rPr>
              <w:t>Name of Subsidiary</w:t>
            </w:r>
          </w:p>
        </w:tc>
        <w:tc>
          <w:tcPr>
            <w:tcW w:w="240" w:type="dxa"/>
            <w:vAlign w:val="bottom"/>
          </w:tcPr>
          <w:p>
            <w:pPr>
              <w:spacing w:after="0"/>
              <w:rPr>
                <w:sz w:val="15"/>
                <w:szCs w:val="15"/>
                <w:color w:val="auto"/>
              </w:rPr>
            </w:pPr>
          </w:p>
        </w:tc>
        <w:tc>
          <w:tcPr>
            <w:tcW w:w="1900" w:type="dxa"/>
            <w:vAlign w:val="bottom"/>
          </w:tcPr>
          <w:p>
            <w:pPr>
              <w:ind w:left="360"/>
              <w:spacing w:after="0"/>
              <w:rPr>
                <w:sz w:val="20"/>
                <w:szCs w:val="20"/>
                <w:color w:val="auto"/>
              </w:rPr>
            </w:pPr>
            <w:r>
              <w:rPr>
                <w:rFonts w:ascii="Arial" w:cs="Arial" w:eastAsia="Arial" w:hAnsi="Arial"/>
                <w:sz w:val="14"/>
                <w:szCs w:val="14"/>
                <w:b w:val="1"/>
                <w:bCs w:val="1"/>
                <w:color w:val="auto"/>
              </w:rPr>
              <w:t>in Which Organized</w:t>
            </w:r>
          </w:p>
        </w:tc>
      </w:tr>
      <w:tr>
        <w:trPr>
          <w:trHeight w:val="95"/>
        </w:trPr>
        <w:tc>
          <w:tcPr>
            <w:tcW w:w="5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r>
      <w:tr>
        <w:trPr>
          <w:trHeight w:val="309"/>
        </w:trPr>
        <w:tc>
          <w:tcPr>
            <w:tcW w:w="5840" w:type="dxa"/>
            <w:vAlign w:val="bottom"/>
          </w:tcPr>
          <w:p>
            <w:pPr>
              <w:spacing w:after="0"/>
              <w:rPr>
                <w:sz w:val="20"/>
                <w:szCs w:val="20"/>
                <w:color w:val="auto"/>
              </w:rPr>
            </w:pPr>
            <w:r>
              <w:rPr>
                <w:rFonts w:ascii="Arial" w:cs="Arial" w:eastAsia="Arial" w:hAnsi="Arial"/>
                <w:sz w:val="18"/>
                <w:szCs w:val="18"/>
                <w:color w:val="auto"/>
              </w:rPr>
              <w:t>Chevron Thailand Inc.</w:t>
            </w:r>
          </w:p>
        </w:tc>
        <w:tc>
          <w:tcPr>
            <w:tcW w:w="2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 Transport Corporation Ltd.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 U.K.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 U.S.A.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Australia Pty. Ltd.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Capital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Nova Scotia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Funding Corporation</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Global Energy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Global Technology Services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International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Liberia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International Petroleum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Malampaya LLC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Overseas Petroleum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Petroleum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New Jersey</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Philippines Ltd.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U.K.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ChevronTexaco Worldwide Gasification Technology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Four Star Oil &amp; Gas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Fuel and Marine Marketing LLC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Getty Mining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Heddington Insurance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Insco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MVP Production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P.T. Caltex Pacific Indonesia</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Saudi Arabian Texaco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TEPI Holdings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Australia Pty. Ltd.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Block B South Natuna Sea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Liberia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Brasil Ltda.</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Britain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Capital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Capital LLC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Turks and Caicos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Captain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Exploration and Production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Investments (Netherlands)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Natural Gas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Nederland B.V.</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North Sea U.K.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Overseas Holdings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Overseas (Nigeria) Petroleum Company Unlimited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Nigeria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Power and Gasification Holdings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Raffinaderij Pernis B.V.</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Texaco Venezuela Holdings (I) Company</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The Pittsburg &amp; Midway Coal Mining Co.</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Missouri</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Traders Insurance Limited</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Bermuda</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TRMI Holdings Inc.</w:t>
            </w:r>
          </w:p>
        </w:tc>
        <w:tc>
          <w:tcPr>
            <w:tcW w:w="2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West Australian Petroleum Pty. Limited</w:t>
            </w:r>
          </w:p>
        </w:tc>
        <w:tc>
          <w:tcPr>
            <w:tcW w:w="24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Western Australia</w:t>
            </w:r>
          </w:p>
        </w:tc>
      </w:tr>
    </w:tbl>
    <w:p>
      <w:pPr>
        <w:spacing w:after="0" w:line="210" w:lineRule="exact"/>
        <w:rPr>
          <w:sz w:val="20"/>
          <w:szCs w:val="20"/>
          <w:color w:val="auto"/>
        </w:rPr>
      </w:pPr>
    </w:p>
    <w:p>
      <w:pPr>
        <w:ind w:left="232" w:hanging="232"/>
        <w:spacing w:after="0" w:line="332" w:lineRule="auto"/>
        <w:tabs>
          <w:tab w:leader="none" w:pos="23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of the subsidiaries in the above list are wholly owned, either directly or indirectly, by ChevronTexaco Corporation. Certain subsidiaries are not listed because, considered in the aggregate as a single subsidiary, they would not constitute a significant subsidiary at December 31, 2003.</w:t>
      </w:r>
    </w:p>
    <w:p>
      <w:pPr>
        <w:spacing w:after="0" w:line="139" w:lineRule="exact"/>
        <w:rPr>
          <w:sz w:val="20"/>
          <w:szCs w:val="20"/>
          <w:color w:val="auto"/>
        </w:rPr>
      </w:pPr>
    </w:p>
    <w:p>
      <w:pPr>
        <w:jc w:val="center"/>
        <w:ind w:right="-471"/>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0932"/>
          </w:cols>
          <w:pgMar w:left="248" w:top="1141" w:right="7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We hereby consent to the incorporation by reference in the Registration Statements on Form S-3 (Nos. 33-58463, 333-91210 and 333-110487) of ChevronTexaco Corporation, and to the incorporation by reference in the Registration Statements on Form S-8 (Nos. 333-102269, 333-72672, 333-21805, 333-21807, 333-21809, 333-26731, 333-46261, 033-3899, 033-34039, 033-35283, 333-105136) of ChevronTexaco Corporation, and to the incorporation by reference in the Registration Statement on Form S-3 (No. 333-91210-01 and 333-110487-01) of ChevronTexaco Funding Corporation and ChevronTexaco Corporation, and to the incorporation by reference in the Registration Statement on Form S-3 (No. 333-91210-02 and 333-110487-02) of ChevronTexaco Capital Company and ChevronTexaco Corporation, and to the incorporation by reference in the Registration Statement on Form S-3 (No. 333-91210-03 and 333-110487-03) of Chevron Capital U.S.A. Inc. and ChevronTexaco Corporation, and to the incorporation by reference in the Registration Statement on Form S-3 (No. 333-91210-</w:t>
      </w:r>
    </w:p>
    <w:p>
      <w:pPr>
        <w:spacing w:after="0" w:line="5" w:lineRule="exact"/>
        <w:rPr>
          <w:sz w:val="20"/>
          <w:szCs w:val="20"/>
          <w:color w:val="auto"/>
        </w:rPr>
      </w:pPr>
    </w:p>
    <w:p>
      <w:pPr>
        <w:ind w:right="380" w:firstLine="8"/>
        <w:spacing w:after="0" w:line="254" w:lineRule="auto"/>
        <w:tabs>
          <w:tab w:leader="none" w:pos="2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of Chevron Canada Capital Company and ChevronTexaco Corporation, and to the incorporation by reference in the Registration Statement on Form S-3 (No. 333-91210-05) of Chevron Capital Corporation and ChevronTexaco Corporation, and to the incorporation by reference in the Registration Statement on Form S-3 (No. 033-14307) of Chevron Capital U.S.A. Inc. and ChevronTexaco Corporation of our report dated February 25, 2004, relating to the financial statements and financial statement schedule, which appears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49485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9,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420"/>
          </w:cols>
          <w:pgMar w:left="240" w:top="935" w:right="239" w:bottom="1440" w:gutter="0" w:footer="0" w:header="0"/>
        </w:sectPr>
      </w:pPr>
    </w:p>
    <w:bookmarkStart w:id="114" w:name="page115"/>
    <w:bookmarkEnd w:id="114"/>
    <w:p>
      <w:pPr>
        <w:ind w:left="10480"/>
        <w:spacing w:after="0"/>
        <w:rPr>
          <w:sz w:val="20"/>
          <w:szCs w:val="20"/>
          <w:color w:val="auto"/>
        </w:rPr>
      </w:pPr>
      <w:r>
        <w:rPr>
          <w:rFonts w:ascii="Arial" w:cs="Arial" w:eastAsia="Arial" w:hAnsi="Arial"/>
          <w:sz w:val="16"/>
          <w:szCs w:val="16"/>
          <w:b w:val="1"/>
          <w:bCs w:val="1"/>
          <w:color w:val="auto"/>
        </w:rPr>
        <w:t>Exhibit 24.1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Samuel H. Armacost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66040</wp:posOffset>
            </wp:positionV>
            <wp:extent cx="28213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15" w:name="page116"/>
    <w:bookmarkEnd w:id="115"/>
    <w:p>
      <w:pPr>
        <w:ind w:left="10480"/>
        <w:spacing w:after="0"/>
        <w:rPr>
          <w:sz w:val="20"/>
          <w:szCs w:val="20"/>
          <w:color w:val="auto"/>
        </w:rPr>
      </w:pPr>
      <w:r>
        <w:rPr>
          <w:rFonts w:ascii="Arial" w:cs="Arial" w:eastAsia="Arial" w:hAnsi="Arial"/>
          <w:sz w:val="16"/>
          <w:szCs w:val="16"/>
          <w:b w:val="1"/>
          <w:bCs w:val="1"/>
          <w:color w:val="auto"/>
        </w:rPr>
        <w:t>Exhibit 24.2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Robert J.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66040</wp:posOffset>
            </wp:positionV>
            <wp:extent cx="27012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6" w:name="page117"/>
    <w:bookmarkEnd w:id="116"/>
    <w:p>
      <w:pPr>
        <w:ind w:left="10480"/>
        <w:spacing w:after="0"/>
        <w:rPr>
          <w:sz w:val="20"/>
          <w:szCs w:val="20"/>
          <w:color w:val="auto"/>
        </w:rPr>
      </w:pPr>
      <w:r>
        <w:rPr>
          <w:rFonts w:ascii="Arial" w:cs="Arial" w:eastAsia="Arial" w:hAnsi="Arial"/>
          <w:sz w:val="16"/>
          <w:szCs w:val="16"/>
          <w:b w:val="1"/>
          <w:bCs w:val="1"/>
          <w:color w:val="auto"/>
        </w:rPr>
        <w:t>Exhibit 24.3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Sam 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66040</wp:posOffset>
            </wp:positionV>
            <wp:extent cx="23069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7" w:name="page118"/>
    <w:bookmarkEnd w:id="117"/>
    <w:p>
      <w:pPr>
        <w:ind w:left="10480"/>
        <w:spacing w:after="0"/>
        <w:rPr>
          <w:sz w:val="20"/>
          <w:szCs w:val="20"/>
          <w:color w:val="auto"/>
        </w:rPr>
      </w:pPr>
      <w:r>
        <w:rPr>
          <w:rFonts w:ascii="Arial" w:cs="Arial" w:eastAsia="Arial" w:hAnsi="Arial"/>
          <w:sz w:val="16"/>
          <w:szCs w:val="16"/>
          <w:b w:val="1"/>
          <w:bCs w:val="1"/>
          <w:color w:val="auto"/>
        </w:rPr>
        <w:t>Exhibit 24.4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Carla A.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66040</wp:posOffset>
            </wp:positionV>
            <wp:extent cx="26587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8" w:name="page119"/>
    <w:bookmarkEnd w:id="118"/>
    <w:p>
      <w:pPr>
        <w:ind w:left="10480"/>
        <w:spacing w:after="0"/>
        <w:rPr>
          <w:sz w:val="20"/>
          <w:szCs w:val="20"/>
          <w:color w:val="auto"/>
        </w:rPr>
      </w:pPr>
      <w:r>
        <w:rPr>
          <w:rFonts w:ascii="Arial" w:cs="Arial" w:eastAsia="Arial" w:hAnsi="Arial"/>
          <w:sz w:val="16"/>
          <w:szCs w:val="16"/>
          <w:b w:val="1"/>
          <w:bCs w:val="1"/>
          <w:color w:val="auto"/>
        </w:rPr>
        <w:t>Exhibit 24.5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Franklyn G. Jenifer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66040</wp:posOffset>
            </wp:positionV>
            <wp:extent cx="28644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9" w:name="page120"/>
    <w:bookmarkEnd w:id="119"/>
    <w:p>
      <w:pPr>
        <w:ind w:left="10480"/>
        <w:spacing w:after="0"/>
        <w:rPr>
          <w:sz w:val="20"/>
          <w:szCs w:val="20"/>
          <w:color w:val="auto"/>
        </w:rPr>
      </w:pPr>
      <w:r>
        <w:rPr>
          <w:rFonts w:ascii="Arial" w:cs="Arial" w:eastAsia="Arial" w:hAnsi="Arial"/>
          <w:sz w:val="16"/>
          <w:szCs w:val="16"/>
          <w:b w:val="1"/>
          <w:bCs w:val="1"/>
          <w:color w:val="auto"/>
        </w:rPr>
        <w:t>Exhibit 24.6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J. Bennett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66040</wp:posOffset>
            </wp:positionV>
            <wp:extent cx="28644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0" w:name="page121"/>
    <w:bookmarkEnd w:id="120"/>
    <w:p>
      <w:pPr>
        <w:ind w:left="10480"/>
        <w:spacing w:after="0"/>
        <w:rPr>
          <w:sz w:val="20"/>
          <w:szCs w:val="20"/>
          <w:color w:val="auto"/>
        </w:rPr>
      </w:pPr>
      <w:r>
        <w:rPr>
          <w:rFonts w:ascii="Arial" w:cs="Arial" w:eastAsia="Arial" w:hAnsi="Arial"/>
          <w:sz w:val="16"/>
          <w:szCs w:val="16"/>
          <w:b w:val="1"/>
          <w:bCs w:val="1"/>
          <w:color w:val="auto"/>
        </w:rPr>
        <w:t>Exhibit 24.7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Sam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23069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1" w:name="page122"/>
    <w:bookmarkEnd w:id="121"/>
    <w:p>
      <w:pPr>
        <w:ind w:left="10480"/>
        <w:spacing w:after="0"/>
        <w:rPr>
          <w:sz w:val="20"/>
          <w:szCs w:val="20"/>
          <w:color w:val="auto"/>
        </w:rPr>
      </w:pPr>
      <w:r>
        <w:rPr>
          <w:rFonts w:ascii="Arial" w:cs="Arial" w:eastAsia="Arial" w:hAnsi="Arial"/>
          <w:sz w:val="16"/>
          <w:szCs w:val="16"/>
          <w:b w:val="1"/>
          <w:bCs w:val="1"/>
          <w:color w:val="auto"/>
        </w:rPr>
        <w:t>Exhibit 24.8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Charles R. Shoemate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14605</wp:posOffset>
            </wp:positionV>
            <wp:extent cx="28644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2" w:name="page123"/>
    <w:bookmarkEnd w:id="122"/>
    <w:p>
      <w:pPr>
        <w:ind w:left="10480"/>
        <w:spacing w:after="0"/>
        <w:rPr>
          <w:sz w:val="20"/>
          <w:szCs w:val="20"/>
          <w:color w:val="auto"/>
        </w:rPr>
      </w:pPr>
      <w:r>
        <w:rPr>
          <w:rFonts w:ascii="Arial" w:cs="Arial" w:eastAsia="Arial" w:hAnsi="Arial"/>
          <w:sz w:val="16"/>
          <w:szCs w:val="16"/>
          <w:b w:val="1"/>
          <w:bCs w:val="1"/>
          <w:color w:val="auto"/>
        </w:rPr>
        <w:t>Exhibit 24.9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Frank A. Shrontz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2744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24.10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 Thomas A. Vanderslice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2941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24.11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 Carl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23837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24.12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14605</wp:posOffset>
            </wp:positionV>
            <wp:extent cx="25812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24.13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David J.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2744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24.14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Peter J.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14605</wp:posOffset>
            </wp:positionV>
            <wp:extent cx="282130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24.15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John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26587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24.16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KNOW ALL MEN BY THESE PRESENTS:</w:t>
      </w:r>
    </w:p>
    <w:p>
      <w:pPr>
        <w:spacing w:after="0" w:line="185"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ChevronTexaco Corporation, a Delaware corporation (the “Corporation”), contemplates filing with the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at Washington, D.C., under the provisions of the Securities Exchange Act of 1934, as amended, and the regulations promulgated thereunder, an Annual Report on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1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N O W, T H E R E F O R 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TERRY MICHAEL KEE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PATRICIA L. TAI</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WALKER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 TAYLOR</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9th day of March, 2004.</w:t>
      </w: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Stephen J.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14605</wp:posOffset>
            </wp:positionV>
            <wp:extent cx="2744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David J. O’Reilly, certify that:</w:t>
      </w:r>
    </w:p>
    <w:p>
      <w:pPr>
        <w:spacing w:after="0" w:line="252" w:lineRule="exact"/>
        <w:rPr>
          <w:sz w:val="20"/>
          <w:szCs w:val="20"/>
          <w:color w:val="auto"/>
        </w:rPr>
      </w:pPr>
    </w:p>
    <w:p>
      <w:pPr>
        <w:ind w:left="500" w:hanging="168"/>
        <w:spacing w:after="0"/>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ChevronTexaco Corporation;</w:t>
      </w:r>
    </w:p>
    <w:p>
      <w:pPr>
        <w:spacing w:after="0" w:line="252" w:lineRule="exact"/>
        <w:rPr>
          <w:rFonts w:ascii="Arial" w:cs="Arial" w:eastAsia="Arial" w:hAnsi="Arial"/>
          <w:sz w:val="18"/>
          <w:szCs w:val="18"/>
          <w:color w:val="auto"/>
        </w:rPr>
      </w:pPr>
    </w:p>
    <w:p>
      <w:pPr>
        <w:jc w:val="both"/>
        <w:ind w:right="80" w:firstLine="332"/>
        <w:spacing w:after="0" w:line="370" w:lineRule="auto"/>
        <w:tabs>
          <w:tab w:leader="none" w:pos="5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3" w:lineRule="exact"/>
        <w:rPr>
          <w:rFonts w:ascii="Arial" w:cs="Arial" w:eastAsia="Arial" w:hAnsi="Arial"/>
          <w:sz w:val="15"/>
          <w:szCs w:val="15"/>
          <w:color w:val="auto"/>
        </w:rPr>
      </w:pPr>
    </w:p>
    <w:p>
      <w:pPr>
        <w:ind w:right="140" w:firstLine="332"/>
        <w:spacing w:after="0" w:line="332" w:lineRule="auto"/>
        <w:tabs>
          <w:tab w:leader="none" w:pos="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6" w:lineRule="exact"/>
        <w:rPr>
          <w:rFonts w:ascii="Arial" w:cs="Arial" w:eastAsia="Arial" w:hAnsi="Arial"/>
          <w:sz w:val="16"/>
          <w:szCs w:val="16"/>
          <w:color w:val="auto"/>
        </w:rPr>
      </w:pPr>
    </w:p>
    <w:p>
      <w:pPr>
        <w:ind w:right="160" w:firstLine="332"/>
        <w:spacing w:after="0" w:line="268" w:lineRule="auto"/>
        <w:tabs>
          <w:tab w:leader="none" w:pos="49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3" w:lineRule="exact"/>
        <w:rPr>
          <w:sz w:val="20"/>
          <w:szCs w:val="20"/>
          <w:color w:val="auto"/>
        </w:rPr>
      </w:pPr>
    </w:p>
    <w:p>
      <w:pPr>
        <w:ind w:right="140" w:firstLine="332"/>
        <w:spacing w:after="0" w:line="259" w:lineRule="auto"/>
        <w:tabs>
          <w:tab w:leader="none" w:pos="5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1" w:lineRule="exact"/>
        <w:rPr>
          <w:rFonts w:ascii="Arial" w:cs="Arial" w:eastAsia="Arial" w:hAnsi="Arial"/>
          <w:sz w:val="18"/>
          <w:szCs w:val="18"/>
          <w:color w:val="auto"/>
        </w:rPr>
      </w:pPr>
    </w:p>
    <w:p>
      <w:pPr>
        <w:ind w:right="840" w:firstLine="332"/>
        <w:spacing w:after="0" w:line="332" w:lineRule="auto"/>
        <w:tabs>
          <w:tab w:leader="none" w:pos="51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right="320" w:firstLine="332"/>
        <w:spacing w:after="0" w:line="332" w:lineRule="auto"/>
        <w:tabs>
          <w:tab w:leader="none" w:pos="50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6" w:lineRule="exact"/>
        <w:rPr>
          <w:sz w:val="20"/>
          <w:szCs w:val="20"/>
          <w:color w:val="auto"/>
        </w:rPr>
      </w:pPr>
    </w:p>
    <w:p>
      <w:pPr>
        <w:ind w:right="600" w:firstLine="332"/>
        <w:spacing w:after="0" w:line="332" w:lineRule="auto"/>
        <w:tabs>
          <w:tab w:leader="none" w:pos="49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6" w:lineRule="exact"/>
        <w:rPr>
          <w:sz w:val="20"/>
          <w:szCs w:val="20"/>
          <w:color w:val="auto"/>
        </w:rPr>
      </w:pPr>
    </w:p>
    <w:p>
      <w:pPr>
        <w:ind w:right="440" w:firstLine="332"/>
        <w:spacing w:after="0" w:line="268" w:lineRule="auto"/>
        <w:tabs>
          <w:tab w:leader="none" w:pos="5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data; and</w:t>
      </w:r>
    </w:p>
    <w:p>
      <w:pPr>
        <w:spacing w:after="0" w:line="212" w:lineRule="exact"/>
        <w:rPr>
          <w:rFonts w:ascii="Arial" w:cs="Arial" w:eastAsia="Arial" w:hAnsi="Arial"/>
          <w:sz w:val="18"/>
          <w:szCs w:val="18"/>
          <w:color w:val="auto"/>
        </w:rPr>
      </w:pPr>
    </w:p>
    <w:p>
      <w:pPr>
        <w:ind w:right="500" w:firstLine="332"/>
        <w:spacing w:after="0" w:line="268" w:lineRule="auto"/>
        <w:tabs>
          <w:tab w:leader="none" w:pos="51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2004</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DAVID J.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David J. O’Reilly, Chairman of the Board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and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420"/>
          </w:cols>
          <w:pgMar w:left="240" w:top="93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S. Watson, certify that:</w:t>
      </w:r>
    </w:p>
    <w:p>
      <w:pPr>
        <w:spacing w:after="0" w:line="252" w:lineRule="exact"/>
        <w:rPr>
          <w:sz w:val="20"/>
          <w:szCs w:val="20"/>
          <w:color w:val="auto"/>
        </w:rPr>
      </w:pPr>
    </w:p>
    <w:p>
      <w:pPr>
        <w:ind w:left="500" w:hanging="168"/>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ChevronTexaco Corporation;</w:t>
      </w:r>
    </w:p>
    <w:p>
      <w:pPr>
        <w:spacing w:after="0" w:line="252" w:lineRule="exact"/>
        <w:rPr>
          <w:rFonts w:ascii="Arial" w:cs="Arial" w:eastAsia="Arial" w:hAnsi="Arial"/>
          <w:sz w:val="18"/>
          <w:szCs w:val="18"/>
          <w:color w:val="auto"/>
        </w:rPr>
      </w:pPr>
    </w:p>
    <w:p>
      <w:pPr>
        <w:jc w:val="both"/>
        <w:ind w:right="80" w:firstLine="332"/>
        <w:spacing w:after="0" w:line="370" w:lineRule="auto"/>
        <w:tabs>
          <w:tab w:leader="none" w:pos="5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3" w:lineRule="exact"/>
        <w:rPr>
          <w:rFonts w:ascii="Arial" w:cs="Arial" w:eastAsia="Arial" w:hAnsi="Arial"/>
          <w:sz w:val="15"/>
          <w:szCs w:val="15"/>
          <w:color w:val="auto"/>
        </w:rPr>
      </w:pPr>
    </w:p>
    <w:p>
      <w:pPr>
        <w:ind w:right="140" w:firstLine="332"/>
        <w:spacing w:after="0" w:line="332" w:lineRule="auto"/>
        <w:tabs>
          <w:tab w:leader="none" w:pos="5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6" w:lineRule="exact"/>
        <w:rPr>
          <w:rFonts w:ascii="Arial" w:cs="Arial" w:eastAsia="Arial" w:hAnsi="Arial"/>
          <w:sz w:val="16"/>
          <w:szCs w:val="16"/>
          <w:color w:val="auto"/>
        </w:rPr>
      </w:pPr>
    </w:p>
    <w:p>
      <w:pPr>
        <w:ind w:right="160" w:firstLine="332"/>
        <w:spacing w:after="0" w:line="268" w:lineRule="auto"/>
        <w:tabs>
          <w:tab w:leader="none" w:pos="49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3" w:lineRule="exact"/>
        <w:rPr>
          <w:sz w:val="20"/>
          <w:szCs w:val="20"/>
          <w:color w:val="auto"/>
        </w:rPr>
      </w:pPr>
    </w:p>
    <w:p>
      <w:pPr>
        <w:ind w:right="140" w:firstLine="332"/>
        <w:spacing w:after="0" w:line="259" w:lineRule="auto"/>
        <w:tabs>
          <w:tab w:leader="none" w:pos="5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21" w:lineRule="exact"/>
        <w:rPr>
          <w:rFonts w:ascii="Arial" w:cs="Arial" w:eastAsia="Arial" w:hAnsi="Arial"/>
          <w:sz w:val="18"/>
          <w:szCs w:val="18"/>
          <w:color w:val="auto"/>
        </w:rPr>
      </w:pPr>
    </w:p>
    <w:p>
      <w:pPr>
        <w:ind w:right="840" w:firstLine="332"/>
        <w:spacing w:after="0" w:line="332" w:lineRule="auto"/>
        <w:tabs>
          <w:tab w:leader="none" w:pos="51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right="320" w:firstLine="332"/>
        <w:spacing w:after="0" w:line="332" w:lineRule="auto"/>
        <w:tabs>
          <w:tab w:leader="none" w:pos="50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6" w:lineRule="exact"/>
        <w:rPr>
          <w:sz w:val="20"/>
          <w:szCs w:val="20"/>
          <w:color w:val="auto"/>
        </w:rPr>
      </w:pPr>
    </w:p>
    <w:p>
      <w:pPr>
        <w:ind w:right="600" w:firstLine="332"/>
        <w:spacing w:after="0" w:line="332" w:lineRule="auto"/>
        <w:tabs>
          <w:tab w:leader="none" w:pos="49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6" w:lineRule="exact"/>
        <w:rPr>
          <w:sz w:val="20"/>
          <w:szCs w:val="20"/>
          <w:color w:val="auto"/>
        </w:rPr>
      </w:pPr>
    </w:p>
    <w:p>
      <w:pPr>
        <w:ind w:right="440" w:firstLine="332"/>
        <w:spacing w:after="0" w:line="268" w:lineRule="auto"/>
        <w:tabs>
          <w:tab w:leader="none" w:pos="5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data; and</w:t>
      </w:r>
    </w:p>
    <w:p>
      <w:pPr>
        <w:spacing w:after="0" w:line="212" w:lineRule="exact"/>
        <w:rPr>
          <w:rFonts w:ascii="Arial" w:cs="Arial" w:eastAsia="Arial" w:hAnsi="Arial"/>
          <w:sz w:val="18"/>
          <w:szCs w:val="18"/>
          <w:color w:val="auto"/>
        </w:rPr>
      </w:pPr>
    </w:p>
    <w:p>
      <w:pPr>
        <w:ind w:right="500" w:firstLine="332"/>
        <w:spacing w:after="0" w:line="268" w:lineRule="auto"/>
        <w:tabs>
          <w:tab w:leader="none" w:pos="51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2004</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JOHN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John S. Watson, Vice President, Finance</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and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420"/>
          </w:cols>
          <w:pgMar w:left="240" w:top="93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connection with the Annual Report of ChevronTexaco Corporation (the “Company”) on Form 10-K for the year ended December 31, 2003, as filed with the Securities and Exchange Commission on the date hereof (the “Report”), I, David J. O’Reilly, Chairman and Chief Executive Officer of the Company, certify, pursuant to 18 U.S.C. Section 1350, as adopted pursuant to Section 906 of the Sarbanes-Oxley Act of 2002, that, to my knowledge:</w:t>
      </w:r>
    </w:p>
    <w:p>
      <w:pPr>
        <w:spacing w:after="0" w:line="188" w:lineRule="exact"/>
        <w:rPr>
          <w:sz w:val="20"/>
          <w:szCs w:val="20"/>
          <w:color w:val="auto"/>
        </w:rPr>
      </w:pPr>
    </w:p>
    <w:p>
      <w:pPr>
        <w:ind w:left="580" w:hanging="248"/>
        <w:spacing w:after="0"/>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2004</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David J.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J. O’Reilly, Chairman of the Board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and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420"/>
          </w:cols>
          <w:pgMar w:left="240" w:top="93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connection with the Annual Report of ChevronTexaco Corporation (the “Company”) on Form 10-K for the year ended December 31, 2003, as filed with the Securities and Exchange Commission on the date hereof (the “Report”), I, John S. Watson, Vice President, Finance, and Chief Financial Officer of the Company, certify, pursuant to 18 U.S.C. Section 1350, as adopted pursuant to Section 906 of the Sarbanes-Oxley Act of 2002, that, to my knowledge:</w:t>
      </w:r>
    </w:p>
    <w:p>
      <w:pPr>
        <w:spacing w:after="0" w:line="188" w:lineRule="exact"/>
        <w:rPr>
          <w:sz w:val="20"/>
          <w:szCs w:val="20"/>
          <w:color w:val="auto"/>
        </w:rPr>
      </w:pPr>
    </w:p>
    <w:p>
      <w:pPr>
        <w:ind w:left="580" w:hanging="248"/>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2004</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John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43478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S. Watson, Vice President, Finance</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and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420"/>
          </w:cols>
          <w:pgMar w:left="240" w:top="93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OF SELECTED FINANCIAL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Capital Employed</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(adjusted for interest expense and minority interest) divided by average capital employed. Capital employed is stockholders’ equity plus total debt plus capital lease obligations plus minority interests. Average capital employed is computed by averaging the sum of capital employed at the beginning and end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Stockholders’ Equity</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income divided by average stockholders’ equity. Average stockholders’ equity is computed by averaging the sum of the beginning-of-year and end-of-year balances.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Ratio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divided by current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Coverage Ratio</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Income before income tax expense, cumulative effect of change in accounting principles and extraordinary items plus interest and debt expense and amortization of capitalized interest divided by before-tax interest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Debt to Total Debt-Plus-Equity Ratio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Total debt, including capital lease obligations, divided by total debt plus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upperLetter"/>
      <w:start w:val="11"/>
    </w:lvl>
  </w:abstractNum>
  <w:abstractNum w:abstractNumId="1">
    <w:nsid w:val="25A70BF7"/>
    <w:multiLevelType w:val="hybridMultilevel"/>
    <w:lvl w:ilvl="0">
      <w:lvlJc w:val="left"/>
      <w:lvlText w:val="(%1)"/>
      <w:numFmt w:val="lowerLetter"/>
      <w:start w:val="1"/>
    </w:lvl>
  </w:abstractNum>
  <w:abstractNum w:abstractNumId="2">
    <w:nsid w:val="1DBABF00"/>
    <w:multiLevelType w:val="hybridMultilevel"/>
    <w:lvl w:ilvl="0">
      <w:lvlJc w:val="left"/>
      <w:lvlText w:val="1"/>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1)"/>
      <w:numFmt w:val="lowerLetter"/>
      <w:start w:val="2"/>
    </w:lvl>
  </w:abstractNum>
  <w:abstractNum w:abstractNumId="6">
    <w:nsid w:val="5DB70AE5"/>
    <w:multiLevelType w:val="hybridMultilevel"/>
    <w:lvl w:ilvl="0">
      <w:lvlJc w:val="left"/>
      <w:lvlText w:val="2"/>
      <w:numFmt w:val="bullet"/>
      <w:start w:val="1"/>
    </w:lvl>
  </w:abstractNum>
  <w:abstractNum w:abstractNumId="7">
    <w:nsid w:val="100F8FCA"/>
    <w:multiLevelType w:val="hybridMultilevel"/>
    <w:lvl w:ilvl="0">
      <w:lvlJc w:val="left"/>
      <w:lvlText w:val="(%1)"/>
      <w:numFmt w:val="lowerLetter"/>
      <w:start w:val="1"/>
    </w:lvl>
  </w:abstractNum>
  <w:abstractNum w:abstractNumId="8">
    <w:nsid w:val="6590700B"/>
    <w:multiLevelType w:val="hybridMultilevel"/>
    <w:lvl w:ilvl="0">
      <w:lvlJc w:val="left"/>
      <w:lvlText w:val="(%1)"/>
      <w:numFmt w:val="lowerLetter"/>
      <w:start w:val="2"/>
    </w:lvl>
  </w:abstractNum>
  <w:abstractNum w:abstractNumId="9">
    <w:nsid w:val="15014ACB"/>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0">
    <w:nsid w:val="5F5E7FD0"/>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lvl w:ilvl="1">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1"/>
      <w:numFmt w:val="bullet"/>
      <w:start w:val="1"/>
    </w:lvl>
  </w:abstractNum>
  <w:abstractNum w:abstractNumId="20">
    <w:nsid w:val="7BD3EE7B"/>
    <w:multiLevelType w:val="hybridMultilevel"/>
    <w:lvl w:ilvl="0">
      <w:lvlJc w:val="left"/>
      <w:lvlText w:val="2"/>
      <w:numFmt w:val="bullet"/>
      <w:start w:val="1"/>
    </w:lvl>
  </w:abstractNum>
  <w:abstractNum w:abstractNumId="21">
    <w:nsid w:val="51D9C564"/>
    <w:multiLevelType w:val="hybridMultilevel"/>
    <w:lvl w:ilvl="0">
      <w:lvlJc w:val="left"/>
      <w:lvlText w:val="3"/>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endash "/>
      <w:numFmt w:val="bullet"/>
      <w:start w:val="1"/>
    </w:lvl>
  </w:abstractNum>
  <w:abstractNum w:abstractNumId="26">
    <w:nsid w:val="A0382C5"/>
    <w:multiLevelType w:val="hybridMultilevel"/>
    <w:lvl w:ilvl="0">
      <w:lvlJc w:val="left"/>
      <w:lvlText w:val="1"/>
      <w:numFmt w:val="bullet"/>
      <w:start w:val="1"/>
    </w:lvl>
  </w:abstractNum>
  <w:abstractNum w:abstractNumId="27">
    <w:nsid w:val="8F2B15E"/>
    <w:multiLevelType w:val="hybridMultilevel"/>
    <w:lvl w:ilvl="0">
      <w:lvlJc w:val="left"/>
      <w:lvlText w:val="2"/>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1."/>
      <w:numFmt w:val="decimal"/>
      <w:start w:val="1"/>
    </w:lvl>
  </w:abstractNum>
  <w:abstractNum w:abstractNumId="31">
    <w:nsid w:val="4962813B"/>
    <w:multiLevelType w:val="hybridMultilevel"/>
    <w:lvl w:ilvl="0">
      <w:lvlJc w:val="left"/>
      <w:lvlText w:val="%1."/>
      <w:numFmt w:val="decimal"/>
      <w:start w:val="2"/>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1"/>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1"/>
      <w:numFmt w:val="bullet"/>
      <w:start w:val="1"/>
    </w:lvl>
  </w:abstractNum>
  <w:abstractNum w:abstractNumId="41">
    <w:nsid w:val="6F6DD9AC"/>
    <w:multiLevelType w:val="hybridMultilevel"/>
    <w:lvl w:ilvl="0">
      <w:lvlJc w:val="left"/>
      <w:lvlText w:val="1"/>
      <w:numFmt w:val="bullet"/>
      <w:start w:val="1"/>
    </w:lvl>
  </w:abstractNum>
  <w:abstractNum w:abstractNumId="42">
    <w:nsid w:val="94211F2"/>
    <w:multiLevelType w:val="hybridMultilevel"/>
    <w:lvl w:ilvl="0">
      <w:lvlJc w:val="left"/>
      <w:lvlText w:val="2"/>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1"/>
      <w:numFmt w:val="bullet"/>
      <w:start w:val="1"/>
    </w:lvl>
  </w:abstractNum>
  <w:abstractNum w:abstractNumId="45">
    <w:nsid w:val="4C04A8AF"/>
    <w:multiLevelType w:val="hybridMultilevel"/>
    <w:lvl w:ilvl="0">
      <w:lvlJc w:val="left"/>
      <w:lvlText w:val="2"/>
      <w:numFmt w:val="bullet"/>
      <w:start w:val="1"/>
    </w:lvl>
  </w:abstractNum>
  <w:abstractNum w:abstractNumId="46">
    <w:nsid w:val="1716703B"/>
    <w:multiLevelType w:val="hybridMultilevel"/>
    <w:lvl w:ilvl="0">
      <w:lvlJc w:val="left"/>
      <w:lvlText w:val="3"/>
      <w:numFmt w:val="bullet"/>
      <w:start w:val="1"/>
    </w:lvl>
  </w:abstractNum>
  <w:abstractNum w:abstractNumId="47">
    <w:nsid w:val="14E17E33"/>
    <w:multiLevelType w:val="hybridMultilevel"/>
    <w:lvl w:ilvl="0">
      <w:lvlJc w:val="left"/>
      <w:lvlText w:val="1"/>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1"/>
      <w:numFmt w:val="bullet"/>
      <w:start w:val="1"/>
    </w:lvl>
  </w:abstractNum>
  <w:abstractNum w:abstractNumId="50">
    <w:nsid w:val="68EBC550"/>
    <w:multiLevelType w:val="hybridMultilevel"/>
    <w:lvl w:ilvl="0">
      <w:lvlJc w:val="left"/>
      <w:lvlText w:val="2"/>
      <w:numFmt w:val="bullet"/>
      <w:start w:val="1"/>
    </w:lvl>
  </w:abstractNum>
  <w:abstractNum w:abstractNumId="51">
    <w:nsid w:val="2DF6D648"/>
    <w:multiLevelType w:val="hybridMultilevel"/>
    <w:lvl w:ilvl="0">
      <w:lvlJc w:val="left"/>
      <w:lvlText w:val="3"/>
      <w:numFmt w:val="bullet"/>
      <w:start w:val="1"/>
    </w:lvl>
  </w:abstractNum>
  <w:abstractNum w:abstractNumId="52">
    <w:nsid w:val="46B7D447"/>
    <w:multiLevelType w:val="hybridMultilevel"/>
    <w:lvl w:ilvl="0">
      <w:lvlJc w:val="left"/>
      <w:lvlText w:val="1"/>
      <w:numFmt w:val="bullet"/>
      <w:start w:val="1"/>
    </w:lvl>
  </w:abstractNum>
  <w:abstractNum w:abstractNumId="53">
    <w:nsid w:val="4A2AC315"/>
    <w:multiLevelType w:val="hybridMultilevel"/>
    <w:lvl w:ilvl="0">
      <w:lvlJc w:val="left"/>
      <w:lvlText w:val="2"/>
      <w:numFmt w:val="bullet"/>
      <w:start w:val="1"/>
    </w:lvl>
  </w:abstractNum>
  <w:abstractNum w:abstractNumId="54">
    <w:nsid w:val="39EE015C"/>
    <w:multiLevelType w:val="hybridMultilevel"/>
    <w:lvl w:ilvl="0">
      <w:lvlJc w:val="left"/>
      <w:lvlText w:val="3"/>
      <w:numFmt w:val="bullet"/>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1"/>
      <w:numFmt w:val="decimal"/>
      <w:start w:val="23"/>
    </w:lvl>
  </w:abstractNum>
  <w:abstractNum w:abstractNumId="57">
    <w:nsid w:val="43F18422"/>
    <w:multiLevelType w:val="hybridMultilevel"/>
    <w:lvl w:ilvl="0">
      <w:lvlJc w:val="left"/>
      <w:lvlText w:val="%1"/>
      <w:numFmt w:val="decimal"/>
      <w:start w:val="683"/>
    </w:lvl>
  </w:abstractNum>
  <w:abstractNum w:abstractNumId="58">
    <w:nsid w:val="60EF0119"/>
    <w:multiLevelType w:val="hybridMultilevel"/>
    <w:lvl w:ilvl="0">
      <w:lvlJc w:val="left"/>
      <w:lvlText w:val="1"/>
      <w:numFmt w:val="bullet"/>
      <w:start w:val="1"/>
    </w:lvl>
  </w:abstractNum>
  <w:abstractNum w:abstractNumId="59">
    <w:nsid w:val="26F324BA"/>
    <w:multiLevelType w:val="hybridMultilevel"/>
    <w:lvl w:ilvl="0">
      <w:lvlJc w:val="left"/>
      <w:lvlText w:val="2"/>
      <w:numFmt w:val="bullet"/>
      <w:start w:val="1"/>
    </w:lvl>
  </w:abstractNum>
  <w:abstractNum w:abstractNumId="60">
    <w:nsid w:val="7F01579B"/>
    <w:multiLevelType w:val="hybridMultilevel"/>
    <w:lvl w:ilvl="0">
      <w:lvlJc w:val="left"/>
      <w:lvlText w:val="3"/>
      <w:numFmt w:val="bullet"/>
      <w:start w:val="1"/>
    </w:lvl>
  </w:abstractNum>
  <w:abstractNum w:abstractNumId="61">
    <w:nsid w:val="49DA307D"/>
    <w:multiLevelType w:val="hybridMultilevel"/>
    <w:lvl w:ilvl="0">
      <w:lvlJc w:val="left"/>
      <w:lvlText w:val="1"/>
      <w:numFmt w:val="bullet"/>
      <w:start w:val="1"/>
    </w:lvl>
  </w:abstractNum>
  <w:abstractNum w:abstractNumId="62">
    <w:nsid w:val="7055A5F5"/>
    <w:multiLevelType w:val="hybridMultilevel"/>
    <w:lvl w:ilvl="0">
      <w:lvlJc w:val="left"/>
      <w:lvlText w:val="2"/>
      <w:numFmt w:val="bullet"/>
      <w:start w:val="1"/>
    </w:lvl>
  </w:abstractNum>
  <w:abstractNum w:abstractNumId="63">
    <w:nsid w:val="5FB8370B"/>
    <w:multiLevelType w:val="hybridMultilevel"/>
    <w:lvl w:ilvl="0">
      <w:lvlJc w:val="left"/>
      <w:lvlText w:val="3"/>
      <w:numFmt w:val="bullet"/>
      <w:start w:val="1"/>
    </w:lvl>
  </w:abstractNum>
  <w:abstractNum w:abstractNumId="64">
    <w:nsid w:val="50801EE1"/>
    <w:multiLevelType w:val="hybridMultilevel"/>
    <w:lvl w:ilvl="0">
      <w:lvlJc w:val="left"/>
      <w:lvlText w:val="4"/>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3"/>
      <w:numFmt w:val="bullet"/>
      <w:start w:val="1"/>
    </w:lvl>
  </w:abstractNum>
  <w:abstractNum w:abstractNumId="67">
    <w:nsid w:val="6AA78F7F"/>
    <w:multiLevelType w:val="hybridMultilevel"/>
    <w:lvl w:ilvl="0">
      <w:lvlJc w:val="left"/>
      <w:lvlText w:val="1"/>
      <w:numFmt w:val="bullet"/>
      <w:start w:val="1"/>
    </w:lvl>
  </w:abstractNum>
  <w:abstractNum w:abstractNumId="68">
    <w:nsid w:val="7672BD23"/>
    <w:multiLevelType w:val="hybridMultilevel"/>
    <w:lvl w:ilvl="0">
      <w:lvlJc w:val="left"/>
      <w:lvlText w:val="2"/>
      <w:numFmt w:val="bullet"/>
      <w:start w:val="1"/>
    </w:lvl>
    <w:lvl w:ilvl="1">
      <w:lvlJc w:val="left"/>
      <w:lvlText w:val="»"/>
      <w:numFmt w:val="bullet"/>
      <w:start w:val="1"/>
    </w:lvl>
  </w:abstractNum>
  <w:abstractNum w:abstractNumId="69">
    <w:nsid w:val="6FC75AF8"/>
    <w:multiLevelType w:val="hybridMultilevel"/>
    <w:lvl w:ilvl="0">
      <w:lvlJc w:val="left"/>
      <w:lvlText w:val="1"/>
      <w:numFmt w:val="bullet"/>
      <w:start w:val="1"/>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1"/>
      <w:numFmt w:val="bullet"/>
      <w:start w:val="1"/>
    </w:lvl>
  </w:abstractNum>
  <w:abstractNum w:abstractNumId="72">
    <w:nsid w:val="5F3534A4"/>
    <w:multiLevelType w:val="hybridMultilevel"/>
    <w:lvl w:ilvl="0">
      <w:lvlJc w:val="left"/>
      <w:lvlText w:val="2"/>
      <w:numFmt w:val="bullet"/>
      <w:start w:val="1"/>
    </w:lvl>
  </w:abstractNum>
  <w:abstractNum w:abstractNumId="73">
    <w:nsid w:val="73A1821B"/>
    <w:multiLevelType w:val="hybridMultilevel"/>
    <w:lvl w:ilvl="0">
      <w:lvlJc w:val="left"/>
      <w:lvlText w:val="1"/>
      <w:numFmt w:val="bullet"/>
      <w:start w:val="1"/>
    </w:lvl>
  </w:abstractNum>
  <w:abstractNum w:abstractNumId="74">
    <w:nsid w:val="7DE67713"/>
    <w:multiLevelType w:val="hybridMultilevel"/>
    <w:lvl w:ilvl="0">
      <w:lvlJc w:val="left"/>
      <w:lvlText w:val="2"/>
      <w:numFmt w:val="bullet"/>
      <w:start w:val="1"/>
    </w:lvl>
  </w:abstractNum>
  <w:abstractNum w:abstractNumId="75">
    <w:nsid w:val="555C55B5"/>
    <w:multiLevelType w:val="hybridMultilevel"/>
    <w:lvl w:ilvl="0">
      <w:lvlJc w:val="left"/>
      <w:lvlText w:val="3"/>
      <w:numFmt w:val="bullet"/>
      <w:start w:val="1"/>
    </w:lvl>
  </w:abstractNum>
  <w:abstractNum w:abstractNumId="76">
    <w:nsid w:val="3FA62ACA"/>
    <w:multiLevelType w:val="hybridMultilevel"/>
    <w:lvl w:ilvl="0">
      <w:lvlJc w:val="left"/>
      <w:lvlText w:val="4"/>
      <w:numFmt w:val="bullet"/>
      <w:start w:val="1"/>
    </w:lvl>
  </w:abstractNum>
  <w:abstractNum w:abstractNumId="77">
    <w:nsid w:val="14FCE74E"/>
    <w:multiLevelType w:val="hybridMultilevel"/>
    <w:lvl w:ilvl="0">
      <w:lvlJc w:val="left"/>
      <w:lvlText w:val="»"/>
      <w:numFmt w:val="bullet"/>
      <w:start w:val="1"/>
    </w:lvl>
  </w:abstractNum>
  <w:abstractNum w:abstractNumId="78">
    <w:nsid w:val="6A3DD3E8"/>
    <w:multiLevelType w:val="hybridMultilevel"/>
    <w:lvl w:ilvl="0">
      <w:lvlJc w:val="left"/>
      <w:lvlText w:val="1"/>
      <w:numFmt w:val="bullet"/>
      <w:start w:val="1"/>
    </w:lvl>
  </w:abstractNum>
  <w:abstractNum w:abstractNumId="79">
    <w:nsid w:val="71C91298"/>
    <w:multiLevelType w:val="hybridMultilevel"/>
    <w:lvl w:ilvl="0">
      <w:lvlJc w:val="left"/>
      <w:lvlText w:val="2"/>
      <w:numFmt w:val="bullet"/>
      <w:start w:val="1"/>
    </w:lvl>
  </w:abstractNum>
  <w:abstractNum w:abstractNumId="80">
    <w:nsid w:val="9DAF632"/>
    <w:multiLevelType w:val="hybridMultilevel"/>
    <w:lvl w:ilvl="0">
      <w:lvlJc w:val="left"/>
      <w:lvlText w:val="3"/>
      <w:numFmt w:val="bullet"/>
      <w:start w:val="1"/>
    </w:lvl>
  </w:abstractNum>
  <w:abstractNum w:abstractNumId="81">
    <w:nsid w:val="53299938"/>
    <w:multiLevelType w:val="hybridMultilevel"/>
    <w:lvl w:ilvl="0">
      <w:lvlJc w:val="left"/>
      <w:lvlText w:val="1"/>
      <w:numFmt w:val="bullet"/>
      <w:start w:val="1"/>
    </w:lvl>
  </w:abstractNum>
  <w:abstractNum w:abstractNumId="82">
    <w:nsid w:val="1FBFE8E0"/>
    <w:multiLevelType w:val="hybridMultilevel"/>
    <w:lvl w:ilvl="0">
      <w:lvlJc w:val="left"/>
      <w:lvlText w:val="2"/>
      <w:numFmt w:val="bullet"/>
      <w:start w:val="1"/>
    </w:lvl>
  </w:abstractNum>
  <w:abstractNum w:abstractNumId="83">
    <w:nsid w:val="5092CA79"/>
    <w:multiLevelType w:val="hybridMultilevel"/>
    <w:lvl w:ilvl="0">
      <w:lvlJc w:val="left"/>
      <w:lvlText w:val="»"/>
      <w:numFmt w:val="bullet"/>
      <w:start w:val="1"/>
    </w:lvl>
  </w:abstractNum>
  <w:abstractNum w:abstractNumId="84">
    <w:nsid w:val="1D545C4D"/>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4"/>
    </w:lvl>
  </w:abstractNum>
  <w:abstractNum w:abstractNumId="85">
    <w:nsid w:val="59ADEA3D"/>
    <w:multiLevelType w:val="hybridMultilevel"/>
    <w:lvl w:ilvl="0">
      <w:lvlJc w:val="left"/>
      <w:lvlText w:val="(%1)"/>
      <w:numFmt w:val="lowerLetter"/>
      <w:start w:val="1"/>
    </w:lvl>
    <w:lvl w:ilvl="1">
      <w:lvlJc w:val="left"/>
      <w:lvlText w:val="(%2)"/>
      <w:numFmt w:val="lowerLetter"/>
      <w:start w:val="9"/>
    </w:lvl>
  </w:abstractNum>
  <w:abstractNum w:abstractNumId="86">
    <w:nsid w:val="288F1A34"/>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lvl w:ilvl="3">
      <w:lvlJc w:val="left"/>
      <w:lvlText w:val="%4"/>
      <w:numFmt w:val="upperLetter"/>
      <w:start w:val="1"/>
    </w:lvl>
    <w:lvl w:ilvl="4">
      <w:lvlJc w:val="left"/>
      <w:lvlText w:val="(%5)"/>
      <w:numFmt w:val="upperLetter"/>
      <w:start w:val="2"/>
    </w:lvl>
    <w:lvl w:ilvl="5">
      <w:lvlJc w:val="left"/>
      <w:lvlText w:val="(%6)"/>
      <w:numFmt w:val="upperLetter"/>
      <w:start w:val="1"/>
    </w:lvl>
    <w:lvl w:ilvl="6">
      <w:lvlJc w:val="left"/>
      <w:lvlText w:val="(%7)"/>
      <w:numFmt w:val="upperLetter"/>
      <w:start w:val="4"/>
    </w:lvl>
    <w:lvl w:ilvl="7">
      <w:lvlJc w:val="left"/>
      <w:lvlText w:val="(%8)"/>
      <w:numFmt w:val="upperLetter"/>
      <w:start w:val="2"/>
    </w:lvl>
    <w:lvl w:ilvl="8">
      <w:lvlJc w:val="left"/>
      <w:lvlText w:val="(%9)"/>
      <w:numFmt w:val="upperLetter"/>
      <w:start w:val="5"/>
    </w:lvl>
  </w:abstractNum>
  <w:abstractNum w:abstractNumId="87">
    <w:nsid w:val="2A155DB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lvl w:ilvl="3">
      <w:lvlJc w:val="left"/>
      <w:lvlText w:val="(%4)"/>
      <w:numFmt w:val="upperLetter"/>
      <w:start w:val="1"/>
    </w:lvl>
    <w:lvl w:ilvl="4">
      <w:lvlJc w:val="left"/>
      <w:lvlText w:val="%5"/>
      <w:numFmt w:val="upperLetter"/>
      <w:start w:val="1"/>
    </w:lvl>
    <w:lvl w:ilvl="5">
      <w:lvlJc w:val="left"/>
      <w:lvlText w:val="%6"/>
      <w:numFmt w:val="upperLetter"/>
      <w:start w:val="1"/>
    </w:lvl>
    <w:lvl w:ilvl="6">
      <w:lvlJc w:val="left"/>
      <w:lvlText w:val="%7"/>
      <w:numFmt w:val="upperLetter"/>
      <w:start w:val="1"/>
    </w:lvl>
    <w:lvl w:ilvl="7">
      <w:lvlJc w:val="left"/>
      <w:lvlText w:val="%8"/>
      <w:numFmt w:val="upperLetter"/>
      <w:start w:val="1"/>
    </w:lvl>
    <w:lvl w:ilvl="8">
      <w:lvlJc w:val="left"/>
      <w:lvlText w:val="%9"/>
      <w:numFmt w:val="upperLetter"/>
      <w:start w:val="1"/>
    </w:lvl>
  </w:abstractNum>
  <w:abstractNum w:abstractNumId="88">
    <w:nsid w:val="1D9F6E5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upperLetter"/>
      <w:start w:val="2"/>
    </w:lvl>
  </w:abstractNum>
  <w:abstractNum w:abstractNumId="89">
    <w:nsid w:val="97E1B4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35"/>
    </w:lvl>
    <w:lvl w:ilvl="4">
      <w:lvlJc w:val="left"/>
      <w:lvlText w:val="%5"/>
      <w:numFmt w:val="lowerRoman"/>
      <w:start w:val="1"/>
    </w:lvl>
    <w:lvl w:ilvl="5">
      <w:lvlJc w:val="left"/>
      <w:lvlText w:val="%6"/>
      <w:numFmt w:val="lowerLetter"/>
      <w:start w:val="1"/>
    </w:lvl>
    <w:lvl w:ilvl="6">
      <w:lvlJc w:val="left"/>
      <w:lvlText w:val="%7"/>
      <w:numFmt w:val="upperLetter"/>
      <w:start w:val="1"/>
    </w:lvl>
  </w:abstractNum>
  <w:abstractNum w:abstractNumId="90">
    <w:nsid w:val="51088277"/>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lvl w:ilvl="3">
      <w:lvlJc w:val="left"/>
      <w:lvlText w:val="%4"/>
      <w:numFmt w:val="lowerLetter"/>
      <w:start w:val="1"/>
    </w:lvl>
    <w:lvl w:ilvl="4">
      <w:lvlJc w:val="left"/>
      <w:lvlText w:val="(%5)"/>
      <w:numFmt w:val="lowerRoman"/>
      <w:start w:val="2"/>
    </w:lvl>
    <w:lvl w:ilvl="5">
      <w:lvlJc w:val="left"/>
      <w:lvlText w:val="(%6)"/>
      <w:numFmt w:val="lowerLetter"/>
      <w:start w:val="61"/>
    </w:lvl>
    <w:lvl w:ilvl="6">
      <w:lvlJc w:val="left"/>
      <w:lvlText w:val="%7"/>
      <w:numFmt w:val="upperLetter"/>
      <w:start w:val="1"/>
    </w:lvl>
  </w:abstractNum>
  <w:abstractNum w:abstractNumId="91">
    <w:nsid w:val="1CA0C5F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92">
    <w:nsid w:val="53584BCB"/>
    <w:multiLevelType w:val="hybridMultilevel"/>
    <w:lvl w:ilvl="0">
      <w:lvlJc w:val="left"/>
      <w:lvlText w:val="(%1)"/>
      <w:numFmt w:val="lowerRoman"/>
      <w:start w:val="3"/>
    </w:lvl>
    <w:lvl w:ilvl="1">
      <w:lvlJc w:val="left"/>
      <w:lvlText w:val="(%2)"/>
      <w:numFmt w:val="lowerRoman"/>
      <w:start w:val="3"/>
    </w:lvl>
    <w:lvl w:ilvl="2">
      <w:lvlJc w:val="left"/>
      <w:lvlText w:val="(%3)"/>
      <w:numFmt w:val="upperLetter"/>
      <w:start w:val="1"/>
    </w:lvl>
    <w:lvl w:ilvl="3">
      <w:lvlJc w:val="left"/>
      <w:lvlText w:val="(%4)"/>
      <w:numFmt w:val="upperLetter"/>
      <w:start w:val="1"/>
    </w:lvl>
  </w:abstractNum>
  <w:abstractNum w:abstractNumId="93">
    <w:nsid w:val="415E286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7"/>
    </w:lvl>
    <w:lvl w:ilvl="4">
      <w:lvlJc w:val="left"/>
      <w:lvlText w:val="(%5)"/>
      <w:numFmt w:val="upperLetter"/>
      <w:start w:val="1"/>
    </w:lvl>
    <w:lvl w:ilvl="5">
      <w:lvlJc w:val="left"/>
      <w:lvlText w:val="(%6)"/>
      <w:numFmt w:val="upperLetter"/>
      <w:start w:val="1"/>
    </w:lvl>
  </w:abstractNum>
  <w:abstractNum w:abstractNumId="94">
    <w:nsid w:val="7C58FD0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95">
    <w:nsid w:val="23D86AAC"/>
    <w:multiLevelType w:val="hybridMultilevel"/>
    <w:lvl w:ilvl="0">
      <w:lvlJc w:val="left"/>
      <w:lvlText w:val="(%1)"/>
      <w:numFmt w:val="lowerRoman"/>
      <w:start w:val="8"/>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96">
    <w:nsid w:val="45E6D486"/>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97">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abstractNum>
  <w:abstractNum w:abstractNumId="98">
    <w:nsid w:val="E7FFA2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lvl w:ilvl="3">
      <w:lvlJc w:val="left"/>
      <w:lvlText w:val="%4"/>
      <w:numFmt w:val="lowerRoman"/>
      <w:start w:val="1"/>
    </w:lvl>
  </w:abstractNum>
  <w:abstractNum w:abstractNumId="99">
    <w:nsid w:val="3C5991A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100">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01">
    <w:nsid w:val="78DF6A55"/>
    <w:multiLevelType w:val="hybridMultilevel"/>
    <w:lvl w:ilvl="0">
      <w:lvlJc w:val="left"/>
      <w:lvlText w:val="(%1)"/>
      <w:numFmt w:val="lowerRoman"/>
      <w:start w:val="3"/>
    </w:lvl>
  </w:abstractNum>
  <w:abstractNum w:abstractNumId="102">
    <w:nsid w:val="39B7AAA2"/>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lvl w:ilvl="3">
      <w:lvlJc w:val="left"/>
      <w:lvlText w:val="(%4)"/>
      <w:numFmt w:val="lowerLetter"/>
      <w:start w:val="35"/>
    </w:lvl>
  </w:abstractNum>
  <w:abstractNum w:abstractNumId="103">
    <w:nsid w:val="2B0D8DB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1"/>
    </w:lvl>
    <w:lvl w:ilvl="4">
      <w:lvlJc w:val="left"/>
      <w:lvlText w:val="(%5)"/>
      <w:numFmt w:val="lowerRoman"/>
      <w:start w:val="1"/>
    </w:lvl>
    <w:lvl w:ilvl="5">
      <w:lvlJc w:val="left"/>
      <w:lvlText w:val="(%6)"/>
      <w:numFmt w:val="lowerRoman"/>
      <w:start w:val="2"/>
    </w:lvl>
    <w:lvl w:ilvl="6">
      <w:lvlJc w:val="left"/>
      <w:lvlText w:val="(%7)"/>
      <w:numFmt w:val="lowerLetter"/>
      <w:start w:val="61"/>
    </w:lvl>
  </w:abstractNum>
  <w:abstractNum w:abstractNumId="104">
    <w:nsid w:val="6C80EC70"/>
    <w:multiLevelType w:val="hybridMultilevel"/>
    <w:lvl w:ilvl="0">
      <w:lvlJc w:val="left"/>
      <w:lvlText w:val="%1"/>
      <w:numFmt w:val="lowerLetter"/>
      <w:start w:val="1"/>
    </w:lvl>
    <w:lvl w:ilvl="1">
      <w:lvlJc w:val="left"/>
      <w:lvlText w:val="(%2)"/>
      <w:numFmt w:val="lowerLetter"/>
      <w:start w:val="5"/>
    </w:lvl>
  </w:abstractNum>
  <w:abstractNum w:abstractNumId="105">
    <w:nsid w:val="379E21B5"/>
    <w:multiLevelType w:val="hybridMultilevel"/>
    <w:lvl w:ilvl="0">
      <w:lvlJc w:val="left"/>
      <w:lvlText w:val="(%1)"/>
      <w:numFmt w:val="lowerLetter"/>
      <w:start w:val="6"/>
    </w:lvl>
    <w:lvl w:ilvl="1">
      <w:lvlJc w:val="left"/>
      <w:lvlText w:val="(%2)"/>
      <w:numFmt w:val="lowerLetter"/>
      <w:start w:val="8"/>
    </w:lvl>
  </w:abstractNum>
  <w:abstractNum w:abstractNumId="106">
    <w:nsid w:val="69E373"/>
    <w:multiLevelType w:val="hybridMultilevel"/>
    <w:lvl w:ilvl="0">
      <w:lvlJc w:val="left"/>
      <w:lvlText w:val="(%1)"/>
      <w:numFmt w:val="lowerLetter"/>
      <w:start w:val="1"/>
    </w:lvl>
    <w:lvl w:ilvl="1">
      <w:lvlJc w:val="left"/>
      <w:lvlText w:val="(%2)"/>
      <w:numFmt w:val="lowerLetter"/>
      <w:start w:val="9"/>
    </w:lvl>
  </w:abstractNum>
  <w:abstractNum w:abstractNumId="107">
    <w:nsid w:val="2C27173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08">
    <w:nsid w:val="4C9B0904"/>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09">
    <w:nsid w:val="6AA7B75C"/>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110">
    <w:nsid w:val="1DF029D3"/>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4"/>
    </w:lvl>
  </w:abstractNum>
  <w:abstractNum w:abstractNumId="111">
    <w:nsid w:val="5675FF36"/>
    <w:multiLevelType w:val="hybridMultilevel"/>
    <w:lvl w:ilvl="0">
      <w:lvlJc w:val="left"/>
      <w:lvlText w:val="(%1)"/>
      <w:numFmt w:val="lowerLetter"/>
      <w:start w:val="6"/>
    </w:lvl>
  </w:abstractNum>
  <w:abstractNum w:abstractNumId="112">
    <w:nsid w:val="3DD15094"/>
    <w:multiLevelType w:val="hybridMultilevel"/>
    <w:lvl w:ilvl="0">
      <w:lvlJc w:val="left"/>
      <w:lvlText w:val="(%1)"/>
      <w:numFmt w:val="lowerLetter"/>
      <w:start w:val="7"/>
    </w:lvl>
  </w:abstractNum>
  <w:abstractNum w:abstractNumId="113">
    <w:nsid w:val="3DB012B3"/>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114">
    <w:nsid w:val="2708C9AF"/>
    <w:multiLevelType w:val="hybridMultilevel"/>
    <w:lvl w:ilvl="0">
      <w:lvlJc w:val="left"/>
      <w:lvlText w:val="(%1)"/>
      <w:numFmt w:val="lowerLetter"/>
      <w:start w:val="10"/>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Letter"/>
      <w:start w:val="61"/>
    </w:lvl>
  </w:abstractNum>
  <w:abstractNum w:abstractNumId="115">
    <w:nsid w:val="5B25ACE2"/>
    <w:multiLevelType w:val="hybridMultilevel"/>
    <w:lvl w:ilvl="0">
      <w:lvlJc w:val="left"/>
      <w:lvlText w:val="(%1)"/>
      <w:numFmt w:val="lowerRoman"/>
      <w:start w:val="4"/>
    </w:lvl>
  </w:abstractNum>
  <w:abstractNum w:abstractNumId="116">
    <w:nsid w:val="175DFCF0"/>
    <w:multiLevelType w:val="hybridMultilevel"/>
    <w:lvl w:ilvl="0">
      <w:lvlJc w:val="left"/>
      <w:lvlText w:val="*"/>
      <w:numFmt w:val="bullet"/>
      <w:start w:val="1"/>
    </w:lvl>
  </w:abstractNum>
  <w:abstractNum w:abstractNumId="117">
    <w:nsid w:val="4F97E3E4"/>
    <w:multiLevelType w:val="hybridMultilevel"/>
    <w:lvl w:ilvl="0">
      <w:lvlJc w:val="left"/>
      <w:lvlText w:val="*"/>
      <w:numFmt w:val="bullet"/>
      <w:start w:val="1"/>
    </w:lvl>
  </w:abstractNum>
  <w:abstractNum w:abstractNumId="118">
    <w:nsid w:val="53B0A9E"/>
    <w:multiLevelType w:val="hybridMultilevel"/>
    <w:lvl w:ilvl="0">
      <w:lvlJc w:val="left"/>
      <w:lvlText w:val="%1)"/>
      <w:numFmt w:val="decimal"/>
      <w:start w:val="4"/>
    </w:lvl>
  </w:abstractNum>
  <w:abstractNum w:abstractNumId="119">
    <w:nsid w:val="34FD6B4F"/>
    <w:multiLevelType w:val="hybridMultilevel"/>
    <w:lvl w:ilvl="0">
      <w:lvlJc w:val="left"/>
      <w:lvlText w:val="%1."/>
      <w:numFmt w:val="decimal"/>
      <w:start w:val="1"/>
    </w:lvl>
  </w:abstractNum>
  <w:abstractNum w:abstractNumId="120">
    <w:nsid w:val="5915FF32"/>
    <w:multiLevelType w:val="hybridMultilevel"/>
    <w:lvl w:ilvl="0">
      <w:lvlJc w:val="left"/>
      <w:lvlText w:val="%1)"/>
      <w:numFmt w:val="lowerLetter"/>
      <w:start w:val="1"/>
    </w:lvl>
  </w:abstractNum>
  <w:abstractNum w:abstractNumId="121">
    <w:nsid w:val="56438D15"/>
    <w:multiLevelType w:val="hybridMultilevel"/>
    <w:lvl w:ilvl="0">
      <w:lvlJc w:val="left"/>
      <w:lvlText w:val="%1."/>
      <w:numFmt w:val="decimal"/>
      <w:start w:val="5"/>
    </w:lvl>
  </w:abstractNum>
  <w:abstractNum w:abstractNumId="122">
    <w:nsid w:val="519E3149"/>
    <w:multiLevelType w:val="hybridMultilevel"/>
    <w:lvl w:ilvl="0">
      <w:lvlJc w:val="left"/>
      <w:lvlText w:val="%1)"/>
      <w:numFmt w:val="lowerLetter"/>
      <w:start w:val="1"/>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decimal"/>
      <w:start w:val="5"/>
    </w:lvl>
  </w:abstractNum>
  <w:abstractNum w:abstractNumId="126">
    <w:nsid w:val="5046B5A9"/>
    <w:multiLevelType w:val="hybridMultilevel"/>
    <w:lvl w:ilvl="0">
      <w:lvlJc w:val="left"/>
      <w:lvlText w:val="%1)"/>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2019-12-11T19:14:32Z</dcterms:created>
  <dcterms:modified xsi:type="dcterms:W3CDTF">2019-12-11T19:14:32Z</dcterms:modified>
</cp:coreProperties>
</file>